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emf" ContentType="image/x-emf"/>
  <Default Extension="bmp" ContentType="image/bmp"/>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
      <w:pPr>
        <w:rPr>
          <w:rFonts w:hint="eastAsia" w:eastAsiaTheme="minorEastAsia"/>
          <w:lang w:eastAsia="zh-CN"/>
        </w:rPr>
      </w:pPr>
      <w:r>
        <w:rPr>
          <w:rFonts w:hint="eastAsia" w:eastAsiaTheme="minorEastAsia"/>
          <w:lang w:eastAsia="zh-CN"/>
        </w:rPr>
        <w:drawing>
          <wp:inline distT="0" distB="0" distL="114300" distR="114300">
            <wp:extent cx="5534660" cy="7379335"/>
            <wp:effectExtent l="0" t="0" r="8890" b="12065"/>
            <wp:docPr id="87" name="图片 87" descr="b6641622d573a6410b6a9cf8416f8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b6641622d573a6410b6a9cf8416f88f"/>
                    <pic:cNvPicPr>
                      <a:picLocks noChangeAspect="1"/>
                    </pic:cNvPicPr>
                  </pic:nvPicPr>
                  <pic:blipFill>
                    <a:blip r:embed="rId27"/>
                    <a:stretch>
                      <a:fillRect/>
                    </a:stretch>
                  </pic:blipFill>
                  <pic:spPr>
                    <a:xfrm>
                      <a:off x="0" y="0"/>
                      <a:ext cx="5534660" cy="7379335"/>
                    </a:xfrm>
                    <a:prstGeom prst="rect">
                      <a:avLst/>
                    </a:prstGeom>
                  </pic:spPr>
                </pic:pic>
              </a:graphicData>
            </a:graphic>
          </wp:inline>
        </w:drawing>
      </w:r>
    </w:p>
    <w:p/>
    <w:p/>
    <w:p/>
    <w:p/>
    <w:p/>
    <w:p/>
    <w:p/>
    <w:p/>
    <w:p>
      <w:r>
        <w:rPr>
          <w:rFonts w:hint="eastAsia" w:eastAsiaTheme="minorEastAsia"/>
          <w:lang w:eastAsia="zh-CN"/>
        </w:rPr>
        <w:drawing>
          <wp:inline distT="0" distB="0" distL="114300" distR="114300">
            <wp:extent cx="5541010" cy="7840980"/>
            <wp:effectExtent l="0" t="0" r="2540" b="7620"/>
            <wp:docPr id="125" name="图片 125" descr="802317f4ea38a04846107cf6cff6b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802317f4ea38a04846107cf6cff6bc8"/>
                    <pic:cNvPicPr>
                      <a:picLocks noChangeAspect="1"/>
                    </pic:cNvPicPr>
                  </pic:nvPicPr>
                  <pic:blipFill>
                    <a:blip r:embed="rId28"/>
                    <a:stretch>
                      <a:fillRect/>
                    </a:stretch>
                  </pic:blipFill>
                  <pic:spPr>
                    <a:xfrm rot="10800000">
                      <a:off x="0" y="0"/>
                      <a:ext cx="5541010" cy="7840980"/>
                    </a:xfrm>
                    <a:prstGeom prst="rect">
                      <a:avLst/>
                    </a:prstGeom>
                  </pic:spPr>
                </pic:pic>
              </a:graphicData>
            </a:graphic>
          </wp:inline>
        </w:drawing>
      </w:r>
    </w:p>
    <w:p/>
    <w:p/>
    <w:p/>
    <w:p/>
    <w:p/>
    <w:p/>
    <w:p>
      <w:r>
        <w:rPr>
          <w:rFonts w:hint="eastAsia"/>
          <w:lang w:eastAsia="zh-CN"/>
        </w:rPr>
        <w:drawing>
          <wp:inline distT="0" distB="0" distL="114300" distR="114300">
            <wp:extent cx="5541010" cy="7632065"/>
            <wp:effectExtent l="0" t="0" r="2540" b="6985"/>
            <wp:docPr id="126" name="图片 126" descr="de4531eb266c614903900ca359473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de4531eb266c614903900ca359473e4"/>
                    <pic:cNvPicPr>
                      <a:picLocks noChangeAspect="1"/>
                    </pic:cNvPicPr>
                  </pic:nvPicPr>
                  <pic:blipFill>
                    <a:blip r:embed="rId29"/>
                    <a:stretch>
                      <a:fillRect/>
                    </a:stretch>
                  </pic:blipFill>
                  <pic:spPr>
                    <a:xfrm>
                      <a:off x="0" y="0"/>
                      <a:ext cx="5541010" cy="7632065"/>
                    </a:xfrm>
                    <a:prstGeom prst="rect">
                      <a:avLst/>
                    </a:prstGeom>
                  </pic:spPr>
                </pic:pic>
              </a:graphicData>
            </a:graphic>
          </wp:inline>
        </w:drawing>
      </w:r>
    </w:p>
    <w:p/>
    <w:p/>
    <w:p/>
    <w:p/>
    <w:p>
      <w:r>
        <w:drawing>
          <wp:anchor distT="0" distB="0" distL="114300" distR="114300" simplePos="0" relativeHeight="251769856" behindDoc="1" locked="0" layoutInCell="1" allowOverlap="1">
            <wp:simplePos x="0" y="0"/>
            <wp:positionH relativeFrom="column">
              <wp:posOffset>-1377315</wp:posOffset>
            </wp:positionH>
            <wp:positionV relativeFrom="paragraph">
              <wp:posOffset>1178560</wp:posOffset>
            </wp:positionV>
            <wp:extent cx="7900035" cy="5549265"/>
            <wp:effectExtent l="0" t="0" r="13335" b="5715"/>
            <wp:wrapTight wrapText="bothSides">
              <wp:wrapPolygon>
                <wp:start x="21600" y="0"/>
                <wp:lineTo x="36" y="0"/>
                <wp:lineTo x="36" y="21504"/>
                <wp:lineTo x="21600" y="21504"/>
                <wp:lineTo x="21600" y="0"/>
              </wp:wrapPolygon>
            </wp:wrapTight>
            <wp:docPr id="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
                    <pic:cNvPicPr>
                      <a:picLocks noChangeAspect="1"/>
                    </pic:cNvPicPr>
                  </pic:nvPicPr>
                  <pic:blipFill>
                    <a:blip r:embed="rId30"/>
                    <a:stretch>
                      <a:fillRect/>
                    </a:stretch>
                  </pic:blipFill>
                  <pic:spPr>
                    <a:xfrm rot="16200000">
                      <a:off x="0" y="0"/>
                      <a:ext cx="7900035" cy="5549265"/>
                    </a:xfrm>
                    <a:prstGeom prst="rect">
                      <a:avLst/>
                    </a:prstGeom>
                    <a:noFill/>
                    <a:ln>
                      <a:noFill/>
                    </a:ln>
                  </pic:spPr>
                </pic:pic>
              </a:graphicData>
            </a:graphic>
          </wp:anchor>
        </w:drawing>
      </w:r>
    </w:p>
    <w:p/>
    <w:p/>
    <w:p/>
    <w:p>
      <w:pPr>
        <w:pStyle w:val="11"/>
        <w:tabs>
          <w:tab w:val="right" w:leader="dot" w:pos="8730"/>
          <w:tab w:val="clear" w:pos="8720"/>
        </w:tabs>
        <w:snapToGrid w:val="0"/>
        <w:spacing w:line="520" w:lineRule="exact"/>
        <w:jc w:val="center"/>
        <w:rPr>
          <w:rFonts w:hint="default" w:ascii="Times New Roman" w:hAnsi="Times New Roman" w:cs="Times New Roman"/>
          <w:sz w:val="28"/>
          <w:szCs w:val="28"/>
        </w:rPr>
      </w:pPr>
      <w:bookmarkStart w:id="0" w:name="_Toc472009580"/>
      <w:bookmarkStart w:id="1" w:name="_Toc32642"/>
      <w:bookmarkStart w:id="2" w:name="_Toc11598"/>
      <w:bookmarkStart w:id="3" w:name="_Toc443924632"/>
      <w:r>
        <w:rPr>
          <w:rFonts w:hint="default" w:ascii="Times New Roman" w:hAnsi="Times New Roman" w:cs="Times New Roman"/>
          <w:sz w:val="28"/>
          <w:szCs w:val="28"/>
        </w:rPr>
        <w:t>目  录</w:t>
      </w:r>
    </w:p>
    <w:p>
      <w:pPr>
        <w:pStyle w:val="11"/>
        <w:keepNext w:val="0"/>
        <w:keepLines w:val="0"/>
        <w:pageBreakBefore w:val="0"/>
        <w:widowControl w:val="0"/>
        <w:tabs>
          <w:tab w:val="right" w:leader="dot" w:pos="8730"/>
          <w:tab w:val="clear" w:pos="872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b w:val="0"/>
          <w:bCs w:val="0"/>
        </w:rPr>
        <w:fldChar w:fldCharType="begin"/>
      </w:r>
      <w:r>
        <w:rPr>
          <w:rFonts w:hint="default" w:ascii="Times New Roman" w:hAnsi="Times New Roman" w:cs="Times New Roman"/>
          <w:b w:val="0"/>
          <w:bCs w:val="0"/>
        </w:rPr>
        <w:instrText xml:space="preserve">TOC \o "1-2" \h \u </w:instrText>
      </w:r>
      <w:r>
        <w:rPr>
          <w:rFonts w:hint="default" w:ascii="Times New Roman" w:hAnsi="Times New Roman" w:cs="Times New Roman"/>
          <w:b w:val="0"/>
          <w:bCs w:val="0"/>
        </w:rPr>
        <w:fldChar w:fldCharType="separate"/>
      </w:r>
      <w:r>
        <w:rPr>
          <w:rFonts w:hint="default" w:ascii="Times New Roman" w:hAnsi="Times New Roman" w:cs="Times New Roman"/>
          <w:bCs w:val="0"/>
          <w:sz w:val="24"/>
          <w:szCs w:val="24"/>
        </w:rPr>
        <w:fldChar w:fldCharType="begin"/>
      </w:r>
      <w:r>
        <w:rPr>
          <w:rFonts w:hint="default" w:ascii="Times New Roman" w:hAnsi="Times New Roman" w:cs="Times New Roman"/>
          <w:bCs w:val="0"/>
          <w:sz w:val="24"/>
          <w:szCs w:val="24"/>
        </w:rPr>
        <w:instrText xml:space="preserve"> HYPERLINK \l _Toc27038 </w:instrText>
      </w:r>
      <w:r>
        <w:rPr>
          <w:rFonts w:hint="default" w:ascii="Times New Roman" w:hAnsi="Times New Roman" w:cs="Times New Roman"/>
          <w:bCs w:val="0"/>
          <w:sz w:val="24"/>
          <w:szCs w:val="24"/>
        </w:rPr>
        <w:fldChar w:fldCharType="separate"/>
      </w:r>
      <w:r>
        <w:rPr>
          <w:rFonts w:hint="default" w:ascii="Times New Roman" w:hAnsi="Times New Roman" w:cs="Times New Roman"/>
          <w:sz w:val="24"/>
          <w:szCs w:val="24"/>
        </w:rPr>
        <w:t>概 述</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_Toc27038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- 1 -</w:t>
      </w:r>
      <w:r>
        <w:rPr>
          <w:rFonts w:hint="default" w:ascii="Times New Roman" w:hAnsi="Times New Roman" w:cs="Times New Roman"/>
          <w:sz w:val="24"/>
          <w:szCs w:val="24"/>
        </w:rPr>
        <w:fldChar w:fldCharType="end"/>
      </w:r>
      <w:r>
        <w:rPr>
          <w:rFonts w:hint="default" w:ascii="Times New Roman" w:hAnsi="Times New Roman" w:cs="Times New Roman"/>
          <w:bCs w:val="0"/>
          <w:sz w:val="24"/>
          <w:szCs w:val="24"/>
        </w:rPr>
        <w:fldChar w:fldCharType="end"/>
      </w:r>
    </w:p>
    <w:p>
      <w:pPr>
        <w:pStyle w:val="11"/>
        <w:keepNext w:val="0"/>
        <w:keepLines w:val="0"/>
        <w:pageBreakBefore w:val="0"/>
        <w:widowControl w:val="0"/>
        <w:tabs>
          <w:tab w:val="right" w:leader="dot" w:pos="8730"/>
          <w:tab w:val="clear" w:pos="872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_Toc19650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第一章  总则</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_Toc19650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_Toc12963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1.1 编制依据</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_Toc12963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_Toc8839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1.2 评价对象</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_Toc8839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- 3 -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_Toc16369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1.3 评价目的和原则</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_Toc16369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- 3 -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_Toc27489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1.4环境影响因素识别及评价因子筛选</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_Toc27489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_Toc15672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1.5 评价标准</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_Toc15672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- 6 -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_Toc28082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1.6 评价等级及评价范围</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_Toc28082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- 9 -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_Toc17144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1.7产业政策及规划相符性分析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_Toc17144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- 16 -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_Toc17656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1.8报告书章节设置与评价重点</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_Toc17656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- 22 -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1"/>
        <w:keepNext w:val="0"/>
        <w:keepLines w:val="0"/>
        <w:pageBreakBefore w:val="0"/>
        <w:widowControl w:val="0"/>
        <w:tabs>
          <w:tab w:val="right" w:leader="dot" w:pos="8730"/>
          <w:tab w:val="clear" w:pos="872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_Toc22450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第二章  工程分析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_Toc22450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- 22 -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_Toc15045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2.1 建设项目概况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_Toc15045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- 22 -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_Toc20346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2.2项目工艺流程</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_Toc20346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- 31 -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_Toc26748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2.3主要产污环节分析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_Toc26748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- 51 -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_Toc9539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2.4 项目主要污染物产排情况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_Toc9539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- 67 -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1"/>
        <w:keepNext w:val="0"/>
        <w:keepLines w:val="0"/>
        <w:pageBreakBefore w:val="0"/>
        <w:widowControl w:val="0"/>
        <w:tabs>
          <w:tab w:val="right" w:leader="dot" w:pos="8730"/>
          <w:tab w:val="clear" w:pos="872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_Toc28667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第三章  环境现状调查与评价</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_Toc28667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- 83 -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_Toc857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3.1自然现状调查与评价</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_Toc857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- 83 -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_Toc19102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3.2环境保护目标调查</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_Toc19102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- 85 -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_Toc7398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3.3现状监测</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_Toc7398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- 87 -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_Toc26935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3.4区域污染源调查</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_Toc26935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- 100 -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1"/>
        <w:keepNext w:val="0"/>
        <w:keepLines w:val="0"/>
        <w:pageBreakBefore w:val="0"/>
        <w:widowControl w:val="0"/>
        <w:tabs>
          <w:tab w:val="right" w:leader="dot" w:pos="8730"/>
          <w:tab w:val="clear" w:pos="872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_Toc18556 </w:instrText>
      </w:r>
      <w:r>
        <w:rPr>
          <w:rFonts w:hint="default" w:ascii="Times New Roman" w:hAnsi="Times New Roman" w:cs="Times New Roman"/>
          <w:sz w:val="24"/>
          <w:szCs w:val="24"/>
        </w:rPr>
        <w:fldChar w:fldCharType="separate"/>
      </w:r>
      <w:r>
        <w:rPr>
          <w:rFonts w:hint="default" w:ascii="Times New Roman" w:hAnsi="Times New Roman" w:cs="Times New Roman"/>
          <w:kern w:val="0"/>
          <w:sz w:val="24"/>
          <w:szCs w:val="24"/>
          <w:lang w:bidi="ar"/>
        </w:rPr>
        <w:t>第四章  环境影响预测与评价</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_Toc18556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- 101 -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_Toc29938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4.1 施工期环境影响分析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_Toc29938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- 101 -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_Toc3056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4.2 营运期环境影响预测与评价</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_Toc3056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- 107 -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_Toc16453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4.3 环境风险评价</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_Toc16453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- 127 -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1"/>
        <w:keepNext w:val="0"/>
        <w:keepLines w:val="0"/>
        <w:pageBreakBefore w:val="0"/>
        <w:widowControl w:val="0"/>
        <w:tabs>
          <w:tab w:val="right" w:leader="dot" w:pos="8730"/>
          <w:tab w:val="clear" w:pos="872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_Toc3084 </w:instrText>
      </w:r>
      <w:r>
        <w:rPr>
          <w:rFonts w:hint="default" w:ascii="Times New Roman" w:hAnsi="Times New Roman" w:cs="Times New Roman"/>
          <w:sz w:val="24"/>
          <w:szCs w:val="24"/>
        </w:rPr>
        <w:fldChar w:fldCharType="separate"/>
      </w:r>
      <w:r>
        <w:rPr>
          <w:rFonts w:hint="default" w:ascii="Times New Roman" w:hAnsi="Times New Roman" w:cs="Times New Roman"/>
          <w:kern w:val="0"/>
          <w:sz w:val="24"/>
          <w:szCs w:val="24"/>
          <w:lang w:bidi="ar"/>
        </w:rPr>
        <w:t>第五章  环境保护措施及可行性论证</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_Toc3084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- 182 -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_Toc12369 </w:instrText>
      </w:r>
      <w:r>
        <w:rPr>
          <w:rFonts w:hint="default" w:ascii="Times New Roman" w:hAnsi="Times New Roman" w:cs="Times New Roman"/>
          <w:sz w:val="24"/>
          <w:szCs w:val="24"/>
        </w:rPr>
        <w:fldChar w:fldCharType="separate"/>
      </w:r>
      <w:r>
        <w:rPr>
          <w:rFonts w:hint="default" w:ascii="Times New Roman" w:hAnsi="Times New Roman" w:eastAsia="黑体" w:cs="Times New Roman"/>
          <w:kern w:val="0"/>
          <w:sz w:val="24"/>
          <w:szCs w:val="24"/>
          <w:lang w:bidi="ar"/>
        </w:rPr>
        <w:t>5.1 施工期污染防治措施</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_Toc12369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- 182 -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_Toc9959 </w:instrText>
      </w:r>
      <w:r>
        <w:rPr>
          <w:rFonts w:hint="default" w:ascii="Times New Roman" w:hAnsi="Times New Roman" w:cs="Times New Roman"/>
          <w:sz w:val="24"/>
          <w:szCs w:val="24"/>
        </w:rPr>
        <w:fldChar w:fldCharType="separate"/>
      </w:r>
      <w:r>
        <w:rPr>
          <w:rFonts w:hint="default" w:ascii="Times New Roman" w:hAnsi="Times New Roman" w:eastAsia="黑体" w:cs="Times New Roman"/>
          <w:kern w:val="0"/>
          <w:sz w:val="24"/>
          <w:szCs w:val="24"/>
          <w:lang w:bidi="ar"/>
        </w:rPr>
        <w:t>5.2 营运期污染防治措施可行性分析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_Toc9959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- 185 -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_Toc27235 </w:instrText>
      </w:r>
      <w:r>
        <w:rPr>
          <w:rFonts w:hint="default" w:ascii="Times New Roman" w:hAnsi="Times New Roman" w:cs="Times New Roman"/>
          <w:sz w:val="24"/>
          <w:szCs w:val="24"/>
        </w:rPr>
        <w:fldChar w:fldCharType="separate"/>
      </w:r>
      <w:r>
        <w:rPr>
          <w:rFonts w:hint="default" w:ascii="Times New Roman" w:hAnsi="Times New Roman" w:eastAsia="黑体" w:cs="Times New Roman"/>
          <w:kern w:val="0"/>
          <w:sz w:val="24"/>
          <w:szCs w:val="24"/>
          <w:lang w:bidi="ar"/>
        </w:rPr>
        <w:t>5.3 污染防治环保投资估算</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_Toc27235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- 212 -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1"/>
        <w:keepNext w:val="0"/>
        <w:keepLines w:val="0"/>
        <w:pageBreakBefore w:val="0"/>
        <w:widowControl w:val="0"/>
        <w:tabs>
          <w:tab w:val="right" w:leader="dot" w:pos="8730"/>
          <w:tab w:val="clear" w:pos="872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_Toc30179 </w:instrText>
      </w:r>
      <w:r>
        <w:rPr>
          <w:rFonts w:hint="default" w:ascii="Times New Roman" w:hAnsi="Times New Roman" w:cs="Times New Roman"/>
          <w:sz w:val="24"/>
          <w:szCs w:val="24"/>
        </w:rPr>
        <w:fldChar w:fldCharType="separate"/>
      </w:r>
      <w:r>
        <w:rPr>
          <w:rFonts w:hint="default" w:ascii="Times New Roman" w:hAnsi="Times New Roman" w:cs="Times New Roman"/>
          <w:kern w:val="0"/>
          <w:sz w:val="24"/>
          <w:szCs w:val="24"/>
          <w:lang w:bidi="ar"/>
        </w:rPr>
        <w:t>第六章  环境影响经济损益分析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_Toc30179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- 219 -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_Toc11900 </w:instrText>
      </w:r>
      <w:r>
        <w:rPr>
          <w:rFonts w:hint="default" w:ascii="Times New Roman" w:hAnsi="Times New Roman" w:cs="Times New Roman"/>
          <w:sz w:val="24"/>
          <w:szCs w:val="24"/>
        </w:rPr>
        <w:fldChar w:fldCharType="separate"/>
      </w:r>
      <w:r>
        <w:rPr>
          <w:rFonts w:hint="default" w:ascii="Times New Roman" w:hAnsi="Times New Roman" w:eastAsia="黑体" w:cs="Times New Roman"/>
          <w:kern w:val="0"/>
          <w:sz w:val="24"/>
          <w:szCs w:val="24"/>
          <w:lang w:bidi="ar"/>
        </w:rPr>
        <w:t>6.1 环保投资估算</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_Toc11900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- 219 -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_Toc7320 </w:instrText>
      </w:r>
      <w:r>
        <w:rPr>
          <w:rFonts w:hint="default" w:ascii="Times New Roman" w:hAnsi="Times New Roman" w:cs="Times New Roman"/>
          <w:sz w:val="24"/>
          <w:szCs w:val="24"/>
        </w:rPr>
        <w:fldChar w:fldCharType="separate"/>
      </w:r>
      <w:r>
        <w:rPr>
          <w:rFonts w:hint="default" w:ascii="Times New Roman" w:hAnsi="Times New Roman" w:eastAsia="黑体" w:cs="Times New Roman"/>
          <w:kern w:val="0"/>
          <w:sz w:val="24"/>
          <w:szCs w:val="24"/>
          <w:lang w:bidi="ar"/>
        </w:rPr>
        <w:t>6.2 环境影响经济损益分析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_Toc7320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- 219 -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_Toc20224 </w:instrText>
      </w:r>
      <w:r>
        <w:rPr>
          <w:rFonts w:hint="default" w:ascii="Times New Roman" w:hAnsi="Times New Roman" w:cs="Times New Roman"/>
          <w:sz w:val="24"/>
          <w:szCs w:val="24"/>
        </w:rPr>
        <w:fldChar w:fldCharType="separate"/>
      </w:r>
      <w:r>
        <w:rPr>
          <w:rFonts w:hint="default" w:ascii="Times New Roman" w:hAnsi="Times New Roman" w:eastAsia="黑体" w:cs="Times New Roman"/>
          <w:kern w:val="0"/>
          <w:sz w:val="24"/>
          <w:szCs w:val="24"/>
          <w:lang w:bidi="ar"/>
        </w:rPr>
        <w:t>6.3 经济效益分析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_Toc20224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- 220 -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_Toc13377 </w:instrText>
      </w:r>
      <w:r>
        <w:rPr>
          <w:rFonts w:hint="default" w:ascii="Times New Roman" w:hAnsi="Times New Roman" w:cs="Times New Roman"/>
          <w:sz w:val="24"/>
          <w:szCs w:val="24"/>
        </w:rPr>
        <w:fldChar w:fldCharType="separate"/>
      </w:r>
      <w:r>
        <w:rPr>
          <w:rFonts w:hint="default" w:ascii="Times New Roman" w:hAnsi="Times New Roman" w:eastAsia="黑体" w:cs="Times New Roman"/>
          <w:kern w:val="0"/>
          <w:sz w:val="24"/>
          <w:szCs w:val="24"/>
          <w:lang w:bidi="ar"/>
        </w:rPr>
        <w:t>6.4 环境效益分析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_Toc13377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- 221 -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_Toc30465 </w:instrText>
      </w:r>
      <w:r>
        <w:rPr>
          <w:rFonts w:hint="default" w:ascii="Times New Roman" w:hAnsi="Times New Roman" w:cs="Times New Roman"/>
          <w:sz w:val="24"/>
          <w:szCs w:val="24"/>
        </w:rPr>
        <w:fldChar w:fldCharType="separate"/>
      </w:r>
      <w:r>
        <w:rPr>
          <w:rFonts w:hint="default" w:ascii="Times New Roman" w:hAnsi="Times New Roman" w:eastAsia="黑体" w:cs="Times New Roman"/>
          <w:kern w:val="0"/>
          <w:sz w:val="24"/>
          <w:szCs w:val="24"/>
          <w:lang w:bidi="ar"/>
        </w:rPr>
        <w:t>6.5 社会效益分析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_Toc30465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- 222 -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_Toc24420 </w:instrText>
      </w:r>
      <w:r>
        <w:rPr>
          <w:rFonts w:hint="default" w:ascii="Times New Roman" w:hAnsi="Times New Roman" w:cs="Times New Roman"/>
          <w:sz w:val="24"/>
          <w:szCs w:val="24"/>
        </w:rPr>
        <w:fldChar w:fldCharType="separate"/>
      </w:r>
      <w:r>
        <w:rPr>
          <w:rFonts w:hint="default" w:ascii="Times New Roman" w:hAnsi="Times New Roman" w:eastAsia="黑体" w:cs="Times New Roman"/>
          <w:kern w:val="0"/>
          <w:sz w:val="24"/>
          <w:szCs w:val="24"/>
          <w:lang w:bidi="ar"/>
        </w:rPr>
        <w:t>6.6 生态效益分析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_Toc24420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- 222 -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_Toc15299 </w:instrText>
      </w:r>
      <w:r>
        <w:rPr>
          <w:rFonts w:hint="default" w:ascii="Times New Roman" w:hAnsi="Times New Roman" w:cs="Times New Roman"/>
          <w:sz w:val="24"/>
          <w:szCs w:val="24"/>
        </w:rPr>
        <w:fldChar w:fldCharType="separate"/>
      </w:r>
      <w:r>
        <w:rPr>
          <w:rFonts w:hint="default" w:ascii="Times New Roman" w:hAnsi="Times New Roman" w:eastAsia="黑体" w:cs="Times New Roman"/>
          <w:kern w:val="0"/>
          <w:sz w:val="24"/>
          <w:szCs w:val="24"/>
          <w:lang w:bidi="ar"/>
        </w:rPr>
        <w:t>6.7环境经济损益分析结论</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_Toc15299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- 223 -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1"/>
        <w:keepNext w:val="0"/>
        <w:keepLines w:val="0"/>
        <w:pageBreakBefore w:val="0"/>
        <w:widowControl w:val="0"/>
        <w:tabs>
          <w:tab w:val="right" w:leader="dot" w:pos="8730"/>
          <w:tab w:val="clear" w:pos="872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_Toc12225 </w:instrText>
      </w:r>
      <w:r>
        <w:rPr>
          <w:rFonts w:hint="default" w:ascii="Times New Roman" w:hAnsi="Times New Roman" w:cs="Times New Roman"/>
          <w:sz w:val="24"/>
          <w:szCs w:val="24"/>
        </w:rPr>
        <w:fldChar w:fldCharType="separate"/>
      </w:r>
      <w:r>
        <w:rPr>
          <w:rFonts w:hint="default" w:ascii="Times New Roman" w:hAnsi="Times New Roman" w:cs="Times New Roman"/>
          <w:kern w:val="0"/>
          <w:sz w:val="24"/>
          <w:szCs w:val="24"/>
          <w:lang w:bidi="ar"/>
        </w:rPr>
        <w:t>第七章  环境管理与监测计划</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_Toc12225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- 224 -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_Toc7011 </w:instrText>
      </w:r>
      <w:r>
        <w:rPr>
          <w:rFonts w:hint="default" w:ascii="Times New Roman" w:hAnsi="Times New Roman" w:cs="Times New Roman"/>
          <w:sz w:val="24"/>
          <w:szCs w:val="24"/>
        </w:rPr>
        <w:fldChar w:fldCharType="separate"/>
      </w:r>
      <w:r>
        <w:rPr>
          <w:rFonts w:hint="default" w:ascii="Times New Roman" w:hAnsi="Times New Roman" w:eastAsia="黑体" w:cs="Times New Roman"/>
          <w:kern w:val="0"/>
          <w:sz w:val="24"/>
          <w:szCs w:val="24"/>
          <w:lang w:bidi="ar"/>
        </w:rPr>
        <w:t>7.1 环境管理计划</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_Toc7011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- 224 -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_Toc6363 </w:instrText>
      </w:r>
      <w:r>
        <w:rPr>
          <w:rFonts w:hint="default" w:ascii="Times New Roman" w:hAnsi="Times New Roman" w:cs="Times New Roman"/>
          <w:sz w:val="24"/>
          <w:szCs w:val="24"/>
        </w:rPr>
        <w:fldChar w:fldCharType="separate"/>
      </w:r>
      <w:r>
        <w:rPr>
          <w:rFonts w:hint="default" w:ascii="Times New Roman" w:hAnsi="Times New Roman" w:eastAsia="黑体" w:cs="Times New Roman"/>
          <w:kern w:val="0"/>
          <w:sz w:val="24"/>
          <w:szCs w:val="24"/>
          <w:lang w:bidi="ar"/>
        </w:rPr>
        <w:t>7.2 环境监测制度建议</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_Toc6363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- 226 -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_Toc22991 </w:instrText>
      </w:r>
      <w:r>
        <w:rPr>
          <w:rFonts w:hint="default" w:ascii="Times New Roman" w:hAnsi="Times New Roman" w:cs="Times New Roman"/>
          <w:sz w:val="24"/>
          <w:szCs w:val="24"/>
        </w:rPr>
        <w:fldChar w:fldCharType="separate"/>
      </w:r>
      <w:r>
        <w:rPr>
          <w:rFonts w:hint="default" w:ascii="Times New Roman" w:hAnsi="Times New Roman" w:eastAsia="黑体" w:cs="Times New Roman"/>
          <w:kern w:val="0"/>
          <w:sz w:val="24"/>
          <w:szCs w:val="24"/>
          <w:lang w:bidi="ar"/>
        </w:rPr>
        <w:t>7.3 环保“三同时”验收一览表</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_Toc22991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- 227 -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1"/>
        <w:keepNext w:val="0"/>
        <w:keepLines w:val="0"/>
        <w:pageBreakBefore w:val="0"/>
        <w:widowControl w:val="0"/>
        <w:tabs>
          <w:tab w:val="right" w:leader="dot" w:pos="8730"/>
          <w:tab w:val="clear" w:pos="872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_Toc15244 </w:instrText>
      </w:r>
      <w:r>
        <w:rPr>
          <w:rFonts w:hint="default" w:ascii="Times New Roman" w:hAnsi="Times New Roman" w:cs="Times New Roman"/>
          <w:sz w:val="24"/>
          <w:szCs w:val="24"/>
        </w:rPr>
        <w:fldChar w:fldCharType="separate"/>
      </w:r>
      <w:r>
        <w:rPr>
          <w:rFonts w:hint="default" w:ascii="Times New Roman" w:hAnsi="Times New Roman" w:cs="Times New Roman"/>
          <w:kern w:val="0"/>
          <w:sz w:val="24"/>
          <w:szCs w:val="24"/>
          <w:lang w:bidi="ar"/>
        </w:rPr>
        <w:t>第八章  评价结论</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_Toc15244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- 232 -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_Toc30325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8.1项目的建设概况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_Toc30325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- 232 -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_Toc31628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8.2 环境质量现状</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_Toc31628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- 233 -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_Toc2118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8.3 污染物排放情况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_Toc2118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- 234 -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_Toc5581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8.4 环境保护措施</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_Toc5581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- 235 -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_Toc31495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8.5环境影响分析</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_Toc31495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- 237 -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_Toc26394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8.6 风险评价结论</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_Toc26394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- 238 -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_Toc16395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8.7总量控制</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_Toc16395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- 238 -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pStyle w:val="12"/>
        <w:keepNext w:val="0"/>
        <w:keepLines w:val="0"/>
        <w:pageBreakBefore w:val="0"/>
        <w:widowControl w:val="0"/>
        <w:tabs>
          <w:tab w:val="right" w:leader="dot" w:pos="8730"/>
        </w:tabs>
        <w:kinsoku/>
        <w:wordWrap/>
        <w:overflowPunct/>
        <w:topLinePunct w:val="0"/>
        <w:autoSpaceDE/>
        <w:autoSpaceDN/>
        <w:bidi w:val="0"/>
        <w:adjustRightInd/>
        <w:snapToGrid/>
        <w:spacing w:line="520" w:lineRule="exact"/>
        <w:textAlignment w:val="auto"/>
        <w:rPr>
          <w:rFonts w:hint="default" w:ascii="Times New Roman" w:hAnsi="Times New Roman" w:cs="Times New Roman"/>
        </w:rPr>
      </w:pP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HYPERLINK \l _Toc19557 </w:instrText>
      </w:r>
      <w:r>
        <w:rPr>
          <w:rFonts w:hint="default" w:ascii="Times New Roman" w:hAnsi="Times New Roman" w:cs="Times New Roman"/>
          <w:sz w:val="24"/>
          <w:szCs w:val="24"/>
        </w:rPr>
        <w:fldChar w:fldCharType="separate"/>
      </w:r>
      <w:r>
        <w:rPr>
          <w:rFonts w:hint="default" w:ascii="Times New Roman" w:hAnsi="Times New Roman" w:eastAsia="黑体" w:cs="Times New Roman"/>
          <w:bCs/>
          <w:sz w:val="24"/>
          <w:szCs w:val="24"/>
        </w:rPr>
        <w:t>8.8公众意见采纳情况</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_Toc19557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- 239 -</w:t>
      </w:r>
      <w:r>
        <w:rPr>
          <w:rFonts w:hint="default" w:ascii="Times New Roman" w:hAnsi="Times New Roman" w:cs="Times New Roman"/>
          <w:sz w:val="24"/>
          <w:szCs w:val="24"/>
        </w:rPr>
        <w:fldChar w:fldCharType="end"/>
      </w:r>
      <w:r>
        <w:rPr>
          <w:rFonts w:hint="default" w:ascii="Times New Roman" w:hAnsi="Times New Roman" w:cs="Times New Roman"/>
          <w:sz w:val="24"/>
          <w:szCs w:val="24"/>
        </w:rPr>
        <w:fldChar w:fldCharType="end"/>
      </w:r>
    </w:p>
    <w:p>
      <w:pPr>
        <w:spacing w:line="500" w:lineRule="exact"/>
        <w:sectPr>
          <w:headerReference r:id="rId3" w:type="default"/>
          <w:footerReference r:id="rId4" w:type="default"/>
          <w:pgSz w:w="11906" w:h="16838"/>
          <w:pgMar w:top="1588" w:right="1588" w:bottom="1588" w:left="1588" w:header="851" w:footer="992" w:gutter="0"/>
          <w:pgNumType w:fmt="upperRoman"/>
          <w:cols w:space="720" w:num="1"/>
          <w:docGrid w:linePitch="312" w:charSpace="0"/>
        </w:sectPr>
      </w:pPr>
      <w:r>
        <w:rPr>
          <w:rFonts w:hint="default" w:ascii="Times New Roman" w:hAnsi="Times New Roman" w:cs="Times New Roman"/>
        </w:rPr>
        <w:fldChar w:fldCharType="end"/>
      </w:r>
    </w:p>
    <w:p>
      <w:pPr>
        <w:spacing w:line="520" w:lineRule="exact"/>
        <w:rPr>
          <w:rFonts w:hint="eastAsia"/>
          <w:sz w:val="24"/>
        </w:rPr>
      </w:pPr>
      <w:r>
        <w:rPr>
          <w:rFonts w:hint="eastAsia"/>
          <w:sz w:val="24"/>
        </w:rPr>
        <w:t>附图：</w:t>
      </w:r>
    </w:p>
    <w:p>
      <w:pPr>
        <w:spacing w:line="520" w:lineRule="exact"/>
        <w:rPr>
          <w:rFonts w:hint="eastAsia"/>
          <w:sz w:val="24"/>
        </w:rPr>
      </w:pPr>
      <w:r>
        <w:rPr>
          <w:rFonts w:hint="eastAsia"/>
          <w:sz w:val="24"/>
        </w:rPr>
        <w:t>附图一</w:t>
      </w:r>
      <w:r>
        <w:rPr>
          <w:sz w:val="24"/>
        </w:rPr>
        <w:t xml:space="preserve">   项目</w:t>
      </w:r>
      <w:r>
        <w:rPr>
          <w:rFonts w:hint="eastAsia"/>
          <w:sz w:val="24"/>
        </w:rPr>
        <w:t>地理位置示意图</w:t>
      </w:r>
    </w:p>
    <w:p>
      <w:pPr>
        <w:spacing w:line="520" w:lineRule="exact"/>
        <w:rPr>
          <w:sz w:val="24"/>
        </w:rPr>
      </w:pPr>
      <w:r>
        <w:rPr>
          <w:sz w:val="24"/>
        </w:rPr>
        <w:t>附图二   项目周围环境概况图及大气评价范围图</w:t>
      </w:r>
    </w:p>
    <w:p>
      <w:pPr>
        <w:spacing w:line="520" w:lineRule="exact"/>
        <w:rPr>
          <w:sz w:val="24"/>
        </w:rPr>
      </w:pPr>
      <w:r>
        <w:rPr>
          <w:sz w:val="24"/>
        </w:rPr>
        <w:t>附图</w:t>
      </w:r>
      <w:r>
        <w:rPr>
          <w:rFonts w:hint="eastAsia"/>
          <w:sz w:val="24"/>
        </w:rPr>
        <w:t>三</w:t>
      </w:r>
      <w:r>
        <w:rPr>
          <w:sz w:val="24"/>
        </w:rPr>
        <w:t xml:space="preserve">   </w:t>
      </w:r>
      <w:r>
        <w:rPr>
          <w:rFonts w:hint="eastAsia"/>
          <w:sz w:val="24"/>
        </w:rPr>
        <w:t>平面布置图</w:t>
      </w:r>
    </w:p>
    <w:p>
      <w:pPr>
        <w:spacing w:line="520" w:lineRule="exact"/>
        <w:rPr>
          <w:sz w:val="24"/>
        </w:rPr>
      </w:pPr>
      <w:r>
        <w:rPr>
          <w:rFonts w:hint="eastAsia"/>
          <w:sz w:val="24"/>
        </w:rPr>
        <w:t>附图</w:t>
      </w:r>
      <w:r>
        <w:rPr>
          <w:sz w:val="24"/>
        </w:rPr>
        <w:t>四</w:t>
      </w:r>
      <w:r>
        <w:rPr>
          <w:rFonts w:hint="eastAsia"/>
          <w:sz w:val="24"/>
        </w:rPr>
        <w:t xml:space="preserve">  </w:t>
      </w:r>
      <w:r>
        <w:rPr>
          <w:sz w:val="24"/>
        </w:rPr>
        <w:t xml:space="preserve"> </w:t>
      </w:r>
      <w:r>
        <w:rPr>
          <w:rFonts w:hint="eastAsia"/>
          <w:sz w:val="24"/>
        </w:rPr>
        <w:t>本项目</w:t>
      </w:r>
      <w:r>
        <w:rPr>
          <w:sz w:val="24"/>
        </w:rPr>
        <w:t>与饮用水源</w:t>
      </w:r>
      <w:r>
        <w:rPr>
          <w:rFonts w:hint="eastAsia"/>
          <w:sz w:val="24"/>
        </w:rPr>
        <w:t>保护地</w:t>
      </w:r>
      <w:r>
        <w:rPr>
          <w:sz w:val="24"/>
        </w:rPr>
        <w:t>关系图</w:t>
      </w:r>
    </w:p>
    <w:p>
      <w:pPr>
        <w:spacing w:line="520" w:lineRule="exact"/>
        <w:rPr>
          <w:rFonts w:hint="eastAsia"/>
          <w:sz w:val="24"/>
        </w:rPr>
      </w:pPr>
      <w:r>
        <w:rPr>
          <w:rFonts w:hint="eastAsia"/>
          <w:sz w:val="24"/>
        </w:rPr>
        <w:t xml:space="preserve">附图五  </w:t>
      </w:r>
      <w:r>
        <w:rPr>
          <w:sz w:val="24"/>
        </w:rPr>
        <w:t xml:space="preserve"> 区域水系图</w:t>
      </w:r>
    </w:p>
    <w:p>
      <w:pPr>
        <w:spacing w:line="520" w:lineRule="exact"/>
        <w:rPr>
          <w:sz w:val="24"/>
        </w:rPr>
      </w:pPr>
      <w:r>
        <w:rPr>
          <w:sz w:val="24"/>
        </w:rPr>
        <w:t>附图</w:t>
      </w:r>
      <w:r>
        <w:rPr>
          <w:rFonts w:hint="eastAsia"/>
          <w:sz w:val="24"/>
        </w:rPr>
        <w:t xml:space="preserve">六 </w:t>
      </w:r>
      <w:r>
        <w:rPr>
          <w:sz w:val="24"/>
        </w:rPr>
        <w:t xml:space="preserve">  监测布点示意图</w:t>
      </w:r>
    </w:p>
    <w:p>
      <w:pPr>
        <w:spacing w:line="520" w:lineRule="exact"/>
        <w:rPr>
          <w:sz w:val="24"/>
        </w:rPr>
      </w:pPr>
      <w:r>
        <w:rPr>
          <w:sz w:val="24"/>
        </w:rPr>
        <w:t>附图</w:t>
      </w:r>
      <w:r>
        <w:rPr>
          <w:rFonts w:hint="eastAsia"/>
          <w:sz w:val="24"/>
        </w:rPr>
        <w:t>七</w:t>
      </w:r>
      <w:r>
        <w:rPr>
          <w:sz w:val="24"/>
        </w:rPr>
        <w:t xml:space="preserve"> </w:t>
      </w:r>
      <w:r>
        <w:rPr>
          <w:rFonts w:hint="eastAsia"/>
          <w:sz w:val="24"/>
        </w:rPr>
        <w:t xml:space="preserve"> </w:t>
      </w:r>
      <w:r>
        <w:rPr>
          <w:sz w:val="24"/>
        </w:rPr>
        <w:t xml:space="preserve"> 项目分区防渗示意图</w:t>
      </w:r>
    </w:p>
    <w:p>
      <w:pPr>
        <w:spacing w:line="520" w:lineRule="exact"/>
        <w:rPr>
          <w:rFonts w:hint="eastAsia"/>
          <w:sz w:val="24"/>
        </w:rPr>
      </w:pPr>
      <w:r>
        <w:rPr>
          <w:sz w:val="24"/>
        </w:rPr>
        <w:t>附图</w:t>
      </w:r>
      <w:r>
        <w:rPr>
          <w:rFonts w:hint="eastAsia"/>
          <w:sz w:val="24"/>
          <w:lang w:val="en-US" w:eastAsia="zh-CN"/>
        </w:rPr>
        <w:t>八</w:t>
      </w:r>
      <w:r>
        <w:rPr>
          <w:sz w:val="24"/>
        </w:rPr>
        <w:t xml:space="preserve">  </w:t>
      </w:r>
      <w:r>
        <w:rPr>
          <w:rFonts w:hint="eastAsia"/>
          <w:sz w:val="24"/>
        </w:rPr>
        <w:t xml:space="preserve"> 项目现场照片</w:t>
      </w:r>
    </w:p>
    <w:p>
      <w:pPr>
        <w:spacing w:line="520" w:lineRule="exact"/>
        <w:rPr>
          <w:rFonts w:hint="eastAsia"/>
          <w:sz w:val="24"/>
        </w:rPr>
      </w:pPr>
    </w:p>
    <w:p>
      <w:pPr>
        <w:spacing w:line="520" w:lineRule="exact"/>
        <w:rPr>
          <w:rFonts w:hint="eastAsia"/>
          <w:sz w:val="24"/>
        </w:rPr>
      </w:pPr>
      <w:r>
        <w:rPr>
          <w:rFonts w:hint="eastAsia"/>
          <w:sz w:val="24"/>
        </w:rPr>
        <w:t>附件：</w:t>
      </w:r>
    </w:p>
    <w:p>
      <w:pPr>
        <w:spacing w:line="520" w:lineRule="exact"/>
        <w:rPr>
          <w:rFonts w:hint="eastAsia"/>
          <w:sz w:val="24"/>
        </w:rPr>
      </w:pPr>
      <w:r>
        <w:rPr>
          <w:rFonts w:hint="eastAsia"/>
          <w:sz w:val="24"/>
        </w:rPr>
        <w:t>附件一  委托书</w:t>
      </w:r>
    </w:p>
    <w:p>
      <w:pPr>
        <w:spacing w:line="520" w:lineRule="exact"/>
        <w:rPr>
          <w:rFonts w:hint="eastAsia"/>
          <w:sz w:val="24"/>
        </w:rPr>
      </w:pPr>
      <w:r>
        <w:rPr>
          <w:rFonts w:hint="eastAsia"/>
          <w:sz w:val="24"/>
        </w:rPr>
        <w:t>附件二  项目备案确认书</w:t>
      </w:r>
    </w:p>
    <w:p>
      <w:pPr>
        <w:spacing w:line="520" w:lineRule="exact"/>
        <w:rPr>
          <w:rFonts w:hint="eastAsia"/>
          <w:sz w:val="24"/>
        </w:rPr>
      </w:pPr>
      <w:r>
        <w:rPr>
          <w:rFonts w:hint="eastAsia"/>
          <w:sz w:val="24"/>
        </w:rPr>
        <w:t>附件三  国土所文件</w:t>
      </w:r>
    </w:p>
    <w:p>
      <w:pPr>
        <w:spacing w:line="520" w:lineRule="exact"/>
        <w:rPr>
          <w:rFonts w:hint="eastAsia"/>
          <w:sz w:val="24"/>
        </w:rPr>
      </w:pPr>
      <w:r>
        <w:rPr>
          <w:rFonts w:hint="eastAsia"/>
          <w:sz w:val="24"/>
        </w:rPr>
        <w:t xml:space="preserve">附件四  </w:t>
      </w:r>
      <w:r>
        <w:rPr>
          <w:sz w:val="24"/>
        </w:rPr>
        <w:t>监测报告</w:t>
      </w:r>
    </w:p>
    <w:p>
      <w:pPr>
        <w:spacing w:line="520" w:lineRule="exact"/>
        <w:rPr>
          <w:sz w:val="24"/>
        </w:rPr>
      </w:pPr>
      <w:r>
        <w:rPr>
          <w:rFonts w:hint="eastAsia"/>
          <w:sz w:val="24"/>
        </w:rPr>
        <w:t>附件五  沼液利用协议</w:t>
      </w:r>
    </w:p>
    <w:p>
      <w:pPr>
        <w:spacing w:line="520" w:lineRule="exact"/>
        <w:rPr>
          <w:rFonts w:hint="eastAsia"/>
          <w:sz w:val="24"/>
        </w:rPr>
        <w:sectPr>
          <w:pgSz w:w="11906" w:h="16838"/>
          <w:pgMar w:top="1588" w:right="1588" w:bottom="1588" w:left="1588" w:header="851" w:footer="992" w:gutter="0"/>
          <w:pgNumType w:fmt="upperRoman"/>
          <w:cols w:space="720" w:num="1"/>
          <w:docGrid w:linePitch="312" w:charSpace="0"/>
        </w:sectPr>
      </w:pPr>
    </w:p>
    <w:p>
      <w:pPr>
        <w:pStyle w:val="15"/>
        <w:rPr>
          <w:sz w:val="44"/>
          <w:szCs w:val="44"/>
        </w:rPr>
      </w:pPr>
      <w:bookmarkStart w:id="4" w:name="_Toc27038"/>
      <w:bookmarkStart w:id="5" w:name="_Toc472009579"/>
      <w:r>
        <w:rPr>
          <w:rFonts w:hint="eastAsia"/>
          <w:sz w:val="44"/>
          <w:szCs w:val="44"/>
        </w:rPr>
        <w:t>概 述</w:t>
      </w:r>
      <w:bookmarkEnd w:id="4"/>
      <w:bookmarkEnd w:id="5"/>
    </w:p>
    <w:p>
      <w:pPr>
        <w:autoSpaceDE w:val="0"/>
        <w:autoSpaceDN w:val="0"/>
        <w:spacing w:line="520" w:lineRule="exact"/>
        <w:textAlignment w:val="baseline"/>
        <w:rPr>
          <w:rFonts w:hint="eastAsia" w:hAnsi="宋体"/>
          <w:b/>
          <w:sz w:val="24"/>
          <w:szCs w:val="28"/>
        </w:rPr>
      </w:pPr>
      <w:bookmarkStart w:id="6" w:name="_Toc481736730"/>
      <w:r>
        <w:rPr>
          <w:rFonts w:hint="eastAsia" w:hAnsi="宋体"/>
          <w:b/>
          <w:sz w:val="24"/>
          <w:szCs w:val="28"/>
        </w:rPr>
        <w:t>一、项目由来及特点</w:t>
      </w:r>
      <w:bookmarkEnd w:id="6"/>
    </w:p>
    <w:p>
      <w:pPr>
        <w:autoSpaceDE w:val="0"/>
        <w:autoSpaceDN w:val="0"/>
        <w:spacing w:line="520" w:lineRule="exact"/>
        <w:ind w:firstLine="482" w:firstLineChars="200"/>
        <w:textAlignment w:val="baseline"/>
        <w:rPr>
          <w:rFonts w:hint="eastAsia" w:hAnsi="宋体"/>
          <w:b/>
          <w:sz w:val="24"/>
          <w:szCs w:val="28"/>
        </w:rPr>
      </w:pPr>
      <w:r>
        <w:rPr>
          <w:rFonts w:hint="eastAsia" w:hAnsi="宋体"/>
          <w:b/>
          <w:sz w:val="24"/>
          <w:szCs w:val="28"/>
        </w:rPr>
        <w:t>（1）项目由来</w:t>
      </w:r>
    </w:p>
    <w:p>
      <w:pPr>
        <w:autoSpaceDE w:val="0"/>
        <w:autoSpaceDN w:val="0"/>
        <w:spacing w:line="520" w:lineRule="exact"/>
        <w:ind w:firstLine="480" w:firstLineChars="200"/>
        <w:textAlignment w:val="baseline"/>
        <w:rPr>
          <w:sz w:val="24"/>
          <w:szCs w:val="28"/>
        </w:rPr>
      </w:pPr>
      <w:r>
        <w:rPr>
          <w:rFonts w:hAnsi="宋体"/>
          <w:sz w:val="24"/>
          <w:szCs w:val="28"/>
        </w:rPr>
        <w:t>畜牧业是农业的重要组成部分，其发展水平是一个国家农业发达程度的重要标志。同时，畜牧业是人类的动物性食品的主要来源，一个工业国家的人均畜产品量也是反映国家发达程度和衡量人民生活水平的主要标志之一。</w:t>
      </w:r>
      <w:r>
        <w:rPr>
          <w:rFonts w:hint="eastAsia"/>
          <w:bCs/>
          <w:color w:val="000000"/>
          <w:sz w:val="24"/>
          <w:lang w:bidi="ar"/>
        </w:rPr>
        <w:t>随着人民的生活水平不断的提高，无公害生态优质肉猪的发展迎来了全面发展的黄金时期，由于我国大部分地区在整个肉食品结构中传统上以猪肉为主，国内市场上优质无公害生态瘦肉型猪肉销售将呈现巨大的市场空间，为生猪养殖发展带来无限商机，自</w:t>
      </w:r>
      <w:r>
        <w:rPr>
          <w:bCs/>
          <w:color w:val="000000"/>
          <w:sz w:val="24"/>
          <w:lang w:bidi="ar"/>
        </w:rPr>
        <w:t>2015</w:t>
      </w:r>
      <w:r>
        <w:rPr>
          <w:rFonts w:hint="eastAsia"/>
          <w:bCs/>
          <w:color w:val="000000"/>
          <w:sz w:val="24"/>
          <w:lang w:bidi="ar"/>
        </w:rPr>
        <w:t>年起国内市场猪肉价格普遍上涨，且一涨再涨的现象，就是这种商机初现的很好证明；同时也表明，长期困扰我国广大农民养猪低效，猪肉市场长期低迷的不利态势已经过去，而规模化标准化的无公害型生态养殖猪将在未来的市场中立于不败之地。</w:t>
      </w:r>
    </w:p>
    <w:p>
      <w:pPr>
        <w:autoSpaceDE w:val="0"/>
        <w:autoSpaceDN w:val="0"/>
        <w:spacing w:line="520" w:lineRule="exact"/>
        <w:ind w:firstLine="480" w:firstLineChars="200"/>
        <w:textAlignment w:val="baseline"/>
        <w:rPr>
          <w:sz w:val="24"/>
          <w:szCs w:val="28"/>
        </w:rPr>
      </w:pPr>
      <w:r>
        <w:rPr>
          <w:rFonts w:hAnsi="宋体"/>
          <w:sz w:val="24"/>
          <w:szCs w:val="28"/>
        </w:rPr>
        <w:t>为了促进农业产业结构调整和促进养殖业的发展，推动养殖专业化进程，推动农业增效、农民增收，</w:t>
      </w:r>
      <w:r>
        <w:rPr>
          <w:rFonts w:hint="eastAsia" w:hAnsi="宋体"/>
          <w:sz w:val="24"/>
          <w:szCs w:val="28"/>
          <w:lang w:eastAsia="zh-CN"/>
        </w:rPr>
        <w:t>正阳县鑫鑫向荣大型种猪养殖有限责任公司</w:t>
      </w:r>
      <w:r>
        <w:rPr>
          <w:rFonts w:hAnsi="宋体"/>
          <w:sz w:val="24"/>
          <w:szCs w:val="28"/>
        </w:rPr>
        <w:t>拟在</w:t>
      </w:r>
      <w:r>
        <w:rPr>
          <w:rFonts w:hint="eastAsia" w:hAnsi="宋体"/>
          <w:sz w:val="24"/>
          <w:szCs w:val="28"/>
          <w:lang w:eastAsia="zh-CN"/>
        </w:rPr>
        <w:t>驻马店市正阳县汝南埠镇大温寺王店</w:t>
      </w:r>
      <w:r>
        <w:rPr>
          <w:rFonts w:hAnsi="宋体"/>
          <w:sz w:val="24"/>
          <w:szCs w:val="28"/>
        </w:rPr>
        <w:t>建设</w:t>
      </w:r>
      <w:r>
        <w:rPr>
          <w:rFonts w:hint="eastAsia"/>
          <w:sz w:val="24"/>
          <w:szCs w:val="28"/>
        </w:rPr>
        <w:t>“</w:t>
      </w:r>
      <w:r>
        <w:rPr>
          <w:rFonts w:hint="eastAsia"/>
          <w:sz w:val="24"/>
          <w:szCs w:val="28"/>
          <w:lang w:eastAsia="zh-CN"/>
        </w:rPr>
        <w:t>正阳县鑫鑫向荣大型种猪养殖有限责任公司</w:t>
      </w:r>
      <w:r>
        <w:rPr>
          <w:rFonts w:hint="eastAsia"/>
          <w:sz w:val="24"/>
          <w:szCs w:val="28"/>
        </w:rPr>
        <w:t>建设</w:t>
      </w:r>
      <w:r>
        <w:rPr>
          <w:rFonts w:hint="eastAsia"/>
          <w:sz w:val="24"/>
          <w:szCs w:val="28"/>
          <w:lang w:eastAsia="zh-CN"/>
        </w:rPr>
        <w:t>年产1.2万头生猪养殖场项目</w:t>
      </w:r>
      <w:r>
        <w:rPr>
          <w:rFonts w:hint="eastAsia"/>
          <w:sz w:val="24"/>
          <w:szCs w:val="28"/>
        </w:rPr>
        <w:t>”</w:t>
      </w:r>
      <w:r>
        <w:rPr>
          <w:rFonts w:hAnsi="宋体"/>
          <w:sz w:val="24"/>
          <w:szCs w:val="28"/>
        </w:rPr>
        <w:t>。</w:t>
      </w:r>
    </w:p>
    <w:p>
      <w:pPr>
        <w:autoSpaceDE w:val="0"/>
        <w:autoSpaceDN w:val="0"/>
        <w:spacing w:line="520" w:lineRule="exact"/>
        <w:ind w:firstLine="480" w:firstLineChars="200"/>
        <w:textAlignment w:val="baseline"/>
        <w:rPr>
          <w:rFonts w:hint="eastAsia" w:hAnsi="宋体"/>
          <w:sz w:val="24"/>
          <w:szCs w:val="28"/>
        </w:rPr>
      </w:pPr>
      <w:r>
        <w:rPr>
          <w:rFonts w:hint="eastAsia"/>
          <w:sz w:val="24"/>
          <w:szCs w:val="28"/>
        </w:rPr>
        <w:t>本项目</w:t>
      </w:r>
      <w:r>
        <w:rPr>
          <w:rFonts w:hAnsi="宋体"/>
          <w:sz w:val="24"/>
          <w:szCs w:val="28"/>
        </w:rPr>
        <w:t>建设规模为</w:t>
      </w:r>
      <w:r>
        <w:rPr>
          <w:rFonts w:hint="eastAsia" w:hAnsi="宋体"/>
          <w:bCs/>
          <w:sz w:val="24"/>
          <w:lang w:eastAsia="zh-CN"/>
        </w:rPr>
        <w:t>年出栏生猪1.2万头</w:t>
      </w:r>
      <w:r>
        <w:rPr>
          <w:rFonts w:hAnsi="宋体"/>
          <w:bCs/>
          <w:sz w:val="24"/>
        </w:rPr>
        <w:t>。</w:t>
      </w:r>
      <w:r>
        <w:rPr>
          <w:rFonts w:hAnsi="宋体"/>
          <w:sz w:val="24"/>
          <w:szCs w:val="28"/>
        </w:rPr>
        <w:t>建设内容：</w:t>
      </w:r>
      <w:r>
        <w:rPr>
          <w:rFonts w:hint="eastAsia" w:hAnsi="宋体"/>
          <w:sz w:val="24"/>
          <w:szCs w:val="28"/>
          <w:lang w:val="en-US" w:eastAsia="zh-CN"/>
        </w:rPr>
        <w:t>建设10栋猪舍，总建筑面积7200平方米，建设料房一座，建筑面积为363.3平方米。</w:t>
      </w:r>
      <w:r>
        <w:rPr>
          <w:rFonts w:hint="eastAsia" w:hAnsi="宋体"/>
          <w:sz w:val="24"/>
          <w:szCs w:val="28"/>
        </w:rPr>
        <w:t>同时配套建设配套工程、公用工程及环保工程。主要设备：自动化料机、自动化上水系统、风机、水净化设备、电力设备</w:t>
      </w:r>
      <w:r>
        <w:rPr>
          <w:rFonts w:hAnsi="宋体"/>
          <w:sz w:val="24"/>
          <w:szCs w:val="28"/>
        </w:rPr>
        <w:t>；清粪方法采用</w:t>
      </w:r>
      <w:r>
        <w:rPr>
          <w:rFonts w:hint="eastAsia"/>
          <w:sz w:val="24"/>
          <w:szCs w:val="28"/>
        </w:rPr>
        <w:t>“</w:t>
      </w:r>
      <w:r>
        <w:rPr>
          <w:rFonts w:hint="eastAsia" w:hAnsi="宋体"/>
          <w:sz w:val="24"/>
          <w:szCs w:val="28"/>
        </w:rPr>
        <w:t>环保部认定</w:t>
      </w:r>
      <w:r>
        <w:rPr>
          <w:rFonts w:hAnsi="宋体"/>
          <w:sz w:val="24"/>
          <w:szCs w:val="28"/>
        </w:rPr>
        <w:t>的</w:t>
      </w:r>
      <w:r>
        <w:rPr>
          <w:rFonts w:hint="eastAsia" w:hAnsi="宋体"/>
          <w:sz w:val="24"/>
          <w:szCs w:val="28"/>
        </w:rPr>
        <w:t>干清粪</w:t>
      </w:r>
      <w:r>
        <w:rPr>
          <w:rFonts w:hint="eastAsia"/>
          <w:sz w:val="24"/>
          <w:szCs w:val="28"/>
        </w:rPr>
        <w:t>”</w:t>
      </w:r>
      <w:r>
        <w:rPr>
          <w:rFonts w:hAnsi="宋体"/>
          <w:sz w:val="24"/>
          <w:szCs w:val="28"/>
        </w:rPr>
        <w:t>工艺；该养殖场总占地面积</w:t>
      </w:r>
      <w:r>
        <w:rPr>
          <w:rFonts w:hint="eastAsia"/>
          <w:iCs/>
          <w:sz w:val="24"/>
          <w:lang w:eastAsia="zh-CN"/>
        </w:rPr>
        <w:t>17831.57</w:t>
      </w:r>
      <w:r>
        <w:rPr>
          <w:bCs/>
          <w:color w:val="000000"/>
          <w:sz w:val="24"/>
          <w:lang w:bidi="ar"/>
        </w:rPr>
        <w:t>m</w:t>
      </w:r>
      <w:r>
        <w:rPr>
          <w:bCs/>
          <w:color w:val="000000"/>
          <w:sz w:val="24"/>
          <w:vertAlign w:val="superscript"/>
          <w:lang w:bidi="ar"/>
        </w:rPr>
        <w:t>2</w:t>
      </w:r>
      <w:r>
        <w:rPr>
          <w:rFonts w:hAnsi="宋体"/>
          <w:sz w:val="24"/>
          <w:szCs w:val="28"/>
        </w:rPr>
        <w:t>，</w:t>
      </w:r>
      <w:r>
        <w:rPr>
          <w:rFonts w:hAnsi="宋体"/>
          <w:sz w:val="24"/>
        </w:rPr>
        <w:t>总投资</w:t>
      </w:r>
      <w:r>
        <w:rPr>
          <w:rFonts w:hint="eastAsia"/>
          <w:sz w:val="24"/>
          <w:lang w:eastAsia="zh-CN"/>
        </w:rPr>
        <w:t>900万元</w:t>
      </w:r>
      <w:r>
        <w:rPr>
          <w:rFonts w:hAnsi="宋体"/>
          <w:sz w:val="24"/>
          <w:szCs w:val="28"/>
        </w:rPr>
        <w:t>，企业拟定员工为</w:t>
      </w:r>
      <w:r>
        <w:rPr>
          <w:rFonts w:hint="eastAsia"/>
          <w:sz w:val="24"/>
          <w:szCs w:val="28"/>
        </w:rPr>
        <w:t>10</w:t>
      </w:r>
      <w:r>
        <w:rPr>
          <w:rFonts w:hAnsi="宋体"/>
          <w:sz w:val="24"/>
          <w:szCs w:val="28"/>
        </w:rPr>
        <w:t>人。</w:t>
      </w:r>
      <w:r>
        <w:rPr>
          <w:rFonts w:hint="eastAsia" w:hAnsi="宋体"/>
          <w:sz w:val="24"/>
          <w:szCs w:val="28"/>
        </w:rPr>
        <w:t>项目中心坐标东经：</w:t>
      </w:r>
      <w:r>
        <w:rPr>
          <w:rFonts w:hAnsi="宋体"/>
          <w:sz w:val="24"/>
          <w:szCs w:val="28"/>
        </w:rPr>
        <w:t>114.</w:t>
      </w:r>
      <w:r>
        <w:rPr>
          <w:rFonts w:hint="eastAsia" w:hAnsi="宋体"/>
          <w:sz w:val="24"/>
          <w:szCs w:val="28"/>
          <w:lang w:val="en-US" w:eastAsia="zh-CN"/>
        </w:rPr>
        <w:t>743182823</w:t>
      </w:r>
      <w:r>
        <w:rPr>
          <w:rFonts w:hint="eastAsia" w:hAnsi="宋体"/>
          <w:sz w:val="24"/>
          <w:szCs w:val="28"/>
        </w:rPr>
        <w:t>，北纬：</w:t>
      </w:r>
      <w:r>
        <w:rPr>
          <w:rFonts w:hAnsi="宋体"/>
          <w:sz w:val="24"/>
          <w:szCs w:val="28"/>
        </w:rPr>
        <w:t>32.</w:t>
      </w:r>
      <w:r>
        <w:rPr>
          <w:rFonts w:hint="eastAsia" w:hAnsi="宋体"/>
          <w:sz w:val="24"/>
          <w:szCs w:val="28"/>
          <w:lang w:val="en-US" w:eastAsia="zh-CN"/>
        </w:rPr>
        <w:t>610428846</w:t>
      </w:r>
      <w:r>
        <w:rPr>
          <w:rFonts w:hint="eastAsia" w:hAnsi="宋体"/>
          <w:sz w:val="24"/>
          <w:szCs w:val="28"/>
        </w:rPr>
        <w:t>。厂界拐点坐标见下表：</w:t>
      </w:r>
    </w:p>
    <w:p>
      <w:pPr>
        <w:autoSpaceDE w:val="0"/>
        <w:autoSpaceDN w:val="0"/>
        <w:spacing w:line="520" w:lineRule="exact"/>
        <w:ind w:firstLine="480" w:firstLineChars="200"/>
        <w:textAlignment w:val="baseline"/>
        <w:rPr>
          <w:rFonts w:hint="eastAsia" w:hAnsi="宋体"/>
          <w:sz w:val="24"/>
          <w:szCs w:val="28"/>
        </w:rPr>
      </w:pPr>
    </w:p>
    <w:p>
      <w:pPr>
        <w:autoSpaceDE w:val="0"/>
        <w:autoSpaceDN w:val="0"/>
        <w:spacing w:line="520" w:lineRule="exact"/>
        <w:ind w:firstLine="480" w:firstLineChars="200"/>
        <w:textAlignment w:val="baseline"/>
        <w:rPr>
          <w:rFonts w:hint="eastAsia" w:hAnsi="宋体"/>
          <w:sz w:val="24"/>
          <w:szCs w:val="28"/>
        </w:rPr>
      </w:pPr>
    </w:p>
    <w:p>
      <w:pPr>
        <w:autoSpaceDE w:val="0"/>
        <w:autoSpaceDN w:val="0"/>
        <w:spacing w:line="520" w:lineRule="exact"/>
        <w:ind w:firstLine="480" w:firstLineChars="200"/>
        <w:textAlignment w:val="baseline"/>
        <w:rPr>
          <w:rFonts w:hint="eastAsia" w:hAnsi="宋体"/>
          <w:sz w:val="24"/>
          <w:szCs w:val="28"/>
        </w:rPr>
      </w:pPr>
    </w:p>
    <w:p>
      <w:pPr>
        <w:spacing w:line="520" w:lineRule="exact"/>
        <w:jc w:val="center"/>
        <w:rPr>
          <w:rFonts w:hAnsi="宋体"/>
          <w:b/>
          <w:color w:val="auto"/>
          <w:sz w:val="24"/>
        </w:rPr>
      </w:pPr>
      <w:r>
        <w:rPr>
          <w:rFonts w:hint="eastAsia" w:hAnsi="宋体"/>
          <w:b/>
          <w:color w:val="auto"/>
          <w:sz w:val="24"/>
        </w:rPr>
        <w:t>表</w:t>
      </w:r>
      <w:r>
        <w:rPr>
          <w:rFonts w:hAnsi="宋体"/>
          <w:b/>
          <w:color w:val="auto"/>
          <w:sz w:val="24"/>
        </w:rPr>
        <w:t xml:space="preserve">1-1   </w:t>
      </w:r>
      <w:r>
        <w:rPr>
          <w:rFonts w:hint="eastAsia" w:hAnsi="宋体"/>
          <w:b/>
          <w:color w:val="auto"/>
          <w:sz w:val="24"/>
        </w:rPr>
        <w:t>项目厂界拐点坐标</w:t>
      </w:r>
    </w:p>
    <w:tbl>
      <w:tblPr>
        <w:tblStyle w:val="17"/>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40"/>
        <w:gridCol w:w="3865"/>
        <w:gridCol w:w="36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805" w:type="pct"/>
            <w:tcBorders>
              <w:top w:val="single" w:color="auto" w:sz="12" w:space="0"/>
              <w:left w:val="single" w:color="auto" w:sz="12" w:space="0"/>
              <w:bottom w:val="single" w:color="auto" w:sz="4" w:space="0"/>
              <w:right w:val="single" w:color="auto" w:sz="4" w:space="0"/>
            </w:tcBorders>
            <w:noWrap w:val="0"/>
            <w:vAlign w:val="center"/>
          </w:tcPr>
          <w:p>
            <w:pPr>
              <w:spacing w:line="320" w:lineRule="exact"/>
              <w:jc w:val="center"/>
              <w:rPr>
                <w:b/>
                <w:color w:val="auto"/>
                <w:szCs w:val="21"/>
              </w:rPr>
            </w:pPr>
            <w:r>
              <w:rPr>
                <w:rFonts w:hint="eastAsia" w:cs="宋体"/>
                <w:b/>
                <w:color w:val="auto"/>
                <w:szCs w:val="21"/>
                <w:lang w:bidi="ar"/>
              </w:rPr>
              <w:t>拐点编号</w:t>
            </w:r>
          </w:p>
        </w:tc>
        <w:tc>
          <w:tcPr>
            <w:tcW w:w="2160" w:type="pct"/>
            <w:tcBorders>
              <w:top w:val="single" w:color="auto" w:sz="12" w:space="0"/>
              <w:left w:val="single" w:color="auto" w:sz="4" w:space="0"/>
              <w:bottom w:val="single" w:color="auto" w:sz="4" w:space="0"/>
              <w:right w:val="single" w:color="auto" w:sz="4" w:space="0"/>
            </w:tcBorders>
            <w:noWrap w:val="0"/>
            <w:vAlign w:val="center"/>
          </w:tcPr>
          <w:p>
            <w:pPr>
              <w:spacing w:line="320" w:lineRule="exact"/>
              <w:jc w:val="center"/>
              <w:rPr>
                <w:b/>
                <w:color w:val="auto"/>
                <w:szCs w:val="21"/>
              </w:rPr>
            </w:pPr>
            <w:r>
              <w:rPr>
                <w:b/>
                <w:color w:val="auto"/>
                <w:szCs w:val="21"/>
                <w:lang w:bidi="ar"/>
              </w:rPr>
              <w:t>X</w:t>
            </w:r>
          </w:p>
        </w:tc>
        <w:tc>
          <w:tcPr>
            <w:tcW w:w="2032" w:type="pct"/>
            <w:tcBorders>
              <w:top w:val="single" w:color="auto" w:sz="12" w:space="0"/>
              <w:left w:val="single" w:color="auto" w:sz="4" w:space="0"/>
              <w:bottom w:val="single" w:color="auto" w:sz="4" w:space="0"/>
              <w:right w:val="single" w:color="auto" w:sz="12" w:space="0"/>
            </w:tcBorders>
            <w:noWrap w:val="0"/>
            <w:vAlign w:val="center"/>
          </w:tcPr>
          <w:p>
            <w:pPr>
              <w:spacing w:line="320" w:lineRule="exact"/>
              <w:jc w:val="center"/>
              <w:rPr>
                <w:b/>
                <w:color w:val="auto"/>
                <w:szCs w:val="21"/>
              </w:rPr>
            </w:pPr>
            <w:r>
              <w:rPr>
                <w:b/>
                <w:color w:val="auto"/>
                <w:szCs w:val="21"/>
                <w:lang w:bidi="ar"/>
              </w:rPr>
              <w:t>Y</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805" w:type="pct"/>
            <w:tcBorders>
              <w:top w:val="single" w:color="auto" w:sz="4" w:space="0"/>
              <w:left w:val="single" w:color="auto" w:sz="12" w:space="0"/>
              <w:bottom w:val="single" w:color="auto" w:sz="4" w:space="0"/>
              <w:right w:val="single" w:color="auto" w:sz="4" w:space="0"/>
            </w:tcBorders>
            <w:noWrap w:val="0"/>
            <w:vAlign w:val="center"/>
          </w:tcPr>
          <w:p>
            <w:pPr>
              <w:jc w:val="center"/>
              <w:rPr>
                <w:color w:val="auto"/>
              </w:rPr>
            </w:pPr>
            <w:r>
              <w:rPr>
                <w:rFonts w:hint="eastAsia"/>
                <w:color w:val="auto"/>
                <w:lang w:bidi="ar"/>
              </w:rPr>
              <w:t>J</w:t>
            </w:r>
            <w:r>
              <w:rPr>
                <w:color w:val="auto"/>
                <w:lang w:bidi="ar"/>
              </w:rPr>
              <w:t>1</w:t>
            </w:r>
          </w:p>
        </w:tc>
        <w:tc>
          <w:tcPr>
            <w:tcW w:w="2160" w:type="pct"/>
            <w:tcBorders>
              <w:top w:val="single" w:color="auto" w:sz="4" w:space="0"/>
              <w:left w:val="single" w:color="auto" w:sz="4" w:space="0"/>
              <w:bottom w:val="single" w:color="auto" w:sz="4" w:space="0"/>
              <w:right w:val="single" w:color="auto" w:sz="4" w:space="0"/>
            </w:tcBorders>
            <w:noWrap w:val="0"/>
            <w:vAlign w:val="center"/>
          </w:tcPr>
          <w:p>
            <w:pPr>
              <w:jc w:val="center"/>
              <w:rPr>
                <w:color w:val="auto"/>
              </w:rPr>
            </w:pPr>
            <w:r>
              <w:rPr>
                <w:rFonts w:hint="eastAsia"/>
                <w:color w:val="auto"/>
              </w:rPr>
              <w:t>114.741680109</w:t>
            </w:r>
          </w:p>
        </w:tc>
        <w:tc>
          <w:tcPr>
            <w:tcW w:w="2032" w:type="pct"/>
            <w:tcBorders>
              <w:top w:val="single" w:color="auto" w:sz="4" w:space="0"/>
              <w:left w:val="single" w:color="auto" w:sz="4" w:space="0"/>
              <w:bottom w:val="single" w:color="auto" w:sz="4" w:space="0"/>
              <w:right w:val="single" w:color="auto" w:sz="12" w:space="0"/>
            </w:tcBorders>
            <w:noWrap w:val="0"/>
            <w:vAlign w:val="center"/>
          </w:tcPr>
          <w:p>
            <w:pPr>
              <w:spacing w:line="320" w:lineRule="exact"/>
              <w:jc w:val="center"/>
              <w:rPr>
                <w:color w:val="auto"/>
                <w:szCs w:val="21"/>
              </w:rPr>
            </w:pPr>
            <w:r>
              <w:rPr>
                <w:rFonts w:hint="eastAsia"/>
                <w:color w:val="auto"/>
              </w:rPr>
              <w:t>32.611509774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805" w:type="pct"/>
            <w:tcBorders>
              <w:top w:val="single" w:color="auto" w:sz="4" w:space="0"/>
              <w:left w:val="single" w:color="auto" w:sz="12" w:space="0"/>
              <w:bottom w:val="single" w:color="auto" w:sz="4" w:space="0"/>
              <w:right w:val="single" w:color="auto" w:sz="4" w:space="0"/>
            </w:tcBorders>
            <w:noWrap w:val="0"/>
            <w:vAlign w:val="center"/>
          </w:tcPr>
          <w:p>
            <w:pPr>
              <w:jc w:val="center"/>
              <w:rPr>
                <w:color w:val="auto"/>
              </w:rPr>
            </w:pPr>
            <w:r>
              <w:rPr>
                <w:rFonts w:hint="eastAsia"/>
                <w:color w:val="auto"/>
                <w:lang w:bidi="ar"/>
              </w:rPr>
              <w:t>J</w:t>
            </w:r>
            <w:r>
              <w:rPr>
                <w:color w:val="auto"/>
                <w:lang w:bidi="ar"/>
              </w:rPr>
              <w:t>2</w:t>
            </w:r>
          </w:p>
        </w:tc>
        <w:tc>
          <w:tcPr>
            <w:tcW w:w="3865"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rPr>
            </w:pPr>
            <w:r>
              <w:rPr>
                <w:rFonts w:hint="eastAsia"/>
                <w:color w:val="auto"/>
              </w:rPr>
              <w:t>114.744115554</w:t>
            </w:r>
          </w:p>
        </w:tc>
        <w:tc>
          <w:tcPr>
            <w:tcW w:w="3636" w:type="dxa"/>
            <w:tcBorders>
              <w:top w:val="single" w:color="auto" w:sz="4" w:space="0"/>
              <w:left w:val="single" w:color="auto" w:sz="4" w:space="0"/>
              <w:bottom w:val="single" w:color="auto" w:sz="4" w:space="0"/>
              <w:right w:val="single" w:color="auto" w:sz="12" w:space="0"/>
            </w:tcBorders>
            <w:noWrap w:val="0"/>
            <w:vAlign w:val="center"/>
          </w:tcPr>
          <w:p>
            <w:pPr>
              <w:spacing w:line="320" w:lineRule="exact"/>
              <w:jc w:val="center"/>
              <w:rPr>
                <w:color w:val="auto"/>
                <w:szCs w:val="21"/>
              </w:rPr>
            </w:pPr>
            <w:r>
              <w:rPr>
                <w:rFonts w:hint="eastAsia"/>
                <w:color w:val="auto"/>
              </w:rPr>
              <w:t>32.611949657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5" w:type="pct"/>
            <w:tcBorders>
              <w:top w:val="single" w:color="auto" w:sz="4" w:space="0"/>
              <w:left w:val="single" w:color="auto" w:sz="12" w:space="0"/>
              <w:bottom w:val="single" w:color="auto" w:sz="4" w:space="0"/>
              <w:right w:val="single" w:color="auto" w:sz="4" w:space="0"/>
            </w:tcBorders>
            <w:noWrap w:val="0"/>
            <w:vAlign w:val="center"/>
          </w:tcPr>
          <w:p>
            <w:pPr>
              <w:jc w:val="center"/>
              <w:rPr>
                <w:color w:val="auto"/>
              </w:rPr>
            </w:pPr>
            <w:r>
              <w:rPr>
                <w:rFonts w:hint="eastAsia"/>
                <w:color w:val="auto"/>
                <w:lang w:bidi="ar"/>
              </w:rPr>
              <w:t>J</w:t>
            </w:r>
            <w:r>
              <w:rPr>
                <w:color w:val="auto"/>
                <w:lang w:bidi="ar"/>
              </w:rPr>
              <w:t>3</w:t>
            </w:r>
          </w:p>
        </w:tc>
        <w:tc>
          <w:tcPr>
            <w:tcW w:w="3865"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rPr>
            </w:pPr>
            <w:r>
              <w:rPr>
                <w:rFonts w:hint="eastAsia"/>
                <w:color w:val="auto"/>
              </w:rPr>
              <w:t>114.742087804</w:t>
            </w:r>
          </w:p>
        </w:tc>
        <w:tc>
          <w:tcPr>
            <w:tcW w:w="3636" w:type="dxa"/>
            <w:tcBorders>
              <w:top w:val="single" w:color="auto" w:sz="4" w:space="0"/>
              <w:left w:val="single" w:color="auto" w:sz="4" w:space="0"/>
              <w:bottom w:val="single" w:color="auto" w:sz="4" w:space="0"/>
              <w:right w:val="single" w:color="auto" w:sz="12" w:space="0"/>
            </w:tcBorders>
            <w:noWrap w:val="0"/>
            <w:vAlign w:val="center"/>
          </w:tcPr>
          <w:p>
            <w:pPr>
              <w:spacing w:line="320" w:lineRule="exact"/>
              <w:jc w:val="center"/>
              <w:rPr>
                <w:color w:val="auto"/>
              </w:rPr>
            </w:pPr>
            <w:r>
              <w:rPr>
                <w:rFonts w:hint="eastAsia"/>
                <w:color w:val="auto"/>
              </w:rPr>
              <w:t>32.609900449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805" w:type="pct"/>
            <w:tcBorders>
              <w:top w:val="single" w:color="auto" w:sz="4" w:space="0"/>
              <w:left w:val="single" w:color="auto" w:sz="12" w:space="0"/>
              <w:bottom w:val="single" w:color="auto" w:sz="12" w:space="0"/>
              <w:right w:val="single" w:color="auto" w:sz="4" w:space="0"/>
            </w:tcBorders>
            <w:noWrap w:val="0"/>
            <w:vAlign w:val="center"/>
          </w:tcPr>
          <w:p>
            <w:pPr>
              <w:jc w:val="center"/>
              <w:rPr>
                <w:color w:val="auto"/>
              </w:rPr>
            </w:pPr>
            <w:r>
              <w:rPr>
                <w:rFonts w:hint="eastAsia"/>
                <w:color w:val="auto"/>
                <w:lang w:bidi="ar"/>
              </w:rPr>
              <w:t>J</w:t>
            </w:r>
            <w:r>
              <w:rPr>
                <w:color w:val="auto"/>
                <w:lang w:bidi="ar"/>
              </w:rPr>
              <w:t>4</w:t>
            </w:r>
          </w:p>
        </w:tc>
        <w:tc>
          <w:tcPr>
            <w:tcW w:w="3865" w:type="dxa"/>
            <w:tcBorders>
              <w:top w:val="single" w:color="auto" w:sz="4" w:space="0"/>
              <w:left w:val="single" w:color="auto" w:sz="4" w:space="0"/>
              <w:bottom w:val="single" w:color="auto" w:sz="12" w:space="0"/>
              <w:right w:val="single" w:color="auto" w:sz="4" w:space="0"/>
            </w:tcBorders>
            <w:noWrap w:val="0"/>
            <w:vAlign w:val="center"/>
          </w:tcPr>
          <w:p>
            <w:pPr>
              <w:jc w:val="center"/>
              <w:rPr>
                <w:color w:val="auto"/>
              </w:rPr>
            </w:pPr>
            <w:r>
              <w:rPr>
                <w:rFonts w:hint="eastAsia"/>
                <w:color w:val="auto"/>
              </w:rPr>
              <w:t>114.744469606</w:t>
            </w:r>
          </w:p>
        </w:tc>
        <w:tc>
          <w:tcPr>
            <w:tcW w:w="3636" w:type="dxa"/>
            <w:tcBorders>
              <w:top w:val="single" w:color="auto" w:sz="4" w:space="0"/>
              <w:left w:val="single" w:color="auto" w:sz="4" w:space="0"/>
              <w:bottom w:val="single" w:color="auto" w:sz="12" w:space="0"/>
              <w:right w:val="single" w:color="auto" w:sz="12" w:space="0"/>
            </w:tcBorders>
            <w:noWrap w:val="0"/>
            <w:vAlign w:val="center"/>
          </w:tcPr>
          <w:p>
            <w:pPr>
              <w:spacing w:line="320" w:lineRule="exact"/>
              <w:jc w:val="center"/>
              <w:rPr>
                <w:color w:val="auto"/>
              </w:rPr>
            </w:pPr>
            <w:r>
              <w:rPr>
                <w:rFonts w:hint="eastAsia"/>
                <w:color w:val="auto"/>
              </w:rPr>
              <w:t>32.610318874</w:t>
            </w:r>
          </w:p>
        </w:tc>
      </w:tr>
    </w:tbl>
    <w:p>
      <w:pPr>
        <w:autoSpaceDE w:val="0"/>
        <w:autoSpaceDN w:val="0"/>
        <w:spacing w:line="520" w:lineRule="exact"/>
        <w:ind w:firstLine="482" w:firstLineChars="200"/>
        <w:textAlignment w:val="baseline"/>
        <w:rPr>
          <w:rFonts w:hint="eastAsia" w:hAnsi="宋体"/>
          <w:b/>
          <w:sz w:val="24"/>
        </w:rPr>
      </w:pPr>
      <w:r>
        <w:rPr>
          <w:rFonts w:hint="eastAsia" w:hAnsi="宋体"/>
          <w:b/>
          <w:sz w:val="24"/>
        </w:rPr>
        <w:t>（2）项目特点</w:t>
      </w:r>
    </w:p>
    <w:p>
      <w:pPr>
        <w:autoSpaceDE w:val="0"/>
        <w:autoSpaceDN w:val="0"/>
        <w:spacing w:line="520" w:lineRule="exact"/>
        <w:ind w:firstLine="480" w:firstLineChars="200"/>
        <w:textAlignment w:val="baseline"/>
        <w:rPr>
          <w:rFonts w:hint="eastAsia"/>
          <w:sz w:val="24"/>
        </w:rPr>
      </w:pPr>
      <w:r>
        <w:rPr>
          <w:rFonts w:hint="eastAsia" w:hAnsi="宋体"/>
          <w:sz w:val="24"/>
        </w:rPr>
        <w:t>本项目为生猪养殖项目，</w:t>
      </w:r>
      <w:r>
        <w:rPr>
          <w:rFonts w:hAnsi="宋体"/>
          <w:sz w:val="24"/>
          <w:szCs w:val="28"/>
        </w:rPr>
        <w:t>建设规模为</w:t>
      </w:r>
      <w:r>
        <w:rPr>
          <w:rFonts w:hint="eastAsia" w:hAnsi="宋体"/>
          <w:bCs/>
          <w:sz w:val="24"/>
          <w:lang w:eastAsia="zh-CN"/>
        </w:rPr>
        <w:t>年出栏生猪1.2万头</w:t>
      </w:r>
      <w:r>
        <w:rPr>
          <w:rFonts w:hAnsi="宋体"/>
          <w:bCs/>
          <w:sz w:val="24"/>
        </w:rPr>
        <w:t>。</w:t>
      </w:r>
      <w:r>
        <w:rPr>
          <w:rFonts w:hint="eastAsia" w:hAnsi="宋体"/>
          <w:sz w:val="24"/>
        </w:rPr>
        <w:t>建设性质为新建，养殖工艺主要为生猪的</w:t>
      </w:r>
      <w:r>
        <w:rPr>
          <w:rFonts w:hAnsi="宋体"/>
          <w:sz w:val="24"/>
        </w:rPr>
        <w:t>育肥</w:t>
      </w:r>
      <w:r>
        <w:rPr>
          <w:rFonts w:hint="eastAsia" w:hAnsi="宋体"/>
          <w:sz w:val="24"/>
        </w:rPr>
        <w:t>，</w:t>
      </w:r>
      <w:r>
        <w:rPr>
          <w:rFonts w:hint="eastAsia" w:hAnsi="宋体"/>
          <w:bCs/>
          <w:sz w:val="24"/>
        </w:rPr>
        <w:t>项目清粪工艺采用环保部认定的</w:t>
      </w:r>
      <w:r>
        <w:rPr>
          <w:rFonts w:hint="eastAsia" w:hAnsi="宋体"/>
          <w:sz w:val="24"/>
          <w:szCs w:val="28"/>
        </w:rPr>
        <w:t>干清粪</w:t>
      </w:r>
      <w:r>
        <w:rPr>
          <w:rFonts w:hAnsi="宋体"/>
          <w:sz w:val="24"/>
          <w:szCs w:val="28"/>
        </w:rPr>
        <w:t>工艺</w:t>
      </w:r>
      <w:r>
        <w:rPr>
          <w:rFonts w:hint="eastAsia" w:hAnsi="宋体"/>
          <w:sz w:val="24"/>
          <w:szCs w:val="28"/>
        </w:rPr>
        <w:t>。项目产生的粪污经固液分离后固形物粪渣暂存间暂存，外售制有机肥，经固液分离后的废水进入黑膜沼气池处理。经黑膜沼气池处理后产生沼液的作为肥料施用于周边农田不外排，产生的沼渣进入粪渣暂存间暂存，外售制有机肥；黑膜沼气池厌氧发酵产生的沼气</w:t>
      </w:r>
      <w:r>
        <w:rPr>
          <w:sz w:val="24"/>
        </w:rPr>
        <w:t>经净化后，用于</w:t>
      </w:r>
      <w:r>
        <w:rPr>
          <w:rFonts w:hint="eastAsia"/>
          <w:sz w:val="24"/>
        </w:rPr>
        <w:t>场内职工生活食堂</w:t>
      </w:r>
      <w:r>
        <w:rPr>
          <w:sz w:val="24"/>
        </w:rPr>
        <w:t>灶台</w:t>
      </w:r>
      <w:r>
        <w:rPr>
          <w:rFonts w:hint="eastAsia"/>
          <w:sz w:val="24"/>
        </w:rPr>
        <w:t>及沼气热水器，多余沼气火炬燃烧</w:t>
      </w:r>
      <w:r>
        <w:rPr>
          <w:sz w:val="24"/>
        </w:rPr>
        <w:t>。</w:t>
      </w:r>
    </w:p>
    <w:p>
      <w:pPr>
        <w:autoSpaceDE w:val="0"/>
        <w:autoSpaceDN w:val="0"/>
        <w:spacing w:line="520" w:lineRule="exact"/>
        <w:ind w:firstLine="482" w:firstLineChars="200"/>
        <w:textAlignment w:val="baseline"/>
        <w:rPr>
          <w:rFonts w:hint="eastAsia"/>
          <w:b/>
          <w:sz w:val="24"/>
        </w:rPr>
      </w:pPr>
      <w:r>
        <w:rPr>
          <w:rFonts w:hint="eastAsia"/>
          <w:b/>
          <w:sz w:val="24"/>
        </w:rPr>
        <w:t>（3）环境特点</w:t>
      </w:r>
    </w:p>
    <w:p>
      <w:pPr>
        <w:autoSpaceDE w:val="0"/>
        <w:autoSpaceDN w:val="0"/>
        <w:spacing w:line="520" w:lineRule="exact"/>
        <w:ind w:firstLine="480" w:firstLineChars="200"/>
        <w:textAlignment w:val="baseline"/>
        <w:rPr>
          <w:rFonts w:hint="eastAsia"/>
          <w:sz w:val="24"/>
        </w:rPr>
      </w:pPr>
      <w:r>
        <w:rPr>
          <w:rFonts w:hint="eastAsia"/>
          <w:sz w:val="24"/>
        </w:rPr>
        <w:t>本项目位于</w:t>
      </w:r>
      <w:r>
        <w:rPr>
          <w:rFonts w:hint="eastAsia" w:hAnsi="宋体"/>
          <w:snapToGrid w:val="0"/>
          <w:sz w:val="24"/>
          <w:lang w:eastAsia="zh-CN"/>
        </w:rPr>
        <w:t>驻马店市正阳县汝南埠镇大温寺王店</w:t>
      </w:r>
      <w:r>
        <w:rPr>
          <w:rFonts w:hint="eastAsia" w:hAnsi="宋体"/>
          <w:snapToGrid w:val="0"/>
          <w:sz w:val="24"/>
        </w:rPr>
        <w:t>，距离最近的村庄为项目</w:t>
      </w:r>
      <w:r>
        <w:rPr>
          <w:rFonts w:hint="eastAsia"/>
          <w:sz w:val="24"/>
          <w:lang w:val="en-US" w:eastAsia="zh-CN"/>
        </w:rPr>
        <w:t>东南</w:t>
      </w:r>
      <w:r>
        <w:rPr>
          <w:rFonts w:hint="eastAsia"/>
          <w:sz w:val="24"/>
        </w:rPr>
        <w:t>侧</w:t>
      </w:r>
      <w:r>
        <w:rPr>
          <w:rFonts w:hint="eastAsia"/>
          <w:sz w:val="24"/>
          <w:lang w:val="en-US" w:eastAsia="zh-CN"/>
        </w:rPr>
        <w:t>400</w:t>
      </w:r>
      <w:r>
        <w:rPr>
          <w:sz w:val="24"/>
        </w:rPr>
        <w:t>m</w:t>
      </w:r>
      <w:r>
        <w:rPr>
          <w:rFonts w:hint="eastAsia"/>
          <w:sz w:val="24"/>
        </w:rPr>
        <w:t>的</w:t>
      </w:r>
      <w:r>
        <w:rPr>
          <w:rFonts w:hint="eastAsia"/>
          <w:bCs/>
          <w:sz w:val="24"/>
          <w:lang w:val="en-US" w:eastAsia="zh-CN"/>
        </w:rPr>
        <w:t>何李庄</w:t>
      </w:r>
      <w:r>
        <w:rPr>
          <w:rFonts w:hint="eastAsia" w:hAnsi="宋体"/>
          <w:snapToGrid w:val="0"/>
          <w:sz w:val="24"/>
        </w:rPr>
        <w:t>，距离最近的水体为项目</w:t>
      </w:r>
      <w:r>
        <w:rPr>
          <w:rFonts w:hint="eastAsia" w:hAnsi="宋体"/>
          <w:snapToGrid w:val="0"/>
          <w:sz w:val="24"/>
          <w:lang w:val="en-US" w:eastAsia="zh-CN"/>
        </w:rPr>
        <w:t>西北</w:t>
      </w:r>
      <w:r>
        <w:rPr>
          <w:rFonts w:hint="eastAsia" w:hAnsi="宋体"/>
          <w:snapToGrid w:val="0"/>
          <w:sz w:val="24"/>
        </w:rPr>
        <w:t>侧</w:t>
      </w:r>
      <w:r>
        <w:rPr>
          <w:rFonts w:hint="eastAsia" w:hAnsi="宋体"/>
          <w:snapToGrid w:val="0"/>
          <w:sz w:val="24"/>
          <w:lang w:val="en-US" w:eastAsia="zh-CN"/>
        </w:rPr>
        <w:t>2800</w:t>
      </w:r>
      <w:r>
        <w:rPr>
          <w:rFonts w:hint="eastAsia" w:hAnsi="宋体"/>
          <w:snapToGrid w:val="0"/>
          <w:sz w:val="24"/>
        </w:rPr>
        <w:t>m的</w:t>
      </w:r>
      <w:r>
        <w:rPr>
          <w:rFonts w:hint="eastAsia" w:hAnsi="宋体"/>
          <w:snapToGrid w:val="0"/>
          <w:sz w:val="24"/>
          <w:lang w:val="en-US" w:eastAsia="zh-CN"/>
        </w:rPr>
        <w:t>黄大港</w:t>
      </w:r>
      <w:r>
        <w:rPr>
          <w:rFonts w:hint="eastAsia" w:hAnsi="宋体"/>
          <w:snapToGrid w:val="0"/>
          <w:sz w:val="24"/>
        </w:rPr>
        <w:t>（</w:t>
      </w:r>
      <w:r>
        <w:rPr>
          <w:rFonts w:hint="eastAsia" w:hAnsi="宋体"/>
          <w:snapToGrid w:val="0"/>
          <w:sz w:val="24"/>
          <w:lang w:val="en-US" w:eastAsia="zh-CN"/>
        </w:rPr>
        <w:t>黄大港</w:t>
      </w:r>
      <w:r>
        <w:rPr>
          <w:rFonts w:hint="eastAsia" w:hAnsi="宋体"/>
          <w:snapToGrid w:val="0"/>
          <w:sz w:val="24"/>
        </w:rPr>
        <w:t>为</w:t>
      </w:r>
      <w:r>
        <w:rPr>
          <w:rFonts w:hint="eastAsia" w:hAnsi="宋体"/>
          <w:snapToGrid w:val="0"/>
          <w:sz w:val="24"/>
          <w:lang w:val="en-US" w:eastAsia="zh-CN"/>
        </w:rPr>
        <w:t>汝河</w:t>
      </w:r>
      <w:r>
        <w:rPr>
          <w:rFonts w:hint="eastAsia" w:hAnsi="宋体"/>
          <w:snapToGrid w:val="0"/>
          <w:sz w:val="24"/>
        </w:rPr>
        <w:t>支流，</w:t>
      </w:r>
      <w:r>
        <w:rPr>
          <w:rFonts w:hint="eastAsia" w:hAnsi="宋体"/>
          <w:snapToGrid w:val="0"/>
          <w:sz w:val="24"/>
          <w:lang w:val="en-US" w:eastAsia="zh-CN"/>
        </w:rPr>
        <w:t>汝河</w:t>
      </w:r>
      <w:r>
        <w:rPr>
          <w:rFonts w:hint="eastAsia" w:hAnsi="宋体"/>
          <w:snapToGrid w:val="0"/>
          <w:sz w:val="24"/>
        </w:rPr>
        <w:t>为淮河支流），</w:t>
      </w:r>
      <w:r>
        <w:rPr>
          <w:rFonts w:hint="eastAsia"/>
          <w:sz w:val="24"/>
        </w:rPr>
        <w:t>评价范围内无自然保护区、风景名胜区、森林公园、集中式饮用水源保护区等。</w:t>
      </w:r>
    </w:p>
    <w:p>
      <w:pPr>
        <w:autoSpaceDE w:val="0"/>
        <w:autoSpaceDN w:val="0"/>
        <w:spacing w:line="520" w:lineRule="exact"/>
        <w:textAlignment w:val="baseline"/>
        <w:rPr>
          <w:rFonts w:hAnsi="宋体"/>
          <w:b/>
          <w:sz w:val="24"/>
          <w:szCs w:val="28"/>
        </w:rPr>
      </w:pPr>
      <w:r>
        <w:rPr>
          <w:rFonts w:hint="eastAsia" w:hAnsi="宋体"/>
          <w:b/>
          <w:sz w:val="24"/>
          <w:szCs w:val="28"/>
        </w:rPr>
        <w:t>二、</w:t>
      </w:r>
      <w:r>
        <w:rPr>
          <w:rFonts w:hAnsi="宋体"/>
          <w:b/>
          <w:sz w:val="24"/>
          <w:szCs w:val="28"/>
        </w:rPr>
        <w:t>环境影响评价的工作过程</w:t>
      </w:r>
    </w:p>
    <w:p>
      <w:pPr>
        <w:kinsoku w:val="0"/>
        <w:overflowPunct w:val="0"/>
        <w:spacing w:line="520" w:lineRule="exact"/>
        <w:ind w:firstLine="480" w:firstLineChars="200"/>
        <w:rPr>
          <w:sz w:val="24"/>
        </w:rPr>
      </w:pPr>
      <w:r>
        <w:rPr>
          <w:rFonts w:hAnsi="宋体"/>
          <w:sz w:val="24"/>
        </w:rPr>
        <w:t>根据《中华人民共和国环境保护法》和《中华人民共和国环境影响评价法》等法律有关规定，</w:t>
      </w:r>
      <w:r>
        <w:rPr>
          <w:rFonts w:hint="eastAsia" w:hAnsi="宋体"/>
          <w:sz w:val="24"/>
        </w:rPr>
        <w:t>本</w:t>
      </w:r>
      <w:r>
        <w:rPr>
          <w:rFonts w:hAnsi="宋体"/>
          <w:sz w:val="24"/>
        </w:rPr>
        <w:t>项目应进行环境影响评价。对照《建设项目环境影响评价分类管理名录》（</w:t>
      </w:r>
      <w:r>
        <w:rPr>
          <w:rFonts w:hint="eastAsia" w:hAnsi="宋体"/>
          <w:sz w:val="24"/>
          <w:lang w:val="en-US" w:eastAsia="zh-CN"/>
        </w:rPr>
        <w:t>2021年版</w:t>
      </w:r>
      <w:r>
        <w:rPr>
          <w:rFonts w:hAnsi="宋体"/>
          <w:sz w:val="24"/>
        </w:rPr>
        <w:t>），</w:t>
      </w:r>
      <w:r>
        <w:rPr>
          <w:rFonts w:hint="eastAsia" w:hAnsi="宋体"/>
          <w:sz w:val="24"/>
        </w:rPr>
        <w:t>本</w:t>
      </w:r>
      <w:r>
        <w:rPr>
          <w:rFonts w:hAnsi="宋体"/>
          <w:sz w:val="24"/>
        </w:rPr>
        <w:t>项目</w:t>
      </w:r>
      <w:r>
        <w:rPr>
          <w:rFonts w:hint="eastAsia" w:hAnsi="宋体"/>
          <w:sz w:val="24"/>
        </w:rPr>
        <w:t>属于</w:t>
      </w:r>
      <w:r>
        <w:rPr>
          <w:rFonts w:hint="eastAsia"/>
          <w:sz w:val="24"/>
          <w:lang w:val="en-US" w:eastAsia="zh-CN"/>
        </w:rPr>
        <w:t>二</w:t>
      </w:r>
      <w:r>
        <w:rPr>
          <w:rFonts w:hint="eastAsia"/>
          <w:sz w:val="24"/>
        </w:rPr>
        <w:t>、</w:t>
      </w:r>
      <w:r>
        <w:rPr>
          <w:sz w:val="24"/>
        </w:rPr>
        <w:t>畜牧业</w:t>
      </w:r>
      <w:r>
        <w:rPr>
          <w:rFonts w:hAnsi="宋体"/>
          <w:sz w:val="24"/>
        </w:rPr>
        <w:t>（</w:t>
      </w:r>
      <w:r>
        <w:rPr>
          <w:rFonts w:hint="eastAsia" w:hAnsi="宋体"/>
          <w:sz w:val="24"/>
          <w:lang w:val="en-US" w:eastAsia="zh-CN"/>
        </w:rPr>
        <w:t>3牲畜饲养031；家禽饲养032；其它畜牧业039</w:t>
      </w:r>
      <w:r>
        <w:rPr>
          <w:rFonts w:hAnsi="宋体"/>
          <w:sz w:val="24"/>
        </w:rPr>
        <w:t>）</w:t>
      </w:r>
      <w:r>
        <w:rPr>
          <w:rFonts w:hint="eastAsia" w:hAnsi="宋体"/>
          <w:sz w:val="24"/>
          <w:lang w:val="en-US" w:eastAsia="zh-CN"/>
        </w:rPr>
        <w:t>中“年出栏生猪5000头及以上的规模化畜禽养殖”</w:t>
      </w:r>
      <w:r>
        <w:rPr>
          <w:rFonts w:hAnsi="宋体"/>
          <w:sz w:val="24"/>
        </w:rPr>
        <w:t>，环评类别为环境影响报告书。受</w:t>
      </w:r>
      <w:r>
        <w:rPr>
          <w:rFonts w:hint="eastAsia" w:hAnsi="宋体"/>
          <w:sz w:val="24"/>
          <w:lang w:eastAsia="zh-CN"/>
        </w:rPr>
        <w:t>正阳县鑫鑫向荣大型种猪养殖有限责任公司</w:t>
      </w:r>
      <w:r>
        <w:rPr>
          <w:rFonts w:hAnsi="宋体"/>
          <w:sz w:val="24"/>
        </w:rPr>
        <w:t>委托，陕西利光和环境工程有限公司承担该项目环境影响报告书的编制工作（项目委托书见附件一）。</w:t>
      </w:r>
    </w:p>
    <w:p>
      <w:pPr>
        <w:spacing w:line="520" w:lineRule="exact"/>
        <w:ind w:firstLine="480" w:firstLineChars="200"/>
        <w:rPr>
          <w:rFonts w:hint="eastAsia" w:hAnsi="宋体"/>
          <w:sz w:val="24"/>
          <w:szCs w:val="28"/>
        </w:rPr>
      </w:pPr>
      <w:r>
        <w:rPr>
          <w:rFonts w:hint="eastAsia" w:hAnsi="宋体"/>
          <w:sz w:val="24"/>
        </w:rPr>
        <w:t>我</w:t>
      </w:r>
      <w:r>
        <w:rPr>
          <w:rFonts w:hAnsi="宋体"/>
          <w:sz w:val="24"/>
        </w:rPr>
        <w:t>单位在接受委托后，</w:t>
      </w:r>
      <w:r>
        <w:rPr>
          <w:rFonts w:hint="eastAsia" w:hAnsi="宋体"/>
          <w:sz w:val="24"/>
        </w:rPr>
        <w:t>积极</w:t>
      </w:r>
      <w:r>
        <w:rPr>
          <w:rFonts w:hAnsi="宋体"/>
          <w:sz w:val="24"/>
        </w:rPr>
        <w:t>收集有关的资料</w:t>
      </w:r>
      <w:r>
        <w:rPr>
          <w:rFonts w:hint="eastAsia" w:hAnsi="宋体"/>
          <w:sz w:val="24"/>
        </w:rPr>
        <w:t>及</w:t>
      </w:r>
      <w:r>
        <w:rPr>
          <w:rFonts w:hAnsi="宋体"/>
          <w:sz w:val="24"/>
          <w:szCs w:val="28"/>
        </w:rPr>
        <w:t>现场踏勘调查，了解厂址及周边环境概况，分析工程相关污染因素，经预测和评价，本着科学、规范、客观、公正的原则，编制完成了该项目的环境影响报告书。</w:t>
      </w:r>
    </w:p>
    <w:p>
      <w:pPr>
        <w:spacing w:line="520" w:lineRule="exact"/>
        <w:ind w:firstLine="480" w:firstLineChars="200"/>
        <w:rPr>
          <w:rFonts w:hint="eastAsia" w:hAnsi="宋体"/>
          <w:sz w:val="24"/>
          <w:szCs w:val="28"/>
        </w:rPr>
      </w:pPr>
      <w:r>
        <w:rPr>
          <w:rFonts w:hint="eastAsia" w:hAnsi="宋体"/>
          <w:sz w:val="24"/>
          <w:szCs w:val="28"/>
        </w:rPr>
        <w:t>环境影响评价工作程序详见图1。</w:t>
      </w:r>
    </w:p>
    <w:p>
      <w:pPr>
        <w:tabs>
          <w:tab w:val="left" w:pos="924"/>
        </w:tabs>
        <w:rPr>
          <w:rFonts w:hint="eastAsia" w:ascii="宋体" w:hAnsi="宋体"/>
          <w:sz w:val="44"/>
          <w:szCs w:val="44"/>
        </w:rPr>
      </w:pPr>
      <w:r>
        <w:drawing>
          <wp:inline distT="0" distB="0" distL="114300" distR="114300">
            <wp:extent cx="5285740" cy="5599430"/>
            <wp:effectExtent l="0" t="0" r="10160" b="1270"/>
            <wp:docPr id="7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1"/>
                    <pic:cNvPicPr>
                      <a:picLocks noChangeAspect="1"/>
                    </pic:cNvPicPr>
                  </pic:nvPicPr>
                  <pic:blipFill>
                    <a:blip r:embed="rId31"/>
                    <a:srcRect l="1767" r="1767" b="1538"/>
                    <a:stretch>
                      <a:fillRect/>
                    </a:stretch>
                  </pic:blipFill>
                  <pic:spPr>
                    <a:xfrm>
                      <a:off x="0" y="0"/>
                      <a:ext cx="5285740" cy="5599430"/>
                    </a:xfrm>
                    <a:prstGeom prst="rect">
                      <a:avLst/>
                    </a:prstGeom>
                    <a:noFill/>
                    <a:ln>
                      <a:noFill/>
                    </a:ln>
                  </pic:spPr>
                </pic:pic>
              </a:graphicData>
            </a:graphic>
          </wp:inline>
        </w:drawing>
      </w:r>
    </w:p>
    <w:p>
      <w:pPr>
        <w:jc w:val="center"/>
        <w:rPr>
          <w:rFonts w:hAnsi="宋体"/>
          <w:b/>
          <w:sz w:val="24"/>
          <w:szCs w:val="28"/>
        </w:rPr>
      </w:pPr>
    </w:p>
    <w:p>
      <w:pPr>
        <w:jc w:val="center"/>
        <w:rPr>
          <w:rFonts w:hint="eastAsia" w:hAnsi="宋体"/>
          <w:b/>
          <w:sz w:val="24"/>
          <w:szCs w:val="28"/>
        </w:rPr>
      </w:pPr>
      <w:r>
        <w:rPr>
          <w:rFonts w:hint="eastAsia" w:hAnsi="宋体"/>
          <w:b/>
          <w:sz w:val="24"/>
          <w:szCs w:val="28"/>
        </w:rPr>
        <w:t>图1   评价</w:t>
      </w:r>
      <w:r>
        <w:rPr>
          <w:rFonts w:hAnsi="宋体"/>
          <w:b/>
          <w:sz w:val="24"/>
          <w:szCs w:val="28"/>
        </w:rPr>
        <w:t>工作程序</w:t>
      </w:r>
    </w:p>
    <w:p>
      <w:pPr>
        <w:spacing w:line="520" w:lineRule="exact"/>
        <w:rPr>
          <w:rFonts w:hAnsi="宋体"/>
          <w:b/>
          <w:sz w:val="24"/>
          <w:szCs w:val="28"/>
        </w:rPr>
      </w:pPr>
      <w:r>
        <w:rPr>
          <w:rFonts w:hint="eastAsia"/>
        </w:rPr>
        <w:t>三</w:t>
      </w:r>
      <w:r>
        <w:t>、</w:t>
      </w:r>
      <w:r>
        <w:rPr>
          <w:rFonts w:hint="eastAsia" w:hAnsi="宋体"/>
          <w:b/>
          <w:sz w:val="24"/>
          <w:szCs w:val="28"/>
        </w:rPr>
        <w:t>环境</w:t>
      </w:r>
      <w:r>
        <w:rPr>
          <w:rFonts w:hAnsi="宋体"/>
          <w:b/>
          <w:sz w:val="24"/>
          <w:szCs w:val="28"/>
        </w:rPr>
        <w:t>影响评价分析判定</w:t>
      </w:r>
      <w:r>
        <w:rPr>
          <w:rFonts w:hint="eastAsia" w:hAnsi="宋体"/>
          <w:b/>
          <w:sz w:val="24"/>
          <w:szCs w:val="28"/>
        </w:rPr>
        <w:t>相关</w:t>
      </w:r>
      <w:r>
        <w:rPr>
          <w:rFonts w:hAnsi="宋体"/>
          <w:b/>
          <w:sz w:val="24"/>
          <w:szCs w:val="28"/>
        </w:rPr>
        <w:t>情况</w:t>
      </w:r>
    </w:p>
    <w:p>
      <w:pPr>
        <w:spacing w:line="520" w:lineRule="atLeast"/>
        <w:ind w:firstLine="482" w:firstLineChars="200"/>
        <w:rPr>
          <w:b/>
          <w:kern w:val="0"/>
          <w:sz w:val="24"/>
        </w:rPr>
      </w:pPr>
      <w:r>
        <w:rPr>
          <w:rFonts w:hint="eastAsia"/>
          <w:b/>
          <w:kern w:val="0"/>
          <w:sz w:val="24"/>
        </w:rPr>
        <w:t>1、产业政策相符性</w:t>
      </w:r>
    </w:p>
    <w:p>
      <w:pPr>
        <w:spacing w:line="520" w:lineRule="atLeast"/>
        <w:ind w:firstLine="480" w:firstLineChars="200"/>
        <w:rPr>
          <w:kern w:val="0"/>
          <w:sz w:val="24"/>
        </w:rPr>
      </w:pPr>
      <w:r>
        <w:rPr>
          <w:rFonts w:hAnsi="宋体"/>
          <w:sz w:val="24"/>
        </w:rPr>
        <w:t>本项目为生猪规模化养殖建设项目。根据《产业结构调整指导目录（</w:t>
      </w:r>
      <w:r>
        <w:rPr>
          <w:rFonts w:hint="eastAsia"/>
          <w:sz w:val="24"/>
        </w:rPr>
        <w:t>2019年本</w:t>
      </w:r>
      <w:r>
        <w:rPr>
          <w:rFonts w:hAnsi="宋体"/>
          <w:sz w:val="24"/>
        </w:rPr>
        <w:t>）》，本项目属于第一类鼓励类中</w:t>
      </w:r>
      <w:r>
        <w:rPr>
          <w:rFonts w:ascii="宋体" w:hAnsi="宋体"/>
          <w:sz w:val="24"/>
        </w:rPr>
        <w:t>“畜禽标准化规模养殖技术开发与应用”</w:t>
      </w:r>
      <w:r>
        <w:rPr>
          <w:rFonts w:hAnsi="宋体"/>
          <w:sz w:val="24"/>
        </w:rPr>
        <w:t>，符合国家现行的有关产业政策。</w:t>
      </w:r>
    </w:p>
    <w:p>
      <w:pPr>
        <w:spacing w:line="520" w:lineRule="atLeast"/>
        <w:ind w:firstLine="482" w:firstLineChars="200"/>
        <w:rPr>
          <w:rFonts w:hint="eastAsia"/>
          <w:b/>
          <w:sz w:val="24"/>
        </w:rPr>
      </w:pPr>
      <w:r>
        <w:rPr>
          <w:rFonts w:hint="eastAsia"/>
          <w:b/>
          <w:sz w:val="24"/>
        </w:rPr>
        <w:t>2、规划相符性</w:t>
      </w:r>
    </w:p>
    <w:p>
      <w:pPr>
        <w:spacing w:line="520" w:lineRule="atLeast"/>
        <w:ind w:firstLine="480" w:firstLineChars="200"/>
        <w:rPr>
          <w:rFonts w:hint="eastAsia"/>
          <w:sz w:val="24"/>
        </w:rPr>
      </w:pPr>
      <w:r>
        <w:rPr>
          <w:rFonts w:hint="eastAsia"/>
          <w:sz w:val="24"/>
        </w:rPr>
        <w:t>（1）</w:t>
      </w:r>
      <w:r>
        <w:rPr>
          <w:sz w:val="24"/>
        </w:rPr>
        <w:t>《</w:t>
      </w:r>
      <w:r>
        <w:rPr>
          <w:rFonts w:hint="eastAsia"/>
          <w:sz w:val="24"/>
        </w:rPr>
        <w:t>正阳县</w:t>
      </w:r>
      <w:r>
        <w:rPr>
          <w:sz w:val="24"/>
        </w:rPr>
        <w:t>城市总体规划》（2012-2030）</w:t>
      </w:r>
    </w:p>
    <w:p>
      <w:pPr>
        <w:spacing w:line="520" w:lineRule="atLeast"/>
        <w:ind w:firstLine="480" w:firstLineChars="200"/>
        <w:rPr>
          <w:rFonts w:hint="eastAsia"/>
          <w:sz w:val="24"/>
        </w:rPr>
      </w:pPr>
      <w:r>
        <w:rPr>
          <w:rFonts w:hint="eastAsia"/>
          <w:sz w:val="24"/>
        </w:rPr>
        <w:t>本项目位于</w:t>
      </w:r>
      <w:r>
        <w:rPr>
          <w:rFonts w:hint="eastAsia" w:hAnsi="宋体"/>
          <w:snapToGrid w:val="0"/>
          <w:sz w:val="24"/>
          <w:lang w:eastAsia="zh-CN"/>
        </w:rPr>
        <w:t>驻马店市正阳县汝南埠镇大温寺王店</w:t>
      </w:r>
      <w:r>
        <w:rPr>
          <w:rFonts w:hint="eastAsia" w:hAnsi="宋体"/>
          <w:snapToGrid w:val="0"/>
          <w:sz w:val="24"/>
        </w:rPr>
        <w:t>，</w:t>
      </w:r>
      <w:r>
        <w:rPr>
          <w:rFonts w:hint="eastAsia"/>
          <w:sz w:val="24"/>
        </w:rPr>
        <w:t>依据</w:t>
      </w:r>
      <w:r>
        <w:rPr>
          <w:sz w:val="24"/>
        </w:rPr>
        <w:t>《</w:t>
      </w:r>
      <w:r>
        <w:rPr>
          <w:rFonts w:hint="eastAsia"/>
          <w:sz w:val="24"/>
        </w:rPr>
        <w:t>正阳县</w:t>
      </w:r>
      <w:r>
        <w:rPr>
          <w:sz w:val="24"/>
        </w:rPr>
        <w:t>城市总体规划》（2012-2030）</w:t>
      </w:r>
      <w:r>
        <w:rPr>
          <w:rFonts w:hint="eastAsia"/>
          <w:sz w:val="24"/>
        </w:rPr>
        <w:t>可知，</w:t>
      </w:r>
      <w:r>
        <w:rPr>
          <w:sz w:val="24"/>
        </w:rPr>
        <w:t>本项目不在《</w:t>
      </w:r>
      <w:r>
        <w:rPr>
          <w:rFonts w:hint="eastAsia"/>
          <w:sz w:val="24"/>
        </w:rPr>
        <w:t>正阳县</w:t>
      </w:r>
      <w:r>
        <w:rPr>
          <w:sz w:val="24"/>
        </w:rPr>
        <w:t>城市总体规划》（2012-2030）范围内，故本项目的建设不违背</w:t>
      </w:r>
      <w:r>
        <w:rPr>
          <w:rFonts w:hint="eastAsia"/>
          <w:sz w:val="24"/>
        </w:rPr>
        <w:t>正阳县</w:t>
      </w:r>
      <w:r>
        <w:rPr>
          <w:sz w:val="24"/>
        </w:rPr>
        <w:t>城市总体规划。</w:t>
      </w:r>
    </w:p>
    <w:p>
      <w:pPr>
        <w:spacing w:line="520" w:lineRule="atLeast"/>
        <w:ind w:firstLine="480" w:firstLineChars="200"/>
        <w:rPr>
          <w:rFonts w:hint="eastAsia"/>
          <w:sz w:val="24"/>
        </w:rPr>
      </w:pPr>
      <w:r>
        <w:rPr>
          <w:rFonts w:hint="eastAsia"/>
          <w:sz w:val="24"/>
        </w:rPr>
        <w:t>（2）饮</w:t>
      </w:r>
      <w:r>
        <w:rPr>
          <w:sz w:val="24"/>
        </w:rPr>
        <w:t>用水源</w:t>
      </w:r>
      <w:r>
        <w:rPr>
          <w:rFonts w:hint="eastAsia"/>
          <w:sz w:val="24"/>
        </w:rPr>
        <w:t>地</w:t>
      </w:r>
      <w:r>
        <w:rPr>
          <w:sz w:val="24"/>
        </w:rPr>
        <w:t>保护区划</w:t>
      </w:r>
    </w:p>
    <w:p>
      <w:pPr>
        <w:pStyle w:val="23"/>
        <w:ind w:firstLine="480"/>
        <w:rPr>
          <w:rFonts w:hint="eastAsia" w:hAnsi="宋体"/>
          <w:bCs/>
          <w:snapToGrid w:val="0"/>
          <w:szCs w:val="24"/>
        </w:rPr>
      </w:pPr>
      <w:r>
        <w:rPr>
          <w:rFonts w:hint="eastAsia" w:hAnsi="宋体"/>
          <w:bCs/>
          <w:snapToGrid w:val="0"/>
          <w:szCs w:val="24"/>
        </w:rPr>
        <w:t>根据河南省人民政府办公厅关于印发“河南省乡镇集中式饮用水水源保护区划的通知”（豫政办〔2016〕23号），以及《</w:t>
      </w:r>
      <w:r>
        <w:rPr>
          <w:rFonts w:hAnsi="宋体"/>
          <w:bCs/>
        </w:rPr>
        <w:t>驻马店市正阳县乡镇集中式饮用水水源保护区划分技术报告</w:t>
      </w:r>
      <w:r>
        <w:rPr>
          <w:rFonts w:hint="eastAsia" w:hAnsi="宋体"/>
          <w:bCs/>
          <w:snapToGrid w:val="0"/>
          <w:szCs w:val="24"/>
        </w:rPr>
        <w:t>》划分的结果可知，正阳县</w:t>
      </w:r>
      <w:r>
        <w:rPr>
          <w:rFonts w:hint="eastAsia" w:hAnsi="宋体"/>
          <w:snapToGrid w:val="0"/>
          <w:sz w:val="24"/>
          <w:lang w:eastAsia="zh-CN"/>
        </w:rPr>
        <w:t>汝南埠镇</w:t>
      </w:r>
      <w:r>
        <w:rPr>
          <w:rFonts w:hint="eastAsia" w:hAnsi="宋体"/>
          <w:bCs/>
          <w:snapToGrid w:val="0"/>
          <w:szCs w:val="24"/>
        </w:rPr>
        <w:t>地下水井共</w:t>
      </w:r>
      <w:r>
        <w:rPr>
          <w:rFonts w:hint="eastAsia" w:hAnsi="宋体"/>
          <w:bCs/>
          <w:snapToGrid w:val="0"/>
          <w:szCs w:val="24"/>
          <w:lang w:val="en-US" w:eastAsia="zh-CN"/>
        </w:rPr>
        <w:t>4</w:t>
      </w:r>
      <w:r>
        <w:rPr>
          <w:rFonts w:hint="eastAsia" w:hAnsi="宋体"/>
          <w:bCs/>
          <w:snapToGrid w:val="0"/>
          <w:szCs w:val="24"/>
        </w:rPr>
        <w:t>眼井，一级保护区范围为：</w:t>
      </w:r>
      <w:r>
        <w:rPr>
          <w:rFonts w:hint="eastAsia" w:hAnsi="宋体"/>
          <w:bCs/>
          <w:snapToGrid w:val="0"/>
          <w:szCs w:val="24"/>
          <w:lang w:val="en-US" w:eastAsia="zh-CN"/>
        </w:rPr>
        <w:t>水厂厂区及外围东20米、西20米、南16米、北28米的区域(1～3号取水井)，4号取水井外围30米的区域</w:t>
      </w:r>
      <w:r>
        <w:rPr>
          <w:rFonts w:hint="eastAsia" w:hAnsi="宋体"/>
          <w:bCs/>
          <w:snapToGrid w:val="0"/>
          <w:szCs w:val="24"/>
        </w:rPr>
        <w:t>。</w:t>
      </w:r>
    </w:p>
    <w:p>
      <w:pPr>
        <w:pStyle w:val="23"/>
        <w:ind w:firstLine="480"/>
        <w:rPr>
          <w:rFonts w:hint="eastAsia" w:hAnsi="宋体"/>
          <w:bCs/>
          <w:snapToGrid w:val="0"/>
          <w:szCs w:val="24"/>
        </w:rPr>
      </w:pPr>
      <w:r>
        <w:rPr>
          <w:rFonts w:hint="eastAsia" w:hAnsi="宋体"/>
          <w:bCs/>
          <w:snapToGrid w:val="0"/>
          <w:szCs w:val="24"/>
        </w:rPr>
        <w:t>正阳县</w:t>
      </w:r>
      <w:r>
        <w:rPr>
          <w:rFonts w:hint="eastAsia" w:hAnsi="宋体"/>
          <w:snapToGrid w:val="0"/>
          <w:sz w:val="24"/>
          <w:lang w:eastAsia="zh-CN"/>
        </w:rPr>
        <w:t>汝南埠镇</w:t>
      </w:r>
      <w:r>
        <w:rPr>
          <w:rFonts w:hint="eastAsia" w:hAnsi="宋体"/>
          <w:bCs/>
          <w:snapToGrid w:val="0"/>
          <w:szCs w:val="24"/>
        </w:rPr>
        <w:t>地下水井位于</w:t>
      </w:r>
      <w:r>
        <w:rPr>
          <w:rFonts w:hint="eastAsia" w:hAnsi="宋体"/>
          <w:snapToGrid w:val="0"/>
          <w:sz w:val="24"/>
          <w:lang w:eastAsia="zh-CN"/>
        </w:rPr>
        <w:t>汝南埠镇</w:t>
      </w:r>
      <w:r>
        <w:rPr>
          <w:rFonts w:hint="eastAsia" w:hAnsi="宋体"/>
          <w:bCs/>
          <w:snapToGrid w:val="0"/>
          <w:szCs w:val="24"/>
        </w:rPr>
        <w:t>，位于本项目</w:t>
      </w:r>
      <w:r>
        <w:rPr>
          <w:rFonts w:hint="eastAsia" w:hAnsi="宋体"/>
          <w:bCs/>
          <w:snapToGrid w:val="0"/>
          <w:szCs w:val="24"/>
          <w:lang w:val="en-US" w:eastAsia="zh-CN"/>
        </w:rPr>
        <w:t>西北</w:t>
      </w:r>
      <w:r>
        <w:rPr>
          <w:rFonts w:hint="eastAsia" w:hAnsi="宋体"/>
          <w:bCs/>
          <w:snapToGrid w:val="0"/>
          <w:szCs w:val="24"/>
        </w:rPr>
        <w:t>约</w:t>
      </w:r>
      <w:r>
        <w:rPr>
          <w:rFonts w:hint="eastAsia" w:hAnsi="宋体"/>
          <w:bCs/>
          <w:snapToGrid w:val="0"/>
          <w:szCs w:val="24"/>
          <w:lang w:val="en-US" w:eastAsia="zh-CN"/>
        </w:rPr>
        <w:t>3.8</w:t>
      </w:r>
      <w:r>
        <w:rPr>
          <w:rFonts w:hint="eastAsia" w:hAnsi="宋体"/>
          <w:bCs/>
          <w:snapToGrid w:val="0"/>
          <w:szCs w:val="24"/>
        </w:rPr>
        <w:t>km，距离本项目沼液消纳地边界约</w:t>
      </w:r>
      <w:r>
        <w:rPr>
          <w:rFonts w:hint="eastAsia" w:hAnsi="宋体"/>
          <w:bCs/>
          <w:snapToGrid w:val="0"/>
          <w:szCs w:val="24"/>
          <w:lang w:val="en-US" w:eastAsia="zh-CN"/>
        </w:rPr>
        <w:t>3.82</w:t>
      </w:r>
      <w:r>
        <w:rPr>
          <w:rFonts w:hint="eastAsia" w:hAnsi="宋体"/>
          <w:bCs/>
          <w:snapToGrid w:val="0"/>
          <w:szCs w:val="24"/>
        </w:rPr>
        <w:t>km，本项目和沼液消纳地</w:t>
      </w:r>
      <w:r>
        <w:rPr>
          <w:rFonts w:hint="eastAsia"/>
          <w:bCs/>
        </w:rPr>
        <w:t>不在其保护区范围内，</w:t>
      </w:r>
      <w:r>
        <w:rPr>
          <w:rFonts w:hint="eastAsia" w:hAnsi="宋体"/>
          <w:bCs/>
          <w:snapToGrid w:val="0"/>
          <w:szCs w:val="24"/>
        </w:rPr>
        <w:t>符合饮用水源保护规划要求。</w:t>
      </w:r>
    </w:p>
    <w:p>
      <w:pPr>
        <w:autoSpaceDE w:val="0"/>
        <w:autoSpaceDN w:val="0"/>
        <w:spacing w:line="500" w:lineRule="exact"/>
        <w:ind w:firstLine="480" w:firstLineChars="200"/>
        <w:textAlignment w:val="baseline"/>
        <w:rPr>
          <w:rFonts w:hint="eastAsia"/>
          <w:sz w:val="24"/>
        </w:rPr>
      </w:pPr>
      <w:r>
        <w:rPr>
          <w:rFonts w:hint="eastAsia"/>
          <w:sz w:val="24"/>
        </w:rPr>
        <w:t>（3）</w:t>
      </w:r>
      <w:r>
        <w:rPr>
          <w:sz w:val="24"/>
        </w:rPr>
        <w:t>《</w:t>
      </w:r>
      <w:r>
        <w:rPr>
          <w:rFonts w:hint="eastAsia"/>
          <w:sz w:val="24"/>
        </w:rPr>
        <w:t>正阳县</w:t>
      </w:r>
      <w:r>
        <w:rPr>
          <w:sz w:val="24"/>
        </w:rPr>
        <w:t>畜禽养殖</w:t>
      </w:r>
      <w:r>
        <w:rPr>
          <w:rFonts w:hint="eastAsia"/>
          <w:sz w:val="24"/>
        </w:rPr>
        <w:t>禁养区限养区划分调整方案</w:t>
      </w:r>
      <w:r>
        <w:rPr>
          <w:sz w:val="24"/>
        </w:rPr>
        <w:t>的通知》</w:t>
      </w:r>
    </w:p>
    <w:p>
      <w:pPr>
        <w:autoSpaceDE w:val="0"/>
        <w:autoSpaceDN w:val="0"/>
        <w:spacing w:line="500" w:lineRule="exact"/>
        <w:ind w:firstLine="480" w:firstLineChars="200"/>
        <w:textAlignment w:val="baseline"/>
        <w:rPr>
          <w:rFonts w:hint="eastAsia"/>
        </w:rPr>
      </w:pPr>
      <w:r>
        <w:rPr>
          <w:rFonts w:hint="eastAsia"/>
          <w:sz w:val="24"/>
        </w:rPr>
        <w:t>对照</w:t>
      </w:r>
      <w:r>
        <w:rPr>
          <w:sz w:val="24"/>
        </w:rPr>
        <w:t>《</w:t>
      </w:r>
      <w:r>
        <w:rPr>
          <w:rFonts w:hAnsi="宋体"/>
          <w:sz w:val="24"/>
        </w:rPr>
        <w:t>正阳县人民政府关于印发正阳县畜禽养殖禁养区划分及防治工作方案的通知</w:t>
      </w:r>
      <w:r>
        <w:rPr>
          <w:sz w:val="24"/>
        </w:rPr>
        <w:t>》</w:t>
      </w:r>
      <w:r>
        <w:rPr>
          <w:rFonts w:hint="eastAsia"/>
          <w:sz w:val="24"/>
        </w:rPr>
        <w:t>本项目不在</w:t>
      </w:r>
      <w:r>
        <w:rPr>
          <w:sz w:val="24"/>
        </w:rPr>
        <w:t>禁养区、限养区范围内，项目建设符合《</w:t>
      </w:r>
      <w:r>
        <w:rPr>
          <w:rFonts w:hint="eastAsia"/>
          <w:sz w:val="24"/>
        </w:rPr>
        <w:t>正阳县</w:t>
      </w:r>
      <w:r>
        <w:rPr>
          <w:sz w:val="24"/>
        </w:rPr>
        <w:t>畜禽养殖禁养区限养区划定方案》要求，项目建设符合选址要求。</w:t>
      </w:r>
    </w:p>
    <w:p>
      <w:pPr>
        <w:autoSpaceDE w:val="0"/>
        <w:autoSpaceDN w:val="0"/>
        <w:spacing w:line="500" w:lineRule="exact"/>
        <w:textAlignment w:val="baseline"/>
        <w:rPr>
          <w:rFonts w:hAnsi="宋体"/>
          <w:b/>
          <w:sz w:val="24"/>
        </w:rPr>
      </w:pPr>
      <w:r>
        <w:rPr>
          <w:rFonts w:hint="eastAsia"/>
          <w:b/>
          <w:sz w:val="24"/>
        </w:rPr>
        <w:t>四</w:t>
      </w:r>
      <w:r>
        <w:rPr>
          <w:b/>
          <w:sz w:val="24"/>
        </w:rPr>
        <w:t>、关注的主要环境问题及环境影响</w:t>
      </w:r>
    </w:p>
    <w:p>
      <w:pPr>
        <w:pStyle w:val="24"/>
        <w:adjustRightInd/>
        <w:spacing w:line="520" w:lineRule="exact"/>
        <w:ind w:firstLine="600" w:firstLineChars="250"/>
        <w:rPr>
          <w:rFonts w:hint="eastAsia" w:hAnsi="宋体"/>
          <w:kern w:val="2"/>
          <w:szCs w:val="28"/>
        </w:rPr>
      </w:pPr>
      <w:r>
        <w:rPr>
          <w:rFonts w:hint="eastAsia" w:hAnsi="宋体"/>
          <w:kern w:val="2"/>
          <w:szCs w:val="28"/>
        </w:rPr>
        <w:t>本项目为生猪规模化养殖项目，生产过程中关注的主要环境问题及环境影响为：</w:t>
      </w:r>
      <w:r>
        <w:t>猪舍、沼气工程区域、堆肥区和沼液储存池排放的恶臭、厨房油烟和沼气燃烧废气等</w:t>
      </w:r>
      <w:r>
        <w:rPr>
          <w:rFonts w:hint="eastAsia"/>
        </w:rPr>
        <w:t>废气影响；生猪养殖过程产生的粪污及员工生活污水影响；生产运营过程中产生的病死猪尸体、医疗废物、生活垃圾废脱硫剂等固体废物；生产过程产生的猪叫、风机噪声等噪声影响。项目区及沼液消纳地对地下水的影响，沼液消纳地对土壤的影响等。</w:t>
      </w:r>
    </w:p>
    <w:p>
      <w:pPr>
        <w:pStyle w:val="24"/>
        <w:adjustRightInd/>
        <w:spacing w:line="520" w:lineRule="exact"/>
        <w:ind w:firstLine="600" w:firstLineChars="250"/>
        <w:rPr>
          <w:rFonts w:hint="eastAsia" w:hAnsi="宋体"/>
          <w:kern w:val="2"/>
          <w:szCs w:val="28"/>
        </w:rPr>
      </w:pPr>
      <w:r>
        <w:rPr>
          <w:rFonts w:hint="eastAsia" w:hAnsi="宋体"/>
          <w:kern w:val="2"/>
          <w:szCs w:val="28"/>
        </w:rPr>
        <w:t>因此本次评价针对以上项目运营过程中产生的主要环境影响进行预测分析，根据预测结果提出切实可行的环保措施。</w:t>
      </w:r>
    </w:p>
    <w:p>
      <w:pPr>
        <w:tabs>
          <w:tab w:val="left" w:pos="924"/>
        </w:tabs>
        <w:spacing w:line="520" w:lineRule="exact"/>
        <w:rPr>
          <w:rFonts w:hint="eastAsia"/>
          <w:b/>
          <w:sz w:val="24"/>
        </w:rPr>
      </w:pPr>
      <w:r>
        <w:rPr>
          <w:rFonts w:hint="eastAsia"/>
          <w:b/>
          <w:sz w:val="24"/>
        </w:rPr>
        <w:t>五</w:t>
      </w:r>
      <w:r>
        <w:rPr>
          <w:b/>
          <w:sz w:val="24"/>
        </w:rPr>
        <w:t>、环境影响评价的主要结论</w:t>
      </w:r>
    </w:p>
    <w:p>
      <w:pPr>
        <w:spacing w:line="520" w:lineRule="exact"/>
        <w:ind w:firstLine="480" w:firstLineChars="200"/>
        <w:rPr>
          <w:snapToGrid w:val="0"/>
          <w:kern w:val="0"/>
          <w:sz w:val="24"/>
          <w:szCs w:val="20"/>
        </w:rPr>
        <w:sectPr>
          <w:headerReference r:id="rId5" w:type="default"/>
          <w:footerReference r:id="rId6" w:type="default"/>
          <w:pgSz w:w="11906" w:h="16838"/>
          <w:pgMar w:top="1588" w:right="1588" w:bottom="1588" w:left="1588" w:header="851" w:footer="992" w:gutter="0"/>
          <w:pgNumType w:fmt="numberInDash" w:start="1"/>
          <w:cols w:space="720" w:num="1"/>
          <w:docGrid w:linePitch="312" w:charSpace="0"/>
        </w:sectPr>
      </w:pPr>
      <w:r>
        <w:rPr>
          <w:snapToGrid w:val="0"/>
          <w:kern w:val="0"/>
          <w:sz w:val="24"/>
          <w:szCs w:val="20"/>
        </w:rPr>
        <w:t>本项目建设和营运过程中将不可避免地带来一些环境的负面影响，但只要严格实施本评价提出的污染防治措施，可将项目对环境的不利影响降至最低程度，同时严格执行</w:t>
      </w:r>
      <w:r>
        <w:rPr>
          <w:rFonts w:ascii="宋体" w:hAnsi="宋体"/>
          <w:snapToGrid w:val="0"/>
          <w:kern w:val="0"/>
          <w:sz w:val="24"/>
          <w:szCs w:val="20"/>
        </w:rPr>
        <w:t>“三同时”</w:t>
      </w:r>
      <w:r>
        <w:rPr>
          <w:snapToGrid w:val="0"/>
          <w:kern w:val="0"/>
          <w:sz w:val="24"/>
          <w:szCs w:val="20"/>
        </w:rPr>
        <w:t>政策，加强环境管理，确保环保设施正常运行，从环境影响角度分析，本项目建设可行。</w:t>
      </w:r>
    </w:p>
    <w:p>
      <w:pPr>
        <w:keepNext/>
        <w:keepLines/>
        <w:spacing w:before="100" w:beforeAutospacing="1" w:after="100" w:afterAutospacing="1"/>
        <w:jc w:val="center"/>
        <w:outlineLvl w:val="0"/>
        <w:rPr>
          <w:b/>
          <w:sz w:val="44"/>
          <w:szCs w:val="44"/>
        </w:rPr>
      </w:pPr>
      <w:bookmarkStart w:id="7" w:name="_Toc19650"/>
      <w:r>
        <w:rPr>
          <w:b/>
          <w:sz w:val="44"/>
          <w:szCs w:val="44"/>
        </w:rPr>
        <w:t>第一章  总</w:t>
      </w:r>
      <w:bookmarkEnd w:id="0"/>
      <w:r>
        <w:rPr>
          <w:rFonts w:hint="eastAsia"/>
          <w:b/>
          <w:sz w:val="44"/>
          <w:szCs w:val="44"/>
        </w:rPr>
        <w:t>则</w:t>
      </w:r>
      <w:bookmarkEnd w:id="7"/>
    </w:p>
    <w:p>
      <w:pPr>
        <w:snapToGrid w:val="0"/>
        <w:spacing w:line="520" w:lineRule="exact"/>
        <w:outlineLvl w:val="1"/>
        <w:rPr>
          <w:rFonts w:eastAsia="黑体"/>
          <w:bCs/>
          <w:sz w:val="28"/>
          <w:szCs w:val="28"/>
        </w:rPr>
      </w:pPr>
      <w:bookmarkStart w:id="8" w:name="_Toc413750062"/>
      <w:bookmarkStart w:id="9" w:name="_Toc12963"/>
      <w:bookmarkStart w:id="10" w:name="_Toc412820896"/>
      <w:bookmarkStart w:id="11" w:name="_Toc472009581"/>
      <w:bookmarkStart w:id="12" w:name="_Toc407000974"/>
      <w:r>
        <w:rPr>
          <w:rFonts w:eastAsia="黑体"/>
          <w:bCs/>
          <w:sz w:val="28"/>
          <w:szCs w:val="28"/>
        </w:rPr>
        <w:t>1.1 编制依据</w:t>
      </w:r>
      <w:bookmarkEnd w:id="8"/>
      <w:bookmarkEnd w:id="9"/>
      <w:bookmarkEnd w:id="10"/>
      <w:bookmarkEnd w:id="11"/>
      <w:bookmarkEnd w:id="12"/>
    </w:p>
    <w:p>
      <w:pPr>
        <w:pStyle w:val="2"/>
        <w:snapToGrid w:val="0"/>
        <w:spacing w:before="0" w:after="0" w:line="520" w:lineRule="exact"/>
        <w:rPr>
          <w:rFonts w:eastAsia="黑体"/>
          <w:b w:val="0"/>
          <w:bCs w:val="0"/>
          <w:sz w:val="24"/>
          <w:szCs w:val="24"/>
        </w:rPr>
      </w:pPr>
      <w:bookmarkStart w:id="13" w:name="_Toc275796677"/>
      <w:bookmarkStart w:id="14" w:name="_Toc278310142"/>
      <w:bookmarkStart w:id="15" w:name="_Toc345417234"/>
      <w:bookmarkStart w:id="16" w:name="_Toc275449582"/>
      <w:bookmarkStart w:id="17" w:name="_Toc275448951"/>
      <w:bookmarkStart w:id="18" w:name="_Toc275796840"/>
      <w:bookmarkStart w:id="19" w:name="_Toc328371590"/>
      <w:bookmarkStart w:id="20" w:name="_Toc413750063"/>
      <w:bookmarkStart w:id="21" w:name="_Toc412820897"/>
      <w:bookmarkStart w:id="22" w:name="_Toc407000975"/>
      <w:r>
        <w:rPr>
          <w:rFonts w:eastAsia="黑体"/>
          <w:b w:val="0"/>
          <w:bCs w:val="0"/>
          <w:sz w:val="24"/>
          <w:szCs w:val="24"/>
        </w:rPr>
        <w:t>1.1.</w:t>
      </w:r>
      <w:bookmarkEnd w:id="13"/>
      <w:bookmarkEnd w:id="14"/>
      <w:bookmarkEnd w:id="15"/>
      <w:bookmarkEnd w:id="16"/>
      <w:bookmarkEnd w:id="17"/>
      <w:bookmarkEnd w:id="18"/>
      <w:bookmarkEnd w:id="19"/>
      <w:r>
        <w:rPr>
          <w:rFonts w:eastAsia="黑体"/>
          <w:b w:val="0"/>
          <w:bCs w:val="0"/>
          <w:sz w:val="24"/>
          <w:szCs w:val="24"/>
        </w:rPr>
        <w:t>1 法律依据</w:t>
      </w:r>
      <w:bookmarkEnd w:id="20"/>
      <w:bookmarkEnd w:id="21"/>
      <w:bookmarkEnd w:id="22"/>
    </w:p>
    <w:p>
      <w:pPr>
        <w:snapToGrid w:val="0"/>
        <w:spacing w:line="520" w:lineRule="exact"/>
        <w:ind w:firstLine="480" w:firstLineChars="200"/>
        <w:rPr>
          <w:sz w:val="24"/>
        </w:rPr>
      </w:pPr>
      <w:r>
        <w:rPr>
          <w:sz w:val="24"/>
        </w:rPr>
        <w:t>（1）《中华人民共和国环境保护法》（2015年1月1日实施）；</w:t>
      </w:r>
    </w:p>
    <w:p>
      <w:pPr>
        <w:snapToGrid w:val="0"/>
        <w:spacing w:line="520" w:lineRule="exact"/>
        <w:ind w:firstLine="480" w:firstLineChars="200"/>
        <w:rPr>
          <w:sz w:val="24"/>
        </w:rPr>
      </w:pPr>
      <w:r>
        <w:rPr>
          <w:sz w:val="24"/>
        </w:rPr>
        <w:t>（2）《中华人民共和国环境影响评价法》（2018年12月29日</w:t>
      </w:r>
      <w:r>
        <w:rPr>
          <w:rFonts w:hint="eastAsia"/>
          <w:sz w:val="24"/>
        </w:rPr>
        <w:t>修订</w:t>
      </w:r>
      <w:r>
        <w:rPr>
          <w:sz w:val="24"/>
        </w:rPr>
        <w:t>并实施）；</w:t>
      </w:r>
    </w:p>
    <w:p>
      <w:pPr>
        <w:snapToGrid w:val="0"/>
        <w:spacing w:line="520" w:lineRule="exact"/>
        <w:ind w:firstLine="480" w:firstLineChars="200"/>
        <w:rPr>
          <w:sz w:val="24"/>
        </w:rPr>
      </w:pPr>
      <w:r>
        <w:rPr>
          <w:sz w:val="24"/>
        </w:rPr>
        <w:t>（3）《建设项目环境保护管理条例》（国务院令第682号，2017年10月1日</w:t>
      </w:r>
      <w:r>
        <w:rPr>
          <w:rFonts w:hint="eastAsia"/>
          <w:sz w:val="24"/>
        </w:rPr>
        <w:t>实施</w:t>
      </w:r>
      <w:r>
        <w:rPr>
          <w:sz w:val="24"/>
        </w:rPr>
        <w:t>）；</w:t>
      </w:r>
    </w:p>
    <w:p>
      <w:pPr>
        <w:spacing w:line="500" w:lineRule="exact"/>
        <w:ind w:firstLine="480" w:firstLineChars="200"/>
        <w:rPr>
          <w:sz w:val="24"/>
        </w:rPr>
      </w:pPr>
      <w:r>
        <w:rPr>
          <w:sz w:val="24"/>
        </w:rPr>
        <w:t>（4）《中华人民共和国水污染防治法》（2018年1月1日实施）；</w:t>
      </w:r>
    </w:p>
    <w:p>
      <w:pPr>
        <w:spacing w:line="500" w:lineRule="exact"/>
        <w:ind w:firstLine="480" w:firstLineChars="200"/>
        <w:rPr>
          <w:sz w:val="24"/>
        </w:rPr>
      </w:pPr>
      <w:r>
        <w:rPr>
          <w:sz w:val="24"/>
        </w:rPr>
        <w:t>（5）《中华人民共和国大气污染防治法》（2018年10月26日修订</w:t>
      </w:r>
      <w:r>
        <w:rPr>
          <w:rFonts w:hint="eastAsia"/>
          <w:sz w:val="24"/>
        </w:rPr>
        <w:t>并</w:t>
      </w:r>
      <w:r>
        <w:rPr>
          <w:sz w:val="24"/>
        </w:rPr>
        <w:t>实施）；</w:t>
      </w:r>
    </w:p>
    <w:p>
      <w:pPr>
        <w:spacing w:line="500" w:lineRule="exact"/>
        <w:ind w:firstLine="480" w:firstLineChars="200"/>
        <w:rPr>
          <w:sz w:val="24"/>
        </w:rPr>
      </w:pPr>
      <w:r>
        <w:rPr>
          <w:sz w:val="24"/>
        </w:rPr>
        <w:t>（6）《中华人民共和国大气污染防治法实施细则》（</w:t>
      </w:r>
      <w:r>
        <w:rPr>
          <w:rFonts w:hint="eastAsia"/>
          <w:sz w:val="24"/>
        </w:rPr>
        <w:t>1991年7月1日起实施</w:t>
      </w:r>
      <w:r>
        <w:rPr>
          <w:sz w:val="24"/>
        </w:rPr>
        <w:t>）；</w:t>
      </w:r>
    </w:p>
    <w:p>
      <w:pPr>
        <w:spacing w:line="500" w:lineRule="exact"/>
        <w:ind w:firstLine="480" w:firstLineChars="200"/>
        <w:rPr>
          <w:sz w:val="24"/>
        </w:rPr>
      </w:pPr>
      <w:r>
        <w:rPr>
          <w:sz w:val="24"/>
        </w:rPr>
        <w:t>（7）《中华人民共和国环境噪声污染防治法》（2018</w:t>
      </w:r>
      <w:r>
        <w:rPr>
          <w:rFonts w:hint="eastAsia"/>
          <w:sz w:val="24"/>
        </w:rPr>
        <w:t>年12月29日</w:t>
      </w:r>
      <w:r>
        <w:rPr>
          <w:sz w:val="24"/>
        </w:rPr>
        <w:t>修订并实施）；</w:t>
      </w:r>
    </w:p>
    <w:p>
      <w:pPr>
        <w:spacing w:line="500" w:lineRule="exact"/>
        <w:ind w:firstLine="480" w:firstLineChars="200"/>
        <w:rPr>
          <w:sz w:val="24"/>
        </w:rPr>
      </w:pPr>
      <w:r>
        <w:rPr>
          <w:sz w:val="24"/>
        </w:rPr>
        <w:t>（8）《中华人民共和国固体废物污染环境防治法》（</w:t>
      </w:r>
      <w:r>
        <w:rPr>
          <w:rFonts w:hint="eastAsia"/>
          <w:sz w:val="24"/>
        </w:rPr>
        <w:t>2015年11月19日实施</w:t>
      </w:r>
      <w:r>
        <w:rPr>
          <w:sz w:val="24"/>
        </w:rPr>
        <w:t>）；</w:t>
      </w:r>
    </w:p>
    <w:p>
      <w:pPr>
        <w:spacing w:line="500" w:lineRule="exact"/>
        <w:ind w:firstLine="480" w:firstLineChars="200"/>
        <w:rPr>
          <w:sz w:val="24"/>
        </w:rPr>
      </w:pPr>
      <w:r>
        <w:rPr>
          <w:sz w:val="24"/>
        </w:rPr>
        <w:t>（9）《中华人民共和国土地管理法》（2004年8月28日）；</w:t>
      </w:r>
    </w:p>
    <w:p>
      <w:pPr>
        <w:spacing w:line="500" w:lineRule="exact"/>
        <w:ind w:firstLine="480" w:firstLineChars="200"/>
        <w:rPr>
          <w:sz w:val="24"/>
        </w:rPr>
      </w:pPr>
      <w:r>
        <w:rPr>
          <w:sz w:val="24"/>
        </w:rPr>
        <w:t>（10）《畜禽规模养殖污染防治条例》（中华人民共和国国务院令第643号）；</w:t>
      </w:r>
    </w:p>
    <w:p>
      <w:pPr>
        <w:spacing w:line="500" w:lineRule="exact"/>
        <w:ind w:firstLine="480" w:firstLineChars="200"/>
        <w:rPr>
          <w:sz w:val="24"/>
        </w:rPr>
      </w:pPr>
      <w:r>
        <w:rPr>
          <w:sz w:val="24"/>
        </w:rPr>
        <w:t>（11）《基本农田保护条例》（国务院令第257号，1998年12月27日）；</w:t>
      </w:r>
    </w:p>
    <w:p>
      <w:pPr>
        <w:spacing w:line="500" w:lineRule="exact"/>
        <w:ind w:firstLine="480" w:firstLineChars="200"/>
        <w:rPr>
          <w:sz w:val="24"/>
        </w:rPr>
      </w:pPr>
      <w:r>
        <w:rPr>
          <w:sz w:val="24"/>
        </w:rPr>
        <w:t>（12）《建设项目环境影响评价分类管理名录》（中华人民共和国环境保护部令第44号）及其修改单；</w:t>
      </w:r>
    </w:p>
    <w:p>
      <w:pPr>
        <w:spacing w:line="500" w:lineRule="exact"/>
        <w:ind w:firstLine="480" w:firstLineChars="200"/>
        <w:rPr>
          <w:sz w:val="24"/>
        </w:rPr>
      </w:pPr>
      <w:r>
        <w:rPr>
          <w:sz w:val="24"/>
        </w:rPr>
        <w:t>（13）《环境影响评价公众参与办法》（</w:t>
      </w:r>
      <w:r>
        <w:rPr>
          <w:rFonts w:hint="eastAsia"/>
          <w:sz w:val="24"/>
        </w:rPr>
        <w:t>生态</w:t>
      </w:r>
      <w:r>
        <w:rPr>
          <w:sz w:val="24"/>
        </w:rPr>
        <w:t>环境</w:t>
      </w:r>
      <w:r>
        <w:rPr>
          <w:rFonts w:hint="eastAsia"/>
          <w:sz w:val="24"/>
        </w:rPr>
        <w:t>部令[第4</w:t>
      </w:r>
      <w:r>
        <w:rPr>
          <w:sz w:val="24"/>
        </w:rPr>
        <w:t>号</w:t>
      </w:r>
      <w:r>
        <w:rPr>
          <w:rFonts w:hint="eastAsia"/>
          <w:sz w:val="24"/>
        </w:rPr>
        <w:t>]</w:t>
      </w:r>
      <w:r>
        <w:rPr>
          <w:sz w:val="24"/>
        </w:rPr>
        <w:t>）；</w:t>
      </w:r>
    </w:p>
    <w:p>
      <w:pPr>
        <w:spacing w:line="500" w:lineRule="exact"/>
        <w:ind w:firstLine="480" w:firstLineChars="200"/>
        <w:rPr>
          <w:rFonts w:hint="eastAsia"/>
          <w:sz w:val="24"/>
        </w:rPr>
      </w:pPr>
      <w:r>
        <w:rPr>
          <w:sz w:val="24"/>
        </w:rPr>
        <w:t>（14）《中华人民共和国动物防疫法》（2007年8月30日）</w:t>
      </w:r>
      <w:r>
        <w:rPr>
          <w:rFonts w:hint="eastAsia"/>
          <w:sz w:val="24"/>
        </w:rPr>
        <w:t>。</w:t>
      </w:r>
    </w:p>
    <w:p>
      <w:pPr>
        <w:pStyle w:val="2"/>
        <w:snapToGrid w:val="0"/>
        <w:spacing w:before="0" w:after="0" w:line="520" w:lineRule="exact"/>
        <w:rPr>
          <w:rFonts w:eastAsia="黑体"/>
          <w:b w:val="0"/>
          <w:bCs w:val="0"/>
          <w:sz w:val="24"/>
          <w:szCs w:val="24"/>
        </w:rPr>
      </w:pPr>
      <w:bookmarkStart w:id="23" w:name="_Toc278310143"/>
      <w:bookmarkStart w:id="24" w:name="_Toc407000976"/>
      <w:bookmarkStart w:id="25" w:name="_Toc275796678"/>
      <w:bookmarkStart w:id="26" w:name="_Toc275796841"/>
      <w:bookmarkStart w:id="27" w:name="_Toc412820898"/>
      <w:bookmarkStart w:id="28" w:name="_Toc275449583"/>
      <w:bookmarkStart w:id="29" w:name="_Toc345417235"/>
      <w:bookmarkStart w:id="30" w:name="_Toc413750064"/>
      <w:bookmarkStart w:id="31" w:name="_Toc275448952"/>
      <w:bookmarkStart w:id="32" w:name="_Toc328371591"/>
      <w:r>
        <w:rPr>
          <w:rFonts w:eastAsia="黑体"/>
          <w:b w:val="0"/>
          <w:bCs w:val="0"/>
          <w:sz w:val="24"/>
          <w:szCs w:val="24"/>
        </w:rPr>
        <w:t>1.1.2 行业标准与技术规范</w:t>
      </w:r>
      <w:bookmarkEnd w:id="23"/>
      <w:bookmarkEnd w:id="24"/>
      <w:bookmarkEnd w:id="25"/>
      <w:bookmarkEnd w:id="26"/>
      <w:bookmarkEnd w:id="27"/>
      <w:bookmarkEnd w:id="28"/>
      <w:bookmarkEnd w:id="29"/>
      <w:bookmarkEnd w:id="30"/>
      <w:bookmarkEnd w:id="31"/>
      <w:bookmarkEnd w:id="32"/>
    </w:p>
    <w:p>
      <w:pPr>
        <w:spacing w:line="500" w:lineRule="exact"/>
        <w:ind w:firstLine="480" w:firstLineChars="200"/>
        <w:rPr>
          <w:sz w:val="24"/>
        </w:rPr>
      </w:pPr>
      <w:r>
        <w:rPr>
          <w:sz w:val="24"/>
        </w:rPr>
        <w:t>（1）《环境影响评价技术导则—总纲》（HJ 2.1-2016）；</w:t>
      </w:r>
    </w:p>
    <w:p>
      <w:pPr>
        <w:spacing w:line="500" w:lineRule="exact"/>
        <w:ind w:firstLine="480" w:firstLineChars="200"/>
        <w:rPr>
          <w:sz w:val="24"/>
        </w:rPr>
      </w:pPr>
      <w:r>
        <w:rPr>
          <w:sz w:val="24"/>
        </w:rPr>
        <w:t>（2）《环境影响评价技术导则—大气环境》（HJ 2.2-2018）；</w:t>
      </w:r>
    </w:p>
    <w:p>
      <w:pPr>
        <w:spacing w:line="500" w:lineRule="exact"/>
        <w:ind w:firstLine="480" w:firstLineChars="200"/>
        <w:rPr>
          <w:sz w:val="24"/>
        </w:rPr>
      </w:pPr>
      <w:r>
        <w:rPr>
          <w:sz w:val="24"/>
        </w:rPr>
        <w:t>（3）《环境影响评价技术导则—地面水环境》（HJ/T 2.3-2018）；</w:t>
      </w:r>
    </w:p>
    <w:p>
      <w:pPr>
        <w:spacing w:line="500" w:lineRule="exact"/>
        <w:ind w:firstLine="480" w:firstLineChars="200"/>
        <w:rPr>
          <w:sz w:val="24"/>
        </w:rPr>
      </w:pPr>
      <w:r>
        <w:rPr>
          <w:sz w:val="24"/>
        </w:rPr>
        <w:t>（4）《环境影响评价技术导则—声环境》（HJ 2.4-2009）；</w:t>
      </w:r>
    </w:p>
    <w:p>
      <w:pPr>
        <w:spacing w:line="500" w:lineRule="exact"/>
        <w:ind w:firstLine="480" w:firstLineChars="200"/>
        <w:rPr>
          <w:sz w:val="24"/>
        </w:rPr>
      </w:pPr>
      <w:r>
        <w:rPr>
          <w:sz w:val="24"/>
        </w:rPr>
        <w:t>（5）《环境影响评价技术导则—地下水环境》（HJ 610-2016）；</w:t>
      </w:r>
    </w:p>
    <w:p>
      <w:pPr>
        <w:spacing w:line="500" w:lineRule="exact"/>
        <w:ind w:firstLine="480" w:firstLineChars="200"/>
        <w:rPr>
          <w:sz w:val="24"/>
        </w:rPr>
      </w:pPr>
      <w:r>
        <w:rPr>
          <w:sz w:val="24"/>
        </w:rPr>
        <w:t>（6）《环境影响评价技术导则—生态影响》（HJ 19-2011）；</w:t>
      </w:r>
    </w:p>
    <w:p>
      <w:pPr>
        <w:spacing w:line="500" w:lineRule="exact"/>
        <w:ind w:firstLine="480" w:firstLineChars="200"/>
        <w:rPr>
          <w:sz w:val="24"/>
        </w:rPr>
      </w:pPr>
      <w:bookmarkStart w:id="33" w:name="_Toc275448953"/>
      <w:bookmarkStart w:id="34" w:name="_Toc278310144"/>
      <w:bookmarkStart w:id="35" w:name="_Toc275449584"/>
      <w:bookmarkStart w:id="36" w:name="_Toc275796679"/>
      <w:bookmarkStart w:id="37" w:name="_Toc275796842"/>
      <w:bookmarkStart w:id="38" w:name="_Toc345417236"/>
      <w:bookmarkStart w:id="39" w:name="_Toc328371592"/>
      <w:r>
        <w:rPr>
          <w:sz w:val="24"/>
        </w:rPr>
        <w:t>（7）</w:t>
      </w:r>
      <w:r>
        <w:rPr>
          <w:rFonts w:hint="eastAsia"/>
          <w:sz w:val="24"/>
        </w:rPr>
        <w:t>《环境影响</w:t>
      </w:r>
      <w:r>
        <w:rPr>
          <w:sz w:val="24"/>
        </w:rPr>
        <w:t>评价技术导则</w:t>
      </w:r>
      <w:r>
        <w:rPr>
          <w:rFonts w:hint="eastAsia"/>
          <w:sz w:val="24"/>
        </w:rPr>
        <w:t>—土壤</w:t>
      </w:r>
      <w:r>
        <w:rPr>
          <w:sz w:val="24"/>
        </w:rPr>
        <w:t>环境（</w:t>
      </w:r>
      <w:r>
        <w:rPr>
          <w:rFonts w:hint="eastAsia"/>
          <w:sz w:val="24"/>
        </w:rPr>
        <w:t>试行</w:t>
      </w:r>
      <w:r>
        <w:rPr>
          <w:sz w:val="24"/>
        </w:rPr>
        <w:t>）</w:t>
      </w:r>
      <w:r>
        <w:rPr>
          <w:rFonts w:hint="eastAsia"/>
          <w:sz w:val="24"/>
        </w:rPr>
        <w:t>》（HJ964-2018）</w:t>
      </w:r>
    </w:p>
    <w:p>
      <w:pPr>
        <w:spacing w:line="500" w:lineRule="exact"/>
        <w:ind w:firstLine="480" w:firstLineChars="200"/>
        <w:rPr>
          <w:sz w:val="24"/>
        </w:rPr>
      </w:pPr>
      <w:r>
        <w:rPr>
          <w:sz w:val="24"/>
        </w:rPr>
        <w:t>（8）《地下水环境监测技术规范》（HJ/T 164-2004）；</w:t>
      </w:r>
    </w:p>
    <w:p>
      <w:pPr>
        <w:spacing w:line="500" w:lineRule="exact"/>
        <w:ind w:firstLine="480" w:firstLineChars="200"/>
        <w:rPr>
          <w:sz w:val="24"/>
        </w:rPr>
      </w:pPr>
      <w:r>
        <w:rPr>
          <w:sz w:val="24"/>
        </w:rPr>
        <w:t>（9）《地表水和污水监测技术规范》（HJ/T91-2002）；</w:t>
      </w:r>
    </w:p>
    <w:p>
      <w:pPr>
        <w:spacing w:line="500" w:lineRule="exact"/>
        <w:ind w:firstLine="480" w:firstLineChars="200"/>
        <w:rPr>
          <w:sz w:val="24"/>
        </w:rPr>
      </w:pPr>
      <w:r>
        <w:rPr>
          <w:sz w:val="24"/>
        </w:rPr>
        <w:t>（10）《建设项目环境风险评价技术导则》（HJ/T169-2018）；</w:t>
      </w:r>
    </w:p>
    <w:p>
      <w:pPr>
        <w:spacing w:line="500" w:lineRule="exact"/>
        <w:ind w:firstLine="480" w:firstLineChars="200"/>
        <w:rPr>
          <w:sz w:val="24"/>
        </w:rPr>
      </w:pPr>
      <w:r>
        <w:rPr>
          <w:sz w:val="24"/>
        </w:rPr>
        <w:t>（11）《畜禽养殖业污染防治技术规范》（HJ/T81-2001）；</w:t>
      </w:r>
    </w:p>
    <w:p>
      <w:pPr>
        <w:spacing w:line="500" w:lineRule="exact"/>
        <w:ind w:firstLine="480" w:firstLineChars="200"/>
        <w:rPr>
          <w:sz w:val="24"/>
        </w:rPr>
      </w:pPr>
      <w:r>
        <w:rPr>
          <w:sz w:val="24"/>
        </w:rPr>
        <w:t>（12）《畜禽养殖业污染治理工程技术规范》（HJ497-2009）；</w:t>
      </w:r>
    </w:p>
    <w:p>
      <w:pPr>
        <w:spacing w:line="500" w:lineRule="exact"/>
        <w:ind w:firstLine="480" w:firstLineChars="200"/>
        <w:rPr>
          <w:sz w:val="24"/>
        </w:rPr>
      </w:pPr>
      <w:r>
        <w:rPr>
          <w:sz w:val="24"/>
        </w:rPr>
        <w:t>（13）《畜禽养殖业污染防治技术政策》环发【2010】151号；</w:t>
      </w:r>
    </w:p>
    <w:p>
      <w:pPr>
        <w:spacing w:line="500" w:lineRule="exact"/>
        <w:ind w:firstLine="480" w:firstLineChars="200"/>
        <w:rPr>
          <w:sz w:val="24"/>
        </w:rPr>
      </w:pPr>
      <w:r>
        <w:rPr>
          <w:sz w:val="24"/>
        </w:rPr>
        <w:t>（14）《畜禽养殖污水贮存设施设计要求》（GB/T26624-2011）；</w:t>
      </w:r>
    </w:p>
    <w:p>
      <w:pPr>
        <w:spacing w:line="500" w:lineRule="exact"/>
        <w:ind w:firstLine="480" w:firstLineChars="200"/>
        <w:rPr>
          <w:sz w:val="24"/>
        </w:rPr>
      </w:pPr>
      <w:r>
        <w:rPr>
          <w:sz w:val="24"/>
        </w:rPr>
        <w:t>（15）</w:t>
      </w:r>
      <w:r>
        <w:rPr>
          <w:rFonts w:hint="eastAsia"/>
          <w:sz w:val="24"/>
        </w:rPr>
        <w:t xml:space="preserve"> </w:t>
      </w:r>
      <w:r>
        <w:rPr>
          <w:sz w:val="24"/>
        </w:rPr>
        <w:t>农业部“关于印发《病死动物无害化处理技术规范》的通知”（农医发〔2013〕34号）；</w:t>
      </w:r>
    </w:p>
    <w:p>
      <w:pPr>
        <w:spacing w:line="500" w:lineRule="exact"/>
        <w:ind w:firstLine="480" w:firstLineChars="200"/>
        <w:rPr>
          <w:sz w:val="24"/>
        </w:rPr>
      </w:pPr>
      <w:r>
        <w:rPr>
          <w:sz w:val="24"/>
        </w:rPr>
        <w:t>（16）《畜禽养殖场污染防治最佳可行技术指南（试行）》（HJ-BAT-10）；</w:t>
      </w:r>
    </w:p>
    <w:p>
      <w:pPr>
        <w:spacing w:line="500" w:lineRule="exact"/>
        <w:ind w:firstLine="480" w:firstLineChars="200"/>
        <w:rPr>
          <w:sz w:val="24"/>
        </w:rPr>
      </w:pPr>
      <w:r>
        <w:rPr>
          <w:sz w:val="24"/>
        </w:rPr>
        <w:t>（17）《规模化畜禽养殖场沼气工程设计规范》（NY/T1222-2006）；</w:t>
      </w:r>
    </w:p>
    <w:p>
      <w:pPr>
        <w:spacing w:line="500" w:lineRule="exact"/>
        <w:ind w:firstLine="480" w:firstLineChars="200"/>
        <w:rPr>
          <w:sz w:val="24"/>
        </w:rPr>
      </w:pPr>
      <w:r>
        <w:rPr>
          <w:rFonts w:hint="eastAsia"/>
          <w:sz w:val="24"/>
        </w:rPr>
        <w:t>（18）</w:t>
      </w:r>
      <w:r>
        <w:rPr>
          <w:sz w:val="24"/>
        </w:rPr>
        <w:t>《畜禽粪便还田技术规范》（GB/T25246-2010）</w:t>
      </w:r>
      <w:r>
        <w:rPr>
          <w:rFonts w:hint="eastAsia"/>
          <w:sz w:val="24"/>
        </w:rPr>
        <w:t>；</w:t>
      </w:r>
    </w:p>
    <w:p>
      <w:pPr>
        <w:spacing w:line="500" w:lineRule="exact"/>
        <w:ind w:firstLine="480" w:firstLineChars="200"/>
        <w:rPr>
          <w:sz w:val="24"/>
        </w:rPr>
      </w:pPr>
      <w:r>
        <w:rPr>
          <w:rFonts w:hint="eastAsia"/>
          <w:sz w:val="24"/>
        </w:rPr>
        <w:t>（1</w:t>
      </w:r>
      <w:r>
        <w:rPr>
          <w:sz w:val="24"/>
        </w:rPr>
        <w:t>9</w:t>
      </w:r>
      <w:r>
        <w:rPr>
          <w:rFonts w:hint="eastAsia"/>
          <w:sz w:val="24"/>
        </w:rPr>
        <w:t>）《建设</w:t>
      </w:r>
      <w:r>
        <w:rPr>
          <w:sz w:val="24"/>
        </w:rPr>
        <w:t>项目危险废物环境影响评价之南</w:t>
      </w:r>
      <w:r>
        <w:rPr>
          <w:rFonts w:hint="eastAsia"/>
          <w:sz w:val="24"/>
        </w:rPr>
        <w:t>》（环境</w:t>
      </w:r>
      <w:r>
        <w:rPr>
          <w:sz w:val="24"/>
        </w:rPr>
        <w:t>保护部公告</w:t>
      </w:r>
      <w:r>
        <w:rPr>
          <w:rFonts w:hint="eastAsia"/>
          <w:sz w:val="24"/>
        </w:rPr>
        <w:t>2017年</w:t>
      </w:r>
      <w:r>
        <w:rPr>
          <w:sz w:val="24"/>
        </w:rPr>
        <w:t>第</w:t>
      </w:r>
      <w:r>
        <w:rPr>
          <w:rFonts w:hint="eastAsia"/>
          <w:sz w:val="24"/>
        </w:rPr>
        <w:t>43号）</w:t>
      </w:r>
      <w:r>
        <w:rPr>
          <w:sz w:val="24"/>
        </w:rPr>
        <w:t>。</w:t>
      </w:r>
    </w:p>
    <w:p>
      <w:pPr>
        <w:spacing w:line="500" w:lineRule="exact"/>
        <w:ind w:firstLine="480" w:firstLineChars="200"/>
        <w:rPr>
          <w:sz w:val="24"/>
        </w:rPr>
      </w:pPr>
      <w:r>
        <w:rPr>
          <w:rFonts w:hint="eastAsia"/>
          <w:sz w:val="24"/>
        </w:rPr>
        <w:t>（20）《关于进一步明确畜禽粪污还田利用要求强化养殖污染监管的通知》解读</w:t>
      </w:r>
    </w:p>
    <w:p>
      <w:pPr>
        <w:pStyle w:val="2"/>
        <w:snapToGrid w:val="0"/>
        <w:spacing w:before="0" w:after="0" w:line="520" w:lineRule="exact"/>
        <w:rPr>
          <w:rFonts w:eastAsia="黑体"/>
          <w:b w:val="0"/>
          <w:bCs w:val="0"/>
          <w:sz w:val="24"/>
          <w:szCs w:val="24"/>
        </w:rPr>
      </w:pPr>
      <w:bookmarkStart w:id="40" w:name="_Toc412820899"/>
      <w:bookmarkStart w:id="41" w:name="_Toc407000977"/>
      <w:bookmarkStart w:id="42" w:name="_Toc413750065"/>
      <w:r>
        <w:rPr>
          <w:rFonts w:eastAsia="黑体"/>
          <w:b w:val="0"/>
          <w:bCs w:val="0"/>
          <w:sz w:val="24"/>
          <w:szCs w:val="24"/>
        </w:rPr>
        <w:t>1.1.3</w:t>
      </w:r>
      <w:bookmarkEnd w:id="33"/>
      <w:bookmarkEnd w:id="34"/>
      <w:bookmarkEnd w:id="35"/>
      <w:bookmarkEnd w:id="36"/>
      <w:bookmarkEnd w:id="37"/>
      <w:r>
        <w:rPr>
          <w:rFonts w:eastAsia="黑体"/>
          <w:b w:val="0"/>
          <w:bCs w:val="0"/>
          <w:sz w:val="24"/>
          <w:szCs w:val="24"/>
        </w:rPr>
        <w:t xml:space="preserve"> </w:t>
      </w:r>
      <w:bookmarkEnd w:id="38"/>
      <w:bookmarkEnd w:id="39"/>
      <w:r>
        <w:rPr>
          <w:rFonts w:eastAsia="黑体"/>
          <w:b w:val="0"/>
          <w:bCs w:val="0"/>
          <w:sz w:val="24"/>
          <w:szCs w:val="24"/>
        </w:rPr>
        <w:t>地方性法规及规范性文件</w:t>
      </w:r>
      <w:bookmarkEnd w:id="40"/>
      <w:bookmarkEnd w:id="41"/>
      <w:bookmarkEnd w:id="42"/>
    </w:p>
    <w:p>
      <w:pPr>
        <w:spacing w:line="520" w:lineRule="exact"/>
        <w:ind w:firstLine="480" w:firstLineChars="200"/>
        <w:jc w:val="left"/>
        <w:rPr>
          <w:sz w:val="24"/>
        </w:rPr>
      </w:pPr>
      <w:r>
        <w:rPr>
          <w:sz w:val="24"/>
        </w:rPr>
        <w:t>（1）《河南省建设项目环境管理条例》（2006.12.1）；</w:t>
      </w:r>
    </w:p>
    <w:p>
      <w:pPr>
        <w:spacing w:line="520" w:lineRule="exact"/>
        <w:ind w:firstLine="480" w:firstLineChars="200"/>
        <w:jc w:val="left"/>
        <w:rPr>
          <w:sz w:val="24"/>
        </w:rPr>
      </w:pPr>
      <w:r>
        <w:rPr>
          <w:sz w:val="24"/>
        </w:rPr>
        <w:t>（2）《关于印发畜禽养殖业污染源总量减排技术指导意见（试行）的通知》（豫环文[2012]99号）；</w:t>
      </w:r>
    </w:p>
    <w:p>
      <w:pPr>
        <w:spacing w:line="520" w:lineRule="exact"/>
        <w:ind w:firstLine="480" w:firstLineChars="200"/>
        <w:jc w:val="left"/>
        <w:rPr>
          <w:rFonts w:hint="eastAsia"/>
          <w:bCs/>
          <w:sz w:val="24"/>
        </w:rPr>
      </w:pPr>
      <w:r>
        <w:rPr>
          <w:rFonts w:hint="eastAsia"/>
          <w:bCs/>
          <w:sz w:val="24"/>
        </w:rPr>
        <w:t>（3）《畜禽粪污土地承载力测算技术指南》（农办牧〔2018〕1号）</w:t>
      </w:r>
    </w:p>
    <w:p>
      <w:pPr>
        <w:spacing w:line="520" w:lineRule="exact"/>
        <w:ind w:firstLine="480" w:firstLineChars="200"/>
        <w:jc w:val="left"/>
        <w:rPr>
          <w:sz w:val="24"/>
        </w:rPr>
      </w:pPr>
      <w:r>
        <w:rPr>
          <w:sz w:val="24"/>
        </w:rPr>
        <w:t>（4）《河南省现代畜牧产业发展规划》（豫政[2010]20号）；</w:t>
      </w:r>
    </w:p>
    <w:p>
      <w:pPr>
        <w:spacing w:line="520" w:lineRule="exact"/>
        <w:ind w:firstLine="480" w:firstLineChars="200"/>
        <w:jc w:val="left"/>
        <w:rPr>
          <w:sz w:val="24"/>
        </w:rPr>
      </w:pPr>
      <w:r>
        <w:rPr>
          <w:sz w:val="24"/>
        </w:rPr>
        <w:t>（5）《</w:t>
      </w:r>
      <w:r>
        <w:rPr>
          <w:rFonts w:hint="eastAsia"/>
          <w:sz w:val="24"/>
        </w:rPr>
        <w:t>正阳县</w:t>
      </w:r>
      <w:r>
        <w:rPr>
          <w:sz w:val="24"/>
        </w:rPr>
        <w:t>城市总体规划》（2012-2030）；</w:t>
      </w:r>
    </w:p>
    <w:p>
      <w:pPr>
        <w:spacing w:line="520" w:lineRule="exact"/>
        <w:ind w:firstLine="480" w:firstLineChars="200"/>
        <w:jc w:val="left"/>
        <w:rPr>
          <w:sz w:val="24"/>
        </w:rPr>
      </w:pPr>
      <w:r>
        <w:rPr>
          <w:sz w:val="24"/>
        </w:rPr>
        <w:t>（6）</w:t>
      </w:r>
      <w:r>
        <w:rPr>
          <w:rFonts w:hAnsi="宋体"/>
          <w:sz w:val="24"/>
        </w:rPr>
        <w:t>正阳县人民政府《关于印发正阳县畜禽养殖禁养区划分及防治工作方案的通知》</w:t>
      </w:r>
      <w:r>
        <w:rPr>
          <w:rFonts w:hint="eastAsia" w:hAnsi="宋体"/>
          <w:sz w:val="24"/>
        </w:rPr>
        <w:t>（正政文[201</w:t>
      </w:r>
      <w:r>
        <w:rPr>
          <w:rFonts w:hAnsi="宋体"/>
          <w:sz w:val="24"/>
        </w:rPr>
        <w:t>6</w:t>
      </w:r>
      <w:r>
        <w:rPr>
          <w:rFonts w:hint="eastAsia" w:hAnsi="宋体"/>
          <w:sz w:val="24"/>
        </w:rPr>
        <w:t>]1</w:t>
      </w:r>
      <w:r>
        <w:rPr>
          <w:rFonts w:hAnsi="宋体"/>
          <w:sz w:val="24"/>
        </w:rPr>
        <w:t>2</w:t>
      </w:r>
      <w:r>
        <w:rPr>
          <w:rFonts w:hint="eastAsia" w:hAnsi="宋体"/>
          <w:sz w:val="24"/>
        </w:rPr>
        <w:t>号）</w:t>
      </w:r>
      <w:r>
        <w:rPr>
          <w:rFonts w:hint="eastAsia"/>
          <w:sz w:val="24"/>
        </w:rPr>
        <w:t>。</w:t>
      </w:r>
    </w:p>
    <w:p>
      <w:pPr>
        <w:spacing w:line="520" w:lineRule="exact"/>
        <w:ind w:firstLine="480" w:firstLineChars="200"/>
        <w:jc w:val="left"/>
        <w:rPr>
          <w:rFonts w:hint="eastAsia"/>
          <w:bCs/>
          <w:sz w:val="24"/>
        </w:rPr>
      </w:pPr>
      <w:r>
        <w:rPr>
          <w:rFonts w:hint="eastAsia"/>
          <w:bCs/>
          <w:sz w:val="24"/>
        </w:rPr>
        <w:t>（</w:t>
      </w:r>
      <w:r>
        <w:rPr>
          <w:bCs/>
          <w:sz w:val="24"/>
        </w:rPr>
        <w:t>7</w:t>
      </w:r>
      <w:r>
        <w:rPr>
          <w:rFonts w:hint="eastAsia"/>
          <w:bCs/>
          <w:sz w:val="24"/>
        </w:rPr>
        <w:t>）驻马店市人民政府办公室关于印发驻马店市水污染防治攻坚战6个实施方案的通知（驻政办〔2017〕8号）</w:t>
      </w:r>
    </w:p>
    <w:p>
      <w:pPr>
        <w:spacing w:line="520" w:lineRule="exact"/>
        <w:ind w:firstLine="480" w:firstLineChars="200"/>
        <w:jc w:val="left"/>
        <w:rPr>
          <w:rFonts w:hint="eastAsia"/>
          <w:bCs/>
          <w:sz w:val="24"/>
        </w:rPr>
      </w:pPr>
      <w:r>
        <w:rPr>
          <w:rFonts w:hint="eastAsia"/>
          <w:bCs/>
          <w:sz w:val="24"/>
        </w:rPr>
        <w:t>（8）《河南省人民政府办公厅关于印发河南省城市集中式饮用水源保护区划的通知》（豫政办〔2007〕125号）；</w:t>
      </w:r>
    </w:p>
    <w:p>
      <w:pPr>
        <w:spacing w:line="520" w:lineRule="exact"/>
        <w:ind w:firstLine="480" w:firstLineChars="200"/>
        <w:jc w:val="left"/>
        <w:rPr>
          <w:rFonts w:hint="eastAsia"/>
          <w:bCs/>
          <w:sz w:val="24"/>
        </w:rPr>
      </w:pPr>
      <w:r>
        <w:rPr>
          <w:rFonts w:hint="eastAsia"/>
          <w:bCs/>
          <w:sz w:val="24"/>
        </w:rPr>
        <w:t>（9）《河南省人民政府办公厅关于印发河南省乡镇集中式饮用水水源保护区划的通知》（豫政办〔2016〕23号）。</w:t>
      </w:r>
    </w:p>
    <w:p>
      <w:pPr>
        <w:pStyle w:val="2"/>
        <w:snapToGrid w:val="0"/>
        <w:spacing w:before="0" w:after="0" w:line="520" w:lineRule="exact"/>
        <w:rPr>
          <w:rFonts w:eastAsia="黑体"/>
          <w:b w:val="0"/>
          <w:bCs w:val="0"/>
          <w:sz w:val="24"/>
          <w:szCs w:val="24"/>
        </w:rPr>
      </w:pPr>
      <w:bookmarkStart w:id="43" w:name="_Toc413750066"/>
      <w:bookmarkStart w:id="44" w:name="_Toc412820900"/>
      <w:bookmarkStart w:id="45" w:name="_Toc407000978"/>
      <w:r>
        <w:rPr>
          <w:rFonts w:eastAsia="黑体"/>
          <w:b w:val="0"/>
          <w:bCs w:val="0"/>
          <w:sz w:val="24"/>
          <w:szCs w:val="24"/>
        </w:rPr>
        <w:t>1.1.4 其他有关资料</w:t>
      </w:r>
      <w:bookmarkEnd w:id="43"/>
      <w:bookmarkEnd w:id="44"/>
      <w:bookmarkEnd w:id="45"/>
    </w:p>
    <w:p>
      <w:pPr>
        <w:spacing w:line="520" w:lineRule="exact"/>
        <w:ind w:firstLine="480" w:firstLineChars="200"/>
        <w:jc w:val="left"/>
        <w:rPr>
          <w:sz w:val="24"/>
        </w:rPr>
      </w:pPr>
      <w:bookmarkStart w:id="46" w:name="_Toc328371589"/>
      <w:bookmarkStart w:id="47" w:name="_Toc80866651"/>
      <w:bookmarkStart w:id="48" w:name="_Toc275796676"/>
      <w:bookmarkStart w:id="49" w:name="_Toc278310141"/>
      <w:bookmarkStart w:id="50" w:name="_Toc275796839"/>
      <w:bookmarkStart w:id="51" w:name="_Toc275448950"/>
      <w:bookmarkStart w:id="52" w:name="_Toc275449581"/>
      <w:bookmarkStart w:id="53" w:name="_Toc345417233"/>
      <w:bookmarkStart w:id="54" w:name="_Toc75765639"/>
      <w:bookmarkStart w:id="55" w:name="_Toc412820901"/>
      <w:bookmarkStart w:id="56" w:name="_Toc413750067"/>
      <w:bookmarkStart w:id="57" w:name="_Toc407000979"/>
      <w:r>
        <w:rPr>
          <w:sz w:val="24"/>
        </w:rPr>
        <w:t>（1）</w:t>
      </w:r>
      <w:r>
        <w:rPr>
          <w:rFonts w:hint="eastAsia"/>
          <w:sz w:val="24"/>
          <w:lang w:eastAsia="zh-CN"/>
        </w:rPr>
        <w:t>正阳县鑫鑫向荣大型种猪养殖有限责任公司</w:t>
      </w:r>
      <w:r>
        <w:rPr>
          <w:sz w:val="24"/>
        </w:rPr>
        <w:t>关于该项目环评工作的委托书（见附件一）；</w:t>
      </w:r>
    </w:p>
    <w:p>
      <w:pPr>
        <w:spacing w:line="520" w:lineRule="exact"/>
        <w:ind w:firstLine="480" w:firstLineChars="200"/>
        <w:jc w:val="left"/>
        <w:rPr>
          <w:sz w:val="24"/>
        </w:rPr>
      </w:pPr>
      <w:r>
        <w:rPr>
          <w:sz w:val="24"/>
        </w:rPr>
        <w:t>（2）</w:t>
      </w:r>
      <w:r>
        <w:rPr>
          <w:rFonts w:hint="eastAsia"/>
          <w:sz w:val="24"/>
        </w:rPr>
        <w:t>河南省企业</w:t>
      </w:r>
      <w:r>
        <w:rPr>
          <w:sz w:val="24"/>
        </w:rPr>
        <w:t>投资项目备案证明（</w:t>
      </w:r>
      <w:r>
        <w:rPr>
          <w:rFonts w:hint="eastAsia"/>
          <w:sz w:val="24"/>
        </w:rPr>
        <w:t>项目代码2</w:t>
      </w:r>
      <w:r>
        <w:rPr>
          <w:sz w:val="24"/>
        </w:rPr>
        <w:t>0</w:t>
      </w:r>
      <w:r>
        <w:rPr>
          <w:rFonts w:hint="eastAsia"/>
          <w:sz w:val="24"/>
        </w:rPr>
        <w:t>20</w:t>
      </w:r>
      <w:r>
        <w:rPr>
          <w:sz w:val="24"/>
        </w:rPr>
        <w:t>-411724-03</w:t>
      </w:r>
      <w:r>
        <w:rPr>
          <w:rFonts w:hint="eastAsia"/>
          <w:sz w:val="24"/>
        </w:rPr>
        <w:t>-</w:t>
      </w:r>
      <w:r>
        <w:rPr>
          <w:sz w:val="24"/>
        </w:rPr>
        <w:t>03-0</w:t>
      </w:r>
      <w:r>
        <w:rPr>
          <w:rFonts w:hint="eastAsia"/>
          <w:sz w:val="24"/>
        </w:rPr>
        <w:t>51885）</w:t>
      </w:r>
      <w:r>
        <w:rPr>
          <w:sz w:val="24"/>
        </w:rPr>
        <w:t>（见附件二）</w:t>
      </w:r>
      <w:r>
        <w:rPr>
          <w:rFonts w:hint="eastAsia"/>
          <w:sz w:val="24"/>
        </w:rPr>
        <w:t>；</w:t>
      </w:r>
    </w:p>
    <w:p>
      <w:pPr>
        <w:snapToGrid w:val="0"/>
        <w:spacing w:line="520" w:lineRule="exact"/>
        <w:outlineLvl w:val="1"/>
        <w:rPr>
          <w:rFonts w:eastAsia="黑体"/>
          <w:bCs/>
          <w:sz w:val="28"/>
          <w:szCs w:val="28"/>
        </w:rPr>
      </w:pPr>
      <w:bookmarkStart w:id="58" w:name="_Toc8839"/>
      <w:r>
        <w:rPr>
          <w:rFonts w:eastAsia="黑体"/>
          <w:bCs/>
          <w:sz w:val="28"/>
          <w:szCs w:val="28"/>
        </w:rPr>
        <w:t>1.2 评价对象</w:t>
      </w:r>
      <w:bookmarkEnd w:id="58"/>
    </w:p>
    <w:p>
      <w:pPr>
        <w:spacing w:line="520" w:lineRule="exact"/>
        <w:ind w:firstLine="480" w:firstLineChars="200"/>
        <w:jc w:val="left"/>
        <w:rPr>
          <w:sz w:val="24"/>
        </w:rPr>
      </w:pPr>
      <w:r>
        <w:rPr>
          <w:rFonts w:hint="eastAsia"/>
          <w:sz w:val="24"/>
          <w:lang w:eastAsia="zh-CN"/>
        </w:rPr>
        <w:t>正阳县鑫鑫向荣大型种猪养殖有限责任公司</w:t>
      </w:r>
      <w:r>
        <w:rPr>
          <w:rFonts w:hint="eastAsia"/>
          <w:sz w:val="24"/>
        </w:rPr>
        <w:t>建设</w:t>
      </w:r>
      <w:r>
        <w:rPr>
          <w:rFonts w:hint="eastAsia"/>
          <w:sz w:val="24"/>
          <w:lang w:eastAsia="zh-CN"/>
        </w:rPr>
        <w:t>年产1.2万头生猪养殖场项目</w:t>
      </w:r>
      <w:r>
        <w:rPr>
          <w:sz w:val="24"/>
        </w:rPr>
        <w:t>。</w:t>
      </w:r>
    </w:p>
    <w:p>
      <w:pPr>
        <w:snapToGrid w:val="0"/>
        <w:spacing w:line="520" w:lineRule="exact"/>
        <w:outlineLvl w:val="1"/>
        <w:rPr>
          <w:rFonts w:eastAsia="黑体"/>
          <w:bCs/>
          <w:sz w:val="28"/>
          <w:szCs w:val="28"/>
        </w:rPr>
      </w:pPr>
      <w:bookmarkStart w:id="59" w:name="_Toc16369"/>
      <w:bookmarkStart w:id="60" w:name="_Toc472009582"/>
      <w:r>
        <w:rPr>
          <w:rFonts w:eastAsia="黑体"/>
          <w:bCs/>
          <w:sz w:val="28"/>
          <w:szCs w:val="28"/>
        </w:rPr>
        <w:t>1.3</w:t>
      </w:r>
      <w:bookmarkEnd w:id="46"/>
      <w:bookmarkEnd w:id="47"/>
      <w:bookmarkEnd w:id="48"/>
      <w:bookmarkEnd w:id="49"/>
      <w:bookmarkEnd w:id="50"/>
      <w:bookmarkEnd w:id="51"/>
      <w:bookmarkEnd w:id="52"/>
      <w:bookmarkEnd w:id="53"/>
      <w:bookmarkEnd w:id="54"/>
      <w:r>
        <w:rPr>
          <w:rFonts w:eastAsia="黑体"/>
          <w:bCs/>
          <w:sz w:val="28"/>
          <w:szCs w:val="28"/>
        </w:rPr>
        <w:t xml:space="preserve"> 评价目的</w:t>
      </w:r>
      <w:bookmarkEnd w:id="55"/>
      <w:bookmarkEnd w:id="56"/>
      <w:bookmarkEnd w:id="57"/>
      <w:r>
        <w:rPr>
          <w:rFonts w:eastAsia="黑体"/>
          <w:bCs/>
          <w:sz w:val="28"/>
          <w:szCs w:val="28"/>
        </w:rPr>
        <w:t>和原则</w:t>
      </w:r>
      <w:bookmarkEnd w:id="59"/>
      <w:bookmarkEnd w:id="60"/>
    </w:p>
    <w:p>
      <w:pPr>
        <w:pStyle w:val="2"/>
        <w:snapToGrid w:val="0"/>
        <w:spacing w:before="0" w:after="0" w:line="520" w:lineRule="exact"/>
        <w:rPr>
          <w:rFonts w:eastAsia="黑体"/>
          <w:b w:val="0"/>
          <w:bCs w:val="0"/>
          <w:sz w:val="24"/>
          <w:szCs w:val="24"/>
        </w:rPr>
      </w:pPr>
      <w:bookmarkStart w:id="61" w:name="_Toc413750069"/>
      <w:bookmarkStart w:id="62" w:name="_Toc412820903"/>
      <w:bookmarkStart w:id="63" w:name="_Toc407000981"/>
      <w:r>
        <w:rPr>
          <w:rFonts w:eastAsia="黑体"/>
          <w:b w:val="0"/>
          <w:bCs w:val="0"/>
          <w:sz w:val="24"/>
          <w:szCs w:val="24"/>
        </w:rPr>
        <w:t>1.3.1 评价目的</w:t>
      </w:r>
      <w:bookmarkEnd w:id="61"/>
      <w:bookmarkEnd w:id="62"/>
      <w:bookmarkEnd w:id="63"/>
    </w:p>
    <w:p>
      <w:pPr>
        <w:spacing w:line="500" w:lineRule="exact"/>
        <w:ind w:firstLine="480" w:firstLineChars="200"/>
        <w:rPr>
          <w:sz w:val="24"/>
        </w:rPr>
      </w:pPr>
      <w:r>
        <w:rPr>
          <w:sz w:val="24"/>
        </w:rPr>
        <w:t>（1）通过项目地区自然环境和社会环境调查，了解区域环境现状，掌握当地环境质量现状水平，确定环境纳污容量；</w:t>
      </w:r>
    </w:p>
    <w:p>
      <w:pPr>
        <w:spacing w:line="500" w:lineRule="exact"/>
        <w:ind w:firstLine="480" w:firstLineChars="200"/>
        <w:rPr>
          <w:sz w:val="24"/>
        </w:rPr>
      </w:pPr>
      <w:r>
        <w:rPr>
          <w:sz w:val="24"/>
        </w:rPr>
        <w:t>（2）通过对项目的工程分析和现场踏勘，进一步核实确定工程污染产生情况，分析和预测运行期项目污染对周边环境的影响范围和程度；</w:t>
      </w:r>
    </w:p>
    <w:p>
      <w:pPr>
        <w:spacing w:line="500" w:lineRule="exact"/>
        <w:ind w:firstLine="480" w:firstLineChars="200"/>
        <w:rPr>
          <w:sz w:val="24"/>
        </w:rPr>
      </w:pPr>
      <w:r>
        <w:rPr>
          <w:sz w:val="24"/>
        </w:rPr>
        <w:t>（3）在对本项目工程分析的基础上，以清洁生产为原则，分析工程污染治理措施的可行性，提出相应的对策措施建议，并为今后的环境管理工作提供科学依据；</w:t>
      </w:r>
    </w:p>
    <w:p>
      <w:pPr>
        <w:spacing w:line="500" w:lineRule="exact"/>
        <w:ind w:firstLine="480" w:firstLineChars="200"/>
        <w:rPr>
          <w:sz w:val="24"/>
        </w:rPr>
      </w:pPr>
      <w:r>
        <w:rPr>
          <w:sz w:val="24"/>
        </w:rPr>
        <w:t>（4）根据预测评价结果，分析工程及选址的可行性。</w:t>
      </w:r>
    </w:p>
    <w:p>
      <w:pPr>
        <w:pStyle w:val="2"/>
        <w:snapToGrid w:val="0"/>
        <w:spacing w:before="0" w:after="0" w:line="520" w:lineRule="exact"/>
        <w:rPr>
          <w:rFonts w:eastAsia="黑体"/>
          <w:b w:val="0"/>
          <w:bCs w:val="0"/>
          <w:sz w:val="24"/>
          <w:szCs w:val="24"/>
        </w:rPr>
      </w:pPr>
      <w:r>
        <w:rPr>
          <w:rFonts w:eastAsia="黑体"/>
          <w:b w:val="0"/>
          <w:bCs w:val="0"/>
          <w:sz w:val="24"/>
          <w:szCs w:val="24"/>
        </w:rPr>
        <w:t>1.3.2 评价原则</w:t>
      </w:r>
    </w:p>
    <w:p>
      <w:pPr>
        <w:pStyle w:val="25"/>
        <w:spacing w:line="520" w:lineRule="exact"/>
        <w:ind w:firstLine="480"/>
      </w:pPr>
      <w:r>
        <w:t>（1）相关资料的收集应全面、充分，现状调查和类比调查分析应具有代表性；</w:t>
      </w:r>
    </w:p>
    <w:p>
      <w:pPr>
        <w:pStyle w:val="25"/>
        <w:spacing w:line="520" w:lineRule="exact"/>
        <w:ind w:firstLine="480"/>
        <w:rPr>
          <w:bCs/>
        </w:rPr>
      </w:pPr>
      <w:r>
        <w:t>（2）</w:t>
      </w:r>
      <w:r>
        <w:rPr>
          <w:bCs/>
        </w:rPr>
        <w:t>严格贯彻执行</w:t>
      </w:r>
      <w:r>
        <w:rPr>
          <w:rFonts w:hint="eastAsia"/>
          <w:bCs/>
        </w:rPr>
        <w:t>“</w:t>
      </w:r>
      <w:r>
        <w:rPr>
          <w:bCs/>
        </w:rPr>
        <w:t>达标排放</w:t>
      </w:r>
      <w:r>
        <w:rPr>
          <w:rFonts w:hint="eastAsia"/>
          <w:bCs/>
        </w:rPr>
        <w:t>”</w:t>
      </w:r>
      <w:r>
        <w:rPr>
          <w:bCs/>
        </w:rPr>
        <w:t>、</w:t>
      </w:r>
      <w:r>
        <w:rPr>
          <w:rFonts w:hint="eastAsia"/>
          <w:bCs/>
        </w:rPr>
        <w:t>“</w:t>
      </w:r>
      <w:r>
        <w:rPr>
          <w:bCs/>
        </w:rPr>
        <w:t>环境管理监测与计划</w:t>
      </w:r>
      <w:r>
        <w:rPr>
          <w:rFonts w:hint="eastAsia"/>
          <w:bCs/>
        </w:rPr>
        <w:t>”</w:t>
      </w:r>
      <w:r>
        <w:rPr>
          <w:bCs/>
        </w:rPr>
        <w:t>等环保政策法规；</w:t>
      </w:r>
    </w:p>
    <w:p>
      <w:pPr>
        <w:pStyle w:val="25"/>
        <w:spacing w:line="520" w:lineRule="exact"/>
        <w:ind w:firstLine="480"/>
        <w:rPr>
          <w:bCs/>
        </w:rPr>
      </w:pPr>
      <w:r>
        <w:t>（3）环境影响预测与评价方法要具有合理性、数据可信；</w:t>
      </w:r>
    </w:p>
    <w:p>
      <w:pPr>
        <w:pStyle w:val="25"/>
        <w:spacing w:line="520" w:lineRule="exact"/>
        <w:ind w:firstLine="480"/>
        <w:rPr>
          <w:bCs/>
        </w:rPr>
      </w:pPr>
      <w:r>
        <w:t>（4）</w:t>
      </w:r>
      <w:r>
        <w:rPr>
          <w:bCs/>
        </w:rPr>
        <w:t>报告书内容力求主次分明，重点突出，数据可靠，结论明确，实用性强，符合当地实情；</w:t>
      </w:r>
    </w:p>
    <w:p>
      <w:pPr>
        <w:pStyle w:val="25"/>
        <w:spacing w:after="120" w:afterLines="50" w:line="520" w:lineRule="exact"/>
        <w:ind w:firstLine="480"/>
      </w:pPr>
      <w:r>
        <w:t>（5）提出的污染防治措施应具有可操作性，提出的环境管理和监测计划要切实可行。</w:t>
      </w:r>
    </w:p>
    <w:p>
      <w:pPr>
        <w:pStyle w:val="2"/>
        <w:snapToGrid w:val="0"/>
        <w:spacing w:before="0" w:after="0" w:line="520" w:lineRule="exact"/>
        <w:rPr>
          <w:rFonts w:eastAsia="黑体"/>
          <w:b w:val="0"/>
          <w:bCs w:val="0"/>
          <w:sz w:val="24"/>
          <w:szCs w:val="24"/>
        </w:rPr>
      </w:pPr>
      <w:bookmarkStart w:id="64" w:name="_Toc407000983"/>
      <w:bookmarkStart w:id="65" w:name="_Toc412820905"/>
      <w:bookmarkStart w:id="66" w:name="_Toc413750071"/>
      <w:r>
        <w:rPr>
          <w:rFonts w:eastAsia="黑体"/>
          <w:b w:val="0"/>
          <w:bCs w:val="0"/>
          <w:sz w:val="24"/>
          <w:szCs w:val="24"/>
        </w:rPr>
        <w:t xml:space="preserve">1.3.3 </w:t>
      </w:r>
      <w:bookmarkEnd w:id="64"/>
      <w:bookmarkEnd w:id="65"/>
      <w:bookmarkEnd w:id="66"/>
      <w:r>
        <w:rPr>
          <w:rFonts w:eastAsia="黑体"/>
          <w:b w:val="0"/>
          <w:bCs w:val="0"/>
          <w:sz w:val="24"/>
          <w:szCs w:val="24"/>
        </w:rPr>
        <w:t>评价重点</w:t>
      </w:r>
    </w:p>
    <w:p>
      <w:pPr>
        <w:pStyle w:val="3"/>
        <w:spacing w:before="0" w:after="0" w:line="520" w:lineRule="exact"/>
        <w:rPr>
          <w:rFonts w:hAnsi="Times New Roman" w:eastAsia="宋体"/>
          <w:sz w:val="24"/>
          <w:szCs w:val="24"/>
        </w:rPr>
      </w:pPr>
      <w:r>
        <w:rPr>
          <w:rFonts w:hAnsi="Times New Roman" w:eastAsia="宋体"/>
          <w:sz w:val="24"/>
          <w:szCs w:val="24"/>
        </w:rPr>
        <w:t>1.3.3.1工程特点</w:t>
      </w:r>
    </w:p>
    <w:p>
      <w:pPr>
        <w:spacing w:line="500" w:lineRule="exact"/>
        <w:ind w:firstLine="480" w:firstLineChars="200"/>
        <w:rPr>
          <w:sz w:val="24"/>
        </w:rPr>
      </w:pPr>
      <w:r>
        <w:rPr>
          <w:sz w:val="24"/>
        </w:rPr>
        <w:t>（1）本次工程属新建项目，</w:t>
      </w:r>
      <w:r>
        <w:rPr>
          <w:sz w:val="24"/>
          <w:szCs w:val="28"/>
        </w:rPr>
        <w:t>建设规</w:t>
      </w:r>
      <w:r>
        <w:rPr>
          <w:sz w:val="24"/>
        </w:rPr>
        <w:t>模为</w:t>
      </w:r>
      <w:r>
        <w:rPr>
          <w:rFonts w:hint="eastAsia"/>
          <w:bCs/>
          <w:sz w:val="24"/>
          <w:lang w:eastAsia="zh-CN"/>
        </w:rPr>
        <w:t>年出栏育肥猪1.2万头</w:t>
      </w:r>
      <w:r>
        <w:rPr>
          <w:sz w:val="24"/>
        </w:rPr>
        <w:t>。采用</w:t>
      </w:r>
      <w:r>
        <w:rPr>
          <w:rFonts w:hint="eastAsia"/>
          <w:sz w:val="24"/>
        </w:rPr>
        <w:t>“环保部认定的干清粪”</w:t>
      </w:r>
      <w:r>
        <w:rPr>
          <w:sz w:val="24"/>
        </w:rPr>
        <w:t>工艺。</w:t>
      </w:r>
    </w:p>
    <w:p>
      <w:pPr>
        <w:spacing w:line="500" w:lineRule="exact"/>
        <w:ind w:firstLine="480" w:firstLineChars="200"/>
        <w:rPr>
          <w:sz w:val="24"/>
        </w:rPr>
      </w:pPr>
      <w:r>
        <w:rPr>
          <w:sz w:val="24"/>
        </w:rPr>
        <w:t>（2）工艺特点</w:t>
      </w:r>
    </w:p>
    <w:p>
      <w:pPr>
        <w:spacing w:line="500" w:lineRule="exact"/>
        <w:ind w:firstLine="480" w:firstLineChars="200"/>
        <w:rPr>
          <w:sz w:val="24"/>
        </w:rPr>
      </w:pPr>
      <w:r>
        <w:rPr>
          <w:sz w:val="24"/>
        </w:rPr>
        <w:fldChar w:fldCharType="begin"/>
      </w:r>
      <w:r>
        <w:rPr>
          <w:sz w:val="24"/>
        </w:rPr>
        <w:instrText xml:space="preserve"> = 1 \* GB3 </w:instrText>
      </w:r>
      <w:r>
        <w:rPr>
          <w:sz w:val="24"/>
        </w:rPr>
        <w:fldChar w:fldCharType="separate"/>
      </w:r>
      <w:r>
        <w:rPr>
          <w:sz w:val="24"/>
        </w:rPr>
        <w:t>①</w:t>
      </w:r>
      <w:r>
        <w:rPr>
          <w:sz w:val="24"/>
        </w:rPr>
        <w:fldChar w:fldCharType="end"/>
      </w:r>
      <w:r>
        <w:rPr>
          <w:rFonts w:hAnsi="宋体"/>
          <w:sz w:val="24"/>
        </w:rPr>
        <w:t>干清粪养殖工艺特点：养殖过程产生的废水主要为尿液和猪舍冲洗水，废水产生量小，污染物负荷低；</w:t>
      </w:r>
    </w:p>
    <w:p>
      <w:pPr>
        <w:spacing w:line="500" w:lineRule="exact"/>
        <w:ind w:firstLine="480" w:firstLineChars="200"/>
        <w:rPr>
          <w:sz w:val="24"/>
        </w:rPr>
      </w:pPr>
      <w:r>
        <w:rPr>
          <w:sz w:val="24"/>
        </w:rPr>
        <w:fldChar w:fldCharType="begin"/>
      </w:r>
      <w:r>
        <w:rPr>
          <w:sz w:val="24"/>
        </w:rPr>
        <w:instrText xml:space="preserve"> = 2 \* GB3 </w:instrText>
      </w:r>
      <w:r>
        <w:rPr>
          <w:sz w:val="24"/>
        </w:rPr>
        <w:fldChar w:fldCharType="separate"/>
      </w:r>
      <w:r>
        <w:rPr>
          <w:sz w:val="24"/>
        </w:rPr>
        <w:t>②</w:t>
      </w:r>
      <w:r>
        <w:rPr>
          <w:sz w:val="24"/>
        </w:rPr>
        <w:fldChar w:fldCharType="end"/>
      </w:r>
      <w:r>
        <w:rPr>
          <w:sz w:val="24"/>
        </w:rPr>
        <w:t xml:space="preserve"> 工程污染因素以废水、恶臭气体和固体废物为主。对环境的影响以废水为主，为减少废水排放对河流影响，工程拟采用</w:t>
      </w:r>
      <w:r>
        <w:rPr>
          <w:rFonts w:hint="eastAsia"/>
          <w:sz w:val="24"/>
        </w:rPr>
        <w:t>沼液作为</w:t>
      </w:r>
      <w:r>
        <w:rPr>
          <w:sz w:val="24"/>
        </w:rPr>
        <w:t>农肥消纳处理方案，控制废水产生量并实现废水资源化利用；</w:t>
      </w:r>
    </w:p>
    <w:p>
      <w:pPr>
        <w:spacing w:line="520" w:lineRule="exact"/>
        <w:ind w:firstLine="480" w:firstLineChars="200"/>
        <w:rPr>
          <w:sz w:val="24"/>
        </w:rPr>
      </w:pPr>
      <w:r>
        <w:rPr>
          <w:sz w:val="24"/>
        </w:rPr>
        <w:fldChar w:fldCharType="begin"/>
      </w:r>
      <w:r>
        <w:rPr>
          <w:sz w:val="24"/>
        </w:rPr>
        <w:instrText xml:space="preserve"> = 3 \* GB3 </w:instrText>
      </w:r>
      <w:r>
        <w:rPr>
          <w:sz w:val="24"/>
        </w:rPr>
        <w:fldChar w:fldCharType="separate"/>
      </w:r>
      <w:r>
        <w:rPr>
          <w:sz w:val="24"/>
        </w:rPr>
        <w:t>③</w:t>
      </w:r>
      <w:r>
        <w:rPr>
          <w:sz w:val="24"/>
        </w:rPr>
        <w:fldChar w:fldCharType="end"/>
      </w:r>
      <w:r>
        <w:rPr>
          <w:sz w:val="24"/>
        </w:rPr>
        <w:t xml:space="preserve"> 工程养殖废水为高浓度有机废水，在还田利用前进行无害化处理，其配套建设的沼气工程应同时满足沼液还田的要求；</w:t>
      </w:r>
    </w:p>
    <w:p>
      <w:pPr>
        <w:spacing w:line="520" w:lineRule="exact"/>
        <w:ind w:firstLine="480" w:firstLineChars="200"/>
        <w:rPr>
          <w:sz w:val="24"/>
        </w:rPr>
      </w:pPr>
      <w:r>
        <w:rPr>
          <w:sz w:val="24"/>
        </w:rPr>
        <w:fldChar w:fldCharType="begin"/>
      </w:r>
      <w:r>
        <w:rPr>
          <w:sz w:val="24"/>
        </w:rPr>
        <w:instrText xml:space="preserve"> = 4 \* GB3 </w:instrText>
      </w:r>
      <w:r>
        <w:rPr>
          <w:sz w:val="24"/>
        </w:rPr>
        <w:fldChar w:fldCharType="separate"/>
      </w:r>
      <w:r>
        <w:rPr>
          <w:rFonts w:hAnsi="宋体"/>
          <w:sz w:val="24"/>
        </w:rPr>
        <w:t>④</w:t>
      </w:r>
      <w:r>
        <w:rPr>
          <w:sz w:val="24"/>
        </w:rPr>
        <w:fldChar w:fldCharType="end"/>
      </w:r>
      <w:r>
        <w:rPr>
          <w:sz w:val="24"/>
        </w:rPr>
        <w:t xml:space="preserve"> 工程沼液还田配套建设沼液输送管网及暂存设施，可作为工程组成部分和养殖废水资源化利用的保证。</w:t>
      </w:r>
    </w:p>
    <w:p>
      <w:pPr>
        <w:spacing w:line="500" w:lineRule="exact"/>
        <w:ind w:firstLine="480" w:firstLineChars="200"/>
        <w:rPr>
          <w:sz w:val="24"/>
        </w:rPr>
      </w:pPr>
      <w:r>
        <w:rPr>
          <w:rFonts w:hAnsi="宋体"/>
          <w:sz w:val="24"/>
        </w:rPr>
        <w:t>（</w:t>
      </w:r>
      <w:r>
        <w:rPr>
          <w:sz w:val="24"/>
        </w:rPr>
        <w:t>3</w:t>
      </w:r>
      <w:r>
        <w:rPr>
          <w:rFonts w:hAnsi="宋体"/>
          <w:sz w:val="24"/>
        </w:rPr>
        <w:t>）关于发布《畜禽养殖业污染防治技术政策》的通知（环发【</w:t>
      </w:r>
      <w:r>
        <w:rPr>
          <w:sz w:val="24"/>
        </w:rPr>
        <w:t>2010</w:t>
      </w:r>
      <w:r>
        <w:rPr>
          <w:rFonts w:hAnsi="宋体"/>
          <w:sz w:val="24"/>
        </w:rPr>
        <w:t>】</w:t>
      </w:r>
      <w:r>
        <w:rPr>
          <w:sz w:val="24"/>
        </w:rPr>
        <w:t>151</w:t>
      </w:r>
      <w:r>
        <w:rPr>
          <w:rFonts w:hAnsi="宋体"/>
          <w:sz w:val="24"/>
        </w:rPr>
        <w:t>号）中总则第四项要求：畜禽养殖污染防治应贯穿</w:t>
      </w:r>
      <w:r>
        <w:rPr>
          <w:rFonts w:hint="eastAsia" w:hAnsi="宋体"/>
          <w:sz w:val="24"/>
        </w:rPr>
        <w:t>“</w:t>
      </w:r>
      <w:r>
        <w:rPr>
          <w:rFonts w:hAnsi="宋体"/>
          <w:sz w:val="24"/>
        </w:rPr>
        <w:t>预防为主、防治结合，经济性和实用性相结合，管理措施和技术措施相结合，有效利用和全面利用处理相结合</w:t>
      </w:r>
      <w:r>
        <w:rPr>
          <w:rFonts w:hint="eastAsia" w:hAnsi="宋体"/>
          <w:sz w:val="24"/>
        </w:rPr>
        <w:t>”</w:t>
      </w:r>
      <w:r>
        <w:rPr>
          <w:rFonts w:hAnsi="宋体"/>
          <w:sz w:val="24"/>
        </w:rPr>
        <w:t>的技术路线</w:t>
      </w:r>
      <w:r>
        <w:rPr>
          <w:rFonts w:hint="eastAsia" w:hAnsi="宋体"/>
          <w:sz w:val="24"/>
        </w:rPr>
        <w:t>，</w:t>
      </w:r>
      <w:r>
        <w:rPr>
          <w:rFonts w:hAnsi="宋体"/>
          <w:sz w:val="24"/>
        </w:rPr>
        <w:t>根据《畜禽养殖业污染防治技术规范》中</w:t>
      </w:r>
      <w:r>
        <w:rPr>
          <w:rFonts w:hint="eastAsia" w:hAnsi="宋体"/>
          <w:sz w:val="24"/>
        </w:rPr>
        <w:t>“</w:t>
      </w:r>
      <w:r>
        <w:rPr>
          <w:rFonts w:hAnsi="宋体"/>
          <w:sz w:val="24"/>
        </w:rPr>
        <w:t>畜禽养殖过程中产生的污水应坚持种养结合的原则，经无害化处理后尽量充分还田，实现污水资源化利用</w:t>
      </w:r>
      <w:r>
        <w:rPr>
          <w:rFonts w:hint="eastAsia" w:hAnsi="宋体"/>
          <w:sz w:val="24"/>
        </w:rPr>
        <w:t>”</w:t>
      </w:r>
      <w:r>
        <w:rPr>
          <w:rFonts w:hAnsi="宋体"/>
          <w:sz w:val="24"/>
        </w:rPr>
        <w:t>。本工程废水综合利用方案充分利用当</w:t>
      </w:r>
      <w:r>
        <w:rPr>
          <w:rFonts w:hint="eastAsia" w:hAnsi="宋体"/>
          <w:sz w:val="24"/>
        </w:rPr>
        <w:t>地</w:t>
      </w:r>
      <w:r>
        <w:rPr>
          <w:rFonts w:hAnsi="宋体"/>
          <w:sz w:val="24"/>
        </w:rPr>
        <w:t>土地特点，废水经过</w:t>
      </w:r>
      <w:r>
        <w:rPr>
          <w:rFonts w:hint="eastAsia" w:hAnsi="宋体"/>
          <w:sz w:val="24"/>
        </w:rPr>
        <w:t>厌氧</w:t>
      </w:r>
      <w:r>
        <w:rPr>
          <w:rFonts w:hAnsi="宋体"/>
          <w:sz w:val="24"/>
        </w:rPr>
        <w:t>发酵后，</w:t>
      </w:r>
      <w:r>
        <w:rPr>
          <w:rFonts w:hint="eastAsia" w:hAnsi="宋体"/>
          <w:sz w:val="24"/>
        </w:rPr>
        <w:t>沼液</w:t>
      </w:r>
      <w:r>
        <w:rPr>
          <w:rFonts w:hAnsi="宋体"/>
          <w:sz w:val="24"/>
        </w:rPr>
        <w:t>进入沼液储存池内暂存，</w:t>
      </w:r>
      <w:r>
        <w:rPr>
          <w:rFonts w:hint="eastAsia" w:hAnsi="宋体"/>
          <w:sz w:val="24"/>
        </w:rPr>
        <w:t>后期</w:t>
      </w:r>
      <w:r>
        <w:rPr>
          <w:rFonts w:hAnsi="宋体"/>
          <w:sz w:val="24"/>
        </w:rPr>
        <w:t>通过管网输送至配套基地综合利用，实现农养一体化目标。</w:t>
      </w:r>
    </w:p>
    <w:p>
      <w:pPr>
        <w:pStyle w:val="3"/>
        <w:spacing w:before="0" w:after="0" w:line="520" w:lineRule="exact"/>
        <w:rPr>
          <w:rFonts w:hAnsi="Times New Roman" w:eastAsia="宋体"/>
          <w:sz w:val="24"/>
          <w:szCs w:val="24"/>
        </w:rPr>
      </w:pPr>
      <w:bookmarkStart w:id="67" w:name="_Toc407000984"/>
      <w:bookmarkStart w:id="68" w:name="_Toc413750072"/>
      <w:bookmarkStart w:id="69" w:name="_Toc412820906"/>
      <w:r>
        <w:rPr>
          <w:rFonts w:hAnsi="Times New Roman" w:eastAsia="宋体"/>
          <w:sz w:val="24"/>
          <w:szCs w:val="24"/>
        </w:rPr>
        <w:t>1.3.3.2 场址周围环境特点及环境保护目标</w:t>
      </w:r>
      <w:bookmarkEnd w:id="67"/>
      <w:bookmarkEnd w:id="68"/>
      <w:bookmarkEnd w:id="69"/>
    </w:p>
    <w:p>
      <w:pPr>
        <w:spacing w:line="500" w:lineRule="exact"/>
        <w:ind w:firstLine="480" w:firstLineChars="200"/>
        <w:rPr>
          <w:sz w:val="24"/>
        </w:rPr>
      </w:pPr>
      <w:r>
        <w:rPr>
          <w:sz w:val="24"/>
        </w:rPr>
        <w:t>（1）区域地表水</w:t>
      </w:r>
    </w:p>
    <w:p>
      <w:pPr>
        <w:widowControl/>
        <w:spacing w:line="500" w:lineRule="exact"/>
        <w:ind w:firstLine="480" w:firstLineChars="200"/>
        <w:rPr>
          <w:sz w:val="24"/>
        </w:rPr>
      </w:pPr>
      <w:r>
        <w:rPr>
          <w:sz w:val="24"/>
        </w:rPr>
        <w:t>距项目</w:t>
      </w:r>
      <w:r>
        <w:rPr>
          <w:rFonts w:hint="eastAsia" w:hAnsi="宋体"/>
          <w:snapToGrid w:val="0"/>
          <w:sz w:val="24"/>
        </w:rPr>
        <w:t>最近的水体为项目</w:t>
      </w:r>
      <w:r>
        <w:rPr>
          <w:rFonts w:hint="eastAsia" w:hAnsi="宋体"/>
          <w:snapToGrid w:val="0"/>
          <w:sz w:val="24"/>
          <w:lang w:val="en-US" w:eastAsia="zh-CN"/>
        </w:rPr>
        <w:t>西北</w:t>
      </w:r>
      <w:r>
        <w:rPr>
          <w:rFonts w:hint="eastAsia" w:hAnsi="宋体"/>
          <w:snapToGrid w:val="0"/>
          <w:sz w:val="24"/>
        </w:rPr>
        <w:t>侧</w:t>
      </w:r>
      <w:r>
        <w:rPr>
          <w:rFonts w:hint="eastAsia" w:hAnsi="宋体"/>
          <w:snapToGrid w:val="0"/>
          <w:sz w:val="24"/>
          <w:lang w:val="en-US" w:eastAsia="zh-CN"/>
        </w:rPr>
        <w:t>2800</w:t>
      </w:r>
      <w:r>
        <w:rPr>
          <w:rFonts w:hint="eastAsia" w:hAnsi="宋体"/>
          <w:snapToGrid w:val="0"/>
          <w:sz w:val="24"/>
        </w:rPr>
        <w:t>m的</w:t>
      </w:r>
      <w:r>
        <w:rPr>
          <w:rFonts w:hint="eastAsia" w:hAnsi="宋体"/>
          <w:snapToGrid w:val="0"/>
          <w:sz w:val="24"/>
          <w:lang w:val="en-US" w:eastAsia="zh-CN"/>
        </w:rPr>
        <w:t>黄大港</w:t>
      </w:r>
      <w:r>
        <w:rPr>
          <w:rFonts w:hint="eastAsia" w:hAnsi="宋体"/>
          <w:snapToGrid w:val="0"/>
          <w:sz w:val="24"/>
        </w:rPr>
        <w:t>（</w:t>
      </w:r>
      <w:r>
        <w:rPr>
          <w:rFonts w:hint="eastAsia" w:hAnsi="宋体"/>
          <w:snapToGrid w:val="0"/>
          <w:sz w:val="24"/>
          <w:lang w:val="en-US" w:eastAsia="zh-CN"/>
        </w:rPr>
        <w:t>黄大港</w:t>
      </w:r>
      <w:r>
        <w:rPr>
          <w:rFonts w:hint="eastAsia" w:hAnsi="宋体"/>
          <w:snapToGrid w:val="0"/>
          <w:sz w:val="24"/>
        </w:rPr>
        <w:t>为</w:t>
      </w:r>
      <w:r>
        <w:rPr>
          <w:rFonts w:hint="eastAsia" w:hAnsi="宋体"/>
          <w:snapToGrid w:val="0"/>
          <w:sz w:val="24"/>
          <w:lang w:val="en-US" w:eastAsia="zh-CN"/>
        </w:rPr>
        <w:t>汝河</w:t>
      </w:r>
      <w:r>
        <w:rPr>
          <w:rFonts w:hint="eastAsia" w:hAnsi="宋体"/>
          <w:snapToGrid w:val="0"/>
          <w:sz w:val="24"/>
        </w:rPr>
        <w:t>支流，</w:t>
      </w:r>
      <w:r>
        <w:rPr>
          <w:rFonts w:hint="eastAsia" w:hAnsi="宋体"/>
          <w:snapToGrid w:val="0"/>
          <w:sz w:val="24"/>
          <w:lang w:val="en-US" w:eastAsia="zh-CN"/>
        </w:rPr>
        <w:t>汝河</w:t>
      </w:r>
      <w:r>
        <w:rPr>
          <w:rFonts w:hint="eastAsia" w:hAnsi="宋体"/>
          <w:snapToGrid w:val="0"/>
          <w:sz w:val="24"/>
        </w:rPr>
        <w:t>为淮河支流），</w:t>
      </w:r>
      <w:r>
        <w:rPr>
          <w:rFonts w:hint="eastAsia"/>
          <w:sz w:val="24"/>
        </w:rPr>
        <w:t>淮河支流</w:t>
      </w:r>
      <w:r>
        <w:rPr>
          <w:sz w:val="24"/>
        </w:rPr>
        <w:t>执行</w:t>
      </w:r>
      <w:r>
        <w:rPr>
          <w:sz w:val="24"/>
        </w:rPr>
        <w:fldChar w:fldCharType="begin"/>
      </w:r>
      <w:r>
        <w:rPr>
          <w:sz w:val="24"/>
        </w:rPr>
        <w:instrText xml:space="preserve"> </w:instrText>
      </w:r>
      <w:r>
        <w:rPr>
          <w:rFonts w:hint="eastAsia"/>
          <w:sz w:val="24"/>
        </w:rPr>
        <w:instrText xml:space="preserve">= 3 \* ROMAN</w:instrText>
      </w:r>
      <w:r>
        <w:rPr>
          <w:sz w:val="24"/>
        </w:rPr>
        <w:instrText xml:space="preserve"> </w:instrText>
      </w:r>
      <w:r>
        <w:rPr>
          <w:sz w:val="24"/>
        </w:rPr>
        <w:fldChar w:fldCharType="separate"/>
      </w:r>
      <w:r>
        <w:rPr>
          <w:sz w:val="24"/>
        </w:rPr>
        <w:t>III</w:t>
      </w:r>
      <w:r>
        <w:rPr>
          <w:sz w:val="24"/>
        </w:rPr>
        <w:fldChar w:fldCharType="end"/>
      </w:r>
      <w:r>
        <w:rPr>
          <w:sz w:val="24"/>
        </w:rPr>
        <w:t>类地表水体标准。</w:t>
      </w:r>
    </w:p>
    <w:p>
      <w:pPr>
        <w:spacing w:line="500" w:lineRule="exact"/>
        <w:ind w:firstLine="480" w:firstLineChars="200"/>
        <w:rPr>
          <w:bCs/>
          <w:sz w:val="24"/>
        </w:rPr>
      </w:pPr>
      <w:r>
        <w:rPr>
          <w:bCs/>
          <w:sz w:val="24"/>
        </w:rPr>
        <w:t>（2）周围环境特点</w:t>
      </w:r>
    </w:p>
    <w:p>
      <w:pPr>
        <w:spacing w:line="500" w:lineRule="exact"/>
        <w:ind w:firstLine="480" w:firstLineChars="200"/>
        <w:rPr>
          <w:b/>
          <w:sz w:val="24"/>
          <w:u w:val="single"/>
        </w:rPr>
      </w:pPr>
      <w:r>
        <w:rPr>
          <w:bCs/>
          <w:sz w:val="24"/>
        </w:rPr>
        <w:t>该项目位于</w:t>
      </w:r>
      <w:r>
        <w:rPr>
          <w:rFonts w:hint="eastAsia"/>
          <w:bCs/>
          <w:sz w:val="24"/>
          <w:lang w:eastAsia="zh-CN"/>
        </w:rPr>
        <w:t>正阳县汝南埠镇大温寺王店</w:t>
      </w:r>
      <w:r>
        <w:rPr>
          <w:bCs/>
          <w:sz w:val="24"/>
        </w:rPr>
        <w:t>，场区四周农田围绕，地形相对平坦。场址周围敏感点（以距离本项目厂界最近的农户测量）：</w:t>
      </w:r>
      <w:r>
        <w:rPr>
          <w:rFonts w:hint="eastAsia"/>
          <w:bCs/>
          <w:sz w:val="24"/>
          <w:lang w:val="en-US" w:eastAsia="zh-CN"/>
        </w:rPr>
        <w:t>东南</w:t>
      </w:r>
      <w:r>
        <w:rPr>
          <w:rFonts w:hint="eastAsia"/>
          <w:bCs/>
          <w:sz w:val="24"/>
        </w:rPr>
        <w:t>侧</w:t>
      </w:r>
      <w:r>
        <w:rPr>
          <w:rFonts w:hint="eastAsia"/>
          <w:bCs/>
          <w:sz w:val="24"/>
          <w:lang w:val="en-US" w:eastAsia="zh-CN"/>
        </w:rPr>
        <w:t>400</w:t>
      </w:r>
      <w:r>
        <w:rPr>
          <w:bCs/>
          <w:sz w:val="24"/>
        </w:rPr>
        <w:t>m</w:t>
      </w:r>
      <w:r>
        <w:rPr>
          <w:rFonts w:hint="eastAsia"/>
          <w:bCs/>
          <w:sz w:val="24"/>
        </w:rPr>
        <w:t>的</w:t>
      </w:r>
      <w:r>
        <w:rPr>
          <w:rFonts w:hint="eastAsia"/>
          <w:bCs/>
          <w:sz w:val="24"/>
          <w:lang w:val="en-US" w:eastAsia="zh-CN"/>
        </w:rPr>
        <w:t>何李庄及680m的洪山庙村760m的东李庄</w:t>
      </w:r>
      <w:r>
        <w:rPr>
          <w:rFonts w:hint="eastAsia"/>
          <w:bCs/>
          <w:sz w:val="24"/>
          <w:lang w:eastAsia="zh-CN"/>
        </w:rPr>
        <w:t>、</w:t>
      </w:r>
      <w:r>
        <w:rPr>
          <w:rFonts w:hint="eastAsia"/>
          <w:bCs/>
          <w:sz w:val="24"/>
          <w:lang w:val="en-US" w:eastAsia="zh-CN"/>
        </w:rPr>
        <w:t>西侧520m的中杨寨、西南</w:t>
      </w:r>
      <w:r>
        <w:rPr>
          <w:rFonts w:hint="eastAsia"/>
          <w:bCs/>
          <w:sz w:val="24"/>
        </w:rPr>
        <w:t>侧</w:t>
      </w:r>
      <w:r>
        <w:rPr>
          <w:rFonts w:hint="eastAsia"/>
          <w:bCs/>
          <w:sz w:val="24"/>
          <w:lang w:val="en-US" w:eastAsia="zh-CN"/>
        </w:rPr>
        <w:t>500</w:t>
      </w:r>
      <w:r>
        <w:rPr>
          <w:rFonts w:hint="eastAsia"/>
          <w:bCs/>
          <w:sz w:val="24"/>
        </w:rPr>
        <w:t>m的</w:t>
      </w:r>
      <w:r>
        <w:rPr>
          <w:rFonts w:hint="eastAsia"/>
          <w:bCs/>
          <w:sz w:val="24"/>
          <w:lang w:val="en-US" w:eastAsia="zh-CN"/>
        </w:rPr>
        <w:t>叶庄</w:t>
      </w:r>
      <w:r>
        <w:rPr>
          <w:rFonts w:hint="eastAsia"/>
          <w:bCs/>
          <w:sz w:val="24"/>
        </w:rPr>
        <w:t>及</w:t>
      </w:r>
      <w:r>
        <w:rPr>
          <w:rFonts w:hint="eastAsia"/>
          <w:bCs/>
          <w:sz w:val="24"/>
          <w:lang w:val="en-US" w:eastAsia="zh-CN"/>
        </w:rPr>
        <w:t>480</w:t>
      </w:r>
      <w:r>
        <w:rPr>
          <w:rFonts w:hint="eastAsia"/>
          <w:bCs/>
          <w:sz w:val="24"/>
        </w:rPr>
        <w:t>m的</w:t>
      </w:r>
      <w:r>
        <w:rPr>
          <w:rFonts w:hint="eastAsia"/>
          <w:bCs/>
          <w:sz w:val="24"/>
          <w:lang w:val="en-US" w:eastAsia="zh-CN"/>
        </w:rPr>
        <w:t>寺王店1150m的庙王庄</w:t>
      </w:r>
      <w:r>
        <w:rPr>
          <w:bCs/>
          <w:sz w:val="24"/>
        </w:rPr>
        <w:t>、</w:t>
      </w:r>
      <w:r>
        <w:rPr>
          <w:rFonts w:hint="eastAsia"/>
          <w:bCs/>
          <w:sz w:val="24"/>
        </w:rPr>
        <w:t>北</w:t>
      </w:r>
      <w:r>
        <w:rPr>
          <w:bCs/>
          <w:sz w:val="24"/>
        </w:rPr>
        <w:t>5</w:t>
      </w:r>
      <w:r>
        <w:rPr>
          <w:rFonts w:hint="eastAsia"/>
          <w:bCs/>
          <w:sz w:val="24"/>
        </w:rPr>
        <w:t>10</w:t>
      </w:r>
      <w:r>
        <w:rPr>
          <w:bCs/>
          <w:sz w:val="24"/>
        </w:rPr>
        <w:t>m</w:t>
      </w:r>
      <w:r>
        <w:rPr>
          <w:rFonts w:hint="eastAsia"/>
          <w:bCs/>
          <w:sz w:val="24"/>
        </w:rPr>
        <w:t>的</w:t>
      </w:r>
      <w:r>
        <w:rPr>
          <w:rFonts w:hint="eastAsia"/>
          <w:bCs/>
          <w:sz w:val="24"/>
          <w:lang w:val="en-US" w:eastAsia="zh-CN"/>
        </w:rPr>
        <w:t>大邢庄</w:t>
      </w:r>
      <w:r>
        <w:rPr>
          <w:bCs/>
          <w:sz w:val="24"/>
        </w:rPr>
        <w:t>，</w:t>
      </w:r>
      <w:r>
        <w:rPr>
          <w:rFonts w:hint="eastAsia"/>
          <w:bCs/>
          <w:sz w:val="24"/>
        </w:rPr>
        <w:t>西</w:t>
      </w:r>
      <w:r>
        <w:rPr>
          <w:bCs/>
          <w:sz w:val="24"/>
        </w:rPr>
        <w:t>北侧</w:t>
      </w:r>
      <w:r>
        <w:rPr>
          <w:rFonts w:hint="eastAsia"/>
          <w:bCs/>
          <w:sz w:val="24"/>
          <w:lang w:val="en-US" w:eastAsia="zh-CN"/>
        </w:rPr>
        <w:t>1100</w:t>
      </w:r>
      <w:r>
        <w:rPr>
          <w:bCs/>
          <w:sz w:val="24"/>
        </w:rPr>
        <w:t>m</w:t>
      </w:r>
      <w:r>
        <w:rPr>
          <w:rFonts w:hint="eastAsia"/>
          <w:bCs/>
          <w:sz w:val="24"/>
        </w:rPr>
        <w:t>的</w:t>
      </w:r>
      <w:r>
        <w:rPr>
          <w:rFonts w:hint="eastAsia"/>
          <w:bCs/>
          <w:sz w:val="24"/>
          <w:lang w:val="en-US" w:eastAsia="zh-CN"/>
        </w:rPr>
        <w:t>小吴庄</w:t>
      </w:r>
      <w:r>
        <w:rPr>
          <w:bCs/>
          <w:sz w:val="24"/>
        </w:rPr>
        <w:t>、</w:t>
      </w:r>
      <w:r>
        <w:rPr>
          <w:rFonts w:hint="eastAsia"/>
          <w:bCs/>
          <w:sz w:val="24"/>
          <w:lang w:val="en-US" w:eastAsia="zh-CN"/>
        </w:rPr>
        <w:t>东北</w:t>
      </w:r>
      <w:r>
        <w:rPr>
          <w:rFonts w:hint="eastAsia"/>
          <w:bCs/>
          <w:sz w:val="24"/>
        </w:rPr>
        <w:t>侧</w:t>
      </w:r>
      <w:r>
        <w:rPr>
          <w:rFonts w:hint="eastAsia"/>
          <w:bCs/>
          <w:sz w:val="24"/>
          <w:lang w:val="en-US" w:eastAsia="zh-CN"/>
        </w:rPr>
        <w:t>1000</w:t>
      </w:r>
      <w:r>
        <w:rPr>
          <w:bCs/>
          <w:sz w:val="24"/>
        </w:rPr>
        <w:t>m</w:t>
      </w:r>
      <w:r>
        <w:rPr>
          <w:rFonts w:hint="eastAsia"/>
          <w:bCs/>
          <w:sz w:val="24"/>
        </w:rPr>
        <w:t>的</w:t>
      </w:r>
      <w:r>
        <w:rPr>
          <w:rFonts w:hint="eastAsia"/>
          <w:bCs/>
          <w:sz w:val="24"/>
          <w:lang w:val="en-US" w:eastAsia="zh-CN"/>
        </w:rPr>
        <w:t>张庄</w:t>
      </w:r>
      <w:r>
        <w:rPr>
          <w:bCs/>
          <w:sz w:val="24"/>
        </w:rPr>
        <w:t>。</w:t>
      </w:r>
    </w:p>
    <w:p>
      <w:pPr>
        <w:spacing w:line="500" w:lineRule="exact"/>
        <w:ind w:firstLine="480" w:firstLineChars="200"/>
        <w:rPr>
          <w:sz w:val="24"/>
        </w:rPr>
      </w:pPr>
      <w:r>
        <w:rPr>
          <w:rFonts w:hint="eastAsia"/>
          <w:sz w:val="24"/>
        </w:rPr>
        <w:t>（3）</w:t>
      </w:r>
      <w:r>
        <w:rPr>
          <w:sz w:val="24"/>
        </w:rPr>
        <w:t>本项目不涉及自然保护区、风景名胜区、饮用水源保护区等敏感区域。</w:t>
      </w:r>
    </w:p>
    <w:p>
      <w:pPr>
        <w:spacing w:line="500" w:lineRule="exact"/>
        <w:ind w:firstLine="480" w:firstLineChars="200"/>
        <w:rPr>
          <w:sz w:val="24"/>
        </w:rPr>
      </w:pPr>
      <w:r>
        <w:rPr>
          <w:sz w:val="24"/>
        </w:rPr>
        <w:t>（4）项目所在区域不属于SO</w:t>
      </w:r>
      <w:r>
        <w:rPr>
          <w:sz w:val="24"/>
          <w:vertAlign w:val="subscript"/>
        </w:rPr>
        <w:t>2</w:t>
      </w:r>
      <w:r>
        <w:rPr>
          <w:sz w:val="24"/>
        </w:rPr>
        <w:t>、酸雨控制区。</w:t>
      </w:r>
    </w:p>
    <w:p>
      <w:pPr>
        <w:snapToGrid w:val="0"/>
        <w:spacing w:line="520" w:lineRule="exact"/>
        <w:outlineLvl w:val="1"/>
        <w:rPr>
          <w:rFonts w:eastAsia="黑体"/>
          <w:bCs/>
          <w:sz w:val="28"/>
          <w:szCs w:val="28"/>
        </w:rPr>
      </w:pPr>
      <w:bookmarkStart w:id="70" w:name="_Toc472009583"/>
      <w:bookmarkStart w:id="71" w:name="_Toc345417240"/>
      <w:bookmarkStart w:id="72" w:name="_Toc412820907"/>
      <w:bookmarkStart w:id="73" w:name="_Toc407000985"/>
      <w:bookmarkStart w:id="74" w:name="_Toc413750073"/>
      <w:bookmarkStart w:id="75" w:name="_Toc27489"/>
      <w:r>
        <w:rPr>
          <w:rFonts w:eastAsia="黑体"/>
          <w:bCs/>
          <w:sz w:val="28"/>
          <w:szCs w:val="28"/>
        </w:rPr>
        <w:t>1.4环境影响因素识别及评价因子筛选</w:t>
      </w:r>
      <w:bookmarkEnd w:id="70"/>
      <w:bookmarkEnd w:id="71"/>
      <w:bookmarkEnd w:id="72"/>
      <w:bookmarkEnd w:id="73"/>
      <w:bookmarkEnd w:id="74"/>
      <w:bookmarkEnd w:id="75"/>
    </w:p>
    <w:p>
      <w:pPr>
        <w:pStyle w:val="2"/>
        <w:snapToGrid w:val="0"/>
        <w:spacing w:before="0" w:after="0" w:line="520" w:lineRule="exact"/>
        <w:rPr>
          <w:rFonts w:eastAsia="黑体"/>
          <w:b w:val="0"/>
          <w:bCs w:val="0"/>
          <w:sz w:val="24"/>
          <w:szCs w:val="24"/>
        </w:rPr>
      </w:pPr>
      <w:bookmarkStart w:id="76" w:name="_Toc407000986"/>
      <w:bookmarkStart w:id="77" w:name="_Toc413750074"/>
      <w:bookmarkStart w:id="78" w:name="_Toc345417241"/>
      <w:bookmarkStart w:id="79" w:name="_Toc412820908"/>
      <w:r>
        <w:rPr>
          <w:rFonts w:eastAsia="黑体"/>
          <w:b w:val="0"/>
          <w:bCs w:val="0"/>
          <w:sz w:val="24"/>
          <w:szCs w:val="24"/>
        </w:rPr>
        <w:t>1.4.1 环境影响因素识别</w:t>
      </w:r>
      <w:bookmarkEnd w:id="76"/>
      <w:bookmarkEnd w:id="77"/>
      <w:bookmarkEnd w:id="78"/>
      <w:bookmarkEnd w:id="79"/>
    </w:p>
    <w:p>
      <w:pPr>
        <w:spacing w:line="500" w:lineRule="exact"/>
        <w:ind w:firstLine="480" w:firstLineChars="200"/>
        <w:rPr>
          <w:sz w:val="24"/>
        </w:rPr>
      </w:pPr>
      <w:r>
        <w:rPr>
          <w:sz w:val="24"/>
        </w:rPr>
        <w:t>根据本工程特点和主要环境问题识别结果，采用矩阵法对可能受本工程影响的环境要素进行识别和筛选，其结果见表1.4-1。</w:t>
      </w:r>
    </w:p>
    <w:p>
      <w:pPr>
        <w:spacing w:after="72" w:afterLines="30" w:line="500" w:lineRule="exact"/>
        <w:jc w:val="center"/>
        <w:rPr>
          <w:b/>
          <w:sz w:val="24"/>
        </w:rPr>
      </w:pPr>
      <w:r>
        <w:rPr>
          <w:b/>
          <w:sz w:val="24"/>
        </w:rPr>
        <w:t>表1.4-1      环境影响识别一览表</w:t>
      </w:r>
    </w:p>
    <w:tbl>
      <w:tblPr>
        <w:tblStyle w:val="1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7"/>
        <w:gridCol w:w="617"/>
        <w:gridCol w:w="1499"/>
        <w:gridCol w:w="1068"/>
        <w:gridCol w:w="1068"/>
        <w:gridCol w:w="1068"/>
        <w:gridCol w:w="1068"/>
        <w:gridCol w:w="1068"/>
        <w:gridCol w:w="10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0" w:hRule="atLeast"/>
          <w:tblHeader/>
        </w:trPr>
        <w:tc>
          <w:tcPr>
            <w:tcW w:w="427" w:type="dxa"/>
            <w:vMerge w:val="restart"/>
            <w:noWrap w:val="0"/>
            <w:vAlign w:val="center"/>
          </w:tcPr>
          <w:p>
            <w:pPr>
              <w:spacing w:line="360" w:lineRule="exact"/>
              <w:jc w:val="center"/>
              <w:rPr>
                <w:b/>
                <w:szCs w:val="21"/>
              </w:rPr>
            </w:pPr>
            <w:r>
              <w:rPr>
                <w:b/>
                <w:szCs w:val="21"/>
              </w:rPr>
              <w:t>阶</w:t>
            </w:r>
          </w:p>
          <w:p>
            <w:pPr>
              <w:spacing w:line="360" w:lineRule="exact"/>
              <w:jc w:val="center"/>
              <w:rPr>
                <w:b/>
                <w:szCs w:val="21"/>
              </w:rPr>
            </w:pPr>
            <w:r>
              <w:rPr>
                <w:b/>
                <w:szCs w:val="21"/>
              </w:rPr>
              <w:t>段</w:t>
            </w:r>
          </w:p>
        </w:tc>
        <w:tc>
          <w:tcPr>
            <w:tcW w:w="2116" w:type="dxa"/>
            <w:gridSpan w:val="2"/>
            <w:vMerge w:val="restart"/>
            <w:noWrap w:val="0"/>
            <w:vAlign w:val="center"/>
          </w:tcPr>
          <w:p>
            <w:pPr>
              <w:spacing w:line="360" w:lineRule="exact"/>
              <w:jc w:val="center"/>
              <w:rPr>
                <w:b/>
                <w:szCs w:val="21"/>
              </w:rPr>
            </w:pPr>
            <w:r>
              <w:rPr>
                <w:b/>
                <w:szCs w:val="21"/>
              </w:rPr>
              <w:t>污染因素</w:t>
            </w:r>
          </w:p>
        </w:tc>
        <w:tc>
          <w:tcPr>
            <w:tcW w:w="6403" w:type="dxa"/>
            <w:gridSpan w:val="6"/>
            <w:noWrap w:val="0"/>
            <w:vAlign w:val="center"/>
          </w:tcPr>
          <w:p>
            <w:pPr>
              <w:spacing w:line="360" w:lineRule="exact"/>
              <w:jc w:val="center"/>
              <w:rPr>
                <w:b/>
                <w:szCs w:val="21"/>
              </w:rPr>
            </w:pPr>
            <w:r>
              <w:rPr>
                <w:b/>
                <w:szCs w:val="21"/>
              </w:rPr>
              <w:t>环境要素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0" w:hRule="atLeast"/>
          <w:tblHeader/>
        </w:trPr>
        <w:tc>
          <w:tcPr>
            <w:tcW w:w="427" w:type="dxa"/>
            <w:vMerge w:val="continue"/>
            <w:noWrap w:val="0"/>
            <w:vAlign w:val="center"/>
          </w:tcPr>
          <w:p>
            <w:pPr>
              <w:spacing w:line="360" w:lineRule="exact"/>
              <w:jc w:val="center"/>
              <w:rPr>
                <w:b/>
                <w:szCs w:val="21"/>
              </w:rPr>
            </w:pPr>
          </w:p>
        </w:tc>
        <w:tc>
          <w:tcPr>
            <w:tcW w:w="2116" w:type="dxa"/>
            <w:gridSpan w:val="2"/>
            <w:vMerge w:val="continue"/>
            <w:noWrap w:val="0"/>
            <w:vAlign w:val="center"/>
          </w:tcPr>
          <w:p>
            <w:pPr>
              <w:spacing w:line="360" w:lineRule="exact"/>
              <w:jc w:val="center"/>
              <w:rPr>
                <w:b/>
                <w:szCs w:val="21"/>
              </w:rPr>
            </w:pPr>
          </w:p>
        </w:tc>
        <w:tc>
          <w:tcPr>
            <w:tcW w:w="1068" w:type="dxa"/>
            <w:noWrap w:val="0"/>
            <w:vAlign w:val="center"/>
          </w:tcPr>
          <w:p>
            <w:pPr>
              <w:spacing w:line="360" w:lineRule="exact"/>
              <w:jc w:val="center"/>
              <w:rPr>
                <w:b/>
                <w:szCs w:val="21"/>
              </w:rPr>
            </w:pPr>
            <w:r>
              <w:rPr>
                <w:b/>
                <w:szCs w:val="21"/>
              </w:rPr>
              <w:t>大气</w:t>
            </w:r>
          </w:p>
        </w:tc>
        <w:tc>
          <w:tcPr>
            <w:tcW w:w="1068" w:type="dxa"/>
            <w:noWrap w:val="0"/>
            <w:vAlign w:val="center"/>
          </w:tcPr>
          <w:p>
            <w:pPr>
              <w:spacing w:line="360" w:lineRule="exact"/>
              <w:jc w:val="center"/>
              <w:rPr>
                <w:b/>
                <w:szCs w:val="21"/>
              </w:rPr>
            </w:pPr>
            <w:r>
              <w:rPr>
                <w:b/>
                <w:szCs w:val="21"/>
              </w:rPr>
              <w:t>地表水</w:t>
            </w:r>
          </w:p>
        </w:tc>
        <w:tc>
          <w:tcPr>
            <w:tcW w:w="1068" w:type="dxa"/>
            <w:noWrap w:val="0"/>
            <w:vAlign w:val="center"/>
          </w:tcPr>
          <w:p>
            <w:pPr>
              <w:spacing w:line="360" w:lineRule="exact"/>
              <w:jc w:val="center"/>
              <w:rPr>
                <w:b/>
                <w:szCs w:val="21"/>
              </w:rPr>
            </w:pPr>
            <w:r>
              <w:rPr>
                <w:b/>
                <w:szCs w:val="21"/>
              </w:rPr>
              <w:t>地下水</w:t>
            </w:r>
          </w:p>
        </w:tc>
        <w:tc>
          <w:tcPr>
            <w:tcW w:w="1068" w:type="dxa"/>
            <w:noWrap w:val="0"/>
            <w:vAlign w:val="center"/>
          </w:tcPr>
          <w:p>
            <w:pPr>
              <w:spacing w:line="360" w:lineRule="exact"/>
              <w:jc w:val="center"/>
              <w:rPr>
                <w:b/>
                <w:szCs w:val="21"/>
              </w:rPr>
            </w:pPr>
            <w:r>
              <w:rPr>
                <w:b/>
                <w:szCs w:val="21"/>
              </w:rPr>
              <w:t>声</w:t>
            </w:r>
          </w:p>
        </w:tc>
        <w:tc>
          <w:tcPr>
            <w:tcW w:w="1068" w:type="dxa"/>
            <w:noWrap w:val="0"/>
            <w:vAlign w:val="center"/>
          </w:tcPr>
          <w:p>
            <w:pPr>
              <w:spacing w:line="360" w:lineRule="exact"/>
              <w:jc w:val="center"/>
              <w:rPr>
                <w:b/>
                <w:szCs w:val="21"/>
              </w:rPr>
            </w:pPr>
            <w:r>
              <w:rPr>
                <w:b/>
                <w:szCs w:val="21"/>
              </w:rPr>
              <w:t>生态</w:t>
            </w:r>
          </w:p>
        </w:tc>
        <w:tc>
          <w:tcPr>
            <w:tcW w:w="1063" w:type="dxa"/>
            <w:noWrap w:val="0"/>
            <w:vAlign w:val="center"/>
          </w:tcPr>
          <w:p>
            <w:pPr>
              <w:spacing w:line="360" w:lineRule="exact"/>
              <w:jc w:val="center"/>
              <w:rPr>
                <w:b/>
                <w:szCs w:val="21"/>
              </w:rPr>
            </w:pPr>
            <w:r>
              <w:rPr>
                <w:b/>
                <w:szCs w:val="21"/>
              </w:rPr>
              <w:t>居民生活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427" w:type="dxa"/>
            <w:vMerge w:val="restart"/>
            <w:noWrap w:val="0"/>
            <w:vAlign w:val="center"/>
          </w:tcPr>
          <w:p>
            <w:pPr>
              <w:spacing w:line="360" w:lineRule="exact"/>
              <w:jc w:val="center"/>
              <w:rPr>
                <w:szCs w:val="21"/>
              </w:rPr>
            </w:pPr>
            <w:r>
              <w:rPr>
                <w:szCs w:val="21"/>
              </w:rPr>
              <w:t>施</w:t>
            </w:r>
          </w:p>
          <w:p>
            <w:pPr>
              <w:spacing w:line="360" w:lineRule="exact"/>
              <w:jc w:val="center"/>
              <w:rPr>
                <w:szCs w:val="21"/>
              </w:rPr>
            </w:pPr>
            <w:r>
              <w:rPr>
                <w:szCs w:val="21"/>
              </w:rPr>
              <w:t>工</w:t>
            </w:r>
          </w:p>
          <w:p>
            <w:pPr>
              <w:spacing w:line="360" w:lineRule="exact"/>
              <w:jc w:val="center"/>
              <w:rPr>
                <w:szCs w:val="21"/>
              </w:rPr>
            </w:pPr>
            <w:r>
              <w:rPr>
                <w:szCs w:val="21"/>
              </w:rPr>
              <w:t>期</w:t>
            </w:r>
          </w:p>
        </w:tc>
        <w:tc>
          <w:tcPr>
            <w:tcW w:w="617" w:type="dxa"/>
            <w:vMerge w:val="restart"/>
            <w:noWrap w:val="0"/>
            <w:vAlign w:val="center"/>
          </w:tcPr>
          <w:p>
            <w:pPr>
              <w:spacing w:line="360" w:lineRule="exact"/>
              <w:jc w:val="center"/>
              <w:rPr>
                <w:szCs w:val="21"/>
              </w:rPr>
            </w:pPr>
            <w:r>
              <w:rPr>
                <w:szCs w:val="21"/>
              </w:rPr>
              <w:t>场区</w:t>
            </w:r>
          </w:p>
        </w:tc>
        <w:tc>
          <w:tcPr>
            <w:tcW w:w="1499" w:type="dxa"/>
            <w:noWrap w:val="0"/>
            <w:vAlign w:val="center"/>
          </w:tcPr>
          <w:p>
            <w:pPr>
              <w:spacing w:line="360" w:lineRule="exact"/>
              <w:jc w:val="center"/>
              <w:rPr>
                <w:szCs w:val="21"/>
              </w:rPr>
            </w:pPr>
            <w:r>
              <w:rPr>
                <w:szCs w:val="21"/>
              </w:rPr>
              <w:t>施工噪声</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3" w:type="dxa"/>
            <w:noWrap w:val="0"/>
            <w:vAlign w:val="center"/>
          </w:tcPr>
          <w:p>
            <w:pPr>
              <w:spacing w:line="36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427" w:type="dxa"/>
            <w:vMerge w:val="continue"/>
            <w:noWrap w:val="0"/>
            <w:vAlign w:val="center"/>
          </w:tcPr>
          <w:p>
            <w:pPr>
              <w:spacing w:line="360" w:lineRule="exact"/>
              <w:jc w:val="center"/>
              <w:rPr>
                <w:szCs w:val="21"/>
              </w:rPr>
            </w:pPr>
          </w:p>
        </w:tc>
        <w:tc>
          <w:tcPr>
            <w:tcW w:w="617" w:type="dxa"/>
            <w:vMerge w:val="continue"/>
            <w:noWrap w:val="0"/>
            <w:vAlign w:val="center"/>
          </w:tcPr>
          <w:p>
            <w:pPr>
              <w:spacing w:line="360" w:lineRule="exact"/>
              <w:jc w:val="center"/>
              <w:rPr>
                <w:szCs w:val="21"/>
              </w:rPr>
            </w:pPr>
          </w:p>
        </w:tc>
        <w:tc>
          <w:tcPr>
            <w:tcW w:w="1499" w:type="dxa"/>
            <w:noWrap w:val="0"/>
            <w:vAlign w:val="center"/>
          </w:tcPr>
          <w:p>
            <w:pPr>
              <w:spacing w:line="360" w:lineRule="exact"/>
              <w:jc w:val="center"/>
              <w:rPr>
                <w:szCs w:val="21"/>
              </w:rPr>
            </w:pPr>
            <w:r>
              <w:rPr>
                <w:szCs w:val="21"/>
              </w:rPr>
              <w:t>施工扬尘</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3" w:type="dxa"/>
            <w:noWrap w:val="0"/>
            <w:vAlign w:val="center"/>
          </w:tcPr>
          <w:p>
            <w:pPr>
              <w:spacing w:line="36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427" w:type="dxa"/>
            <w:vMerge w:val="continue"/>
            <w:noWrap w:val="0"/>
            <w:vAlign w:val="center"/>
          </w:tcPr>
          <w:p>
            <w:pPr>
              <w:spacing w:line="360" w:lineRule="exact"/>
              <w:jc w:val="center"/>
              <w:rPr>
                <w:szCs w:val="21"/>
              </w:rPr>
            </w:pPr>
          </w:p>
        </w:tc>
        <w:tc>
          <w:tcPr>
            <w:tcW w:w="617" w:type="dxa"/>
            <w:vMerge w:val="continue"/>
            <w:noWrap w:val="0"/>
            <w:vAlign w:val="center"/>
          </w:tcPr>
          <w:p>
            <w:pPr>
              <w:spacing w:line="360" w:lineRule="exact"/>
              <w:jc w:val="center"/>
              <w:rPr>
                <w:szCs w:val="21"/>
              </w:rPr>
            </w:pPr>
          </w:p>
        </w:tc>
        <w:tc>
          <w:tcPr>
            <w:tcW w:w="1499" w:type="dxa"/>
            <w:noWrap w:val="0"/>
            <w:vAlign w:val="center"/>
          </w:tcPr>
          <w:p>
            <w:pPr>
              <w:spacing w:line="360" w:lineRule="exact"/>
              <w:jc w:val="center"/>
              <w:rPr>
                <w:szCs w:val="21"/>
              </w:rPr>
            </w:pPr>
            <w:r>
              <w:rPr>
                <w:szCs w:val="21"/>
              </w:rPr>
              <w:t>施工废水</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3" w:type="dxa"/>
            <w:noWrap w:val="0"/>
            <w:vAlign w:val="center"/>
          </w:tcPr>
          <w:p>
            <w:pPr>
              <w:spacing w:line="36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427" w:type="dxa"/>
            <w:vMerge w:val="continue"/>
            <w:noWrap w:val="0"/>
            <w:vAlign w:val="center"/>
          </w:tcPr>
          <w:p>
            <w:pPr>
              <w:spacing w:line="360" w:lineRule="exact"/>
              <w:jc w:val="center"/>
              <w:rPr>
                <w:szCs w:val="21"/>
              </w:rPr>
            </w:pPr>
          </w:p>
        </w:tc>
        <w:tc>
          <w:tcPr>
            <w:tcW w:w="2116" w:type="dxa"/>
            <w:gridSpan w:val="2"/>
            <w:noWrap w:val="0"/>
            <w:vAlign w:val="center"/>
          </w:tcPr>
          <w:p>
            <w:pPr>
              <w:spacing w:line="360" w:lineRule="exact"/>
              <w:jc w:val="center"/>
              <w:rPr>
                <w:szCs w:val="21"/>
              </w:rPr>
            </w:pPr>
            <w:r>
              <w:rPr>
                <w:szCs w:val="21"/>
              </w:rPr>
              <w:t>车辆运输</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3" w:type="dxa"/>
            <w:noWrap w:val="0"/>
            <w:vAlign w:val="center"/>
          </w:tcPr>
          <w:p>
            <w:pPr>
              <w:spacing w:line="36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427" w:type="dxa"/>
            <w:vMerge w:val="continue"/>
            <w:noWrap w:val="0"/>
            <w:vAlign w:val="center"/>
          </w:tcPr>
          <w:p>
            <w:pPr>
              <w:spacing w:line="360" w:lineRule="exact"/>
              <w:jc w:val="center"/>
              <w:rPr>
                <w:szCs w:val="21"/>
              </w:rPr>
            </w:pPr>
          </w:p>
        </w:tc>
        <w:tc>
          <w:tcPr>
            <w:tcW w:w="2116" w:type="dxa"/>
            <w:gridSpan w:val="2"/>
            <w:noWrap w:val="0"/>
            <w:vAlign w:val="center"/>
          </w:tcPr>
          <w:p>
            <w:pPr>
              <w:spacing w:line="360" w:lineRule="exact"/>
              <w:jc w:val="center"/>
              <w:rPr>
                <w:szCs w:val="21"/>
              </w:rPr>
            </w:pPr>
            <w:r>
              <w:rPr>
                <w:szCs w:val="21"/>
              </w:rPr>
              <w:t>路管工程</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3" w:type="dxa"/>
            <w:noWrap w:val="0"/>
            <w:vAlign w:val="center"/>
          </w:tcPr>
          <w:p>
            <w:pPr>
              <w:spacing w:line="36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427" w:type="dxa"/>
            <w:vMerge w:val="restart"/>
            <w:noWrap w:val="0"/>
            <w:vAlign w:val="center"/>
          </w:tcPr>
          <w:p>
            <w:pPr>
              <w:spacing w:line="360" w:lineRule="exact"/>
              <w:jc w:val="center"/>
              <w:rPr>
                <w:szCs w:val="21"/>
              </w:rPr>
            </w:pPr>
            <w:r>
              <w:rPr>
                <w:szCs w:val="21"/>
              </w:rPr>
              <w:t>营</w:t>
            </w:r>
          </w:p>
          <w:p>
            <w:pPr>
              <w:spacing w:line="360" w:lineRule="exact"/>
              <w:jc w:val="center"/>
              <w:rPr>
                <w:szCs w:val="21"/>
              </w:rPr>
            </w:pPr>
            <w:r>
              <w:rPr>
                <w:szCs w:val="21"/>
              </w:rPr>
              <w:t>运</w:t>
            </w:r>
          </w:p>
          <w:p>
            <w:pPr>
              <w:spacing w:line="360" w:lineRule="exact"/>
              <w:jc w:val="center"/>
              <w:rPr>
                <w:szCs w:val="21"/>
              </w:rPr>
            </w:pPr>
            <w:r>
              <w:rPr>
                <w:szCs w:val="21"/>
              </w:rPr>
              <w:t>期</w:t>
            </w:r>
          </w:p>
        </w:tc>
        <w:tc>
          <w:tcPr>
            <w:tcW w:w="617" w:type="dxa"/>
            <w:vMerge w:val="restart"/>
            <w:noWrap w:val="0"/>
            <w:vAlign w:val="center"/>
          </w:tcPr>
          <w:p>
            <w:pPr>
              <w:spacing w:line="360" w:lineRule="exact"/>
              <w:jc w:val="center"/>
              <w:rPr>
                <w:szCs w:val="21"/>
              </w:rPr>
            </w:pPr>
            <w:r>
              <w:rPr>
                <w:szCs w:val="21"/>
              </w:rPr>
              <w:t>场区</w:t>
            </w:r>
          </w:p>
        </w:tc>
        <w:tc>
          <w:tcPr>
            <w:tcW w:w="1499" w:type="dxa"/>
            <w:noWrap w:val="0"/>
            <w:vAlign w:val="center"/>
          </w:tcPr>
          <w:p>
            <w:pPr>
              <w:spacing w:line="360" w:lineRule="exact"/>
              <w:jc w:val="center"/>
              <w:rPr>
                <w:szCs w:val="21"/>
              </w:rPr>
            </w:pPr>
            <w:r>
              <w:rPr>
                <w:szCs w:val="21"/>
              </w:rPr>
              <w:t>工程废水</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3" w:type="dxa"/>
            <w:noWrap w:val="0"/>
            <w:vAlign w:val="center"/>
          </w:tcPr>
          <w:p>
            <w:pPr>
              <w:spacing w:line="36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427" w:type="dxa"/>
            <w:vMerge w:val="continue"/>
            <w:noWrap w:val="0"/>
            <w:vAlign w:val="center"/>
          </w:tcPr>
          <w:p>
            <w:pPr>
              <w:spacing w:line="360" w:lineRule="exact"/>
              <w:jc w:val="center"/>
              <w:rPr>
                <w:szCs w:val="21"/>
              </w:rPr>
            </w:pPr>
          </w:p>
        </w:tc>
        <w:tc>
          <w:tcPr>
            <w:tcW w:w="617" w:type="dxa"/>
            <w:vMerge w:val="continue"/>
            <w:noWrap w:val="0"/>
            <w:vAlign w:val="center"/>
          </w:tcPr>
          <w:p>
            <w:pPr>
              <w:spacing w:line="360" w:lineRule="exact"/>
              <w:jc w:val="center"/>
              <w:rPr>
                <w:szCs w:val="21"/>
              </w:rPr>
            </w:pPr>
          </w:p>
        </w:tc>
        <w:tc>
          <w:tcPr>
            <w:tcW w:w="1499" w:type="dxa"/>
            <w:noWrap w:val="0"/>
            <w:vAlign w:val="center"/>
          </w:tcPr>
          <w:p>
            <w:pPr>
              <w:spacing w:line="360" w:lineRule="exact"/>
              <w:jc w:val="center"/>
              <w:rPr>
                <w:szCs w:val="21"/>
              </w:rPr>
            </w:pPr>
            <w:r>
              <w:rPr>
                <w:szCs w:val="21"/>
              </w:rPr>
              <w:t>生产恶臭</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3" w:type="dxa"/>
            <w:noWrap w:val="0"/>
            <w:vAlign w:val="center"/>
          </w:tcPr>
          <w:p>
            <w:pPr>
              <w:spacing w:line="36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427" w:type="dxa"/>
            <w:vMerge w:val="continue"/>
            <w:noWrap w:val="0"/>
            <w:vAlign w:val="center"/>
          </w:tcPr>
          <w:p>
            <w:pPr>
              <w:spacing w:line="360" w:lineRule="exact"/>
              <w:jc w:val="center"/>
              <w:rPr>
                <w:szCs w:val="21"/>
              </w:rPr>
            </w:pPr>
          </w:p>
        </w:tc>
        <w:tc>
          <w:tcPr>
            <w:tcW w:w="617" w:type="dxa"/>
            <w:vMerge w:val="continue"/>
            <w:noWrap w:val="0"/>
            <w:vAlign w:val="center"/>
          </w:tcPr>
          <w:p>
            <w:pPr>
              <w:spacing w:line="360" w:lineRule="exact"/>
              <w:jc w:val="center"/>
              <w:rPr>
                <w:szCs w:val="21"/>
              </w:rPr>
            </w:pPr>
          </w:p>
        </w:tc>
        <w:tc>
          <w:tcPr>
            <w:tcW w:w="1499" w:type="dxa"/>
            <w:noWrap w:val="0"/>
            <w:vAlign w:val="center"/>
          </w:tcPr>
          <w:p>
            <w:pPr>
              <w:spacing w:line="360" w:lineRule="exact"/>
              <w:jc w:val="center"/>
              <w:rPr>
                <w:szCs w:val="21"/>
              </w:rPr>
            </w:pPr>
            <w:r>
              <w:rPr>
                <w:szCs w:val="21"/>
              </w:rPr>
              <w:t>生产噪声</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3" w:type="dxa"/>
            <w:noWrap w:val="0"/>
            <w:vAlign w:val="center"/>
          </w:tcPr>
          <w:p>
            <w:pPr>
              <w:spacing w:line="36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427" w:type="dxa"/>
            <w:vMerge w:val="continue"/>
            <w:noWrap w:val="0"/>
            <w:vAlign w:val="center"/>
          </w:tcPr>
          <w:p>
            <w:pPr>
              <w:spacing w:line="360" w:lineRule="exact"/>
              <w:jc w:val="center"/>
              <w:rPr>
                <w:szCs w:val="21"/>
              </w:rPr>
            </w:pPr>
          </w:p>
        </w:tc>
        <w:tc>
          <w:tcPr>
            <w:tcW w:w="2116" w:type="dxa"/>
            <w:gridSpan w:val="2"/>
            <w:noWrap w:val="0"/>
            <w:vAlign w:val="center"/>
          </w:tcPr>
          <w:p>
            <w:pPr>
              <w:spacing w:line="360" w:lineRule="exact"/>
              <w:jc w:val="center"/>
              <w:rPr>
                <w:szCs w:val="21"/>
              </w:rPr>
            </w:pPr>
            <w:r>
              <w:rPr>
                <w:szCs w:val="21"/>
              </w:rPr>
              <w:t>固废综合利用</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3" w:type="dxa"/>
            <w:noWrap w:val="0"/>
            <w:vAlign w:val="center"/>
          </w:tcPr>
          <w:p>
            <w:pPr>
              <w:spacing w:line="36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427" w:type="dxa"/>
            <w:vMerge w:val="continue"/>
            <w:noWrap w:val="0"/>
            <w:vAlign w:val="center"/>
          </w:tcPr>
          <w:p>
            <w:pPr>
              <w:spacing w:line="360" w:lineRule="exact"/>
              <w:jc w:val="center"/>
              <w:rPr>
                <w:szCs w:val="21"/>
              </w:rPr>
            </w:pPr>
          </w:p>
        </w:tc>
        <w:tc>
          <w:tcPr>
            <w:tcW w:w="2116" w:type="dxa"/>
            <w:gridSpan w:val="2"/>
            <w:noWrap w:val="0"/>
            <w:vAlign w:val="center"/>
          </w:tcPr>
          <w:p>
            <w:pPr>
              <w:spacing w:line="360" w:lineRule="exact"/>
              <w:jc w:val="center"/>
              <w:rPr>
                <w:szCs w:val="21"/>
              </w:rPr>
            </w:pPr>
            <w:r>
              <w:rPr>
                <w:szCs w:val="21"/>
              </w:rPr>
              <w:t>车辆运输</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3" w:type="dxa"/>
            <w:noWrap w:val="0"/>
            <w:vAlign w:val="center"/>
          </w:tcPr>
          <w:p>
            <w:pPr>
              <w:spacing w:line="36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427" w:type="dxa"/>
            <w:vMerge w:val="continue"/>
            <w:noWrap w:val="0"/>
            <w:vAlign w:val="center"/>
          </w:tcPr>
          <w:p>
            <w:pPr>
              <w:spacing w:line="360" w:lineRule="exact"/>
              <w:jc w:val="center"/>
              <w:rPr>
                <w:szCs w:val="21"/>
              </w:rPr>
            </w:pPr>
          </w:p>
        </w:tc>
        <w:tc>
          <w:tcPr>
            <w:tcW w:w="2116" w:type="dxa"/>
            <w:gridSpan w:val="2"/>
            <w:noWrap w:val="0"/>
            <w:vAlign w:val="center"/>
          </w:tcPr>
          <w:p>
            <w:pPr>
              <w:spacing w:line="360" w:lineRule="exact"/>
              <w:jc w:val="center"/>
              <w:rPr>
                <w:szCs w:val="21"/>
              </w:rPr>
            </w:pPr>
            <w:r>
              <w:rPr>
                <w:rFonts w:hint="eastAsia"/>
                <w:szCs w:val="21"/>
              </w:rPr>
              <w:t>还田</w:t>
            </w:r>
            <w:r>
              <w:rPr>
                <w:szCs w:val="21"/>
              </w:rPr>
              <w:t>管网</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3" w:type="dxa"/>
            <w:noWrap w:val="0"/>
            <w:vAlign w:val="center"/>
          </w:tcPr>
          <w:p>
            <w:pPr>
              <w:spacing w:line="36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427" w:type="dxa"/>
            <w:vMerge w:val="continue"/>
            <w:noWrap w:val="0"/>
            <w:vAlign w:val="center"/>
          </w:tcPr>
          <w:p>
            <w:pPr>
              <w:spacing w:line="360" w:lineRule="exact"/>
              <w:jc w:val="center"/>
              <w:rPr>
                <w:szCs w:val="21"/>
              </w:rPr>
            </w:pPr>
          </w:p>
        </w:tc>
        <w:tc>
          <w:tcPr>
            <w:tcW w:w="2116" w:type="dxa"/>
            <w:gridSpan w:val="2"/>
            <w:noWrap w:val="0"/>
            <w:vAlign w:val="center"/>
          </w:tcPr>
          <w:p>
            <w:pPr>
              <w:spacing w:line="360" w:lineRule="exact"/>
              <w:jc w:val="center"/>
              <w:rPr>
                <w:szCs w:val="21"/>
              </w:rPr>
            </w:pPr>
            <w:r>
              <w:rPr>
                <w:szCs w:val="21"/>
              </w:rPr>
              <w:t>土壤</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8" w:type="dxa"/>
            <w:noWrap w:val="0"/>
            <w:vAlign w:val="center"/>
          </w:tcPr>
          <w:p>
            <w:pPr>
              <w:spacing w:line="360" w:lineRule="exact"/>
              <w:jc w:val="center"/>
              <w:rPr>
                <w:szCs w:val="21"/>
              </w:rPr>
            </w:pPr>
            <w:r>
              <w:rPr>
                <w:szCs w:val="21"/>
              </w:rPr>
              <w:t>○</w:t>
            </w:r>
          </w:p>
        </w:tc>
        <w:tc>
          <w:tcPr>
            <w:tcW w:w="1063" w:type="dxa"/>
            <w:noWrap w:val="0"/>
            <w:vAlign w:val="center"/>
          </w:tcPr>
          <w:p>
            <w:pPr>
              <w:spacing w:line="36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8946" w:type="dxa"/>
            <w:gridSpan w:val="9"/>
            <w:noWrap w:val="0"/>
            <w:vAlign w:val="center"/>
          </w:tcPr>
          <w:p>
            <w:pPr>
              <w:spacing w:line="360" w:lineRule="exact"/>
              <w:jc w:val="center"/>
              <w:rPr>
                <w:szCs w:val="21"/>
              </w:rPr>
            </w:pPr>
            <w:r>
              <w:rPr>
                <w:szCs w:val="21"/>
              </w:rPr>
              <w:t>● 有影响，▲有轻微影响，△可能有影响，○ 没有影响。</w:t>
            </w:r>
          </w:p>
        </w:tc>
      </w:tr>
    </w:tbl>
    <w:p>
      <w:pPr>
        <w:pStyle w:val="2"/>
        <w:snapToGrid w:val="0"/>
        <w:spacing w:before="0" w:after="0" w:line="520" w:lineRule="exact"/>
        <w:rPr>
          <w:rFonts w:eastAsia="黑体"/>
          <w:b w:val="0"/>
          <w:bCs w:val="0"/>
          <w:sz w:val="24"/>
          <w:szCs w:val="24"/>
        </w:rPr>
      </w:pPr>
      <w:bookmarkStart w:id="80" w:name="_Toc412820909"/>
      <w:bookmarkStart w:id="81" w:name="_Toc407000987"/>
      <w:bookmarkStart w:id="82" w:name="_Toc345417242"/>
      <w:bookmarkStart w:id="83" w:name="_Toc413750075"/>
      <w:r>
        <w:rPr>
          <w:rFonts w:eastAsia="黑体"/>
          <w:b w:val="0"/>
          <w:bCs w:val="0"/>
          <w:sz w:val="24"/>
          <w:szCs w:val="24"/>
        </w:rPr>
        <w:t>1.4.2 评价因子筛选</w:t>
      </w:r>
      <w:bookmarkEnd w:id="80"/>
      <w:bookmarkEnd w:id="81"/>
      <w:bookmarkEnd w:id="82"/>
      <w:bookmarkEnd w:id="83"/>
    </w:p>
    <w:p>
      <w:pPr>
        <w:spacing w:line="500" w:lineRule="exact"/>
        <w:ind w:firstLine="480" w:firstLineChars="200"/>
        <w:rPr>
          <w:sz w:val="24"/>
        </w:rPr>
      </w:pPr>
      <w:r>
        <w:rPr>
          <w:sz w:val="24"/>
        </w:rPr>
        <w:t>根据表1.4-1筛选结果确定本项目的评价因子见表1.4-2。</w:t>
      </w:r>
    </w:p>
    <w:p>
      <w:pPr>
        <w:spacing w:after="72" w:afterLines="30" w:line="500" w:lineRule="exact"/>
        <w:jc w:val="center"/>
        <w:rPr>
          <w:b/>
          <w:sz w:val="24"/>
        </w:rPr>
      </w:pPr>
      <w:r>
        <w:rPr>
          <w:b/>
          <w:sz w:val="24"/>
        </w:rPr>
        <w:t>表1.4-2      项目环境评价因子</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02"/>
        <w:gridCol w:w="5510"/>
        <w:gridCol w:w="20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60" w:hRule="atLeast"/>
          <w:tblHeader/>
          <w:jc w:val="center"/>
        </w:trPr>
        <w:tc>
          <w:tcPr>
            <w:tcW w:w="1402" w:type="dxa"/>
            <w:noWrap w:val="0"/>
            <w:vAlign w:val="center"/>
          </w:tcPr>
          <w:p>
            <w:pPr>
              <w:spacing w:line="360" w:lineRule="exact"/>
              <w:jc w:val="center"/>
              <w:rPr>
                <w:b/>
                <w:szCs w:val="21"/>
              </w:rPr>
            </w:pPr>
            <w:r>
              <w:rPr>
                <w:b/>
                <w:szCs w:val="21"/>
              </w:rPr>
              <w:t>项目</w:t>
            </w:r>
          </w:p>
        </w:tc>
        <w:tc>
          <w:tcPr>
            <w:tcW w:w="5510" w:type="dxa"/>
            <w:noWrap w:val="0"/>
            <w:vAlign w:val="center"/>
          </w:tcPr>
          <w:p>
            <w:pPr>
              <w:spacing w:line="360" w:lineRule="exact"/>
              <w:jc w:val="center"/>
              <w:rPr>
                <w:b/>
                <w:szCs w:val="21"/>
              </w:rPr>
            </w:pPr>
            <w:r>
              <w:rPr>
                <w:b/>
                <w:szCs w:val="21"/>
              </w:rPr>
              <w:t>现状评价因子</w:t>
            </w:r>
          </w:p>
        </w:tc>
        <w:tc>
          <w:tcPr>
            <w:tcW w:w="2034" w:type="dxa"/>
            <w:noWrap w:val="0"/>
            <w:vAlign w:val="center"/>
          </w:tcPr>
          <w:p>
            <w:pPr>
              <w:spacing w:line="360" w:lineRule="exact"/>
              <w:jc w:val="center"/>
              <w:rPr>
                <w:b/>
                <w:szCs w:val="21"/>
              </w:rPr>
            </w:pPr>
            <w:r>
              <w:rPr>
                <w:b/>
                <w:szCs w:val="21"/>
              </w:rPr>
              <w:t>预测因子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02" w:type="dxa"/>
            <w:noWrap w:val="0"/>
            <w:vAlign w:val="center"/>
          </w:tcPr>
          <w:p>
            <w:pPr>
              <w:spacing w:line="360" w:lineRule="exact"/>
              <w:jc w:val="center"/>
              <w:rPr>
                <w:szCs w:val="21"/>
              </w:rPr>
            </w:pPr>
            <w:r>
              <w:rPr>
                <w:szCs w:val="21"/>
              </w:rPr>
              <w:t>大气环境</w:t>
            </w:r>
          </w:p>
        </w:tc>
        <w:tc>
          <w:tcPr>
            <w:tcW w:w="5510" w:type="dxa"/>
            <w:noWrap w:val="0"/>
            <w:vAlign w:val="center"/>
          </w:tcPr>
          <w:p>
            <w:pPr>
              <w:spacing w:line="360" w:lineRule="exact"/>
              <w:jc w:val="center"/>
              <w:rPr>
                <w:szCs w:val="21"/>
              </w:rPr>
            </w:pPr>
            <w:r>
              <w:rPr>
                <w:szCs w:val="21"/>
              </w:rPr>
              <w:t>H</w:t>
            </w:r>
            <w:r>
              <w:rPr>
                <w:szCs w:val="21"/>
                <w:vertAlign w:val="subscript"/>
              </w:rPr>
              <w:t>2</w:t>
            </w:r>
            <w:r>
              <w:rPr>
                <w:szCs w:val="21"/>
              </w:rPr>
              <w:t>S、NH</w:t>
            </w:r>
            <w:r>
              <w:rPr>
                <w:szCs w:val="21"/>
                <w:vertAlign w:val="subscript"/>
              </w:rPr>
              <w:t>3</w:t>
            </w:r>
            <w:r>
              <w:rPr>
                <w:szCs w:val="21"/>
              </w:rPr>
              <w:t>、SO</w:t>
            </w:r>
            <w:r>
              <w:rPr>
                <w:szCs w:val="21"/>
                <w:vertAlign w:val="subscript"/>
              </w:rPr>
              <w:t>2</w:t>
            </w:r>
            <w:r>
              <w:rPr>
                <w:szCs w:val="21"/>
              </w:rPr>
              <w:t>、NO</w:t>
            </w:r>
            <w:r>
              <w:rPr>
                <w:szCs w:val="21"/>
                <w:vertAlign w:val="subscript"/>
              </w:rPr>
              <w:t>2</w:t>
            </w:r>
            <w:r>
              <w:rPr>
                <w:szCs w:val="21"/>
              </w:rPr>
              <w:t xml:space="preserve"> 、PM</w:t>
            </w:r>
            <w:r>
              <w:rPr>
                <w:szCs w:val="21"/>
                <w:vertAlign w:val="subscript"/>
              </w:rPr>
              <w:t>2.5</w:t>
            </w:r>
            <w:r>
              <w:rPr>
                <w:szCs w:val="21"/>
              </w:rPr>
              <w:t>、PM</w:t>
            </w:r>
            <w:r>
              <w:rPr>
                <w:szCs w:val="21"/>
                <w:vertAlign w:val="subscript"/>
              </w:rPr>
              <w:t>10</w:t>
            </w:r>
          </w:p>
        </w:tc>
        <w:tc>
          <w:tcPr>
            <w:tcW w:w="2034" w:type="dxa"/>
            <w:noWrap w:val="0"/>
            <w:vAlign w:val="center"/>
          </w:tcPr>
          <w:p>
            <w:pPr>
              <w:spacing w:line="360" w:lineRule="exact"/>
              <w:jc w:val="center"/>
              <w:rPr>
                <w:szCs w:val="21"/>
              </w:rPr>
            </w:pPr>
            <w:r>
              <w:rPr>
                <w:szCs w:val="21"/>
              </w:rPr>
              <w:t>NH</w:t>
            </w:r>
            <w:r>
              <w:rPr>
                <w:szCs w:val="21"/>
                <w:vertAlign w:val="subscript"/>
              </w:rPr>
              <w:t>3</w:t>
            </w:r>
            <w:r>
              <w:rPr>
                <w:szCs w:val="21"/>
              </w:rPr>
              <w:t>、H</w:t>
            </w:r>
            <w:r>
              <w:rPr>
                <w:szCs w:val="21"/>
                <w:vertAlign w:val="subscript"/>
              </w:rPr>
              <w:t>2</w:t>
            </w:r>
            <w:r>
              <w:rPr>
                <w:szCs w:val="21"/>
              </w:rPr>
              <w:t>S、SO</w:t>
            </w:r>
            <w:r>
              <w:rPr>
                <w:szCs w:val="21"/>
                <w:vertAlign w:val="subscript"/>
              </w:rPr>
              <w:t>2</w:t>
            </w:r>
            <w:r>
              <w:rPr>
                <w:szCs w:val="21"/>
              </w:rPr>
              <w:t>、NO</w:t>
            </w:r>
            <w:r>
              <w:rPr>
                <w:szCs w:val="21"/>
                <w:vertAlign w:val="subscript"/>
              </w:rPr>
              <w:t>2</w:t>
            </w:r>
            <w:r>
              <w:rPr>
                <w:szCs w:val="21"/>
              </w:rPr>
              <w:t>、TSP、PM</w:t>
            </w:r>
            <w:r>
              <w:rPr>
                <w:szCs w:val="21"/>
                <w:vertAlign w:val="subscript"/>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02" w:type="dxa"/>
            <w:noWrap w:val="0"/>
            <w:vAlign w:val="center"/>
          </w:tcPr>
          <w:p>
            <w:pPr>
              <w:spacing w:line="360" w:lineRule="exact"/>
              <w:jc w:val="center"/>
              <w:rPr>
                <w:szCs w:val="21"/>
              </w:rPr>
            </w:pPr>
            <w:r>
              <w:rPr>
                <w:szCs w:val="21"/>
              </w:rPr>
              <w:t>地表水环境</w:t>
            </w:r>
          </w:p>
        </w:tc>
        <w:tc>
          <w:tcPr>
            <w:tcW w:w="5510" w:type="dxa"/>
            <w:noWrap w:val="0"/>
            <w:vAlign w:val="center"/>
          </w:tcPr>
          <w:p>
            <w:pPr>
              <w:spacing w:line="360" w:lineRule="exact"/>
              <w:jc w:val="center"/>
              <w:rPr>
                <w:szCs w:val="21"/>
              </w:rPr>
            </w:pPr>
            <w:r>
              <w:rPr>
                <w:szCs w:val="21"/>
              </w:rPr>
              <w:t>pH、COD、BOD</w:t>
            </w:r>
            <w:r>
              <w:rPr>
                <w:szCs w:val="21"/>
                <w:vertAlign w:val="subscript"/>
              </w:rPr>
              <w:t>5</w:t>
            </w:r>
            <w:r>
              <w:rPr>
                <w:szCs w:val="21"/>
              </w:rPr>
              <w:t>、NH</w:t>
            </w:r>
            <w:r>
              <w:rPr>
                <w:szCs w:val="21"/>
                <w:vertAlign w:val="subscript"/>
              </w:rPr>
              <w:t>3</w:t>
            </w:r>
            <w:r>
              <w:rPr>
                <w:szCs w:val="21"/>
              </w:rPr>
              <w:t>-N、总氮、总磷、粪大肠菌群</w:t>
            </w:r>
          </w:p>
        </w:tc>
        <w:tc>
          <w:tcPr>
            <w:tcW w:w="2034" w:type="dxa"/>
            <w:noWrap w:val="0"/>
            <w:vAlign w:val="center"/>
          </w:tcPr>
          <w:p>
            <w:pPr>
              <w:spacing w:line="36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02" w:type="dxa"/>
            <w:noWrap w:val="0"/>
            <w:vAlign w:val="center"/>
          </w:tcPr>
          <w:p>
            <w:pPr>
              <w:spacing w:line="360" w:lineRule="exact"/>
              <w:jc w:val="center"/>
              <w:rPr>
                <w:szCs w:val="21"/>
              </w:rPr>
            </w:pPr>
            <w:r>
              <w:rPr>
                <w:szCs w:val="21"/>
              </w:rPr>
              <w:t>地下水环境</w:t>
            </w:r>
          </w:p>
        </w:tc>
        <w:tc>
          <w:tcPr>
            <w:tcW w:w="5510" w:type="dxa"/>
            <w:noWrap w:val="0"/>
            <w:vAlign w:val="center"/>
          </w:tcPr>
          <w:p>
            <w:pPr>
              <w:spacing w:line="360" w:lineRule="exact"/>
              <w:jc w:val="center"/>
              <w:rPr>
                <w:szCs w:val="21"/>
              </w:rPr>
            </w:pPr>
            <w:r>
              <w:rPr>
                <w:rFonts w:hint="eastAsia"/>
                <w:szCs w:val="21"/>
              </w:rPr>
              <w:t>K</w:t>
            </w:r>
            <w:r>
              <w:rPr>
                <w:rFonts w:hint="eastAsia"/>
                <w:szCs w:val="21"/>
                <w:vertAlign w:val="superscript"/>
              </w:rPr>
              <w:t>+</w:t>
            </w:r>
            <w:r>
              <w:rPr>
                <w:rFonts w:hint="eastAsia"/>
                <w:szCs w:val="21"/>
              </w:rPr>
              <w:t>、Na</w:t>
            </w:r>
            <w:r>
              <w:rPr>
                <w:rFonts w:hint="eastAsia"/>
                <w:szCs w:val="21"/>
                <w:vertAlign w:val="superscript"/>
              </w:rPr>
              <w:t>+</w:t>
            </w:r>
            <w:r>
              <w:rPr>
                <w:rFonts w:hint="eastAsia"/>
                <w:szCs w:val="21"/>
              </w:rPr>
              <w:t>、Ca</w:t>
            </w:r>
            <w:r>
              <w:rPr>
                <w:rFonts w:hint="eastAsia"/>
                <w:szCs w:val="21"/>
                <w:vertAlign w:val="superscript"/>
              </w:rPr>
              <w:t>2+</w:t>
            </w:r>
            <w:r>
              <w:rPr>
                <w:rFonts w:hint="eastAsia"/>
                <w:szCs w:val="21"/>
              </w:rPr>
              <w:t>、Mg</w:t>
            </w:r>
            <w:r>
              <w:rPr>
                <w:rFonts w:hint="eastAsia"/>
                <w:szCs w:val="21"/>
                <w:vertAlign w:val="superscript"/>
              </w:rPr>
              <w:t>2+</w:t>
            </w:r>
            <w:r>
              <w:rPr>
                <w:rFonts w:hint="eastAsia"/>
                <w:szCs w:val="21"/>
              </w:rPr>
              <w:t>、CO</w:t>
            </w:r>
            <w:r>
              <w:rPr>
                <w:rFonts w:hint="eastAsia"/>
                <w:szCs w:val="21"/>
                <w:vertAlign w:val="subscript"/>
              </w:rPr>
              <w:t>3</w:t>
            </w:r>
            <w:r>
              <w:rPr>
                <w:rFonts w:hint="eastAsia"/>
                <w:szCs w:val="21"/>
                <w:vertAlign w:val="superscript"/>
              </w:rPr>
              <w:t>2-</w:t>
            </w:r>
            <w:r>
              <w:rPr>
                <w:rFonts w:hint="eastAsia"/>
                <w:szCs w:val="21"/>
              </w:rPr>
              <w:t>、HCO</w:t>
            </w:r>
            <w:r>
              <w:rPr>
                <w:rFonts w:hint="eastAsia"/>
                <w:szCs w:val="21"/>
                <w:vertAlign w:val="superscript"/>
              </w:rPr>
              <w:t>3-</w:t>
            </w:r>
            <w:r>
              <w:rPr>
                <w:rFonts w:hint="eastAsia"/>
                <w:szCs w:val="21"/>
              </w:rPr>
              <w:t>、Cl</w:t>
            </w:r>
            <w:r>
              <w:rPr>
                <w:rFonts w:hint="eastAsia"/>
                <w:szCs w:val="21"/>
                <w:vertAlign w:val="superscript"/>
              </w:rPr>
              <w:t>-</w:t>
            </w:r>
            <w:r>
              <w:rPr>
                <w:rFonts w:hint="eastAsia"/>
                <w:szCs w:val="21"/>
              </w:rPr>
              <w:t>、SO</w:t>
            </w:r>
            <w:r>
              <w:rPr>
                <w:rFonts w:hint="eastAsia"/>
                <w:szCs w:val="21"/>
                <w:vertAlign w:val="subscript"/>
              </w:rPr>
              <w:t>4</w:t>
            </w:r>
            <w:r>
              <w:rPr>
                <w:rFonts w:hint="eastAsia"/>
                <w:szCs w:val="21"/>
                <w:vertAlign w:val="superscript"/>
              </w:rPr>
              <w:t>2-</w:t>
            </w:r>
            <w:r>
              <w:rPr>
                <w:rFonts w:hint="eastAsia"/>
                <w:szCs w:val="21"/>
              </w:rPr>
              <w:t>；pH、氨氮、亚硝酸盐、硝酸盐、挥发性酚类、氰化物、砷、汞、铬（六价）、总硬度、铅、氟、镉、铁、锰、溶解性总固体、高锰酸盐指数、硫酸盐、氯化物、总大肠菌群、细菌总数</w:t>
            </w:r>
          </w:p>
        </w:tc>
        <w:tc>
          <w:tcPr>
            <w:tcW w:w="2034" w:type="dxa"/>
            <w:noWrap w:val="0"/>
            <w:vAlign w:val="center"/>
          </w:tcPr>
          <w:p>
            <w:pPr>
              <w:spacing w:line="360" w:lineRule="exact"/>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02" w:type="dxa"/>
            <w:noWrap w:val="0"/>
            <w:vAlign w:val="center"/>
          </w:tcPr>
          <w:p>
            <w:pPr>
              <w:spacing w:line="360" w:lineRule="exact"/>
              <w:jc w:val="center"/>
              <w:rPr>
                <w:szCs w:val="21"/>
              </w:rPr>
            </w:pPr>
            <w:r>
              <w:rPr>
                <w:szCs w:val="21"/>
              </w:rPr>
              <w:t>固体废物</w:t>
            </w:r>
          </w:p>
        </w:tc>
        <w:tc>
          <w:tcPr>
            <w:tcW w:w="5510" w:type="dxa"/>
            <w:noWrap w:val="0"/>
            <w:vAlign w:val="center"/>
          </w:tcPr>
          <w:p>
            <w:pPr>
              <w:spacing w:line="360" w:lineRule="exact"/>
              <w:jc w:val="center"/>
              <w:rPr>
                <w:szCs w:val="21"/>
              </w:rPr>
            </w:pPr>
            <w:r>
              <w:rPr>
                <w:szCs w:val="21"/>
              </w:rPr>
              <w:t>/</w:t>
            </w:r>
          </w:p>
        </w:tc>
        <w:tc>
          <w:tcPr>
            <w:tcW w:w="2034" w:type="dxa"/>
            <w:noWrap w:val="0"/>
            <w:vAlign w:val="center"/>
          </w:tcPr>
          <w:p>
            <w:pPr>
              <w:spacing w:line="360" w:lineRule="exact"/>
              <w:jc w:val="center"/>
              <w:rPr>
                <w:szCs w:val="21"/>
              </w:rPr>
            </w:pPr>
            <w:r>
              <w:rPr>
                <w:rFonts w:hint="eastAsia"/>
                <w:szCs w:val="21"/>
              </w:rPr>
              <w:t>沼渣、</w:t>
            </w:r>
            <w:r>
              <w:rPr>
                <w:szCs w:val="21"/>
              </w:rPr>
              <w:t>猪粪、病死猪、生活垃圾、医疗废物等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02" w:type="dxa"/>
            <w:noWrap w:val="0"/>
            <w:vAlign w:val="center"/>
          </w:tcPr>
          <w:p>
            <w:pPr>
              <w:spacing w:line="360" w:lineRule="exact"/>
              <w:jc w:val="center"/>
              <w:rPr>
                <w:szCs w:val="21"/>
              </w:rPr>
            </w:pPr>
            <w:r>
              <w:rPr>
                <w:szCs w:val="21"/>
              </w:rPr>
              <w:t>声环境</w:t>
            </w:r>
          </w:p>
        </w:tc>
        <w:tc>
          <w:tcPr>
            <w:tcW w:w="5510" w:type="dxa"/>
            <w:noWrap w:val="0"/>
            <w:vAlign w:val="center"/>
          </w:tcPr>
          <w:p>
            <w:pPr>
              <w:spacing w:line="360" w:lineRule="exact"/>
              <w:jc w:val="center"/>
              <w:rPr>
                <w:szCs w:val="21"/>
              </w:rPr>
            </w:pPr>
            <w:r>
              <w:rPr>
                <w:szCs w:val="21"/>
              </w:rPr>
              <w:t>等效连续A声级（Lep）</w:t>
            </w:r>
          </w:p>
        </w:tc>
        <w:tc>
          <w:tcPr>
            <w:tcW w:w="2034" w:type="dxa"/>
            <w:noWrap w:val="0"/>
            <w:vAlign w:val="center"/>
          </w:tcPr>
          <w:p>
            <w:pPr>
              <w:spacing w:line="360" w:lineRule="exact"/>
              <w:jc w:val="center"/>
              <w:rPr>
                <w:szCs w:val="21"/>
              </w:rPr>
            </w:pPr>
            <w:r>
              <w:rPr>
                <w:szCs w:val="21"/>
              </w:rPr>
              <w:t>等效连续A声级（Lep）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402" w:type="dxa"/>
            <w:noWrap w:val="0"/>
            <w:vAlign w:val="center"/>
          </w:tcPr>
          <w:p>
            <w:pPr>
              <w:spacing w:line="360" w:lineRule="exact"/>
              <w:jc w:val="center"/>
              <w:rPr>
                <w:szCs w:val="21"/>
              </w:rPr>
            </w:pPr>
            <w:r>
              <w:rPr>
                <w:szCs w:val="21"/>
              </w:rPr>
              <w:t>土壤</w:t>
            </w:r>
          </w:p>
        </w:tc>
        <w:tc>
          <w:tcPr>
            <w:tcW w:w="5510" w:type="dxa"/>
            <w:noWrap w:val="0"/>
            <w:vAlign w:val="center"/>
          </w:tcPr>
          <w:p>
            <w:pPr>
              <w:spacing w:line="360" w:lineRule="exact"/>
              <w:jc w:val="center"/>
              <w:rPr>
                <w:szCs w:val="21"/>
              </w:rPr>
            </w:pPr>
            <w:r>
              <w:rPr>
                <w:szCs w:val="21"/>
              </w:rPr>
              <w:t>pH、镉、铬、汞、铅、砷、铜、镍、锌</w:t>
            </w:r>
          </w:p>
        </w:tc>
        <w:tc>
          <w:tcPr>
            <w:tcW w:w="2034" w:type="dxa"/>
            <w:noWrap w:val="0"/>
            <w:vAlign w:val="center"/>
          </w:tcPr>
          <w:p>
            <w:pPr>
              <w:spacing w:line="360" w:lineRule="exact"/>
              <w:jc w:val="center"/>
              <w:rPr>
                <w:szCs w:val="21"/>
              </w:rPr>
            </w:pPr>
            <w:r>
              <w:rPr>
                <w:szCs w:val="21"/>
              </w:rPr>
              <w:t>/</w:t>
            </w:r>
          </w:p>
        </w:tc>
      </w:tr>
    </w:tbl>
    <w:p>
      <w:pPr>
        <w:snapToGrid w:val="0"/>
        <w:spacing w:line="520" w:lineRule="exact"/>
        <w:outlineLvl w:val="1"/>
        <w:rPr>
          <w:rFonts w:eastAsia="黑体"/>
          <w:bCs/>
          <w:sz w:val="28"/>
          <w:szCs w:val="28"/>
        </w:rPr>
      </w:pPr>
      <w:bookmarkStart w:id="84" w:name="_Toc412820910"/>
      <w:bookmarkStart w:id="85" w:name="_Toc407000988"/>
      <w:bookmarkStart w:id="86" w:name="_Toc328371593"/>
      <w:bookmarkStart w:id="87" w:name="_Toc345417243"/>
      <w:bookmarkStart w:id="88" w:name="_Toc75765642"/>
      <w:bookmarkStart w:id="89" w:name="_Toc275796844"/>
      <w:bookmarkStart w:id="90" w:name="_Toc275796681"/>
      <w:bookmarkStart w:id="91" w:name="_Toc80866654"/>
      <w:bookmarkStart w:id="92" w:name="_Toc15672"/>
      <w:bookmarkStart w:id="93" w:name="_Toc275449586"/>
      <w:bookmarkStart w:id="94" w:name="_Toc472009584"/>
      <w:bookmarkStart w:id="95" w:name="_Toc413750076"/>
      <w:bookmarkStart w:id="96" w:name="_Toc278310146"/>
      <w:bookmarkStart w:id="97" w:name="_Toc275448955"/>
      <w:bookmarkStart w:id="98" w:name="_Toc275448956"/>
      <w:bookmarkStart w:id="99" w:name="_Toc275796682"/>
      <w:bookmarkStart w:id="100" w:name="_Toc275796845"/>
      <w:bookmarkStart w:id="101" w:name="_Toc278310147"/>
      <w:bookmarkStart w:id="102" w:name="_Toc275449587"/>
      <w:r>
        <w:rPr>
          <w:rFonts w:eastAsia="黑体"/>
          <w:bCs/>
          <w:sz w:val="28"/>
          <w:szCs w:val="28"/>
        </w:rPr>
        <w:t>1.5 评价标准</w:t>
      </w:r>
      <w:bookmarkEnd w:id="84"/>
      <w:bookmarkEnd w:id="85"/>
      <w:bookmarkEnd w:id="86"/>
      <w:bookmarkEnd w:id="87"/>
      <w:bookmarkEnd w:id="88"/>
      <w:bookmarkEnd w:id="89"/>
      <w:bookmarkEnd w:id="90"/>
      <w:bookmarkEnd w:id="91"/>
      <w:bookmarkEnd w:id="92"/>
      <w:bookmarkEnd w:id="93"/>
      <w:bookmarkEnd w:id="94"/>
      <w:bookmarkEnd w:id="95"/>
      <w:bookmarkEnd w:id="96"/>
      <w:bookmarkEnd w:id="97"/>
    </w:p>
    <w:p>
      <w:pPr>
        <w:spacing w:line="500" w:lineRule="exact"/>
        <w:ind w:firstLine="480" w:firstLineChars="200"/>
        <w:rPr>
          <w:sz w:val="24"/>
        </w:rPr>
      </w:pPr>
      <w:r>
        <w:rPr>
          <w:sz w:val="24"/>
        </w:rPr>
        <w:t>根据</w:t>
      </w:r>
      <w:r>
        <w:rPr>
          <w:rFonts w:hint="eastAsia"/>
          <w:sz w:val="24"/>
        </w:rPr>
        <w:t>正阳县</w:t>
      </w:r>
      <w:r>
        <w:rPr>
          <w:sz w:val="24"/>
        </w:rPr>
        <w:t>环保局出具的关于本项目的执行标准函（见附件</w:t>
      </w:r>
      <w:r>
        <w:rPr>
          <w:rFonts w:hint="eastAsia"/>
          <w:sz w:val="24"/>
        </w:rPr>
        <w:t>四</w:t>
      </w:r>
      <w:r>
        <w:rPr>
          <w:sz w:val="24"/>
        </w:rPr>
        <w:t>），项目执行环境质量标准和污染物排放标准如下。</w:t>
      </w:r>
    </w:p>
    <w:p>
      <w:pPr>
        <w:pStyle w:val="2"/>
        <w:snapToGrid w:val="0"/>
        <w:spacing w:before="0" w:after="0" w:line="520" w:lineRule="exact"/>
        <w:rPr>
          <w:rFonts w:eastAsia="黑体"/>
          <w:b w:val="0"/>
          <w:bCs w:val="0"/>
          <w:sz w:val="24"/>
          <w:szCs w:val="24"/>
        </w:rPr>
      </w:pPr>
      <w:bookmarkStart w:id="103" w:name="_Toc345417244"/>
      <w:bookmarkStart w:id="104" w:name="_Toc413750077"/>
      <w:bookmarkStart w:id="105" w:name="_Toc412820911"/>
      <w:bookmarkStart w:id="106" w:name="_Toc407000989"/>
      <w:bookmarkStart w:id="107" w:name="_Toc328371594"/>
      <w:r>
        <w:rPr>
          <w:rFonts w:eastAsia="黑体"/>
          <w:b w:val="0"/>
          <w:bCs w:val="0"/>
          <w:sz w:val="24"/>
          <w:szCs w:val="24"/>
        </w:rPr>
        <w:t>1.5.1 环境质量标准</w:t>
      </w:r>
      <w:bookmarkEnd w:id="98"/>
      <w:bookmarkEnd w:id="99"/>
      <w:bookmarkEnd w:id="100"/>
      <w:bookmarkEnd w:id="101"/>
      <w:bookmarkEnd w:id="102"/>
      <w:bookmarkEnd w:id="103"/>
      <w:bookmarkEnd w:id="104"/>
      <w:bookmarkEnd w:id="105"/>
      <w:bookmarkEnd w:id="106"/>
      <w:bookmarkEnd w:id="107"/>
    </w:p>
    <w:p>
      <w:pPr>
        <w:spacing w:line="500" w:lineRule="exact"/>
        <w:ind w:firstLine="480" w:firstLineChars="200"/>
        <w:rPr>
          <w:sz w:val="24"/>
        </w:rPr>
      </w:pPr>
      <w:r>
        <w:rPr>
          <w:sz w:val="24"/>
        </w:rPr>
        <w:t>评价区环境空气质量执行《环境空气质量标准》（GB3095—2012）二级标准，其中恶臭气体</w:t>
      </w:r>
      <w:r>
        <w:rPr>
          <w:rFonts w:hint="eastAsia"/>
          <w:sz w:val="24"/>
        </w:rPr>
        <w:t>参考</w:t>
      </w:r>
      <w:r>
        <w:rPr>
          <w:sz w:val="24"/>
        </w:rPr>
        <w:t>《</w:t>
      </w:r>
      <w:r>
        <w:rPr>
          <w:rFonts w:hint="eastAsia"/>
          <w:sz w:val="24"/>
        </w:rPr>
        <w:t>环境影响评价技术导则 大气环境</w:t>
      </w:r>
      <w:r>
        <w:rPr>
          <w:sz w:val="24"/>
        </w:rPr>
        <w:t>》</w:t>
      </w:r>
      <w:r>
        <w:rPr>
          <w:rFonts w:hint="eastAsia"/>
          <w:sz w:val="24"/>
        </w:rPr>
        <w:t>（HJ</w:t>
      </w:r>
      <w:r>
        <w:rPr>
          <w:sz w:val="24"/>
        </w:rPr>
        <w:t>2.2-2018</w:t>
      </w:r>
      <w:r>
        <w:rPr>
          <w:rFonts w:hint="eastAsia"/>
          <w:sz w:val="24"/>
        </w:rPr>
        <w:t>）附录D中“其他污染物空气质量浓度参考限值”</w:t>
      </w:r>
      <w:r>
        <w:rPr>
          <w:sz w:val="24"/>
        </w:rPr>
        <w:t>；</w:t>
      </w:r>
    </w:p>
    <w:p>
      <w:pPr>
        <w:spacing w:line="500" w:lineRule="exact"/>
        <w:ind w:firstLine="480" w:firstLineChars="200"/>
        <w:rPr>
          <w:sz w:val="24"/>
        </w:rPr>
      </w:pPr>
      <w:r>
        <w:rPr>
          <w:sz w:val="24"/>
        </w:rPr>
        <w:t>声环境质量执行《声环境质量标准》（GB3096-2008）</w:t>
      </w:r>
      <w:r>
        <w:rPr>
          <w:rFonts w:hint="eastAsia"/>
          <w:sz w:val="24"/>
        </w:rPr>
        <w:t>2</w:t>
      </w:r>
      <w:r>
        <w:rPr>
          <w:sz w:val="24"/>
        </w:rPr>
        <w:t xml:space="preserve">类标准； </w:t>
      </w:r>
    </w:p>
    <w:p>
      <w:pPr>
        <w:spacing w:line="500" w:lineRule="exact"/>
        <w:ind w:firstLine="480" w:firstLineChars="200"/>
        <w:rPr>
          <w:sz w:val="24"/>
        </w:rPr>
      </w:pPr>
      <w:r>
        <w:rPr>
          <w:sz w:val="24"/>
        </w:rPr>
        <w:t>地表水环境执行《地表水环境质量标准》（GB3838-2002）</w:t>
      </w:r>
      <w:r>
        <w:rPr>
          <w:rFonts w:hint="eastAsia" w:ascii="宋体" w:hAnsi="宋体" w:cs="宋体"/>
          <w:sz w:val="24"/>
        </w:rPr>
        <w:t>Ⅲ</w:t>
      </w:r>
      <w:r>
        <w:rPr>
          <w:sz w:val="24"/>
        </w:rPr>
        <w:t>类标准；</w:t>
      </w:r>
    </w:p>
    <w:p>
      <w:pPr>
        <w:spacing w:line="500" w:lineRule="exact"/>
        <w:ind w:firstLine="480" w:firstLineChars="200"/>
        <w:rPr>
          <w:sz w:val="24"/>
        </w:rPr>
      </w:pPr>
      <w:r>
        <w:rPr>
          <w:sz w:val="24"/>
        </w:rPr>
        <w:t>地下水环境执行《地下水质量标准》（GB/T14848-2017）Ⅲ类标准；</w:t>
      </w:r>
    </w:p>
    <w:p>
      <w:pPr>
        <w:spacing w:line="500" w:lineRule="exact"/>
        <w:ind w:firstLine="480" w:firstLineChars="200"/>
        <w:rPr>
          <w:sz w:val="24"/>
        </w:rPr>
      </w:pPr>
      <w:r>
        <w:rPr>
          <w:sz w:val="24"/>
        </w:rPr>
        <w:t>土壤质量执行《土壤环境质量</w:t>
      </w:r>
      <w:r>
        <w:rPr>
          <w:rFonts w:hint="eastAsia"/>
          <w:sz w:val="24"/>
        </w:rPr>
        <w:t xml:space="preserve"> 农用地土壤污染管控</w:t>
      </w:r>
      <w:r>
        <w:rPr>
          <w:sz w:val="24"/>
        </w:rPr>
        <w:t>标准</w:t>
      </w:r>
      <w:r>
        <w:rPr>
          <w:rFonts w:hint="eastAsia"/>
          <w:sz w:val="24"/>
        </w:rPr>
        <w:t>（试行）</w:t>
      </w:r>
      <w:r>
        <w:rPr>
          <w:sz w:val="24"/>
        </w:rPr>
        <w:t>》（GB15618-2018）中表1相关标准。</w:t>
      </w:r>
    </w:p>
    <w:p>
      <w:pPr>
        <w:spacing w:line="500" w:lineRule="exact"/>
        <w:ind w:firstLine="480" w:firstLineChars="200"/>
        <w:rPr>
          <w:sz w:val="24"/>
        </w:rPr>
      </w:pPr>
      <w:r>
        <w:rPr>
          <w:sz w:val="24"/>
        </w:rPr>
        <w:t>各环境要素执行标准主要指标的标准值见表1.5-1。</w:t>
      </w:r>
    </w:p>
    <w:p>
      <w:pPr>
        <w:spacing w:after="72" w:afterLines="30" w:line="500" w:lineRule="exact"/>
        <w:jc w:val="center"/>
        <w:rPr>
          <w:b/>
          <w:sz w:val="24"/>
        </w:rPr>
      </w:pPr>
      <w:r>
        <w:rPr>
          <w:b/>
          <w:sz w:val="24"/>
        </w:rPr>
        <w:t>表1.5-1      环境质量标准一览表</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43"/>
        <w:gridCol w:w="3262"/>
        <w:gridCol w:w="1702"/>
        <w:gridCol w:w="1014"/>
        <w:gridCol w:w="768"/>
        <w:gridCol w:w="95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blHeader/>
          <w:jc w:val="center"/>
        </w:trPr>
        <w:tc>
          <w:tcPr>
            <w:tcW w:w="1243" w:type="dxa"/>
            <w:vMerge w:val="restart"/>
            <w:noWrap w:val="0"/>
            <w:vAlign w:val="center"/>
          </w:tcPr>
          <w:p>
            <w:pPr>
              <w:spacing w:line="360" w:lineRule="exact"/>
              <w:jc w:val="center"/>
              <w:rPr>
                <w:b/>
                <w:szCs w:val="21"/>
              </w:rPr>
            </w:pPr>
            <w:bookmarkStart w:id="108" w:name="_Toc275796846"/>
            <w:bookmarkStart w:id="109" w:name="_Toc345417245"/>
            <w:bookmarkStart w:id="110" w:name="_Toc275796683"/>
            <w:bookmarkStart w:id="111" w:name="_Toc275448957"/>
            <w:bookmarkStart w:id="112" w:name="_Toc328371595"/>
            <w:bookmarkStart w:id="113" w:name="_Toc278310148"/>
            <w:bookmarkStart w:id="114" w:name="_Toc275449588"/>
            <w:r>
              <w:rPr>
                <w:b/>
                <w:szCs w:val="21"/>
              </w:rPr>
              <w:t>环境要素</w:t>
            </w:r>
          </w:p>
        </w:tc>
        <w:tc>
          <w:tcPr>
            <w:tcW w:w="3262" w:type="dxa"/>
            <w:vMerge w:val="restart"/>
            <w:noWrap w:val="0"/>
            <w:vAlign w:val="center"/>
          </w:tcPr>
          <w:p>
            <w:pPr>
              <w:spacing w:line="360" w:lineRule="exact"/>
              <w:jc w:val="center"/>
              <w:rPr>
                <w:b/>
                <w:szCs w:val="21"/>
              </w:rPr>
            </w:pPr>
            <w:r>
              <w:rPr>
                <w:b/>
                <w:szCs w:val="21"/>
              </w:rPr>
              <w:t>标准名称及级（类）别</w:t>
            </w:r>
          </w:p>
        </w:tc>
        <w:tc>
          <w:tcPr>
            <w:tcW w:w="1702" w:type="dxa"/>
            <w:vMerge w:val="restart"/>
            <w:noWrap w:val="0"/>
            <w:vAlign w:val="center"/>
          </w:tcPr>
          <w:p>
            <w:pPr>
              <w:spacing w:line="360" w:lineRule="exact"/>
              <w:jc w:val="center"/>
              <w:rPr>
                <w:b/>
                <w:szCs w:val="21"/>
              </w:rPr>
            </w:pPr>
            <w:r>
              <w:rPr>
                <w:b/>
                <w:szCs w:val="21"/>
              </w:rPr>
              <w:t>项目</w:t>
            </w:r>
          </w:p>
        </w:tc>
        <w:tc>
          <w:tcPr>
            <w:tcW w:w="2739" w:type="dxa"/>
            <w:gridSpan w:val="3"/>
            <w:noWrap w:val="0"/>
            <w:vAlign w:val="center"/>
          </w:tcPr>
          <w:p>
            <w:pPr>
              <w:spacing w:line="360" w:lineRule="exact"/>
              <w:jc w:val="center"/>
              <w:rPr>
                <w:b/>
                <w:szCs w:val="21"/>
              </w:rPr>
            </w:pPr>
            <w:r>
              <w:rPr>
                <w:b/>
                <w:szCs w:val="21"/>
              </w:rPr>
              <w:t>标准限值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tblHeader/>
          <w:jc w:val="center"/>
        </w:trPr>
        <w:tc>
          <w:tcPr>
            <w:tcW w:w="1243" w:type="dxa"/>
            <w:vMerge w:val="continue"/>
            <w:noWrap w:val="0"/>
            <w:vAlign w:val="center"/>
          </w:tcPr>
          <w:p>
            <w:pPr>
              <w:spacing w:line="360" w:lineRule="exact"/>
              <w:jc w:val="center"/>
              <w:rPr>
                <w:b/>
                <w:szCs w:val="21"/>
              </w:rPr>
            </w:pPr>
          </w:p>
        </w:tc>
        <w:tc>
          <w:tcPr>
            <w:tcW w:w="3262" w:type="dxa"/>
            <w:vMerge w:val="continue"/>
            <w:noWrap w:val="0"/>
            <w:vAlign w:val="center"/>
          </w:tcPr>
          <w:p>
            <w:pPr>
              <w:spacing w:line="360" w:lineRule="exact"/>
              <w:jc w:val="center"/>
              <w:rPr>
                <w:b/>
                <w:szCs w:val="21"/>
              </w:rPr>
            </w:pPr>
          </w:p>
        </w:tc>
        <w:tc>
          <w:tcPr>
            <w:tcW w:w="1702" w:type="dxa"/>
            <w:vMerge w:val="continue"/>
            <w:noWrap w:val="0"/>
            <w:vAlign w:val="center"/>
          </w:tcPr>
          <w:p>
            <w:pPr>
              <w:spacing w:line="360" w:lineRule="exact"/>
              <w:jc w:val="center"/>
              <w:rPr>
                <w:b/>
                <w:szCs w:val="21"/>
              </w:rPr>
            </w:pPr>
          </w:p>
        </w:tc>
        <w:tc>
          <w:tcPr>
            <w:tcW w:w="1014" w:type="dxa"/>
            <w:noWrap w:val="0"/>
            <w:vAlign w:val="center"/>
          </w:tcPr>
          <w:p>
            <w:pPr>
              <w:spacing w:line="360" w:lineRule="exact"/>
              <w:jc w:val="center"/>
              <w:rPr>
                <w:b/>
                <w:szCs w:val="21"/>
              </w:rPr>
            </w:pPr>
            <w:r>
              <w:rPr>
                <w:b/>
                <w:szCs w:val="21"/>
              </w:rPr>
              <w:t>单位</w:t>
            </w:r>
          </w:p>
        </w:tc>
        <w:tc>
          <w:tcPr>
            <w:tcW w:w="1725" w:type="dxa"/>
            <w:gridSpan w:val="2"/>
            <w:noWrap w:val="0"/>
            <w:vAlign w:val="center"/>
          </w:tcPr>
          <w:p>
            <w:pPr>
              <w:spacing w:line="360" w:lineRule="exact"/>
              <w:jc w:val="center"/>
              <w:rPr>
                <w:b/>
                <w:szCs w:val="21"/>
              </w:rPr>
            </w:pPr>
            <w:r>
              <w:rPr>
                <w:b/>
                <w:szCs w:val="21"/>
              </w:rPr>
              <w:t>数值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1243" w:type="dxa"/>
            <w:vMerge w:val="restart"/>
            <w:noWrap w:val="0"/>
            <w:vAlign w:val="center"/>
          </w:tcPr>
          <w:p>
            <w:pPr>
              <w:spacing w:line="360" w:lineRule="exact"/>
              <w:jc w:val="center"/>
              <w:rPr>
                <w:szCs w:val="21"/>
              </w:rPr>
            </w:pPr>
            <w:r>
              <w:rPr>
                <w:szCs w:val="21"/>
              </w:rPr>
              <w:t>环境空气</w:t>
            </w:r>
          </w:p>
        </w:tc>
        <w:tc>
          <w:tcPr>
            <w:tcW w:w="3262" w:type="dxa"/>
            <w:vMerge w:val="restart"/>
            <w:noWrap w:val="0"/>
            <w:vAlign w:val="center"/>
          </w:tcPr>
          <w:p>
            <w:pPr>
              <w:spacing w:line="360" w:lineRule="exact"/>
              <w:jc w:val="center"/>
              <w:rPr>
                <w:szCs w:val="21"/>
              </w:rPr>
            </w:pPr>
            <w:r>
              <w:rPr>
                <w:szCs w:val="21"/>
              </w:rPr>
              <w:t>《环境空气质量标准》（GB3095-2012）中二级标准</w:t>
            </w:r>
          </w:p>
        </w:tc>
        <w:tc>
          <w:tcPr>
            <w:tcW w:w="1702" w:type="dxa"/>
            <w:vMerge w:val="restart"/>
            <w:noWrap w:val="0"/>
            <w:vAlign w:val="center"/>
          </w:tcPr>
          <w:p>
            <w:pPr>
              <w:spacing w:line="360" w:lineRule="exact"/>
              <w:jc w:val="center"/>
              <w:rPr>
                <w:szCs w:val="21"/>
              </w:rPr>
            </w:pPr>
            <w:r>
              <w:rPr>
                <w:szCs w:val="21"/>
              </w:rPr>
              <w:t>SO</w:t>
            </w:r>
            <w:r>
              <w:rPr>
                <w:szCs w:val="21"/>
                <w:vertAlign w:val="subscript"/>
              </w:rPr>
              <w:t>2</w:t>
            </w:r>
          </w:p>
        </w:tc>
        <w:tc>
          <w:tcPr>
            <w:tcW w:w="1014" w:type="dxa"/>
            <w:vMerge w:val="restart"/>
            <w:noWrap w:val="0"/>
            <w:vAlign w:val="center"/>
          </w:tcPr>
          <w:p>
            <w:pPr>
              <w:spacing w:line="360" w:lineRule="exact"/>
              <w:jc w:val="center"/>
              <w:rPr>
                <w:szCs w:val="21"/>
              </w:rPr>
            </w:pPr>
            <w:r>
              <w:rPr>
                <w:szCs w:val="21"/>
              </w:rPr>
              <w:t>µg/m</w:t>
            </w:r>
            <w:r>
              <w:rPr>
                <w:szCs w:val="21"/>
                <w:vertAlign w:val="superscript"/>
              </w:rPr>
              <w:t>3</w:t>
            </w:r>
          </w:p>
        </w:tc>
        <w:tc>
          <w:tcPr>
            <w:tcW w:w="1725" w:type="dxa"/>
            <w:gridSpan w:val="2"/>
            <w:noWrap w:val="0"/>
            <w:vAlign w:val="center"/>
          </w:tcPr>
          <w:p>
            <w:pPr>
              <w:spacing w:line="360" w:lineRule="exact"/>
              <w:jc w:val="center"/>
              <w:rPr>
                <w:szCs w:val="21"/>
              </w:rPr>
            </w:pPr>
            <w:r>
              <w:rPr>
                <w:szCs w:val="21"/>
              </w:rPr>
              <w:t>年平均：60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vMerge w:val="continue"/>
            <w:noWrap w:val="0"/>
            <w:vAlign w:val="center"/>
          </w:tcPr>
          <w:p>
            <w:pPr>
              <w:spacing w:line="360" w:lineRule="exact"/>
              <w:jc w:val="center"/>
              <w:rPr>
                <w:szCs w:val="21"/>
              </w:rPr>
            </w:pPr>
          </w:p>
        </w:tc>
        <w:tc>
          <w:tcPr>
            <w:tcW w:w="1014" w:type="dxa"/>
            <w:vMerge w:val="continue"/>
            <w:noWrap w:val="0"/>
            <w:vAlign w:val="center"/>
          </w:tcPr>
          <w:p>
            <w:pPr>
              <w:spacing w:line="360" w:lineRule="exact"/>
              <w:jc w:val="center"/>
              <w:rPr>
                <w:szCs w:val="21"/>
              </w:rPr>
            </w:pPr>
          </w:p>
        </w:tc>
        <w:tc>
          <w:tcPr>
            <w:tcW w:w="1725" w:type="dxa"/>
            <w:gridSpan w:val="2"/>
            <w:noWrap w:val="0"/>
            <w:vAlign w:val="center"/>
          </w:tcPr>
          <w:p>
            <w:pPr>
              <w:spacing w:line="360" w:lineRule="exact"/>
              <w:jc w:val="center"/>
              <w:rPr>
                <w:szCs w:val="21"/>
              </w:rPr>
            </w:pPr>
            <w:r>
              <w:rPr>
                <w:szCs w:val="21"/>
              </w:rPr>
              <w:t>24小时平均：150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vMerge w:val="continue"/>
            <w:noWrap w:val="0"/>
            <w:vAlign w:val="center"/>
          </w:tcPr>
          <w:p>
            <w:pPr>
              <w:spacing w:line="360" w:lineRule="exact"/>
              <w:jc w:val="center"/>
              <w:rPr>
                <w:szCs w:val="21"/>
              </w:rPr>
            </w:pPr>
          </w:p>
        </w:tc>
        <w:tc>
          <w:tcPr>
            <w:tcW w:w="1014" w:type="dxa"/>
            <w:vMerge w:val="continue"/>
            <w:noWrap w:val="0"/>
            <w:vAlign w:val="center"/>
          </w:tcPr>
          <w:p>
            <w:pPr>
              <w:spacing w:line="360" w:lineRule="exact"/>
              <w:jc w:val="center"/>
              <w:rPr>
                <w:szCs w:val="21"/>
              </w:rPr>
            </w:pPr>
          </w:p>
        </w:tc>
        <w:tc>
          <w:tcPr>
            <w:tcW w:w="1725" w:type="dxa"/>
            <w:gridSpan w:val="2"/>
            <w:noWrap w:val="0"/>
            <w:vAlign w:val="center"/>
          </w:tcPr>
          <w:p>
            <w:pPr>
              <w:spacing w:line="360" w:lineRule="exact"/>
              <w:jc w:val="center"/>
              <w:rPr>
                <w:szCs w:val="21"/>
              </w:rPr>
            </w:pPr>
            <w:r>
              <w:rPr>
                <w:szCs w:val="21"/>
              </w:rPr>
              <w:t>1小时平均：500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vMerge w:val="restart"/>
            <w:noWrap w:val="0"/>
            <w:vAlign w:val="center"/>
          </w:tcPr>
          <w:p>
            <w:pPr>
              <w:spacing w:line="360" w:lineRule="exact"/>
              <w:jc w:val="center"/>
              <w:rPr>
                <w:szCs w:val="21"/>
              </w:rPr>
            </w:pPr>
            <w:r>
              <w:rPr>
                <w:szCs w:val="21"/>
              </w:rPr>
              <w:t>NO</w:t>
            </w:r>
            <w:r>
              <w:rPr>
                <w:szCs w:val="21"/>
                <w:vertAlign w:val="subscript"/>
              </w:rPr>
              <w:t>2</w:t>
            </w:r>
          </w:p>
        </w:tc>
        <w:tc>
          <w:tcPr>
            <w:tcW w:w="1014" w:type="dxa"/>
            <w:vMerge w:val="restart"/>
            <w:noWrap w:val="0"/>
            <w:vAlign w:val="center"/>
          </w:tcPr>
          <w:p>
            <w:pPr>
              <w:spacing w:line="360" w:lineRule="exact"/>
              <w:jc w:val="center"/>
              <w:rPr>
                <w:szCs w:val="21"/>
              </w:rPr>
            </w:pPr>
            <w:r>
              <w:rPr>
                <w:szCs w:val="21"/>
              </w:rPr>
              <w:t>µg/m</w:t>
            </w:r>
            <w:r>
              <w:rPr>
                <w:szCs w:val="21"/>
                <w:vertAlign w:val="superscript"/>
              </w:rPr>
              <w:t>3</w:t>
            </w:r>
          </w:p>
        </w:tc>
        <w:tc>
          <w:tcPr>
            <w:tcW w:w="1725" w:type="dxa"/>
            <w:gridSpan w:val="2"/>
            <w:noWrap w:val="0"/>
            <w:vAlign w:val="center"/>
          </w:tcPr>
          <w:p>
            <w:pPr>
              <w:spacing w:line="360" w:lineRule="exact"/>
              <w:jc w:val="center"/>
              <w:rPr>
                <w:szCs w:val="21"/>
              </w:rPr>
            </w:pPr>
            <w:r>
              <w:rPr>
                <w:szCs w:val="21"/>
              </w:rPr>
              <w:t>年平均：40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vMerge w:val="continue"/>
            <w:noWrap w:val="0"/>
            <w:vAlign w:val="center"/>
          </w:tcPr>
          <w:p>
            <w:pPr>
              <w:spacing w:line="360" w:lineRule="exact"/>
              <w:jc w:val="center"/>
              <w:rPr>
                <w:szCs w:val="21"/>
              </w:rPr>
            </w:pPr>
          </w:p>
        </w:tc>
        <w:tc>
          <w:tcPr>
            <w:tcW w:w="1014" w:type="dxa"/>
            <w:vMerge w:val="continue"/>
            <w:noWrap w:val="0"/>
            <w:vAlign w:val="center"/>
          </w:tcPr>
          <w:p>
            <w:pPr>
              <w:spacing w:line="360" w:lineRule="exact"/>
              <w:jc w:val="center"/>
              <w:rPr>
                <w:szCs w:val="21"/>
              </w:rPr>
            </w:pPr>
          </w:p>
        </w:tc>
        <w:tc>
          <w:tcPr>
            <w:tcW w:w="1725" w:type="dxa"/>
            <w:gridSpan w:val="2"/>
            <w:noWrap w:val="0"/>
            <w:vAlign w:val="center"/>
          </w:tcPr>
          <w:p>
            <w:pPr>
              <w:spacing w:line="360" w:lineRule="exact"/>
              <w:jc w:val="center"/>
              <w:rPr>
                <w:szCs w:val="21"/>
              </w:rPr>
            </w:pPr>
            <w:r>
              <w:rPr>
                <w:szCs w:val="21"/>
              </w:rPr>
              <w:t>24小时平均：80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5"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vMerge w:val="continue"/>
            <w:noWrap w:val="0"/>
            <w:vAlign w:val="center"/>
          </w:tcPr>
          <w:p>
            <w:pPr>
              <w:spacing w:line="360" w:lineRule="exact"/>
              <w:jc w:val="center"/>
              <w:rPr>
                <w:szCs w:val="21"/>
              </w:rPr>
            </w:pPr>
          </w:p>
        </w:tc>
        <w:tc>
          <w:tcPr>
            <w:tcW w:w="1014" w:type="dxa"/>
            <w:vMerge w:val="continue"/>
            <w:noWrap w:val="0"/>
            <w:vAlign w:val="center"/>
          </w:tcPr>
          <w:p>
            <w:pPr>
              <w:spacing w:line="360" w:lineRule="exact"/>
              <w:jc w:val="center"/>
              <w:rPr>
                <w:szCs w:val="21"/>
              </w:rPr>
            </w:pPr>
          </w:p>
        </w:tc>
        <w:tc>
          <w:tcPr>
            <w:tcW w:w="1725" w:type="dxa"/>
            <w:gridSpan w:val="2"/>
            <w:noWrap w:val="0"/>
            <w:vAlign w:val="center"/>
          </w:tcPr>
          <w:p>
            <w:pPr>
              <w:spacing w:line="360" w:lineRule="exact"/>
              <w:jc w:val="center"/>
              <w:rPr>
                <w:szCs w:val="21"/>
              </w:rPr>
            </w:pPr>
            <w:r>
              <w:rPr>
                <w:szCs w:val="21"/>
              </w:rPr>
              <w:t>1小时平均：200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5"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vMerge w:val="restart"/>
            <w:noWrap w:val="0"/>
            <w:vAlign w:val="center"/>
          </w:tcPr>
          <w:p>
            <w:pPr>
              <w:jc w:val="center"/>
              <w:rPr>
                <w:szCs w:val="21"/>
              </w:rPr>
            </w:pPr>
            <w:r>
              <w:rPr>
                <w:rFonts w:hint="eastAsia"/>
                <w:szCs w:val="21"/>
              </w:rPr>
              <w:t>O</w:t>
            </w:r>
            <w:r>
              <w:rPr>
                <w:szCs w:val="21"/>
                <w:vertAlign w:val="subscript"/>
              </w:rPr>
              <w:t>3</w:t>
            </w:r>
          </w:p>
        </w:tc>
        <w:tc>
          <w:tcPr>
            <w:tcW w:w="1014" w:type="dxa"/>
            <w:vMerge w:val="restart"/>
            <w:noWrap w:val="0"/>
            <w:vAlign w:val="center"/>
          </w:tcPr>
          <w:p>
            <w:pPr>
              <w:jc w:val="center"/>
              <w:rPr>
                <w:szCs w:val="21"/>
              </w:rPr>
            </w:pPr>
            <w:r>
              <w:rPr>
                <w:szCs w:val="21"/>
              </w:rPr>
              <w:t>µg/m</w:t>
            </w:r>
            <w:r>
              <w:rPr>
                <w:szCs w:val="21"/>
                <w:vertAlign w:val="superscript"/>
              </w:rPr>
              <w:t>3</w:t>
            </w:r>
          </w:p>
        </w:tc>
        <w:tc>
          <w:tcPr>
            <w:tcW w:w="1725" w:type="dxa"/>
            <w:gridSpan w:val="2"/>
            <w:noWrap w:val="0"/>
            <w:vAlign w:val="center"/>
          </w:tcPr>
          <w:p>
            <w:pPr>
              <w:jc w:val="center"/>
              <w:rPr>
                <w:szCs w:val="21"/>
              </w:rPr>
            </w:pPr>
            <w:r>
              <w:rPr>
                <w:rFonts w:hint="eastAsia"/>
                <w:szCs w:val="21"/>
              </w:rPr>
              <w:t>1小时</w:t>
            </w:r>
            <w:r>
              <w:rPr>
                <w:szCs w:val="21"/>
              </w:rPr>
              <w:t>平均：200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5"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vMerge w:val="continue"/>
            <w:noWrap w:val="0"/>
            <w:vAlign w:val="center"/>
          </w:tcPr>
          <w:p>
            <w:pPr>
              <w:spacing w:line="360" w:lineRule="exact"/>
              <w:jc w:val="center"/>
              <w:rPr>
                <w:szCs w:val="21"/>
              </w:rPr>
            </w:pPr>
          </w:p>
        </w:tc>
        <w:tc>
          <w:tcPr>
            <w:tcW w:w="1014" w:type="dxa"/>
            <w:vMerge w:val="continue"/>
            <w:noWrap w:val="0"/>
            <w:vAlign w:val="center"/>
          </w:tcPr>
          <w:p>
            <w:pPr>
              <w:spacing w:line="360" w:lineRule="exact"/>
              <w:jc w:val="center"/>
              <w:rPr>
                <w:szCs w:val="21"/>
              </w:rPr>
            </w:pPr>
          </w:p>
        </w:tc>
        <w:tc>
          <w:tcPr>
            <w:tcW w:w="1725" w:type="dxa"/>
            <w:gridSpan w:val="2"/>
            <w:noWrap w:val="0"/>
            <w:vAlign w:val="center"/>
          </w:tcPr>
          <w:p>
            <w:pPr>
              <w:spacing w:line="360" w:lineRule="exact"/>
              <w:jc w:val="center"/>
              <w:rPr>
                <w:szCs w:val="21"/>
              </w:rPr>
            </w:pPr>
            <w:r>
              <w:rPr>
                <w:rFonts w:hint="eastAsia"/>
                <w:szCs w:val="21"/>
              </w:rPr>
              <w:t>日最大</w:t>
            </w:r>
            <w:r>
              <w:rPr>
                <w:szCs w:val="21"/>
              </w:rPr>
              <w:t>8小时平均：160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50"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vMerge w:val="restart"/>
            <w:noWrap w:val="0"/>
            <w:vAlign w:val="center"/>
          </w:tcPr>
          <w:p>
            <w:pPr>
              <w:jc w:val="center"/>
              <w:rPr>
                <w:szCs w:val="21"/>
              </w:rPr>
            </w:pPr>
            <w:r>
              <w:rPr>
                <w:rFonts w:hint="eastAsia"/>
                <w:szCs w:val="21"/>
              </w:rPr>
              <w:t>CO</w:t>
            </w:r>
          </w:p>
        </w:tc>
        <w:tc>
          <w:tcPr>
            <w:tcW w:w="1014" w:type="dxa"/>
            <w:vMerge w:val="restart"/>
            <w:noWrap w:val="0"/>
            <w:vAlign w:val="center"/>
          </w:tcPr>
          <w:p>
            <w:pPr>
              <w:jc w:val="center"/>
              <w:rPr>
                <w:szCs w:val="21"/>
              </w:rPr>
            </w:pPr>
            <w:r>
              <w:rPr>
                <w:szCs w:val="21"/>
              </w:rPr>
              <w:t>µg/m</w:t>
            </w:r>
            <w:r>
              <w:rPr>
                <w:szCs w:val="21"/>
                <w:vertAlign w:val="superscript"/>
              </w:rPr>
              <w:t>3</w:t>
            </w:r>
          </w:p>
        </w:tc>
        <w:tc>
          <w:tcPr>
            <w:tcW w:w="1725" w:type="dxa"/>
            <w:gridSpan w:val="2"/>
            <w:noWrap w:val="0"/>
            <w:vAlign w:val="center"/>
          </w:tcPr>
          <w:p>
            <w:pPr>
              <w:jc w:val="center"/>
              <w:rPr>
                <w:szCs w:val="21"/>
              </w:rPr>
            </w:pPr>
            <w:r>
              <w:rPr>
                <w:szCs w:val="21"/>
              </w:rPr>
              <w:t>24小时平均：4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0"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vMerge w:val="continue"/>
            <w:noWrap w:val="0"/>
            <w:vAlign w:val="center"/>
          </w:tcPr>
          <w:p>
            <w:pPr>
              <w:spacing w:line="360" w:lineRule="exact"/>
              <w:jc w:val="center"/>
              <w:rPr>
                <w:szCs w:val="21"/>
              </w:rPr>
            </w:pPr>
          </w:p>
        </w:tc>
        <w:tc>
          <w:tcPr>
            <w:tcW w:w="1014" w:type="dxa"/>
            <w:vMerge w:val="continue"/>
            <w:noWrap w:val="0"/>
            <w:vAlign w:val="center"/>
          </w:tcPr>
          <w:p>
            <w:pPr>
              <w:spacing w:line="360" w:lineRule="exact"/>
              <w:jc w:val="center"/>
              <w:rPr>
                <w:szCs w:val="21"/>
              </w:rPr>
            </w:pPr>
          </w:p>
        </w:tc>
        <w:tc>
          <w:tcPr>
            <w:tcW w:w="1725" w:type="dxa"/>
            <w:gridSpan w:val="2"/>
            <w:noWrap w:val="0"/>
            <w:vAlign w:val="center"/>
          </w:tcPr>
          <w:p>
            <w:pPr>
              <w:spacing w:line="360" w:lineRule="exact"/>
              <w:jc w:val="center"/>
              <w:rPr>
                <w:szCs w:val="21"/>
              </w:rPr>
            </w:pPr>
            <w:r>
              <w:rPr>
                <w:szCs w:val="21"/>
              </w:rPr>
              <w:t>1小时平均：10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vMerge w:val="restart"/>
            <w:noWrap w:val="0"/>
            <w:vAlign w:val="center"/>
          </w:tcPr>
          <w:p>
            <w:pPr>
              <w:spacing w:line="360" w:lineRule="exact"/>
              <w:jc w:val="center"/>
              <w:rPr>
                <w:szCs w:val="21"/>
              </w:rPr>
            </w:pPr>
            <w:r>
              <w:rPr>
                <w:szCs w:val="21"/>
              </w:rPr>
              <w:t>PM</w:t>
            </w:r>
            <w:r>
              <w:rPr>
                <w:szCs w:val="21"/>
                <w:vertAlign w:val="subscript"/>
              </w:rPr>
              <w:t>2.5</w:t>
            </w:r>
          </w:p>
        </w:tc>
        <w:tc>
          <w:tcPr>
            <w:tcW w:w="1014" w:type="dxa"/>
            <w:vMerge w:val="restart"/>
            <w:noWrap w:val="0"/>
            <w:vAlign w:val="center"/>
          </w:tcPr>
          <w:p>
            <w:pPr>
              <w:spacing w:line="360" w:lineRule="exact"/>
              <w:jc w:val="center"/>
              <w:rPr>
                <w:szCs w:val="21"/>
              </w:rPr>
            </w:pPr>
            <w:r>
              <w:rPr>
                <w:szCs w:val="21"/>
              </w:rPr>
              <w:t>µg/m</w:t>
            </w:r>
            <w:r>
              <w:rPr>
                <w:szCs w:val="21"/>
                <w:vertAlign w:val="superscript"/>
              </w:rPr>
              <w:t>3</w:t>
            </w:r>
          </w:p>
        </w:tc>
        <w:tc>
          <w:tcPr>
            <w:tcW w:w="1725" w:type="dxa"/>
            <w:gridSpan w:val="2"/>
            <w:noWrap w:val="0"/>
            <w:vAlign w:val="center"/>
          </w:tcPr>
          <w:p>
            <w:pPr>
              <w:spacing w:line="360" w:lineRule="exact"/>
              <w:jc w:val="center"/>
              <w:rPr>
                <w:szCs w:val="21"/>
              </w:rPr>
            </w:pPr>
            <w:r>
              <w:rPr>
                <w:szCs w:val="21"/>
              </w:rPr>
              <w:t>年平均：35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vMerge w:val="continue"/>
            <w:noWrap w:val="0"/>
            <w:vAlign w:val="center"/>
          </w:tcPr>
          <w:p>
            <w:pPr>
              <w:spacing w:line="360" w:lineRule="exact"/>
              <w:jc w:val="center"/>
              <w:rPr>
                <w:szCs w:val="21"/>
              </w:rPr>
            </w:pPr>
          </w:p>
        </w:tc>
        <w:tc>
          <w:tcPr>
            <w:tcW w:w="1014" w:type="dxa"/>
            <w:vMerge w:val="continue"/>
            <w:noWrap w:val="0"/>
            <w:vAlign w:val="center"/>
          </w:tcPr>
          <w:p>
            <w:pPr>
              <w:spacing w:line="360" w:lineRule="exact"/>
              <w:jc w:val="center"/>
              <w:rPr>
                <w:szCs w:val="21"/>
              </w:rPr>
            </w:pPr>
          </w:p>
        </w:tc>
        <w:tc>
          <w:tcPr>
            <w:tcW w:w="1725" w:type="dxa"/>
            <w:gridSpan w:val="2"/>
            <w:noWrap w:val="0"/>
            <w:vAlign w:val="center"/>
          </w:tcPr>
          <w:p>
            <w:pPr>
              <w:spacing w:line="360" w:lineRule="exact"/>
              <w:jc w:val="center"/>
              <w:rPr>
                <w:szCs w:val="21"/>
              </w:rPr>
            </w:pPr>
            <w:r>
              <w:rPr>
                <w:szCs w:val="21"/>
              </w:rPr>
              <w:t>24小时平均：75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vMerge w:val="restart"/>
            <w:noWrap w:val="0"/>
            <w:vAlign w:val="center"/>
          </w:tcPr>
          <w:p>
            <w:pPr>
              <w:spacing w:line="360" w:lineRule="exact"/>
              <w:jc w:val="center"/>
              <w:rPr>
                <w:szCs w:val="21"/>
                <w:vertAlign w:val="subscript"/>
              </w:rPr>
            </w:pPr>
            <w:r>
              <w:rPr>
                <w:szCs w:val="21"/>
              </w:rPr>
              <w:t>PM</w:t>
            </w:r>
            <w:r>
              <w:rPr>
                <w:szCs w:val="21"/>
                <w:vertAlign w:val="subscript"/>
              </w:rPr>
              <w:t>10</w:t>
            </w:r>
          </w:p>
        </w:tc>
        <w:tc>
          <w:tcPr>
            <w:tcW w:w="1014" w:type="dxa"/>
            <w:vMerge w:val="restart"/>
            <w:noWrap w:val="0"/>
            <w:vAlign w:val="center"/>
          </w:tcPr>
          <w:p>
            <w:pPr>
              <w:spacing w:line="360" w:lineRule="exact"/>
              <w:jc w:val="center"/>
              <w:rPr>
                <w:szCs w:val="21"/>
              </w:rPr>
            </w:pPr>
            <w:r>
              <w:rPr>
                <w:szCs w:val="21"/>
              </w:rPr>
              <w:t>µg/m</w:t>
            </w:r>
            <w:r>
              <w:rPr>
                <w:szCs w:val="21"/>
                <w:vertAlign w:val="superscript"/>
              </w:rPr>
              <w:t>3</w:t>
            </w:r>
          </w:p>
        </w:tc>
        <w:tc>
          <w:tcPr>
            <w:tcW w:w="1725" w:type="dxa"/>
            <w:gridSpan w:val="2"/>
            <w:noWrap w:val="0"/>
            <w:vAlign w:val="center"/>
          </w:tcPr>
          <w:p>
            <w:pPr>
              <w:spacing w:line="360" w:lineRule="exact"/>
              <w:jc w:val="center"/>
              <w:rPr>
                <w:szCs w:val="21"/>
              </w:rPr>
            </w:pPr>
            <w:r>
              <w:rPr>
                <w:szCs w:val="21"/>
              </w:rPr>
              <w:t>年平均：70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5"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vMerge w:val="continue"/>
            <w:noWrap w:val="0"/>
            <w:vAlign w:val="center"/>
          </w:tcPr>
          <w:p>
            <w:pPr>
              <w:spacing w:line="360" w:lineRule="exact"/>
              <w:jc w:val="center"/>
              <w:rPr>
                <w:szCs w:val="21"/>
              </w:rPr>
            </w:pPr>
          </w:p>
        </w:tc>
        <w:tc>
          <w:tcPr>
            <w:tcW w:w="1014" w:type="dxa"/>
            <w:vMerge w:val="continue"/>
            <w:noWrap w:val="0"/>
            <w:vAlign w:val="center"/>
          </w:tcPr>
          <w:p>
            <w:pPr>
              <w:spacing w:line="360" w:lineRule="exact"/>
              <w:jc w:val="center"/>
              <w:rPr>
                <w:szCs w:val="21"/>
              </w:rPr>
            </w:pPr>
          </w:p>
        </w:tc>
        <w:tc>
          <w:tcPr>
            <w:tcW w:w="1725" w:type="dxa"/>
            <w:gridSpan w:val="2"/>
            <w:noWrap w:val="0"/>
            <w:vAlign w:val="center"/>
          </w:tcPr>
          <w:p>
            <w:pPr>
              <w:spacing w:line="360" w:lineRule="exact"/>
              <w:jc w:val="center"/>
              <w:rPr>
                <w:szCs w:val="21"/>
              </w:rPr>
            </w:pPr>
            <w:r>
              <w:rPr>
                <w:szCs w:val="21"/>
              </w:rPr>
              <w:t>24小时平均：150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35" w:hRule="atLeast"/>
          <w:jc w:val="center"/>
        </w:trPr>
        <w:tc>
          <w:tcPr>
            <w:tcW w:w="1243" w:type="dxa"/>
            <w:vMerge w:val="continue"/>
            <w:noWrap w:val="0"/>
            <w:vAlign w:val="center"/>
          </w:tcPr>
          <w:p>
            <w:pPr>
              <w:spacing w:line="360" w:lineRule="exact"/>
              <w:jc w:val="center"/>
              <w:rPr>
                <w:szCs w:val="21"/>
              </w:rPr>
            </w:pPr>
          </w:p>
        </w:tc>
        <w:tc>
          <w:tcPr>
            <w:tcW w:w="3262" w:type="dxa"/>
            <w:vMerge w:val="restart"/>
            <w:noWrap w:val="0"/>
            <w:vAlign w:val="center"/>
          </w:tcPr>
          <w:p>
            <w:pPr>
              <w:spacing w:line="360" w:lineRule="exact"/>
              <w:jc w:val="center"/>
              <w:rPr>
                <w:szCs w:val="21"/>
              </w:rPr>
            </w:pPr>
            <w:r>
              <w:rPr>
                <w:szCs w:val="21"/>
              </w:rPr>
              <w:t>《</w:t>
            </w:r>
            <w:r>
              <w:rPr>
                <w:rFonts w:hint="eastAsia"/>
                <w:szCs w:val="21"/>
              </w:rPr>
              <w:t>环境影响评价技术导则 大气环境</w:t>
            </w:r>
            <w:r>
              <w:rPr>
                <w:szCs w:val="21"/>
              </w:rPr>
              <w:t>》</w:t>
            </w:r>
            <w:r>
              <w:rPr>
                <w:rFonts w:hint="eastAsia"/>
                <w:szCs w:val="21"/>
              </w:rPr>
              <w:t>（HJ</w:t>
            </w:r>
            <w:r>
              <w:rPr>
                <w:szCs w:val="21"/>
              </w:rPr>
              <w:t>2.2-2018</w:t>
            </w:r>
            <w:r>
              <w:rPr>
                <w:rFonts w:hint="eastAsia"/>
                <w:szCs w:val="21"/>
              </w:rPr>
              <w:t>）附录D中“其他污染物空气质量浓度参考限值”</w:t>
            </w:r>
          </w:p>
        </w:tc>
        <w:tc>
          <w:tcPr>
            <w:tcW w:w="1702" w:type="dxa"/>
            <w:noWrap w:val="0"/>
            <w:vAlign w:val="center"/>
          </w:tcPr>
          <w:p>
            <w:pPr>
              <w:spacing w:line="360" w:lineRule="exact"/>
              <w:jc w:val="center"/>
              <w:rPr>
                <w:szCs w:val="21"/>
              </w:rPr>
            </w:pPr>
            <w:r>
              <w:rPr>
                <w:szCs w:val="21"/>
              </w:rPr>
              <w:t>H</w:t>
            </w:r>
            <w:r>
              <w:rPr>
                <w:szCs w:val="21"/>
                <w:vertAlign w:val="subscript"/>
              </w:rPr>
              <w:t>2</w:t>
            </w:r>
            <w:r>
              <w:rPr>
                <w:szCs w:val="21"/>
              </w:rPr>
              <w:t>S</w:t>
            </w:r>
          </w:p>
        </w:tc>
        <w:tc>
          <w:tcPr>
            <w:tcW w:w="1014" w:type="dxa"/>
            <w:noWrap w:val="0"/>
            <w:vAlign w:val="center"/>
          </w:tcPr>
          <w:p>
            <w:pPr>
              <w:spacing w:line="360" w:lineRule="exact"/>
              <w:jc w:val="center"/>
              <w:rPr>
                <w:szCs w:val="21"/>
              </w:rPr>
            </w:pPr>
            <w:r>
              <w:rPr>
                <w:szCs w:val="21"/>
              </w:rPr>
              <w:t>µg/m</w:t>
            </w:r>
            <w:r>
              <w:rPr>
                <w:szCs w:val="21"/>
                <w:vertAlign w:val="superscript"/>
              </w:rPr>
              <w:t>3</w:t>
            </w:r>
          </w:p>
        </w:tc>
        <w:tc>
          <w:tcPr>
            <w:tcW w:w="1725" w:type="dxa"/>
            <w:gridSpan w:val="2"/>
            <w:noWrap w:val="0"/>
            <w:vAlign w:val="center"/>
          </w:tcPr>
          <w:p>
            <w:pPr>
              <w:spacing w:line="360" w:lineRule="exact"/>
              <w:jc w:val="center"/>
              <w:rPr>
                <w:szCs w:val="21"/>
              </w:rPr>
            </w:pPr>
            <w:r>
              <w:rPr>
                <w:szCs w:val="21"/>
              </w:rPr>
              <w:t>一次值：101</w:t>
            </w:r>
          </w:p>
        </w:tc>
      </w:tr>
      <w:tr>
        <w:tblPrEx>
          <w:tblCellMar>
            <w:top w:w="0" w:type="dxa"/>
            <w:left w:w="108" w:type="dxa"/>
            <w:bottom w:w="0" w:type="dxa"/>
            <w:right w:w="108" w:type="dxa"/>
          </w:tblCellMar>
        </w:tblPrEx>
        <w:trPr>
          <w:trHeight w:val="315"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60" w:lineRule="exact"/>
              <w:jc w:val="center"/>
              <w:rPr>
                <w:szCs w:val="21"/>
              </w:rPr>
            </w:pPr>
            <w:r>
              <w:rPr>
                <w:szCs w:val="21"/>
              </w:rPr>
              <w:t>NH</w:t>
            </w:r>
            <w:r>
              <w:rPr>
                <w:szCs w:val="21"/>
                <w:vertAlign w:val="subscript"/>
              </w:rPr>
              <w:t>3</w:t>
            </w:r>
          </w:p>
        </w:tc>
        <w:tc>
          <w:tcPr>
            <w:tcW w:w="1014" w:type="dxa"/>
            <w:noWrap w:val="0"/>
            <w:vAlign w:val="center"/>
          </w:tcPr>
          <w:p>
            <w:pPr>
              <w:spacing w:line="360" w:lineRule="exact"/>
              <w:jc w:val="center"/>
              <w:rPr>
                <w:szCs w:val="21"/>
              </w:rPr>
            </w:pPr>
            <w:r>
              <w:rPr>
                <w:szCs w:val="21"/>
              </w:rPr>
              <w:t>µg/m</w:t>
            </w:r>
            <w:r>
              <w:rPr>
                <w:szCs w:val="21"/>
                <w:vertAlign w:val="superscript"/>
              </w:rPr>
              <w:t>3</w:t>
            </w:r>
          </w:p>
        </w:tc>
        <w:tc>
          <w:tcPr>
            <w:tcW w:w="1725" w:type="dxa"/>
            <w:gridSpan w:val="2"/>
            <w:noWrap w:val="0"/>
            <w:vAlign w:val="center"/>
          </w:tcPr>
          <w:p>
            <w:pPr>
              <w:spacing w:line="360" w:lineRule="exact"/>
              <w:jc w:val="center"/>
              <w:rPr>
                <w:szCs w:val="21"/>
              </w:rPr>
            </w:pPr>
            <w:r>
              <w:rPr>
                <w:szCs w:val="21"/>
              </w:rPr>
              <w:t>一次值：200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0" w:hRule="atLeast"/>
          <w:jc w:val="center"/>
        </w:trPr>
        <w:tc>
          <w:tcPr>
            <w:tcW w:w="1243" w:type="dxa"/>
            <w:vMerge w:val="restart"/>
            <w:noWrap w:val="0"/>
            <w:vAlign w:val="center"/>
          </w:tcPr>
          <w:p>
            <w:pPr>
              <w:spacing w:line="360" w:lineRule="exact"/>
              <w:jc w:val="center"/>
              <w:rPr>
                <w:szCs w:val="21"/>
              </w:rPr>
            </w:pPr>
            <w:r>
              <w:rPr>
                <w:szCs w:val="21"/>
              </w:rPr>
              <w:t>声环境</w:t>
            </w:r>
          </w:p>
        </w:tc>
        <w:tc>
          <w:tcPr>
            <w:tcW w:w="3262" w:type="dxa"/>
            <w:vMerge w:val="restart"/>
            <w:noWrap w:val="0"/>
            <w:vAlign w:val="center"/>
          </w:tcPr>
          <w:p>
            <w:pPr>
              <w:spacing w:line="360" w:lineRule="exact"/>
              <w:jc w:val="center"/>
              <w:rPr>
                <w:szCs w:val="21"/>
              </w:rPr>
            </w:pPr>
            <w:r>
              <w:rPr>
                <w:szCs w:val="21"/>
              </w:rPr>
              <w:t>《声环境质量标准》（GB3096-2008）</w:t>
            </w:r>
            <w:r>
              <w:rPr>
                <w:rFonts w:hint="eastAsia"/>
                <w:szCs w:val="21"/>
              </w:rPr>
              <w:t>2</w:t>
            </w:r>
            <w:r>
              <w:rPr>
                <w:szCs w:val="21"/>
              </w:rPr>
              <w:t>类标准</w:t>
            </w:r>
          </w:p>
        </w:tc>
        <w:tc>
          <w:tcPr>
            <w:tcW w:w="1702" w:type="dxa"/>
            <w:vMerge w:val="restart"/>
            <w:noWrap w:val="0"/>
            <w:vAlign w:val="center"/>
          </w:tcPr>
          <w:p>
            <w:pPr>
              <w:spacing w:line="360" w:lineRule="exact"/>
              <w:jc w:val="center"/>
              <w:rPr>
                <w:szCs w:val="21"/>
                <w:vertAlign w:val="subscript"/>
              </w:rPr>
            </w:pPr>
            <w:r>
              <w:rPr>
                <w:szCs w:val="21"/>
              </w:rPr>
              <w:t>等效声级LA</w:t>
            </w:r>
            <w:r>
              <w:rPr>
                <w:szCs w:val="21"/>
                <w:vertAlign w:val="subscript"/>
              </w:rPr>
              <w:t>eq</w:t>
            </w:r>
          </w:p>
        </w:tc>
        <w:tc>
          <w:tcPr>
            <w:tcW w:w="1014" w:type="dxa"/>
            <w:vMerge w:val="restart"/>
            <w:noWrap w:val="0"/>
            <w:vAlign w:val="center"/>
          </w:tcPr>
          <w:p>
            <w:pPr>
              <w:spacing w:line="360" w:lineRule="exact"/>
              <w:jc w:val="center"/>
              <w:rPr>
                <w:szCs w:val="21"/>
              </w:rPr>
            </w:pPr>
            <w:r>
              <w:rPr>
                <w:szCs w:val="21"/>
              </w:rPr>
              <w:t>dB（A）</w:t>
            </w:r>
          </w:p>
        </w:tc>
        <w:tc>
          <w:tcPr>
            <w:tcW w:w="768" w:type="dxa"/>
            <w:noWrap w:val="0"/>
            <w:vAlign w:val="center"/>
          </w:tcPr>
          <w:p>
            <w:pPr>
              <w:spacing w:line="360" w:lineRule="exact"/>
              <w:jc w:val="center"/>
              <w:rPr>
                <w:szCs w:val="21"/>
              </w:rPr>
            </w:pPr>
            <w:r>
              <w:rPr>
                <w:szCs w:val="21"/>
              </w:rPr>
              <w:t>昼</w:t>
            </w:r>
          </w:p>
        </w:tc>
        <w:tc>
          <w:tcPr>
            <w:tcW w:w="957" w:type="dxa"/>
            <w:noWrap w:val="0"/>
            <w:vAlign w:val="center"/>
          </w:tcPr>
          <w:p>
            <w:pPr>
              <w:spacing w:line="360" w:lineRule="exact"/>
              <w:jc w:val="center"/>
              <w:rPr>
                <w:szCs w:val="21"/>
              </w:rPr>
            </w:pPr>
            <w:r>
              <w:rPr>
                <w:rFonts w:hint="eastAsia"/>
                <w:szCs w:val="21"/>
              </w:rPr>
              <w:t>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0"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vMerge w:val="continue"/>
            <w:noWrap w:val="0"/>
            <w:vAlign w:val="center"/>
          </w:tcPr>
          <w:p>
            <w:pPr>
              <w:spacing w:line="360" w:lineRule="exact"/>
              <w:jc w:val="center"/>
              <w:rPr>
                <w:szCs w:val="21"/>
              </w:rPr>
            </w:pPr>
          </w:p>
        </w:tc>
        <w:tc>
          <w:tcPr>
            <w:tcW w:w="1014" w:type="dxa"/>
            <w:vMerge w:val="continue"/>
            <w:noWrap w:val="0"/>
            <w:vAlign w:val="center"/>
          </w:tcPr>
          <w:p>
            <w:pPr>
              <w:spacing w:line="360" w:lineRule="exact"/>
              <w:jc w:val="center"/>
              <w:rPr>
                <w:szCs w:val="21"/>
              </w:rPr>
            </w:pPr>
          </w:p>
        </w:tc>
        <w:tc>
          <w:tcPr>
            <w:tcW w:w="768" w:type="dxa"/>
            <w:noWrap w:val="0"/>
            <w:vAlign w:val="center"/>
          </w:tcPr>
          <w:p>
            <w:pPr>
              <w:spacing w:line="360" w:lineRule="exact"/>
              <w:jc w:val="center"/>
              <w:rPr>
                <w:szCs w:val="21"/>
              </w:rPr>
            </w:pPr>
            <w:r>
              <w:rPr>
                <w:szCs w:val="21"/>
              </w:rPr>
              <w:t>夜</w:t>
            </w:r>
          </w:p>
        </w:tc>
        <w:tc>
          <w:tcPr>
            <w:tcW w:w="957" w:type="dxa"/>
            <w:noWrap w:val="0"/>
            <w:vAlign w:val="center"/>
          </w:tcPr>
          <w:p>
            <w:pPr>
              <w:spacing w:line="360" w:lineRule="exact"/>
              <w:jc w:val="center"/>
              <w:rPr>
                <w:szCs w:val="21"/>
              </w:rPr>
            </w:pPr>
            <w:r>
              <w:rPr>
                <w:rFonts w:hint="eastAsia"/>
                <w:szCs w:val="21"/>
              </w:rPr>
              <w:t>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5" w:hRule="atLeast"/>
          <w:jc w:val="center"/>
        </w:trPr>
        <w:tc>
          <w:tcPr>
            <w:tcW w:w="1243" w:type="dxa"/>
            <w:vMerge w:val="restart"/>
            <w:noWrap w:val="0"/>
            <w:vAlign w:val="center"/>
          </w:tcPr>
          <w:p>
            <w:pPr>
              <w:spacing w:line="360" w:lineRule="exact"/>
              <w:jc w:val="center"/>
              <w:rPr>
                <w:szCs w:val="21"/>
              </w:rPr>
            </w:pPr>
            <w:r>
              <w:rPr>
                <w:szCs w:val="21"/>
              </w:rPr>
              <w:t>地表水</w:t>
            </w:r>
          </w:p>
          <w:p>
            <w:pPr>
              <w:spacing w:line="360" w:lineRule="exact"/>
              <w:jc w:val="center"/>
              <w:rPr>
                <w:szCs w:val="21"/>
              </w:rPr>
            </w:pPr>
            <w:r>
              <w:rPr>
                <w:szCs w:val="21"/>
              </w:rPr>
              <w:t>环境</w:t>
            </w:r>
          </w:p>
        </w:tc>
        <w:tc>
          <w:tcPr>
            <w:tcW w:w="3262" w:type="dxa"/>
            <w:vMerge w:val="restart"/>
            <w:noWrap w:val="0"/>
            <w:vAlign w:val="center"/>
          </w:tcPr>
          <w:p>
            <w:pPr>
              <w:spacing w:line="360" w:lineRule="exact"/>
              <w:jc w:val="center"/>
              <w:rPr>
                <w:szCs w:val="21"/>
              </w:rPr>
            </w:pPr>
            <w:r>
              <w:rPr>
                <w:szCs w:val="21"/>
              </w:rPr>
              <w:t>《地表水环境质量标准》（GB3838-2002）</w:t>
            </w:r>
            <w:r>
              <w:rPr>
                <w:rFonts w:hint="eastAsia" w:ascii="宋体" w:hAnsi="宋体" w:cs="宋体"/>
                <w:szCs w:val="21"/>
              </w:rPr>
              <w:t>Ⅲ</w:t>
            </w:r>
            <w:r>
              <w:rPr>
                <w:szCs w:val="21"/>
              </w:rPr>
              <w:t>类</w:t>
            </w:r>
          </w:p>
        </w:tc>
        <w:tc>
          <w:tcPr>
            <w:tcW w:w="1702" w:type="dxa"/>
            <w:noWrap w:val="0"/>
            <w:vAlign w:val="center"/>
          </w:tcPr>
          <w:p>
            <w:pPr>
              <w:spacing w:line="360" w:lineRule="exact"/>
              <w:jc w:val="center"/>
              <w:rPr>
                <w:szCs w:val="21"/>
              </w:rPr>
            </w:pPr>
            <w:r>
              <w:rPr>
                <w:szCs w:val="21"/>
              </w:rPr>
              <w:t>pH</w:t>
            </w:r>
          </w:p>
        </w:tc>
        <w:tc>
          <w:tcPr>
            <w:tcW w:w="1014" w:type="dxa"/>
            <w:noWrap w:val="0"/>
            <w:vAlign w:val="center"/>
          </w:tcPr>
          <w:p>
            <w:pPr>
              <w:spacing w:line="360" w:lineRule="exact"/>
              <w:jc w:val="center"/>
              <w:rPr>
                <w:szCs w:val="21"/>
              </w:rPr>
            </w:pPr>
            <w:r>
              <w:rPr>
                <w:szCs w:val="21"/>
              </w:rPr>
              <w:t>/</w:t>
            </w:r>
          </w:p>
        </w:tc>
        <w:tc>
          <w:tcPr>
            <w:tcW w:w="1725" w:type="dxa"/>
            <w:gridSpan w:val="2"/>
            <w:noWrap w:val="0"/>
            <w:vAlign w:val="center"/>
          </w:tcPr>
          <w:p>
            <w:pPr>
              <w:spacing w:line="360" w:lineRule="exact"/>
              <w:jc w:val="center"/>
              <w:rPr>
                <w:szCs w:val="21"/>
              </w:rPr>
            </w:pPr>
            <w:r>
              <w:rPr>
                <w:szCs w:val="21"/>
              </w:rPr>
              <w:t>6～9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5"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60" w:lineRule="exact"/>
              <w:jc w:val="center"/>
              <w:rPr>
                <w:szCs w:val="21"/>
                <w:vertAlign w:val="subscript"/>
              </w:rPr>
            </w:pPr>
            <w:r>
              <w:rPr>
                <w:szCs w:val="21"/>
              </w:rPr>
              <w:t>COD</w:t>
            </w:r>
          </w:p>
        </w:tc>
        <w:tc>
          <w:tcPr>
            <w:tcW w:w="1014" w:type="dxa"/>
            <w:noWrap w:val="0"/>
            <w:vAlign w:val="center"/>
          </w:tcPr>
          <w:p>
            <w:pPr>
              <w:spacing w:line="360" w:lineRule="exact"/>
              <w:jc w:val="center"/>
              <w:rPr>
                <w:szCs w:val="21"/>
              </w:rPr>
            </w:pPr>
            <w:r>
              <w:rPr>
                <w:szCs w:val="21"/>
              </w:rPr>
              <w:t>mg/L</w:t>
            </w:r>
          </w:p>
        </w:tc>
        <w:tc>
          <w:tcPr>
            <w:tcW w:w="1725" w:type="dxa"/>
            <w:gridSpan w:val="2"/>
            <w:noWrap w:val="0"/>
            <w:vAlign w:val="center"/>
          </w:tcPr>
          <w:p>
            <w:pPr>
              <w:spacing w:line="360" w:lineRule="exact"/>
              <w:jc w:val="center"/>
              <w:rPr>
                <w:szCs w:val="21"/>
              </w:rPr>
            </w:pPr>
            <w:r>
              <w:rPr>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13"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60" w:lineRule="exact"/>
              <w:jc w:val="center"/>
              <w:rPr>
                <w:szCs w:val="21"/>
              </w:rPr>
            </w:pPr>
            <w:r>
              <w:rPr>
                <w:szCs w:val="21"/>
              </w:rPr>
              <w:t>BOD</w:t>
            </w:r>
            <w:r>
              <w:rPr>
                <w:szCs w:val="21"/>
                <w:vertAlign w:val="subscript"/>
              </w:rPr>
              <w:t>5</w:t>
            </w:r>
          </w:p>
        </w:tc>
        <w:tc>
          <w:tcPr>
            <w:tcW w:w="1014" w:type="dxa"/>
            <w:noWrap w:val="0"/>
            <w:vAlign w:val="center"/>
          </w:tcPr>
          <w:p>
            <w:pPr>
              <w:spacing w:line="360" w:lineRule="exact"/>
              <w:jc w:val="center"/>
              <w:rPr>
                <w:szCs w:val="21"/>
              </w:rPr>
            </w:pPr>
            <w:r>
              <w:rPr>
                <w:szCs w:val="21"/>
              </w:rPr>
              <w:t>mg/L</w:t>
            </w:r>
          </w:p>
        </w:tc>
        <w:tc>
          <w:tcPr>
            <w:tcW w:w="1725" w:type="dxa"/>
            <w:gridSpan w:val="2"/>
            <w:noWrap w:val="0"/>
            <w:vAlign w:val="center"/>
          </w:tcPr>
          <w:p>
            <w:pPr>
              <w:spacing w:line="360" w:lineRule="exact"/>
              <w:jc w:val="center"/>
              <w:rPr>
                <w:szCs w:val="21"/>
              </w:rPr>
            </w:pPr>
            <w:r>
              <w:rPr>
                <w:szCs w:val="21"/>
              </w:rPr>
              <w:t>≤4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60" w:lineRule="exact"/>
              <w:jc w:val="center"/>
              <w:rPr>
                <w:szCs w:val="21"/>
              </w:rPr>
            </w:pPr>
            <w:r>
              <w:rPr>
                <w:szCs w:val="21"/>
              </w:rPr>
              <w:t>氨氮</w:t>
            </w:r>
          </w:p>
        </w:tc>
        <w:tc>
          <w:tcPr>
            <w:tcW w:w="1014" w:type="dxa"/>
            <w:noWrap w:val="0"/>
            <w:vAlign w:val="center"/>
          </w:tcPr>
          <w:p>
            <w:pPr>
              <w:spacing w:line="360" w:lineRule="exact"/>
              <w:jc w:val="center"/>
              <w:rPr>
                <w:szCs w:val="21"/>
              </w:rPr>
            </w:pPr>
            <w:r>
              <w:rPr>
                <w:szCs w:val="21"/>
              </w:rPr>
              <w:t>mg/L</w:t>
            </w:r>
          </w:p>
        </w:tc>
        <w:tc>
          <w:tcPr>
            <w:tcW w:w="1725" w:type="dxa"/>
            <w:gridSpan w:val="2"/>
            <w:noWrap w:val="0"/>
            <w:vAlign w:val="center"/>
          </w:tcPr>
          <w:p>
            <w:pPr>
              <w:spacing w:line="360" w:lineRule="exact"/>
              <w:jc w:val="center"/>
              <w:rPr>
                <w:szCs w:val="21"/>
              </w:rPr>
            </w:pPr>
            <w:r>
              <w:rPr>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60" w:lineRule="exact"/>
              <w:jc w:val="center"/>
              <w:rPr>
                <w:szCs w:val="21"/>
              </w:rPr>
            </w:pPr>
            <w:r>
              <w:rPr>
                <w:szCs w:val="21"/>
              </w:rPr>
              <w:t>总磷</w:t>
            </w:r>
          </w:p>
        </w:tc>
        <w:tc>
          <w:tcPr>
            <w:tcW w:w="1014" w:type="dxa"/>
            <w:noWrap w:val="0"/>
            <w:vAlign w:val="center"/>
          </w:tcPr>
          <w:p>
            <w:pPr>
              <w:spacing w:line="360" w:lineRule="exact"/>
              <w:jc w:val="center"/>
              <w:rPr>
                <w:szCs w:val="21"/>
              </w:rPr>
            </w:pPr>
            <w:r>
              <w:rPr>
                <w:szCs w:val="21"/>
              </w:rPr>
              <w:t>mg/L</w:t>
            </w:r>
          </w:p>
        </w:tc>
        <w:tc>
          <w:tcPr>
            <w:tcW w:w="1725" w:type="dxa"/>
            <w:gridSpan w:val="2"/>
            <w:noWrap w:val="0"/>
            <w:vAlign w:val="center"/>
          </w:tcPr>
          <w:p>
            <w:pPr>
              <w:spacing w:line="360" w:lineRule="exact"/>
              <w:jc w:val="center"/>
              <w:rPr>
                <w:szCs w:val="21"/>
              </w:rPr>
            </w:pPr>
            <w:r>
              <w:rPr>
                <w:szCs w:val="21"/>
              </w:rPr>
              <w:t>≤0.2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60" w:lineRule="exact"/>
              <w:jc w:val="center"/>
              <w:rPr>
                <w:szCs w:val="21"/>
              </w:rPr>
            </w:pPr>
            <w:r>
              <w:rPr>
                <w:szCs w:val="21"/>
              </w:rPr>
              <w:t>总氮</w:t>
            </w:r>
          </w:p>
        </w:tc>
        <w:tc>
          <w:tcPr>
            <w:tcW w:w="1014" w:type="dxa"/>
            <w:noWrap w:val="0"/>
            <w:vAlign w:val="center"/>
          </w:tcPr>
          <w:p>
            <w:pPr>
              <w:spacing w:line="360" w:lineRule="exact"/>
              <w:jc w:val="center"/>
              <w:rPr>
                <w:szCs w:val="21"/>
              </w:rPr>
            </w:pPr>
            <w:r>
              <w:rPr>
                <w:szCs w:val="21"/>
              </w:rPr>
              <w:t>mg/L</w:t>
            </w:r>
          </w:p>
        </w:tc>
        <w:tc>
          <w:tcPr>
            <w:tcW w:w="1725" w:type="dxa"/>
            <w:gridSpan w:val="2"/>
            <w:noWrap w:val="0"/>
            <w:vAlign w:val="center"/>
          </w:tcPr>
          <w:p>
            <w:pPr>
              <w:spacing w:line="360" w:lineRule="exact"/>
              <w:jc w:val="center"/>
              <w:rPr>
                <w:szCs w:val="21"/>
              </w:rPr>
            </w:pPr>
            <w:r>
              <w:rPr>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59"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60" w:lineRule="exact"/>
              <w:jc w:val="center"/>
              <w:rPr>
                <w:szCs w:val="21"/>
              </w:rPr>
            </w:pPr>
            <w:r>
              <w:rPr>
                <w:szCs w:val="21"/>
              </w:rPr>
              <w:t>粪大肠菌群</w:t>
            </w:r>
          </w:p>
        </w:tc>
        <w:tc>
          <w:tcPr>
            <w:tcW w:w="1014" w:type="dxa"/>
            <w:noWrap w:val="0"/>
            <w:vAlign w:val="center"/>
          </w:tcPr>
          <w:p>
            <w:pPr>
              <w:spacing w:line="360" w:lineRule="exact"/>
              <w:jc w:val="center"/>
              <w:rPr>
                <w:szCs w:val="21"/>
              </w:rPr>
            </w:pPr>
            <w:r>
              <w:rPr>
                <w:szCs w:val="21"/>
              </w:rPr>
              <w:t>个/L</w:t>
            </w:r>
          </w:p>
        </w:tc>
        <w:tc>
          <w:tcPr>
            <w:tcW w:w="1725" w:type="dxa"/>
            <w:gridSpan w:val="2"/>
            <w:noWrap w:val="0"/>
            <w:vAlign w:val="center"/>
          </w:tcPr>
          <w:p>
            <w:pPr>
              <w:spacing w:line="360" w:lineRule="exact"/>
              <w:jc w:val="center"/>
              <w:rPr>
                <w:szCs w:val="21"/>
              </w:rPr>
            </w:pPr>
            <w:r>
              <w:rPr>
                <w:szCs w:val="21"/>
              </w:rPr>
              <w:t>≤10000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restart"/>
            <w:noWrap w:val="0"/>
            <w:vAlign w:val="center"/>
          </w:tcPr>
          <w:p>
            <w:pPr>
              <w:spacing w:line="360" w:lineRule="exact"/>
              <w:jc w:val="center"/>
              <w:rPr>
                <w:szCs w:val="21"/>
              </w:rPr>
            </w:pPr>
            <w:r>
              <w:rPr>
                <w:szCs w:val="21"/>
              </w:rPr>
              <w:t>地下水</w:t>
            </w:r>
          </w:p>
          <w:p>
            <w:pPr>
              <w:spacing w:line="360" w:lineRule="exact"/>
              <w:jc w:val="center"/>
              <w:rPr>
                <w:szCs w:val="21"/>
              </w:rPr>
            </w:pPr>
            <w:r>
              <w:rPr>
                <w:szCs w:val="21"/>
              </w:rPr>
              <w:t>环境</w:t>
            </w:r>
          </w:p>
        </w:tc>
        <w:tc>
          <w:tcPr>
            <w:tcW w:w="3262" w:type="dxa"/>
            <w:vMerge w:val="restart"/>
            <w:noWrap w:val="0"/>
            <w:vAlign w:val="center"/>
          </w:tcPr>
          <w:p>
            <w:pPr>
              <w:spacing w:line="360" w:lineRule="exact"/>
              <w:jc w:val="center"/>
              <w:rPr>
                <w:szCs w:val="21"/>
              </w:rPr>
            </w:pPr>
            <w:r>
              <w:rPr>
                <w:szCs w:val="21"/>
              </w:rPr>
              <w:t>《地下水质量标准》（GB/T14848-2017）</w:t>
            </w:r>
            <w:r>
              <w:rPr>
                <w:rFonts w:hint="eastAsia" w:ascii="宋体" w:hAnsi="宋体" w:cs="宋体"/>
                <w:szCs w:val="21"/>
              </w:rPr>
              <w:t>Ⅲ</w:t>
            </w:r>
            <w:r>
              <w:rPr>
                <w:szCs w:val="21"/>
              </w:rPr>
              <w:t>类</w:t>
            </w:r>
          </w:p>
        </w:tc>
        <w:tc>
          <w:tcPr>
            <w:tcW w:w="1702" w:type="dxa"/>
            <w:noWrap w:val="0"/>
            <w:vAlign w:val="center"/>
          </w:tcPr>
          <w:p>
            <w:pPr>
              <w:spacing w:line="360" w:lineRule="exact"/>
              <w:jc w:val="center"/>
              <w:rPr>
                <w:szCs w:val="21"/>
              </w:rPr>
            </w:pPr>
            <w:r>
              <w:rPr>
                <w:szCs w:val="21"/>
              </w:rPr>
              <w:t>pH</w:t>
            </w:r>
          </w:p>
        </w:tc>
        <w:tc>
          <w:tcPr>
            <w:tcW w:w="1014" w:type="dxa"/>
            <w:noWrap w:val="0"/>
            <w:vAlign w:val="center"/>
          </w:tcPr>
          <w:p>
            <w:pPr>
              <w:spacing w:line="360" w:lineRule="exact"/>
              <w:jc w:val="center"/>
              <w:rPr>
                <w:szCs w:val="21"/>
              </w:rPr>
            </w:pPr>
            <w:r>
              <w:rPr>
                <w:szCs w:val="21"/>
              </w:rPr>
              <w:t>/</w:t>
            </w:r>
          </w:p>
        </w:tc>
        <w:tc>
          <w:tcPr>
            <w:tcW w:w="1725" w:type="dxa"/>
            <w:gridSpan w:val="2"/>
            <w:noWrap w:val="0"/>
            <w:vAlign w:val="center"/>
          </w:tcPr>
          <w:p>
            <w:pPr>
              <w:spacing w:line="360" w:lineRule="exact"/>
              <w:jc w:val="center"/>
              <w:rPr>
                <w:szCs w:val="21"/>
              </w:rPr>
            </w:pPr>
            <w:r>
              <w:rPr>
                <w:szCs w:val="21"/>
              </w:rPr>
              <w:t>6.5-8.5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jc w:val="center"/>
              <w:rPr>
                <w:szCs w:val="21"/>
              </w:rPr>
            </w:pPr>
            <w:r>
              <w:rPr>
                <w:szCs w:val="21"/>
              </w:rPr>
              <w:t>氨氮</w:t>
            </w:r>
          </w:p>
        </w:tc>
        <w:tc>
          <w:tcPr>
            <w:tcW w:w="1014" w:type="dxa"/>
            <w:noWrap w:val="0"/>
            <w:vAlign w:val="center"/>
          </w:tcPr>
          <w:p>
            <w:pPr>
              <w:jc w:val="center"/>
              <w:rPr>
                <w:szCs w:val="21"/>
              </w:rPr>
            </w:pPr>
            <w:r>
              <w:rPr>
                <w:szCs w:val="21"/>
              </w:rPr>
              <w:t>mg/L</w:t>
            </w:r>
          </w:p>
        </w:tc>
        <w:tc>
          <w:tcPr>
            <w:tcW w:w="1725" w:type="dxa"/>
            <w:gridSpan w:val="2"/>
            <w:noWrap w:val="0"/>
            <w:vAlign w:val="center"/>
          </w:tcPr>
          <w:p>
            <w:pPr>
              <w:jc w:val="center"/>
              <w:rPr>
                <w:szCs w:val="21"/>
              </w:rPr>
            </w:pPr>
            <w:r>
              <w:rPr>
                <w:szCs w:val="21"/>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jc w:val="center"/>
              <w:rPr>
                <w:szCs w:val="21"/>
              </w:rPr>
            </w:pPr>
            <w:r>
              <w:rPr>
                <w:szCs w:val="21"/>
              </w:rPr>
              <w:t>总硬度（以CaCO</w:t>
            </w:r>
            <w:r>
              <w:rPr>
                <w:szCs w:val="21"/>
                <w:vertAlign w:val="subscript"/>
              </w:rPr>
              <w:t>3</w:t>
            </w:r>
            <w:r>
              <w:rPr>
                <w:szCs w:val="21"/>
              </w:rPr>
              <w:t>计）</w:t>
            </w:r>
          </w:p>
        </w:tc>
        <w:tc>
          <w:tcPr>
            <w:tcW w:w="1014" w:type="dxa"/>
            <w:noWrap w:val="0"/>
            <w:vAlign w:val="center"/>
          </w:tcPr>
          <w:p>
            <w:pPr>
              <w:jc w:val="center"/>
              <w:rPr>
                <w:szCs w:val="21"/>
              </w:rPr>
            </w:pPr>
            <w:r>
              <w:rPr>
                <w:szCs w:val="21"/>
              </w:rPr>
              <w:t>mg/L</w:t>
            </w:r>
          </w:p>
        </w:tc>
        <w:tc>
          <w:tcPr>
            <w:tcW w:w="1725" w:type="dxa"/>
            <w:gridSpan w:val="2"/>
            <w:noWrap w:val="0"/>
            <w:vAlign w:val="center"/>
          </w:tcPr>
          <w:p>
            <w:pPr>
              <w:jc w:val="center"/>
              <w:rPr>
                <w:szCs w:val="21"/>
              </w:rPr>
            </w:pPr>
            <w:r>
              <w:rPr>
                <w:szCs w:val="21"/>
              </w:rPr>
              <w:t>≤450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jc w:val="center"/>
              <w:rPr>
                <w:szCs w:val="21"/>
              </w:rPr>
            </w:pPr>
            <w:r>
              <w:rPr>
                <w:szCs w:val="21"/>
              </w:rPr>
              <w:t>耗氧量（COD</w:t>
            </w:r>
            <w:r>
              <w:rPr>
                <w:szCs w:val="21"/>
                <w:vertAlign w:val="subscript"/>
              </w:rPr>
              <w:t>Mn</w:t>
            </w:r>
            <w:r>
              <w:rPr>
                <w:szCs w:val="21"/>
              </w:rPr>
              <w:t>，以O</w:t>
            </w:r>
            <w:r>
              <w:rPr>
                <w:szCs w:val="21"/>
                <w:vertAlign w:val="subscript"/>
              </w:rPr>
              <w:t>2</w:t>
            </w:r>
            <w:r>
              <w:rPr>
                <w:szCs w:val="21"/>
              </w:rPr>
              <w:t>计）</w:t>
            </w:r>
          </w:p>
        </w:tc>
        <w:tc>
          <w:tcPr>
            <w:tcW w:w="1014" w:type="dxa"/>
            <w:noWrap w:val="0"/>
            <w:vAlign w:val="center"/>
          </w:tcPr>
          <w:p>
            <w:pPr>
              <w:jc w:val="center"/>
              <w:rPr>
                <w:szCs w:val="21"/>
              </w:rPr>
            </w:pPr>
            <w:r>
              <w:rPr>
                <w:szCs w:val="21"/>
              </w:rPr>
              <w:t>mg/L</w:t>
            </w:r>
          </w:p>
        </w:tc>
        <w:tc>
          <w:tcPr>
            <w:tcW w:w="1725" w:type="dxa"/>
            <w:gridSpan w:val="2"/>
            <w:noWrap w:val="0"/>
            <w:vAlign w:val="center"/>
          </w:tcPr>
          <w:p>
            <w:pPr>
              <w:jc w:val="center"/>
              <w:rPr>
                <w:szCs w:val="21"/>
              </w:rPr>
            </w:pPr>
            <w:r>
              <w:rPr>
                <w:szCs w:val="21"/>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20" w:lineRule="exact"/>
              <w:jc w:val="center"/>
              <w:rPr>
                <w:szCs w:val="21"/>
              </w:rPr>
            </w:pPr>
            <w:r>
              <w:rPr>
                <w:rFonts w:hint="eastAsia"/>
                <w:szCs w:val="21"/>
              </w:rPr>
              <w:t>溶解氧</w:t>
            </w:r>
          </w:p>
        </w:tc>
        <w:tc>
          <w:tcPr>
            <w:tcW w:w="1014" w:type="dxa"/>
            <w:noWrap w:val="0"/>
            <w:vAlign w:val="center"/>
          </w:tcPr>
          <w:p>
            <w:pPr>
              <w:spacing w:line="320" w:lineRule="exact"/>
              <w:jc w:val="center"/>
              <w:rPr>
                <w:szCs w:val="21"/>
              </w:rPr>
            </w:pPr>
            <w:r>
              <w:rPr>
                <w:szCs w:val="21"/>
              </w:rPr>
              <w:t>mg/L</w:t>
            </w:r>
          </w:p>
        </w:tc>
        <w:tc>
          <w:tcPr>
            <w:tcW w:w="1725" w:type="dxa"/>
            <w:gridSpan w:val="2"/>
            <w:noWrap w:val="0"/>
            <w:vAlign w:val="center"/>
          </w:tcPr>
          <w:p>
            <w:pPr>
              <w:spacing w:line="320" w:lineRule="exact"/>
              <w:jc w:val="center"/>
              <w:rPr>
                <w:szCs w:val="21"/>
              </w:rPr>
            </w:pPr>
            <w:r>
              <w:rPr>
                <w:szCs w:val="21"/>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jc w:val="center"/>
              <w:rPr>
                <w:szCs w:val="21"/>
              </w:rPr>
            </w:pPr>
            <w:r>
              <w:rPr>
                <w:szCs w:val="21"/>
              </w:rPr>
              <w:t>硝酸盐</w:t>
            </w:r>
          </w:p>
        </w:tc>
        <w:tc>
          <w:tcPr>
            <w:tcW w:w="1014" w:type="dxa"/>
            <w:noWrap w:val="0"/>
            <w:vAlign w:val="center"/>
          </w:tcPr>
          <w:p>
            <w:pPr>
              <w:jc w:val="center"/>
              <w:rPr>
                <w:szCs w:val="21"/>
              </w:rPr>
            </w:pPr>
            <w:r>
              <w:rPr>
                <w:szCs w:val="21"/>
              </w:rPr>
              <w:t>mg/L</w:t>
            </w:r>
          </w:p>
        </w:tc>
        <w:tc>
          <w:tcPr>
            <w:tcW w:w="1725" w:type="dxa"/>
            <w:gridSpan w:val="2"/>
            <w:noWrap w:val="0"/>
            <w:vAlign w:val="center"/>
          </w:tcPr>
          <w:p>
            <w:pPr>
              <w:jc w:val="center"/>
              <w:rPr>
                <w:szCs w:val="21"/>
              </w:rPr>
            </w:pPr>
            <w:r>
              <w:rPr>
                <w:szCs w:val="21"/>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jc w:val="center"/>
              <w:rPr>
                <w:szCs w:val="21"/>
              </w:rPr>
            </w:pPr>
            <w:r>
              <w:rPr>
                <w:szCs w:val="21"/>
              </w:rPr>
              <w:t>亚硝酸盐</w:t>
            </w:r>
          </w:p>
        </w:tc>
        <w:tc>
          <w:tcPr>
            <w:tcW w:w="1014" w:type="dxa"/>
            <w:noWrap w:val="0"/>
            <w:vAlign w:val="center"/>
          </w:tcPr>
          <w:p>
            <w:pPr>
              <w:jc w:val="center"/>
              <w:rPr>
                <w:szCs w:val="21"/>
              </w:rPr>
            </w:pPr>
            <w:r>
              <w:rPr>
                <w:szCs w:val="21"/>
              </w:rPr>
              <w:t>mg/L</w:t>
            </w:r>
          </w:p>
        </w:tc>
        <w:tc>
          <w:tcPr>
            <w:tcW w:w="1725" w:type="dxa"/>
            <w:gridSpan w:val="2"/>
            <w:noWrap w:val="0"/>
            <w:vAlign w:val="center"/>
          </w:tcPr>
          <w:p>
            <w:pPr>
              <w:jc w:val="center"/>
              <w:rPr>
                <w:szCs w:val="21"/>
              </w:rPr>
            </w:pPr>
            <w:r>
              <w:rPr>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jc w:val="center"/>
              <w:rPr>
                <w:szCs w:val="21"/>
              </w:rPr>
            </w:pPr>
            <w:r>
              <w:rPr>
                <w:szCs w:val="21"/>
              </w:rPr>
              <w:t>溶解性总固体</w:t>
            </w:r>
          </w:p>
        </w:tc>
        <w:tc>
          <w:tcPr>
            <w:tcW w:w="1014" w:type="dxa"/>
            <w:noWrap w:val="0"/>
            <w:vAlign w:val="center"/>
          </w:tcPr>
          <w:p>
            <w:pPr>
              <w:jc w:val="center"/>
              <w:rPr>
                <w:szCs w:val="21"/>
              </w:rPr>
            </w:pPr>
            <w:r>
              <w:rPr>
                <w:szCs w:val="21"/>
              </w:rPr>
              <w:t>mg/L</w:t>
            </w:r>
          </w:p>
        </w:tc>
        <w:tc>
          <w:tcPr>
            <w:tcW w:w="1725" w:type="dxa"/>
            <w:gridSpan w:val="2"/>
            <w:noWrap w:val="0"/>
            <w:vAlign w:val="center"/>
          </w:tcPr>
          <w:p>
            <w:pPr>
              <w:jc w:val="center"/>
              <w:rPr>
                <w:szCs w:val="21"/>
              </w:rPr>
            </w:pPr>
            <w:r>
              <w:rPr>
                <w:szCs w:val="21"/>
              </w:rPr>
              <w:t>≤1000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jc w:val="center"/>
              <w:rPr>
                <w:szCs w:val="21"/>
              </w:rPr>
            </w:pPr>
            <w:r>
              <w:rPr>
                <w:szCs w:val="21"/>
              </w:rPr>
              <w:t>总大肠菌群</w:t>
            </w:r>
          </w:p>
        </w:tc>
        <w:tc>
          <w:tcPr>
            <w:tcW w:w="1014" w:type="dxa"/>
            <w:noWrap w:val="0"/>
            <w:vAlign w:val="center"/>
          </w:tcPr>
          <w:p>
            <w:pPr>
              <w:jc w:val="center"/>
              <w:rPr>
                <w:szCs w:val="21"/>
              </w:rPr>
            </w:pPr>
            <w:r>
              <w:rPr>
                <w:szCs w:val="21"/>
              </w:rPr>
              <w:t>个/L</w:t>
            </w:r>
          </w:p>
        </w:tc>
        <w:tc>
          <w:tcPr>
            <w:tcW w:w="1725" w:type="dxa"/>
            <w:gridSpan w:val="2"/>
            <w:noWrap w:val="0"/>
            <w:vAlign w:val="center"/>
          </w:tcPr>
          <w:p>
            <w:pPr>
              <w:jc w:val="center"/>
              <w:rPr>
                <w:szCs w:val="21"/>
              </w:rPr>
            </w:pPr>
            <w:r>
              <w:rPr>
                <w:szCs w:val="21"/>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jc w:val="center"/>
              <w:rPr>
                <w:szCs w:val="21"/>
              </w:rPr>
            </w:pPr>
            <w:r>
              <w:rPr>
                <w:rFonts w:hint="eastAsia"/>
                <w:szCs w:val="21"/>
              </w:rPr>
              <w:t>菌落</w:t>
            </w:r>
            <w:r>
              <w:rPr>
                <w:szCs w:val="21"/>
              </w:rPr>
              <w:t>总数</w:t>
            </w:r>
          </w:p>
        </w:tc>
        <w:tc>
          <w:tcPr>
            <w:tcW w:w="1014" w:type="dxa"/>
            <w:noWrap w:val="0"/>
            <w:vAlign w:val="center"/>
          </w:tcPr>
          <w:p>
            <w:pPr>
              <w:jc w:val="center"/>
              <w:rPr>
                <w:szCs w:val="21"/>
              </w:rPr>
            </w:pPr>
            <w:r>
              <w:rPr>
                <w:szCs w:val="21"/>
              </w:rPr>
              <w:t>个/L</w:t>
            </w:r>
          </w:p>
        </w:tc>
        <w:tc>
          <w:tcPr>
            <w:tcW w:w="1725" w:type="dxa"/>
            <w:gridSpan w:val="2"/>
            <w:noWrap w:val="0"/>
            <w:vAlign w:val="center"/>
          </w:tcPr>
          <w:p>
            <w:pPr>
              <w:jc w:val="center"/>
              <w:rPr>
                <w:szCs w:val="21"/>
              </w:rPr>
            </w:pPr>
            <w:r>
              <w:rPr>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20" w:lineRule="exact"/>
              <w:jc w:val="center"/>
              <w:rPr>
                <w:szCs w:val="21"/>
              </w:rPr>
            </w:pPr>
            <w:r>
              <w:rPr>
                <w:szCs w:val="21"/>
              </w:rPr>
              <w:t>硫酸盐</w:t>
            </w:r>
          </w:p>
        </w:tc>
        <w:tc>
          <w:tcPr>
            <w:tcW w:w="1014" w:type="dxa"/>
            <w:noWrap w:val="0"/>
            <w:vAlign w:val="center"/>
          </w:tcPr>
          <w:p>
            <w:pPr>
              <w:spacing w:line="320" w:lineRule="exact"/>
              <w:jc w:val="center"/>
              <w:rPr>
                <w:szCs w:val="21"/>
              </w:rPr>
            </w:pPr>
            <w:r>
              <w:rPr>
                <w:szCs w:val="21"/>
              </w:rPr>
              <w:t>mg/L</w:t>
            </w:r>
          </w:p>
        </w:tc>
        <w:tc>
          <w:tcPr>
            <w:tcW w:w="1725" w:type="dxa"/>
            <w:gridSpan w:val="2"/>
            <w:noWrap w:val="0"/>
            <w:vAlign w:val="center"/>
          </w:tcPr>
          <w:p>
            <w:pPr>
              <w:spacing w:line="320" w:lineRule="exact"/>
              <w:jc w:val="center"/>
              <w:rPr>
                <w:szCs w:val="21"/>
              </w:rPr>
            </w:pPr>
            <w:r>
              <w:rPr>
                <w:szCs w:val="21"/>
              </w:rPr>
              <w:t>≤250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20" w:lineRule="exact"/>
              <w:jc w:val="center"/>
              <w:rPr>
                <w:szCs w:val="21"/>
              </w:rPr>
            </w:pPr>
            <w:r>
              <w:rPr>
                <w:szCs w:val="21"/>
              </w:rPr>
              <w:t>氯化物</w:t>
            </w:r>
          </w:p>
        </w:tc>
        <w:tc>
          <w:tcPr>
            <w:tcW w:w="1014" w:type="dxa"/>
            <w:noWrap w:val="0"/>
            <w:vAlign w:val="center"/>
          </w:tcPr>
          <w:p>
            <w:pPr>
              <w:spacing w:line="320" w:lineRule="exact"/>
              <w:jc w:val="center"/>
              <w:rPr>
                <w:szCs w:val="21"/>
              </w:rPr>
            </w:pPr>
            <w:r>
              <w:rPr>
                <w:szCs w:val="21"/>
              </w:rPr>
              <w:t>mg/L</w:t>
            </w:r>
          </w:p>
        </w:tc>
        <w:tc>
          <w:tcPr>
            <w:tcW w:w="1725" w:type="dxa"/>
            <w:gridSpan w:val="2"/>
            <w:noWrap w:val="0"/>
            <w:vAlign w:val="center"/>
          </w:tcPr>
          <w:p>
            <w:pPr>
              <w:spacing w:line="320" w:lineRule="exact"/>
              <w:jc w:val="center"/>
              <w:rPr>
                <w:szCs w:val="21"/>
              </w:rPr>
            </w:pPr>
            <w:r>
              <w:rPr>
                <w:szCs w:val="21"/>
              </w:rPr>
              <w:t>≤250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20" w:lineRule="exact"/>
              <w:jc w:val="center"/>
              <w:rPr>
                <w:szCs w:val="21"/>
              </w:rPr>
            </w:pPr>
            <w:r>
              <w:rPr>
                <w:szCs w:val="21"/>
              </w:rPr>
              <w:t>挥发性酚类</w:t>
            </w:r>
          </w:p>
        </w:tc>
        <w:tc>
          <w:tcPr>
            <w:tcW w:w="1014" w:type="dxa"/>
            <w:noWrap w:val="0"/>
            <w:vAlign w:val="center"/>
          </w:tcPr>
          <w:p>
            <w:pPr>
              <w:spacing w:line="320" w:lineRule="exact"/>
              <w:jc w:val="center"/>
              <w:rPr>
                <w:szCs w:val="21"/>
              </w:rPr>
            </w:pPr>
            <w:r>
              <w:rPr>
                <w:szCs w:val="21"/>
              </w:rPr>
              <w:t>mg/L</w:t>
            </w:r>
          </w:p>
        </w:tc>
        <w:tc>
          <w:tcPr>
            <w:tcW w:w="1725" w:type="dxa"/>
            <w:gridSpan w:val="2"/>
            <w:noWrap w:val="0"/>
            <w:vAlign w:val="center"/>
          </w:tcPr>
          <w:p>
            <w:pPr>
              <w:spacing w:line="320" w:lineRule="exact"/>
              <w:jc w:val="center"/>
              <w:rPr>
                <w:szCs w:val="21"/>
              </w:rPr>
            </w:pPr>
            <w:r>
              <w:rPr>
                <w:szCs w:val="21"/>
              </w:rPr>
              <w:t>≤0.002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20" w:lineRule="exact"/>
              <w:jc w:val="center"/>
              <w:rPr>
                <w:szCs w:val="21"/>
              </w:rPr>
            </w:pPr>
            <w:r>
              <w:rPr>
                <w:szCs w:val="21"/>
              </w:rPr>
              <w:t>砷</w:t>
            </w:r>
          </w:p>
        </w:tc>
        <w:tc>
          <w:tcPr>
            <w:tcW w:w="1014" w:type="dxa"/>
            <w:noWrap w:val="0"/>
            <w:vAlign w:val="center"/>
          </w:tcPr>
          <w:p>
            <w:pPr>
              <w:spacing w:line="320" w:lineRule="exact"/>
              <w:jc w:val="center"/>
              <w:rPr>
                <w:szCs w:val="21"/>
              </w:rPr>
            </w:pPr>
            <w:r>
              <w:rPr>
                <w:szCs w:val="21"/>
              </w:rPr>
              <w:t>mg/L</w:t>
            </w:r>
          </w:p>
        </w:tc>
        <w:tc>
          <w:tcPr>
            <w:tcW w:w="1725" w:type="dxa"/>
            <w:gridSpan w:val="2"/>
            <w:noWrap w:val="0"/>
            <w:vAlign w:val="center"/>
          </w:tcPr>
          <w:p>
            <w:pPr>
              <w:spacing w:line="320" w:lineRule="exact"/>
              <w:jc w:val="center"/>
              <w:rPr>
                <w:szCs w:val="21"/>
              </w:rPr>
            </w:pPr>
            <w:r>
              <w:rPr>
                <w:szCs w:val="21"/>
              </w:rPr>
              <w:t>≤0.01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20" w:lineRule="exact"/>
              <w:jc w:val="center"/>
              <w:rPr>
                <w:szCs w:val="21"/>
              </w:rPr>
            </w:pPr>
            <w:r>
              <w:rPr>
                <w:szCs w:val="21"/>
              </w:rPr>
              <w:t>汞</w:t>
            </w:r>
          </w:p>
        </w:tc>
        <w:tc>
          <w:tcPr>
            <w:tcW w:w="1014" w:type="dxa"/>
            <w:noWrap w:val="0"/>
            <w:vAlign w:val="center"/>
          </w:tcPr>
          <w:p>
            <w:pPr>
              <w:spacing w:line="320" w:lineRule="exact"/>
              <w:jc w:val="center"/>
              <w:rPr>
                <w:szCs w:val="21"/>
              </w:rPr>
            </w:pPr>
            <w:r>
              <w:rPr>
                <w:szCs w:val="21"/>
              </w:rPr>
              <w:t>mg/L</w:t>
            </w:r>
          </w:p>
        </w:tc>
        <w:tc>
          <w:tcPr>
            <w:tcW w:w="1725" w:type="dxa"/>
            <w:gridSpan w:val="2"/>
            <w:noWrap w:val="0"/>
            <w:vAlign w:val="center"/>
          </w:tcPr>
          <w:p>
            <w:pPr>
              <w:spacing w:line="320" w:lineRule="exact"/>
              <w:jc w:val="center"/>
              <w:rPr>
                <w:rFonts w:hint="eastAsia" w:eastAsia="宋体"/>
                <w:szCs w:val="21"/>
                <w:lang w:eastAsia="zh-CN"/>
              </w:rPr>
            </w:pPr>
            <w:r>
              <w:rPr>
                <w:szCs w:val="21"/>
              </w:rPr>
              <w:t>≤</w:t>
            </w:r>
            <w:r>
              <w:rPr>
                <w:rFonts w:hint="eastAsia"/>
                <w:szCs w:val="21"/>
                <w:lang w:eastAsia="zh-CN"/>
              </w:rPr>
              <w:t>0.00089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20" w:lineRule="exact"/>
              <w:jc w:val="center"/>
              <w:rPr>
                <w:szCs w:val="21"/>
              </w:rPr>
            </w:pPr>
            <w:r>
              <w:rPr>
                <w:szCs w:val="21"/>
              </w:rPr>
              <w:t>铬（六价）</w:t>
            </w:r>
          </w:p>
        </w:tc>
        <w:tc>
          <w:tcPr>
            <w:tcW w:w="1014" w:type="dxa"/>
            <w:noWrap w:val="0"/>
            <w:vAlign w:val="center"/>
          </w:tcPr>
          <w:p>
            <w:pPr>
              <w:spacing w:line="320" w:lineRule="exact"/>
              <w:jc w:val="center"/>
              <w:rPr>
                <w:szCs w:val="21"/>
              </w:rPr>
            </w:pPr>
            <w:r>
              <w:rPr>
                <w:szCs w:val="21"/>
              </w:rPr>
              <w:t>mg/L</w:t>
            </w:r>
          </w:p>
        </w:tc>
        <w:tc>
          <w:tcPr>
            <w:tcW w:w="1725" w:type="dxa"/>
            <w:gridSpan w:val="2"/>
            <w:noWrap w:val="0"/>
            <w:vAlign w:val="center"/>
          </w:tcPr>
          <w:p>
            <w:pPr>
              <w:spacing w:line="320" w:lineRule="exact"/>
              <w:jc w:val="center"/>
              <w:rPr>
                <w:szCs w:val="21"/>
              </w:rPr>
            </w:pPr>
            <w:r>
              <w:rPr>
                <w:szCs w:val="21"/>
              </w:rPr>
              <w:t>≤0.05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20" w:lineRule="exact"/>
              <w:jc w:val="center"/>
              <w:rPr>
                <w:szCs w:val="21"/>
              </w:rPr>
            </w:pPr>
            <w:r>
              <w:rPr>
                <w:szCs w:val="21"/>
              </w:rPr>
              <w:t>铅</w:t>
            </w:r>
          </w:p>
        </w:tc>
        <w:tc>
          <w:tcPr>
            <w:tcW w:w="1014" w:type="dxa"/>
            <w:noWrap w:val="0"/>
            <w:vAlign w:val="center"/>
          </w:tcPr>
          <w:p>
            <w:pPr>
              <w:spacing w:line="320" w:lineRule="exact"/>
              <w:jc w:val="center"/>
              <w:rPr>
                <w:szCs w:val="21"/>
              </w:rPr>
            </w:pPr>
            <w:r>
              <w:rPr>
                <w:szCs w:val="21"/>
              </w:rPr>
              <w:t>mg/L</w:t>
            </w:r>
          </w:p>
        </w:tc>
        <w:tc>
          <w:tcPr>
            <w:tcW w:w="1725" w:type="dxa"/>
            <w:gridSpan w:val="2"/>
            <w:noWrap w:val="0"/>
            <w:vAlign w:val="center"/>
          </w:tcPr>
          <w:p>
            <w:pPr>
              <w:spacing w:line="320" w:lineRule="exact"/>
              <w:jc w:val="center"/>
              <w:rPr>
                <w:szCs w:val="21"/>
              </w:rPr>
            </w:pPr>
            <w:r>
              <w:rPr>
                <w:szCs w:val="21"/>
              </w:rPr>
              <w:t>≤0.01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20" w:lineRule="exact"/>
              <w:jc w:val="center"/>
              <w:rPr>
                <w:szCs w:val="21"/>
              </w:rPr>
            </w:pPr>
            <w:r>
              <w:rPr>
                <w:szCs w:val="21"/>
              </w:rPr>
              <w:t>氟</w:t>
            </w:r>
            <w:r>
              <w:rPr>
                <w:rFonts w:hint="eastAsia"/>
                <w:szCs w:val="21"/>
              </w:rPr>
              <w:t>化物</w:t>
            </w:r>
          </w:p>
        </w:tc>
        <w:tc>
          <w:tcPr>
            <w:tcW w:w="1014" w:type="dxa"/>
            <w:noWrap w:val="0"/>
            <w:vAlign w:val="center"/>
          </w:tcPr>
          <w:p>
            <w:pPr>
              <w:spacing w:line="320" w:lineRule="exact"/>
              <w:jc w:val="center"/>
              <w:rPr>
                <w:szCs w:val="21"/>
              </w:rPr>
            </w:pPr>
            <w:r>
              <w:rPr>
                <w:szCs w:val="21"/>
              </w:rPr>
              <w:t>mg/L</w:t>
            </w:r>
          </w:p>
        </w:tc>
        <w:tc>
          <w:tcPr>
            <w:tcW w:w="1725" w:type="dxa"/>
            <w:gridSpan w:val="2"/>
            <w:noWrap w:val="0"/>
            <w:vAlign w:val="center"/>
          </w:tcPr>
          <w:p>
            <w:pPr>
              <w:spacing w:line="320" w:lineRule="exact"/>
              <w:jc w:val="center"/>
              <w:rPr>
                <w:rFonts w:hint="eastAsia"/>
                <w:szCs w:val="21"/>
              </w:rPr>
            </w:pPr>
            <w:r>
              <w:rPr>
                <w:szCs w:val="21"/>
              </w:rPr>
              <w:t>≤</w:t>
            </w:r>
            <w:r>
              <w:rPr>
                <w:rFonts w:hint="eastAsia"/>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50" w:hRule="atLeast"/>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20" w:lineRule="exact"/>
              <w:jc w:val="center"/>
              <w:rPr>
                <w:szCs w:val="21"/>
              </w:rPr>
            </w:pPr>
            <w:r>
              <w:rPr>
                <w:szCs w:val="21"/>
              </w:rPr>
              <w:t>镉</w:t>
            </w:r>
          </w:p>
        </w:tc>
        <w:tc>
          <w:tcPr>
            <w:tcW w:w="1014" w:type="dxa"/>
            <w:noWrap w:val="0"/>
            <w:vAlign w:val="center"/>
          </w:tcPr>
          <w:p>
            <w:pPr>
              <w:spacing w:line="320" w:lineRule="exact"/>
              <w:jc w:val="center"/>
              <w:rPr>
                <w:szCs w:val="21"/>
              </w:rPr>
            </w:pPr>
            <w:r>
              <w:rPr>
                <w:szCs w:val="21"/>
              </w:rPr>
              <w:t>mg/L</w:t>
            </w:r>
          </w:p>
        </w:tc>
        <w:tc>
          <w:tcPr>
            <w:tcW w:w="1725" w:type="dxa"/>
            <w:gridSpan w:val="2"/>
            <w:noWrap w:val="0"/>
            <w:vAlign w:val="center"/>
          </w:tcPr>
          <w:p>
            <w:pPr>
              <w:spacing w:line="320" w:lineRule="exact"/>
              <w:jc w:val="center"/>
              <w:rPr>
                <w:szCs w:val="21"/>
              </w:rPr>
            </w:pPr>
            <w:r>
              <w:rPr>
                <w:szCs w:val="21"/>
              </w:rPr>
              <w:t>≤0.005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20" w:lineRule="exact"/>
              <w:jc w:val="center"/>
              <w:rPr>
                <w:szCs w:val="21"/>
              </w:rPr>
            </w:pPr>
            <w:r>
              <w:rPr>
                <w:szCs w:val="21"/>
              </w:rPr>
              <w:t>铁</w:t>
            </w:r>
          </w:p>
        </w:tc>
        <w:tc>
          <w:tcPr>
            <w:tcW w:w="1014" w:type="dxa"/>
            <w:noWrap w:val="0"/>
            <w:vAlign w:val="center"/>
          </w:tcPr>
          <w:p>
            <w:pPr>
              <w:spacing w:line="320" w:lineRule="exact"/>
              <w:jc w:val="center"/>
              <w:rPr>
                <w:szCs w:val="21"/>
              </w:rPr>
            </w:pPr>
            <w:r>
              <w:rPr>
                <w:szCs w:val="21"/>
              </w:rPr>
              <w:t>mg/L</w:t>
            </w:r>
          </w:p>
        </w:tc>
        <w:tc>
          <w:tcPr>
            <w:tcW w:w="1725" w:type="dxa"/>
            <w:gridSpan w:val="2"/>
            <w:noWrap w:val="0"/>
            <w:vAlign w:val="center"/>
          </w:tcPr>
          <w:p>
            <w:pPr>
              <w:spacing w:line="320" w:lineRule="exact"/>
              <w:jc w:val="center"/>
              <w:rPr>
                <w:szCs w:val="21"/>
              </w:rPr>
            </w:pPr>
            <w:r>
              <w:rPr>
                <w:szCs w:val="21"/>
              </w:rPr>
              <w:t>≤0.3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20" w:lineRule="exact"/>
              <w:jc w:val="center"/>
              <w:rPr>
                <w:szCs w:val="21"/>
              </w:rPr>
            </w:pPr>
            <w:r>
              <w:rPr>
                <w:szCs w:val="21"/>
              </w:rPr>
              <w:t>锰</w:t>
            </w:r>
          </w:p>
        </w:tc>
        <w:tc>
          <w:tcPr>
            <w:tcW w:w="1014" w:type="dxa"/>
            <w:noWrap w:val="0"/>
            <w:vAlign w:val="center"/>
          </w:tcPr>
          <w:p>
            <w:pPr>
              <w:spacing w:line="320" w:lineRule="exact"/>
              <w:jc w:val="center"/>
              <w:rPr>
                <w:szCs w:val="21"/>
              </w:rPr>
            </w:pPr>
            <w:r>
              <w:rPr>
                <w:szCs w:val="21"/>
              </w:rPr>
              <w:t>mg/L</w:t>
            </w:r>
          </w:p>
        </w:tc>
        <w:tc>
          <w:tcPr>
            <w:tcW w:w="1725" w:type="dxa"/>
            <w:gridSpan w:val="2"/>
            <w:noWrap w:val="0"/>
            <w:vAlign w:val="center"/>
          </w:tcPr>
          <w:p>
            <w:pPr>
              <w:spacing w:line="320" w:lineRule="exact"/>
              <w:jc w:val="center"/>
              <w:rPr>
                <w:szCs w:val="21"/>
              </w:rPr>
            </w:pPr>
            <w:r>
              <w:rPr>
                <w:szCs w:val="21"/>
              </w:rPr>
              <w:t>≤0.1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jc w:val="center"/>
              <w:rPr>
                <w:szCs w:val="21"/>
              </w:rPr>
            </w:pPr>
            <w:r>
              <w:rPr>
                <w:szCs w:val="21"/>
              </w:rPr>
              <w:t>氨氮</w:t>
            </w:r>
          </w:p>
        </w:tc>
        <w:tc>
          <w:tcPr>
            <w:tcW w:w="1014" w:type="dxa"/>
            <w:noWrap w:val="0"/>
            <w:vAlign w:val="center"/>
          </w:tcPr>
          <w:p>
            <w:pPr>
              <w:jc w:val="center"/>
              <w:rPr>
                <w:szCs w:val="21"/>
              </w:rPr>
            </w:pPr>
            <w:r>
              <w:rPr>
                <w:szCs w:val="21"/>
              </w:rPr>
              <w:t>mg/L</w:t>
            </w:r>
          </w:p>
        </w:tc>
        <w:tc>
          <w:tcPr>
            <w:tcW w:w="1725" w:type="dxa"/>
            <w:gridSpan w:val="2"/>
            <w:noWrap w:val="0"/>
            <w:vAlign w:val="center"/>
          </w:tcPr>
          <w:p>
            <w:pPr>
              <w:jc w:val="center"/>
              <w:rPr>
                <w:szCs w:val="21"/>
              </w:rPr>
            </w:pPr>
            <w:r>
              <w:rPr>
                <w:szCs w:val="21"/>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restart"/>
            <w:noWrap w:val="0"/>
            <w:vAlign w:val="center"/>
          </w:tcPr>
          <w:p>
            <w:pPr>
              <w:spacing w:line="360" w:lineRule="exact"/>
              <w:jc w:val="center"/>
              <w:rPr>
                <w:szCs w:val="21"/>
              </w:rPr>
            </w:pPr>
            <w:r>
              <w:rPr>
                <w:szCs w:val="21"/>
              </w:rPr>
              <w:t>土壤环境</w:t>
            </w:r>
          </w:p>
        </w:tc>
        <w:tc>
          <w:tcPr>
            <w:tcW w:w="3262" w:type="dxa"/>
            <w:vMerge w:val="restart"/>
            <w:noWrap w:val="0"/>
            <w:vAlign w:val="center"/>
          </w:tcPr>
          <w:p>
            <w:pPr>
              <w:spacing w:line="360" w:lineRule="exact"/>
              <w:jc w:val="center"/>
              <w:rPr>
                <w:szCs w:val="21"/>
              </w:rPr>
            </w:pPr>
            <w:r>
              <w:rPr>
                <w:szCs w:val="21"/>
              </w:rPr>
              <w:t>《土壤环境质量</w:t>
            </w:r>
            <w:r>
              <w:rPr>
                <w:rFonts w:hint="eastAsia"/>
                <w:szCs w:val="21"/>
              </w:rPr>
              <w:t xml:space="preserve"> 农用地土壤污染风险管控</w:t>
            </w:r>
            <w:r>
              <w:rPr>
                <w:szCs w:val="21"/>
              </w:rPr>
              <w:t>标准</w:t>
            </w:r>
            <w:r>
              <w:rPr>
                <w:rFonts w:hint="eastAsia"/>
                <w:szCs w:val="21"/>
              </w:rPr>
              <w:t>（试行）</w:t>
            </w:r>
            <w:r>
              <w:rPr>
                <w:szCs w:val="21"/>
              </w:rPr>
              <w:t>》（GB15618-2018）表1相关标准</w:t>
            </w:r>
          </w:p>
        </w:tc>
        <w:tc>
          <w:tcPr>
            <w:tcW w:w="1702" w:type="dxa"/>
            <w:noWrap w:val="0"/>
            <w:vAlign w:val="center"/>
          </w:tcPr>
          <w:p>
            <w:pPr>
              <w:spacing w:line="360" w:lineRule="exact"/>
              <w:jc w:val="center"/>
              <w:rPr>
                <w:szCs w:val="21"/>
              </w:rPr>
            </w:pPr>
            <w:r>
              <w:rPr>
                <w:szCs w:val="21"/>
              </w:rPr>
              <w:t>pH</w:t>
            </w:r>
          </w:p>
        </w:tc>
        <w:tc>
          <w:tcPr>
            <w:tcW w:w="1014" w:type="dxa"/>
            <w:noWrap w:val="0"/>
            <w:vAlign w:val="center"/>
          </w:tcPr>
          <w:p>
            <w:pPr>
              <w:spacing w:line="360" w:lineRule="exact"/>
              <w:jc w:val="center"/>
              <w:rPr>
                <w:szCs w:val="21"/>
              </w:rPr>
            </w:pPr>
            <w:r>
              <w:rPr>
                <w:szCs w:val="21"/>
              </w:rPr>
              <w:t>/</w:t>
            </w:r>
          </w:p>
        </w:tc>
        <w:tc>
          <w:tcPr>
            <w:tcW w:w="1725" w:type="dxa"/>
            <w:gridSpan w:val="2"/>
            <w:noWrap w:val="0"/>
            <w:vAlign w:val="center"/>
          </w:tcPr>
          <w:p>
            <w:pPr>
              <w:spacing w:line="360" w:lineRule="exact"/>
              <w:jc w:val="center"/>
              <w:rPr>
                <w:szCs w:val="21"/>
              </w:rPr>
            </w:pPr>
            <w:r>
              <w:rPr>
                <w:rFonts w:hint="eastAsia"/>
                <w:szCs w:val="21"/>
              </w:rPr>
              <w:t>＞</w:t>
            </w:r>
            <w:r>
              <w:rPr>
                <w:szCs w:val="21"/>
              </w:rPr>
              <w:t>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60" w:lineRule="exact"/>
              <w:jc w:val="center"/>
              <w:rPr>
                <w:szCs w:val="21"/>
              </w:rPr>
            </w:pPr>
            <w:r>
              <w:rPr>
                <w:szCs w:val="21"/>
              </w:rPr>
              <w:t>铜（农田）</w:t>
            </w:r>
          </w:p>
        </w:tc>
        <w:tc>
          <w:tcPr>
            <w:tcW w:w="1014" w:type="dxa"/>
            <w:noWrap w:val="0"/>
            <w:vAlign w:val="center"/>
          </w:tcPr>
          <w:p>
            <w:pPr>
              <w:spacing w:line="360" w:lineRule="exact"/>
              <w:jc w:val="center"/>
              <w:rPr>
                <w:szCs w:val="21"/>
              </w:rPr>
            </w:pPr>
            <w:r>
              <w:rPr>
                <w:szCs w:val="21"/>
              </w:rPr>
              <w:t>mg/kg</w:t>
            </w:r>
          </w:p>
        </w:tc>
        <w:tc>
          <w:tcPr>
            <w:tcW w:w="1725" w:type="dxa"/>
            <w:gridSpan w:val="2"/>
            <w:noWrap w:val="0"/>
            <w:vAlign w:val="center"/>
          </w:tcPr>
          <w:p>
            <w:pPr>
              <w:jc w:val="center"/>
              <w:rPr>
                <w:szCs w:val="21"/>
              </w:rPr>
            </w:pPr>
            <w:r>
              <w:rPr>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60" w:lineRule="exact"/>
              <w:jc w:val="center"/>
              <w:rPr>
                <w:szCs w:val="21"/>
              </w:rPr>
            </w:pPr>
            <w:r>
              <w:rPr>
                <w:szCs w:val="21"/>
              </w:rPr>
              <w:t>镉</w:t>
            </w:r>
          </w:p>
        </w:tc>
        <w:tc>
          <w:tcPr>
            <w:tcW w:w="1014" w:type="dxa"/>
            <w:noWrap w:val="0"/>
            <w:vAlign w:val="center"/>
          </w:tcPr>
          <w:p>
            <w:pPr>
              <w:spacing w:line="360" w:lineRule="exact"/>
              <w:jc w:val="center"/>
              <w:rPr>
                <w:szCs w:val="21"/>
              </w:rPr>
            </w:pPr>
            <w:r>
              <w:rPr>
                <w:szCs w:val="21"/>
              </w:rPr>
              <w:t>mg/kg</w:t>
            </w:r>
          </w:p>
        </w:tc>
        <w:tc>
          <w:tcPr>
            <w:tcW w:w="1725" w:type="dxa"/>
            <w:gridSpan w:val="2"/>
            <w:noWrap w:val="0"/>
            <w:vAlign w:val="center"/>
          </w:tcPr>
          <w:p>
            <w:pPr>
              <w:jc w:val="center"/>
              <w:rPr>
                <w:szCs w:val="21"/>
              </w:rPr>
            </w:pPr>
            <w:r>
              <w:rPr>
                <w:szCs w:val="21"/>
              </w:rPr>
              <w:t>≤0.6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60" w:lineRule="exact"/>
              <w:jc w:val="center"/>
              <w:rPr>
                <w:szCs w:val="21"/>
              </w:rPr>
            </w:pPr>
            <w:r>
              <w:rPr>
                <w:szCs w:val="21"/>
              </w:rPr>
              <w:t>汞</w:t>
            </w:r>
          </w:p>
        </w:tc>
        <w:tc>
          <w:tcPr>
            <w:tcW w:w="1014" w:type="dxa"/>
            <w:noWrap w:val="0"/>
            <w:vAlign w:val="center"/>
          </w:tcPr>
          <w:p>
            <w:pPr>
              <w:spacing w:line="360" w:lineRule="exact"/>
              <w:jc w:val="center"/>
              <w:rPr>
                <w:szCs w:val="21"/>
              </w:rPr>
            </w:pPr>
            <w:r>
              <w:rPr>
                <w:szCs w:val="21"/>
              </w:rPr>
              <w:t>mg/kg</w:t>
            </w:r>
          </w:p>
        </w:tc>
        <w:tc>
          <w:tcPr>
            <w:tcW w:w="1725" w:type="dxa"/>
            <w:gridSpan w:val="2"/>
            <w:noWrap w:val="0"/>
            <w:vAlign w:val="center"/>
          </w:tcPr>
          <w:p>
            <w:pPr>
              <w:jc w:val="center"/>
              <w:rPr>
                <w:szCs w:val="21"/>
              </w:rPr>
            </w:pPr>
            <w:r>
              <w:rPr>
                <w:szCs w:val="21"/>
              </w:rPr>
              <w:t>≤3.4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60" w:lineRule="exact"/>
              <w:jc w:val="center"/>
              <w:rPr>
                <w:szCs w:val="21"/>
              </w:rPr>
            </w:pPr>
            <w:r>
              <w:rPr>
                <w:szCs w:val="21"/>
              </w:rPr>
              <w:t>砷（旱地）</w:t>
            </w:r>
          </w:p>
        </w:tc>
        <w:tc>
          <w:tcPr>
            <w:tcW w:w="1014" w:type="dxa"/>
            <w:noWrap w:val="0"/>
            <w:vAlign w:val="center"/>
          </w:tcPr>
          <w:p>
            <w:pPr>
              <w:spacing w:line="360" w:lineRule="exact"/>
              <w:jc w:val="center"/>
              <w:rPr>
                <w:szCs w:val="21"/>
              </w:rPr>
            </w:pPr>
            <w:r>
              <w:rPr>
                <w:szCs w:val="21"/>
              </w:rPr>
              <w:t>mg/kg</w:t>
            </w:r>
          </w:p>
        </w:tc>
        <w:tc>
          <w:tcPr>
            <w:tcW w:w="1725" w:type="dxa"/>
            <w:gridSpan w:val="2"/>
            <w:noWrap w:val="0"/>
            <w:vAlign w:val="center"/>
          </w:tcPr>
          <w:p>
            <w:pPr>
              <w:jc w:val="center"/>
              <w:rPr>
                <w:szCs w:val="21"/>
              </w:rPr>
            </w:pPr>
            <w:r>
              <w:rPr>
                <w:szCs w:val="21"/>
              </w:rPr>
              <w:t>≤25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60" w:lineRule="exact"/>
              <w:jc w:val="center"/>
              <w:rPr>
                <w:szCs w:val="21"/>
              </w:rPr>
            </w:pPr>
            <w:r>
              <w:rPr>
                <w:szCs w:val="21"/>
              </w:rPr>
              <w:t>铅</w:t>
            </w:r>
          </w:p>
        </w:tc>
        <w:tc>
          <w:tcPr>
            <w:tcW w:w="1014" w:type="dxa"/>
            <w:noWrap w:val="0"/>
            <w:vAlign w:val="center"/>
          </w:tcPr>
          <w:p>
            <w:pPr>
              <w:spacing w:line="360" w:lineRule="exact"/>
              <w:jc w:val="center"/>
              <w:rPr>
                <w:szCs w:val="21"/>
              </w:rPr>
            </w:pPr>
            <w:r>
              <w:rPr>
                <w:szCs w:val="21"/>
              </w:rPr>
              <w:t>mg/kg</w:t>
            </w:r>
          </w:p>
        </w:tc>
        <w:tc>
          <w:tcPr>
            <w:tcW w:w="1725" w:type="dxa"/>
            <w:gridSpan w:val="2"/>
            <w:noWrap w:val="0"/>
            <w:vAlign w:val="center"/>
          </w:tcPr>
          <w:p>
            <w:pPr>
              <w:jc w:val="center"/>
              <w:rPr>
                <w:szCs w:val="21"/>
              </w:rPr>
            </w:pPr>
            <w:r>
              <w:rPr>
                <w:szCs w:val="21"/>
              </w:rPr>
              <w:t>≤170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60" w:lineRule="exact"/>
              <w:jc w:val="center"/>
              <w:rPr>
                <w:szCs w:val="21"/>
              </w:rPr>
            </w:pPr>
            <w:r>
              <w:rPr>
                <w:szCs w:val="21"/>
              </w:rPr>
              <w:t>铬（旱地）</w:t>
            </w:r>
          </w:p>
        </w:tc>
        <w:tc>
          <w:tcPr>
            <w:tcW w:w="1014" w:type="dxa"/>
            <w:noWrap w:val="0"/>
            <w:vAlign w:val="center"/>
          </w:tcPr>
          <w:p>
            <w:pPr>
              <w:spacing w:line="360" w:lineRule="exact"/>
              <w:jc w:val="center"/>
              <w:rPr>
                <w:szCs w:val="21"/>
              </w:rPr>
            </w:pPr>
            <w:r>
              <w:rPr>
                <w:szCs w:val="21"/>
              </w:rPr>
              <w:t>mg/kg</w:t>
            </w:r>
          </w:p>
        </w:tc>
        <w:tc>
          <w:tcPr>
            <w:tcW w:w="1725" w:type="dxa"/>
            <w:gridSpan w:val="2"/>
            <w:noWrap w:val="0"/>
            <w:vAlign w:val="center"/>
          </w:tcPr>
          <w:p>
            <w:pPr>
              <w:jc w:val="center"/>
              <w:rPr>
                <w:szCs w:val="21"/>
              </w:rPr>
            </w:pPr>
            <w:r>
              <w:rPr>
                <w:szCs w:val="21"/>
              </w:rPr>
              <w:t>≤250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60" w:lineRule="exact"/>
              <w:jc w:val="center"/>
              <w:rPr>
                <w:szCs w:val="21"/>
              </w:rPr>
            </w:pPr>
            <w:r>
              <w:rPr>
                <w:szCs w:val="21"/>
              </w:rPr>
              <w:t>锌</w:t>
            </w:r>
          </w:p>
        </w:tc>
        <w:tc>
          <w:tcPr>
            <w:tcW w:w="1014" w:type="dxa"/>
            <w:noWrap w:val="0"/>
            <w:vAlign w:val="center"/>
          </w:tcPr>
          <w:p>
            <w:pPr>
              <w:spacing w:line="360" w:lineRule="exact"/>
              <w:jc w:val="center"/>
              <w:rPr>
                <w:szCs w:val="21"/>
              </w:rPr>
            </w:pPr>
            <w:r>
              <w:rPr>
                <w:szCs w:val="21"/>
              </w:rPr>
              <w:t>mg/kg</w:t>
            </w:r>
          </w:p>
        </w:tc>
        <w:tc>
          <w:tcPr>
            <w:tcW w:w="1725" w:type="dxa"/>
            <w:gridSpan w:val="2"/>
            <w:noWrap w:val="0"/>
            <w:vAlign w:val="center"/>
          </w:tcPr>
          <w:p>
            <w:pPr>
              <w:jc w:val="center"/>
              <w:rPr>
                <w:szCs w:val="21"/>
              </w:rPr>
            </w:pPr>
            <w:r>
              <w:rPr>
                <w:szCs w:val="21"/>
              </w:rPr>
              <w:t>≤300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243" w:type="dxa"/>
            <w:vMerge w:val="continue"/>
            <w:noWrap w:val="0"/>
            <w:vAlign w:val="center"/>
          </w:tcPr>
          <w:p>
            <w:pPr>
              <w:spacing w:line="360" w:lineRule="exact"/>
              <w:jc w:val="center"/>
              <w:rPr>
                <w:szCs w:val="21"/>
              </w:rPr>
            </w:pPr>
          </w:p>
        </w:tc>
        <w:tc>
          <w:tcPr>
            <w:tcW w:w="3262" w:type="dxa"/>
            <w:vMerge w:val="continue"/>
            <w:noWrap w:val="0"/>
            <w:vAlign w:val="center"/>
          </w:tcPr>
          <w:p>
            <w:pPr>
              <w:spacing w:line="360" w:lineRule="exact"/>
              <w:jc w:val="center"/>
              <w:rPr>
                <w:szCs w:val="21"/>
              </w:rPr>
            </w:pPr>
          </w:p>
        </w:tc>
        <w:tc>
          <w:tcPr>
            <w:tcW w:w="1702" w:type="dxa"/>
            <w:noWrap w:val="0"/>
            <w:vAlign w:val="center"/>
          </w:tcPr>
          <w:p>
            <w:pPr>
              <w:spacing w:line="360" w:lineRule="exact"/>
              <w:jc w:val="center"/>
              <w:rPr>
                <w:szCs w:val="21"/>
              </w:rPr>
            </w:pPr>
            <w:r>
              <w:rPr>
                <w:szCs w:val="21"/>
              </w:rPr>
              <w:t>镍</w:t>
            </w:r>
          </w:p>
        </w:tc>
        <w:tc>
          <w:tcPr>
            <w:tcW w:w="1014" w:type="dxa"/>
            <w:noWrap w:val="0"/>
            <w:vAlign w:val="center"/>
          </w:tcPr>
          <w:p>
            <w:pPr>
              <w:spacing w:line="360" w:lineRule="exact"/>
              <w:jc w:val="center"/>
              <w:rPr>
                <w:szCs w:val="21"/>
              </w:rPr>
            </w:pPr>
            <w:r>
              <w:rPr>
                <w:szCs w:val="21"/>
              </w:rPr>
              <w:t>mg/kg</w:t>
            </w:r>
          </w:p>
        </w:tc>
        <w:tc>
          <w:tcPr>
            <w:tcW w:w="1725" w:type="dxa"/>
            <w:gridSpan w:val="2"/>
            <w:noWrap w:val="0"/>
            <w:vAlign w:val="center"/>
          </w:tcPr>
          <w:p>
            <w:pPr>
              <w:jc w:val="center"/>
              <w:rPr>
                <w:szCs w:val="21"/>
              </w:rPr>
            </w:pPr>
            <w:r>
              <w:rPr>
                <w:szCs w:val="21"/>
              </w:rPr>
              <w:t>≤190</w:t>
            </w:r>
          </w:p>
        </w:tc>
      </w:tr>
    </w:tbl>
    <w:p>
      <w:pPr>
        <w:pStyle w:val="2"/>
        <w:snapToGrid w:val="0"/>
        <w:spacing w:before="0" w:after="0" w:line="520" w:lineRule="exact"/>
        <w:rPr>
          <w:rFonts w:eastAsia="黑体"/>
          <w:b w:val="0"/>
          <w:bCs w:val="0"/>
          <w:sz w:val="24"/>
          <w:szCs w:val="24"/>
        </w:rPr>
      </w:pPr>
      <w:bookmarkStart w:id="115" w:name="_Toc407000990"/>
      <w:bookmarkStart w:id="116" w:name="_Toc412820912"/>
      <w:bookmarkStart w:id="117" w:name="_Toc413750078"/>
      <w:r>
        <w:rPr>
          <w:rFonts w:eastAsia="黑体"/>
          <w:b w:val="0"/>
          <w:bCs w:val="0"/>
          <w:sz w:val="24"/>
          <w:szCs w:val="24"/>
        </w:rPr>
        <w:t>1.5.2 污染物排放标准</w:t>
      </w:r>
      <w:bookmarkEnd w:id="108"/>
      <w:bookmarkEnd w:id="109"/>
      <w:bookmarkEnd w:id="110"/>
      <w:bookmarkEnd w:id="111"/>
      <w:bookmarkEnd w:id="112"/>
      <w:bookmarkEnd w:id="113"/>
      <w:bookmarkEnd w:id="114"/>
      <w:bookmarkEnd w:id="115"/>
      <w:bookmarkEnd w:id="116"/>
      <w:bookmarkEnd w:id="117"/>
    </w:p>
    <w:p>
      <w:pPr>
        <w:spacing w:line="500" w:lineRule="exact"/>
        <w:ind w:firstLine="480" w:firstLineChars="200"/>
        <w:rPr>
          <w:sz w:val="24"/>
        </w:rPr>
      </w:pPr>
      <w:r>
        <w:rPr>
          <w:sz w:val="24"/>
        </w:rPr>
        <w:t>本项目废水全部资源化利用，不设废水排污口，废水</w:t>
      </w:r>
      <w:r>
        <w:rPr>
          <w:rFonts w:hint="eastAsia"/>
          <w:sz w:val="24"/>
        </w:rPr>
        <w:t>“</w:t>
      </w:r>
      <w:r>
        <w:rPr>
          <w:sz w:val="24"/>
        </w:rPr>
        <w:t>零排放</w:t>
      </w:r>
      <w:r>
        <w:rPr>
          <w:rFonts w:hint="eastAsia"/>
          <w:sz w:val="24"/>
        </w:rPr>
        <w:t>”</w:t>
      </w:r>
      <w:r>
        <w:rPr>
          <w:sz w:val="24"/>
        </w:rPr>
        <w:t>。</w:t>
      </w:r>
    </w:p>
    <w:p>
      <w:pPr>
        <w:spacing w:line="500" w:lineRule="exact"/>
        <w:ind w:firstLine="480" w:firstLineChars="200"/>
        <w:rPr>
          <w:sz w:val="24"/>
        </w:rPr>
      </w:pPr>
      <w:r>
        <w:rPr>
          <w:sz w:val="24"/>
        </w:rPr>
        <w:t>本项目恶臭气体执行《恶臭污染物排放标准》（GB14554-93）和《畜禽养殖业污染物排放标准》（GB18596-2001）中畜禽养殖业恶臭污染物排放标准；食堂废气执行</w:t>
      </w:r>
      <w:r>
        <w:rPr>
          <w:rFonts w:hint="eastAsia"/>
          <w:sz w:val="24"/>
        </w:rPr>
        <w:t>河南省《餐饮业油烟污染物放标准》</w:t>
      </w:r>
      <w:r>
        <w:rPr>
          <w:sz w:val="24"/>
        </w:rPr>
        <w:t>(DB41/1604-2018)。</w:t>
      </w:r>
    </w:p>
    <w:p>
      <w:pPr>
        <w:spacing w:line="500" w:lineRule="exact"/>
        <w:ind w:firstLine="480" w:firstLineChars="200"/>
        <w:rPr>
          <w:sz w:val="24"/>
        </w:rPr>
      </w:pPr>
      <w:r>
        <w:rPr>
          <w:sz w:val="24"/>
        </w:rPr>
        <w:t>施工期噪声执行《建筑施工场界环境噪声排放标准》（GB12523－2011）中相关标准；运营期场界噪声采用《工业企业厂界环境噪声排放标准》（GB12348-2008）中2类标准。</w:t>
      </w:r>
    </w:p>
    <w:p>
      <w:pPr>
        <w:spacing w:line="500" w:lineRule="exact"/>
        <w:ind w:firstLine="480" w:firstLineChars="200"/>
        <w:rPr>
          <w:sz w:val="24"/>
        </w:rPr>
      </w:pPr>
      <w:r>
        <w:rPr>
          <w:sz w:val="24"/>
        </w:rPr>
        <w:t>项目粪便执行《畜禽养殖业污染物排放标准》（GB18596-2001）标准；一般固废执行《一般工业固体废物贮存、处置污染控制标准》（GB18599-2001及2013年修改单）；医疗废物执行《危险废物贮存污染控制标准》（GB18597-2001及2013年修改单）</w:t>
      </w:r>
      <w:r>
        <w:rPr>
          <w:rFonts w:hint="eastAsia"/>
          <w:sz w:val="24"/>
        </w:rPr>
        <w:t>，</w:t>
      </w:r>
      <w:r>
        <w:rPr>
          <w:sz w:val="24"/>
        </w:rPr>
        <w:t>具体标准值如下表1.5-2所示。</w:t>
      </w:r>
    </w:p>
    <w:p>
      <w:pPr>
        <w:spacing w:after="72" w:afterLines="30" w:line="500" w:lineRule="exact"/>
        <w:jc w:val="center"/>
        <w:rPr>
          <w:b/>
          <w:sz w:val="24"/>
        </w:rPr>
      </w:pPr>
      <w:r>
        <w:rPr>
          <w:b/>
          <w:sz w:val="24"/>
        </w:rPr>
        <w:t>表1.5-2      污染物排放标准一览表</w:t>
      </w:r>
    </w:p>
    <w:tbl>
      <w:tblPr>
        <w:tblStyle w:val="17"/>
        <w:tblW w:w="8951"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20"/>
        <w:gridCol w:w="2715"/>
        <w:gridCol w:w="221"/>
        <w:gridCol w:w="1804"/>
        <w:gridCol w:w="167"/>
        <w:gridCol w:w="983"/>
        <w:gridCol w:w="547"/>
        <w:gridCol w:w="542"/>
        <w:gridCol w:w="115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blHeader/>
        </w:trPr>
        <w:tc>
          <w:tcPr>
            <w:tcW w:w="820" w:type="dxa"/>
            <w:vMerge w:val="restart"/>
            <w:noWrap w:val="0"/>
            <w:vAlign w:val="center"/>
          </w:tcPr>
          <w:p>
            <w:pPr>
              <w:spacing w:line="360" w:lineRule="exact"/>
              <w:jc w:val="center"/>
              <w:rPr>
                <w:b/>
                <w:szCs w:val="21"/>
              </w:rPr>
            </w:pPr>
            <w:r>
              <w:rPr>
                <w:b/>
                <w:szCs w:val="21"/>
              </w:rPr>
              <w:t>污 染</w:t>
            </w:r>
          </w:p>
          <w:p>
            <w:pPr>
              <w:spacing w:line="360" w:lineRule="exact"/>
              <w:jc w:val="center"/>
              <w:rPr>
                <w:b/>
                <w:szCs w:val="21"/>
              </w:rPr>
            </w:pPr>
            <w:r>
              <w:rPr>
                <w:b/>
                <w:szCs w:val="21"/>
              </w:rPr>
              <w:t>类 型</w:t>
            </w:r>
          </w:p>
        </w:tc>
        <w:tc>
          <w:tcPr>
            <w:tcW w:w="2936" w:type="dxa"/>
            <w:gridSpan w:val="2"/>
            <w:vMerge w:val="restart"/>
            <w:noWrap w:val="0"/>
            <w:vAlign w:val="center"/>
          </w:tcPr>
          <w:p>
            <w:pPr>
              <w:spacing w:line="360" w:lineRule="exact"/>
              <w:jc w:val="center"/>
              <w:rPr>
                <w:b/>
                <w:szCs w:val="21"/>
              </w:rPr>
            </w:pPr>
            <w:r>
              <w:rPr>
                <w:b/>
                <w:szCs w:val="21"/>
              </w:rPr>
              <w:t>标准名称</w:t>
            </w:r>
          </w:p>
        </w:tc>
        <w:tc>
          <w:tcPr>
            <w:tcW w:w="1971" w:type="dxa"/>
            <w:gridSpan w:val="2"/>
            <w:vMerge w:val="restart"/>
            <w:noWrap w:val="0"/>
            <w:vAlign w:val="center"/>
          </w:tcPr>
          <w:p>
            <w:pPr>
              <w:spacing w:line="360" w:lineRule="exact"/>
              <w:jc w:val="center"/>
              <w:rPr>
                <w:b/>
                <w:szCs w:val="21"/>
              </w:rPr>
            </w:pPr>
            <w:r>
              <w:rPr>
                <w:b/>
                <w:szCs w:val="21"/>
              </w:rPr>
              <w:t>污染因子</w:t>
            </w:r>
          </w:p>
        </w:tc>
        <w:tc>
          <w:tcPr>
            <w:tcW w:w="3224" w:type="dxa"/>
            <w:gridSpan w:val="4"/>
            <w:noWrap w:val="0"/>
            <w:vAlign w:val="center"/>
          </w:tcPr>
          <w:p>
            <w:pPr>
              <w:spacing w:line="360" w:lineRule="exact"/>
              <w:jc w:val="center"/>
              <w:rPr>
                <w:b/>
                <w:szCs w:val="21"/>
              </w:rPr>
            </w:pPr>
            <w:r>
              <w:rPr>
                <w:b/>
                <w:szCs w:val="21"/>
              </w:rPr>
              <w:t>标准限值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1" w:hRule="atLeast"/>
        </w:trPr>
        <w:tc>
          <w:tcPr>
            <w:tcW w:w="820" w:type="dxa"/>
            <w:vMerge w:val="continue"/>
            <w:noWrap w:val="0"/>
            <w:vAlign w:val="center"/>
          </w:tcPr>
          <w:p>
            <w:pPr>
              <w:spacing w:line="360" w:lineRule="exact"/>
              <w:jc w:val="center"/>
              <w:rPr>
                <w:szCs w:val="21"/>
              </w:rPr>
            </w:pPr>
          </w:p>
        </w:tc>
        <w:tc>
          <w:tcPr>
            <w:tcW w:w="2936" w:type="dxa"/>
            <w:gridSpan w:val="2"/>
            <w:vMerge w:val="continue"/>
            <w:noWrap w:val="0"/>
            <w:vAlign w:val="center"/>
          </w:tcPr>
          <w:p>
            <w:pPr>
              <w:spacing w:line="360" w:lineRule="exact"/>
              <w:jc w:val="center"/>
              <w:rPr>
                <w:szCs w:val="21"/>
              </w:rPr>
            </w:pPr>
          </w:p>
        </w:tc>
        <w:tc>
          <w:tcPr>
            <w:tcW w:w="1971" w:type="dxa"/>
            <w:gridSpan w:val="2"/>
            <w:vMerge w:val="continue"/>
            <w:noWrap w:val="0"/>
            <w:vAlign w:val="center"/>
          </w:tcPr>
          <w:p>
            <w:pPr>
              <w:spacing w:line="360" w:lineRule="exact"/>
              <w:jc w:val="center"/>
              <w:rPr>
                <w:szCs w:val="21"/>
              </w:rPr>
            </w:pPr>
          </w:p>
        </w:tc>
        <w:tc>
          <w:tcPr>
            <w:tcW w:w="3224" w:type="dxa"/>
            <w:gridSpan w:val="4"/>
            <w:noWrap w:val="0"/>
            <w:vAlign w:val="center"/>
          </w:tcPr>
          <w:p>
            <w:pPr>
              <w:spacing w:line="360" w:lineRule="exact"/>
              <w:jc w:val="center"/>
              <w:rPr>
                <w:szCs w:val="21"/>
              </w:rPr>
            </w:pPr>
            <w:r>
              <w:rPr>
                <w:szCs w:val="21"/>
              </w:rPr>
              <w:t>最高允许排放浓度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820" w:type="dxa"/>
            <w:vMerge w:val="restart"/>
            <w:noWrap w:val="0"/>
            <w:vAlign w:val="center"/>
          </w:tcPr>
          <w:p>
            <w:pPr>
              <w:spacing w:line="360" w:lineRule="exact"/>
              <w:jc w:val="center"/>
              <w:rPr>
                <w:szCs w:val="21"/>
              </w:rPr>
            </w:pPr>
            <w:r>
              <w:rPr>
                <w:szCs w:val="21"/>
              </w:rPr>
              <w:t>废气</w:t>
            </w:r>
          </w:p>
        </w:tc>
        <w:tc>
          <w:tcPr>
            <w:tcW w:w="2936" w:type="dxa"/>
            <w:gridSpan w:val="2"/>
            <w:vMerge w:val="restart"/>
            <w:noWrap w:val="0"/>
            <w:vAlign w:val="center"/>
          </w:tcPr>
          <w:p>
            <w:pPr>
              <w:spacing w:line="360" w:lineRule="exact"/>
              <w:jc w:val="center"/>
              <w:rPr>
                <w:szCs w:val="21"/>
              </w:rPr>
            </w:pPr>
            <w:r>
              <w:rPr>
                <w:szCs w:val="21"/>
              </w:rPr>
              <w:t>《恶臭污染物排放标准》（GB14554-93）</w:t>
            </w:r>
          </w:p>
        </w:tc>
        <w:tc>
          <w:tcPr>
            <w:tcW w:w="1971" w:type="dxa"/>
            <w:gridSpan w:val="2"/>
            <w:noWrap w:val="0"/>
            <w:vAlign w:val="center"/>
          </w:tcPr>
          <w:p>
            <w:pPr>
              <w:spacing w:line="360" w:lineRule="exact"/>
              <w:jc w:val="center"/>
              <w:rPr>
                <w:szCs w:val="21"/>
              </w:rPr>
            </w:pPr>
            <w:r>
              <w:rPr>
                <w:szCs w:val="21"/>
              </w:rPr>
              <w:t>NH</w:t>
            </w:r>
            <w:r>
              <w:rPr>
                <w:szCs w:val="21"/>
                <w:vertAlign w:val="subscript"/>
              </w:rPr>
              <w:t>3</w:t>
            </w:r>
            <w:r>
              <w:rPr>
                <w:szCs w:val="21"/>
              </w:rPr>
              <w:t>（mg/m</w:t>
            </w:r>
            <w:r>
              <w:rPr>
                <w:szCs w:val="21"/>
                <w:vertAlign w:val="superscript"/>
              </w:rPr>
              <w:t>3</w:t>
            </w:r>
            <w:r>
              <w:rPr>
                <w:szCs w:val="21"/>
              </w:rPr>
              <w:t>）</w:t>
            </w:r>
          </w:p>
        </w:tc>
        <w:tc>
          <w:tcPr>
            <w:tcW w:w="3224" w:type="dxa"/>
            <w:gridSpan w:val="4"/>
            <w:noWrap w:val="0"/>
            <w:vAlign w:val="center"/>
          </w:tcPr>
          <w:p>
            <w:pPr>
              <w:spacing w:line="360" w:lineRule="exact"/>
              <w:jc w:val="center"/>
              <w:rPr>
                <w:szCs w:val="21"/>
              </w:rPr>
            </w:pPr>
            <w:r>
              <w:rPr>
                <w:szCs w:val="21"/>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820" w:type="dxa"/>
            <w:vMerge w:val="continue"/>
            <w:noWrap w:val="0"/>
            <w:vAlign w:val="center"/>
          </w:tcPr>
          <w:p>
            <w:pPr>
              <w:spacing w:line="360" w:lineRule="exact"/>
              <w:jc w:val="center"/>
              <w:rPr>
                <w:szCs w:val="21"/>
              </w:rPr>
            </w:pPr>
          </w:p>
        </w:tc>
        <w:tc>
          <w:tcPr>
            <w:tcW w:w="2936" w:type="dxa"/>
            <w:gridSpan w:val="2"/>
            <w:vMerge w:val="continue"/>
            <w:noWrap w:val="0"/>
            <w:vAlign w:val="center"/>
          </w:tcPr>
          <w:p>
            <w:pPr>
              <w:spacing w:line="360" w:lineRule="exact"/>
              <w:jc w:val="center"/>
              <w:rPr>
                <w:szCs w:val="21"/>
              </w:rPr>
            </w:pPr>
          </w:p>
        </w:tc>
        <w:tc>
          <w:tcPr>
            <w:tcW w:w="1971" w:type="dxa"/>
            <w:gridSpan w:val="2"/>
            <w:noWrap w:val="0"/>
            <w:vAlign w:val="center"/>
          </w:tcPr>
          <w:p>
            <w:pPr>
              <w:spacing w:line="360" w:lineRule="exact"/>
              <w:jc w:val="center"/>
              <w:rPr>
                <w:szCs w:val="21"/>
              </w:rPr>
            </w:pPr>
            <w:r>
              <w:rPr>
                <w:szCs w:val="21"/>
              </w:rPr>
              <w:t>H</w:t>
            </w:r>
            <w:r>
              <w:rPr>
                <w:szCs w:val="21"/>
                <w:vertAlign w:val="subscript"/>
              </w:rPr>
              <w:t>2</w:t>
            </w:r>
            <w:r>
              <w:rPr>
                <w:szCs w:val="21"/>
              </w:rPr>
              <w:t>S（mg/m</w:t>
            </w:r>
            <w:r>
              <w:rPr>
                <w:szCs w:val="21"/>
                <w:vertAlign w:val="superscript"/>
              </w:rPr>
              <w:t>3</w:t>
            </w:r>
            <w:r>
              <w:rPr>
                <w:szCs w:val="21"/>
              </w:rPr>
              <w:t>）</w:t>
            </w:r>
          </w:p>
        </w:tc>
        <w:tc>
          <w:tcPr>
            <w:tcW w:w="3224" w:type="dxa"/>
            <w:gridSpan w:val="4"/>
            <w:noWrap w:val="0"/>
            <w:vAlign w:val="center"/>
          </w:tcPr>
          <w:p>
            <w:pPr>
              <w:spacing w:line="360" w:lineRule="exact"/>
              <w:jc w:val="center"/>
              <w:rPr>
                <w:szCs w:val="21"/>
              </w:rPr>
            </w:pPr>
            <w:r>
              <w:rPr>
                <w:szCs w:val="21"/>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820" w:type="dxa"/>
            <w:vMerge w:val="continue"/>
            <w:noWrap w:val="0"/>
            <w:vAlign w:val="center"/>
          </w:tcPr>
          <w:p>
            <w:pPr>
              <w:spacing w:line="360" w:lineRule="exact"/>
              <w:jc w:val="center"/>
              <w:rPr>
                <w:szCs w:val="21"/>
              </w:rPr>
            </w:pPr>
          </w:p>
        </w:tc>
        <w:tc>
          <w:tcPr>
            <w:tcW w:w="2936" w:type="dxa"/>
            <w:gridSpan w:val="2"/>
            <w:noWrap w:val="0"/>
            <w:vAlign w:val="center"/>
          </w:tcPr>
          <w:p>
            <w:pPr>
              <w:spacing w:line="360" w:lineRule="exact"/>
              <w:jc w:val="center"/>
              <w:rPr>
                <w:szCs w:val="21"/>
              </w:rPr>
            </w:pPr>
            <w:r>
              <w:rPr>
                <w:szCs w:val="21"/>
              </w:rPr>
              <w:t>《畜禽养殖业污染物排放标准》（GB18596-2001）</w:t>
            </w:r>
          </w:p>
        </w:tc>
        <w:tc>
          <w:tcPr>
            <w:tcW w:w="1971" w:type="dxa"/>
            <w:gridSpan w:val="2"/>
            <w:noWrap w:val="0"/>
            <w:vAlign w:val="center"/>
          </w:tcPr>
          <w:p>
            <w:pPr>
              <w:spacing w:line="360" w:lineRule="exact"/>
              <w:jc w:val="center"/>
              <w:rPr>
                <w:szCs w:val="21"/>
              </w:rPr>
            </w:pPr>
            <w:r>
              <w:rPr>
                <w:szCs w:val="21"/>
              </w:rPr>
              <w:t>臭气浓度</w:t>
            </w:r>
          </w:p>
        </w:tc>
        <w:tc>
          <w:tcPr>
            <w:tcW w:w="3224" w:type="dxa"/>
            <w:gridSpan w:val="4"/>
            <w:noWrap w:val="0"/>
            <w:vAlign w:val="center"/>
          </w:tcPr>
          <w:p>
            <w:pPr>
              <w:spacing w:line="360" w:lineRule="exact"/>
              <w:jc w:val="center"/>
              <w:rPr>
                <w:szCs w:val="21"/>
              </w:rPr>
            </w:pPr>
            <w:r>
              <w:rPr>
                <w:szCs w:val="21"/>
              </w:rP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820" w:type="dxa"/>
            <w:vMerge w:val="continue"/>
            <w:noWrap w:val="0"/>
            <w:vAlign w:val="center"/>
          </w:tcPr>
          <w:p>
            <w:pPr>
              <w:spacing w:line="360" w:lineRule="exact"/>
              <w:jc w:val="center"/>
              <w:rPr>
                <w:szCs w:val="21"/>
              </w:rPr>
            </w:pPr>
          </w:p>
        </w:tc>
        <w:tc>
          <w:tcPr>
            <w:tcW w:w="2936" w:type="dxa"/>
            <w:gridSpan w:val="2"/>
            <w:noWrap w:val="0"/>
            <w:vAlign w:val="center"/>
          </w:tcPr>
          <w:p>
            <w:pPr>
              <w:spacing w:line="360" w:lineRule="exact"/>
              <w:jc w:val="center"/>
              <w:rPr>
                <w:szCs w:val="21"/>
              </w:rPr>
            </w:pPr>
            <w:r>
              <w:rPr>
                <w:szCs w:val="21"/>
              </w:rPr>
              <w:t>《饮食业油烟排放标准》（GB18483-2001）</w:t>
            </w:r>
          </w:p>
        </w:tc>
        <w:tc>
          <w:tcPr>
            <w:tcW w:w="1971" w:type="dxa"/>
            <w:gridSpan w:val="2"/>
            <w:noWrap w:val="0"/>
            <w:vAlign w:val="center"/>
          </w:tcPr>
          <w:p>
            <w:pPr>
              <w:spacing w:line="360" w:lineRule="exact"/>
              <w:jc w:val="center"/>
              <w:rPr>
                <w:szCs w:val="21"/>
              </w:rPr>
            </w:pPr>
            <w:r>
              <w:rPr>
                <w:szCs w:val="21"/>
              </w:rPr>
              <w:t>最高允许排放浓度</w:t>
            </w:r>
          </w:p>
        </w:tc>
        <w:tc>
          <w:tcPr>
            <w:tcW w:w="3224" w:type="dxa"/>
            <w:gridSpan w:val="4"/>
            <w:noWrap w:val="0"/>
            <w:vAlign w:val="center"/>
          </w:tcPr>
          <w:p>
            <w:pPr>
              <w:spacing w:line="360" w:lineRule="exact"/>
              <w:jc w:val="center"/>
              <w:rPr>
                <w:szCs w:val="21"/>
              </w:rPr>
            </w:pPr>
            <w:r>
              <w:rPr>
                <w:szCs w:val="21"/>
              </w:rPr>
              <w:t>2.0（mg/m</w:t>
            </w:r>
            <w:r>
              <w:rPr>
                <w:szCs w:val="21"/>
                <w:vertAlign w:val="superscript"/>
              </w:rPr>
              <w:t>3</w:t>
            </w: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0" w:hRule="atLeast"/>
        </w:trPr>
        <w:tc>
          <w:tcPr>
            <w:tcW w:w="820" w:type="dxa"/>
            <w:vMerge w:val="continue"/>
            <w:noWrap w:val="0"/>
            <w:vAlign w:val="center"/>
          </w:tcPr>
          <w:p>
            <w:pPr>
              <w:spacing w:line="360" w:lineRule="exact"/>
              <w:jc w:val="center"/>
              <w:rPr>
                <w:szCs w:val="21"/>
              </w:rPr>
            </w:pPr>
          </w:p>
        </w:tc>
        <w:tc>
          <w:tcPr>
            <w:tcW w:w="2936" w:type="dxa"/>
            <w:gridSpan w:val="2"/>
            <w:vMerge w:val="restart"/>
            <w:noWrap w:val="0"/>
            <w:vAlign w:val="center"/>
          </w:tcPr>
          <w:p>
            <w:pPr>
              <w:spacing w:line="360" w:lineRule="exact"/>
              <w:jc w:val="center"/>
              <w:rPr>
                <w:bCs/>
                <w:szCs w:val="21"/>
              </w:rPr>
            </w:pPr>
            <w:r>
              <w:rPr>
                <w:bCs/>
                <w:szCs w:val="21"/>
              </w:rPr>
              <w:t>大气污染物</w:t>
            </w:r>
            <w:r>
              <w:rPr>
                <w:rFonts w:hint="eastAsia"/>
                <w:bCs/>
                <w:szCs w:val="21"/>
              </w:rPr>
              <w:t>综合</w:t>
            </w:r>
            <w:r>
              <w:rPr>
                <w:bCs/>
                <w:szCs w:val="21"/>
              </w:rPr>
              <w:t>排放标准》（GB16297-1996）</w:t>
            </w:r>
          </w:p>
          <w:p>
            <w:pPr>
              <w:spacing w:line="360" w:lineRule="exact"/>
              <w:jc w:val="center"/>
              <w:rPr>
                <w:bCs/>
                <w:szCs w:val="21"/>
              </w:rPr>
            </w:pPr>
            <w:r>
              <w:rPr>
                <w:bCs/>
                <w:szCs w:val="21"/>
              </w:rPr>
              <w:t>表2</w:t>
            </w:r>
            <w:r>
              <w:rPr>
                <w:rFonts w:hint="eastAsia"/>
                <w:bCs/>
                <w:szCs w:val="21"/>
              </w:rPr>
              <w:t>无组织</w:t>
            </w:r>
            <w:r>
              <w:rPr>
                <w:bCs/>
                <w:szCs w:val="21"/>
              </w:rPr>
              <w:t>排放</w:t>
            </w:r>
            <w:r>
              <w:rPr>
                <w:rFonts w:hint="eastAsia"/>
                <w:bCs/>
                <w:szCs w:val="21"/>
              </w:rPr>
              <w:t>监控</w:t>
            </w:r>
            <w:r>
              <w:rPr>
                <w:bCs/>
                <w:szCs w:val="21"/>
              </w:rPr>
              <w:t>限值</w:t>
            </w:r>
          </w:p>
        </w:tc>
        <w:tc>
          <w:tcPr>
            <w:tcW w:w="1971" w:type="dxa"/>
            <w:gridSpan w:val="2"/>
            <w:noWrap w:val="0"/>
            <w:vAlign w:val="center"/>
          </w:tcPr>
          <w:p>
            <w:pPr>
              <w:jc w:val="center"/>
              <w:rPr>
                <w:bCs/>
              </w:rPr>
            </w:pPr>
            <w:r>
              <w:rPr>
                <w:rFonts w:hint="eastAsia"/>
                <w:bCs/>
              </w:rPr>
              <w:t>颗粒物</w:t>
            </w:r>
            <w:r>
              <w:rPr>
                <w:bCs/>
              </w:rPr>
              <w:t>（mg/m</w:t>
            </w:r>
            <w:r>
              <w:rPr>
                <w:bCs/>
                <w:vertAlign w:val="superscript"/>
              </w:rPr>
              <w:t>3</w:t>
            </w:r>
            <w:r>
              <w:rPr>
                <w:bCs/>
              </w:rPr>
              <w:t>）</w:t>
            </w:r>
          </w:p>
        </w:tc>
        <w:tc>
          <w:tcPr>
            <w:tcW w:w="3224" w:type="dxa"/>
            <w:gridSpan w:val="4"/>
            <w:noWrap w:val="0"/>
            <w:vAlign w:val="center"/>
          </w:tcPr>
          <w:p>
            <w:pPr>
              <w:jc w:val="center"/>
              <w:rPr>
                <w:bCs/>
              </w:rPr>
            </w:pPr>
            <w:r>
              <w:rPr>
                <w:rFonts w:hint="eastAsia"/>
                <w:bCs/>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20" w:type="dxa"/>
            <w:vMerge w:val="continue"/>
            <w:noWrap w:val="0"/>
            <w:vAlign w:val="center"/>
          </w:tcPr>
          <w:p>
            <w:pPr>
              <w:spacing w:line="360" w:lineRule="exact"/>
              <w:jc w:val="center"/>
              <w:rPr>
                <w:szCs w:val="21"/>
              </w:rPr>
            </w:pPr>
          </w:p>
        </w:tc>
        <w:tc>
          <w:tcPr>
            <w:tcW w:w="2936" w:type="dxa"/>
            <w:gridSpan w:val="2"/>
            <w:vMerge w:val="continue"/>
            <w:noWrap w:val="0"/>
            <w:vAlign w:val="center"/>
          </w:tcPr>
          <w:p>
            <w:pPr>
              <w:spacing w:line="360" w:lineRule="exact"/>
              <w:jc w:val="center"/>
              <w:rPr>
                <w:bCs/>
                <w:szCs w:val="21"/>
              </w:rPr>
            </w:pPr>
          </w:p>
        </w:tc>
        <w:tc>
          <w:tcPr>
            <w:tcW w:w="1971" w:type="dxa"/>
            <w:gridSpan w:val="2"/>
            <w:noWrap w:val="0"/>
            <w:vAlign w:val="center"/>
          </w:tcPr>
          <w:p>
            <w:pPr>
              <w:jc w:val="center"/>
              <w:rPr>
                <w:bCs/>
              </w:rPr>
            </w:pPr>
            <w:r>
              <w:rPr>
                <w:bCs/>
              </w:rPr>
              <w:t>SO</w:t>
            </w:r>
            <w:r>
              <w:rPr>
                <w:bCs/>
                <w:vertAlign w:val="subscript"/>
              </w:rPr>
              <w:t>2</w:t>
            </w:r>
            <w:r>
              <w:rPr>
                <w:bCs/>
              </w:rPr>
              <w:t>（mg/m</w:t>
            </w:r>
            <w:r>
              <w:rPr>
                <w:bCs/>
                <w:vertAlign w:val="superscript"/>
              </w:rPr>
              <w:t>3</w:t>
            </w:r>
            <w:r>
              <w:rPr>
                <w:bCs/>
              </w:rPr>
              <w:t>）</w:t>
            </w:r>
          </w:p>
        </w:tc>
        <w:tc>
          <w:tcPr>
            <w:tcW w:w="3224" w:type="dxa"/>
            <w:gridSpan w:val="4"/>
            <w:noWrap w:val="0"/>
            <w:vAlign w:val="center"/>
          </w:tcPr>
          <w:p>
            <w:pPr>
              <w:jc w:val="center"/>
              <w:rPr>
                <w:bCs/>
              </w:rPr>
            </w:pPr>
            <w:r>
              <w:rPr>
                <w:bCs/>
              </w:rPr>
              <w:t>0.4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20" w:type="dxa"/>
            <w:vMerge w:val="continue"/>
            <w:noWrap w:val="0"/>
            <w:vAlign w:val="center"/>
          </w:tcPr>
          <w:p>
            <w:pPr>
              <w:spacing w:line="360" w:lineRule="exact"/>
              <w:jc w:val="center"/>
              <w:rPr>
                <w:szCs w:val="21"/>
              </w:rPr>
            </w:pPr>
          </w:p>
        </w:tc>
        <w:tc>
          <w:tcPr>
            <w:tcW w:w="2936" w:type="dxa"/>
            <w:gridSpan w:val="2"/>
            <w:vMerge w:val="continue"/>
            <w:noWrap w:val="0"/>
            <w:vAlign w:val="center"/>
          </w:tcPr>
          <w:p>
            <w:pPr>
              <w:spacing w:line="360" w:lineRule="exact"/>
              <w:jc w:val="center"/>
              <w:rPr>
                <w:bCs/>
                <w:szCs w:val="21"/>
              </w:rPr>
            </w:pPr>
          </w:p>
        </w:tc>
        <w:tc>
          <w:tcPr>
            <w:tcW w:w="1971" w:type="dxa"/>
            <w:gridSpan w:val="2"/>
            <w:noWrap w:val="0"/>
            <w:vAlign w:val="center"/>
          </w:tcPr>
          <w:p>
            <w:pPr>
              <w:jc w:val="center"/>
              <w:rPr>
                <w:bCs/>
                <w:szCs w:val="21"/>
              </w:rPr>
            </w:pPr>
            <w:r>
              <w:rPr>
                <w:bCs/>
              </w:rPr>
              <w:t>NO</w:t>
            </w:r>
            <w:r>
              <w:rPr>
                <w:bCs/>
                <w:vertAlign w:val="subscript"/>
              </w:rPr>
              <w:t>X</w:t>
            </w:r>
            <w:r>
              <w:rPr>
                <w:bCs/>
              </w:rPr>
              <w:t>（mg/m</w:t>
            </w:r>
            <w:r>
              <w:rPr>
                <w:bCs/>
                <w:vertAlign w:val="superscript"/>
              </w:rPr>
              <w:t>3</w:t>
            </w:r>
            <w:r>
              <w:rPr>
                <w:bCs/>
              </w:rPr>
              <w:t>）</w:t>
            </w:r>
          </w:p>
        </w:tc>
        <w:tc>
          <w:tcPr>
            <w:tcW w:w="3224" w:type="dxa"/>
            <w:gridSpan w:val="4"/>
            <w:noWrap w:val="0"/>
            <w:vAlign w:val="center"/>
          </w:tcPr>
          <w:p>
            <w:pPr>
              <w:jc w:val="center"/>
              <w:rPr>
                <w:bCs/>
                <w:szCs w:val="21"/>
              </w:rPr>
            </w:pPr>
            <w:r>
              <w:rPr>
                <w:bCs/>
              </w:rPr>
              <w:t>0.12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820" w:type="dxa"/>
            <w:vMerge w:val="restart"/>
            <w:noWrap w:val="0"/>
            <w:vAlign w:val="center"/>
          </w:tcPr>
          <w:p>
            <w:pPr>
              <w:spacing w:line="360" w:lineRule="exact"/>
              <w:jc w:val="center"/>
              <w:rPr>
                <w:szCs w:val="21"/>
              </w:rPr>
            </w:pPr>
            <w:r>
              <w:rPr>
                <w:szCs w:val="21"/>
              </w:rPr>
              <w:t>噪声</w:t>
            </w:r>
          </w:p>
        </w:tc>
        <w:tc>
          <w:tcPr>
            <w:tcW w:w="2936" w:type="dxa"/>
            <w:gridSpan w:val="2"/>
            <w:vMerge w:val="restart"/>
            <w:noWrap w:val="0"/>
            <w:vAlign w:val="center"/>
          </w:tcPr>
          <w:p>
            <w:pPr>
              <w:spacing w:line="360" w:lineRule="exact"/>
              <w:jc w:val="center"/>
              <w:rPr>
                <w:szCs w:val="21"/>
              </w:rPr>
            </w:pPr>
            <w:r>
              <w:rPr>
                <w:szCs w:val="21"/>
              </w:rPr>
              <w:t>《建筑施工场界环境噪声排放标准》（GB12523-2011）</w:t>
            </w:r>
          </w:p>
        </w:tc>
        <w:tc>
          <w:tcPr>
            <w:tcW w:w="1971" w:type="dxa"/>
            <w:gridSpan w:val="2"/>
            <w:vMerge w:val="restart"/>
            <w:noWrap w:val="0"/>
            <w:vAlign w:val="center"/>
          </w:tcPr>
          <w:p>
            <w:pPr>
              <w:spacing w:line="360" w:lineRule="exact"/>
              <w:jc w:val="center"/>
              <w:rPr>
                <w:szCs w:val="21"/>
              </w:rPr>
            </w:pPr>
            <w:r>
              <w:rPr>
                <w:szCs w:val="21"/>
              </w:rPr>
              <w:t>噪声dB（A）</w:t>
            </w:r>
          </w:p>
        </w:tc>
        <w:tc>
          <w:tcPr>
            <w:tcW w:w="1530" w:type="dxa"/>
            <w:gridSpan w:val="2"/>
            <w:noWrap w:val="0"/>
            <w:vAlign w:val="center"/>
          </w:tcPr>
          <w:p>
            <w:pPr>
              <w:spacing w:line="360" w:lineRule="exact"/>
              <w:jc w:val="center"/>
              <w:rPr>
                <w:szCs w:val="21"/>
              </w:rPr>
            </w:pPr>
            <w:r>
              <w:rPr>
                <w:szCs w:val="21"/>
              </w:rPr>
              <w:t>昼间</w:t>
            </w:r>
          </w:p>
        </w:tc>
        <w:tc>
          <w:tcPr>
            <w:tcW w:w="1694" w:type="dxa"/>
            <w:gridSpan w:val="2"/>
            <w:noWrap w:val="0"/>
            <w:vAlign w:val="center"/>
          </w:tcPr>
          <w:p>
            <w:pPr>
              <w:spacing w:line="360" w:lineRule="exact"/>
              <w:jc w:val="center"/>
              <w:rPr>
                <w:szCs w:val="21"/>
              </w:rPr>
            </w:pPr>
            <w:r>
              <w:rPr>
                <w:szCs w:val="21"/>
              </w:rP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820" w:type="dxa"/>
            <w:vMerge w:val="continue"/>
            <w:noWrap w:val="0"/>
            <w:vAlign w:val="center"/>
          </w:tcPr>
          <w:p>
            <w:pPr>
              <w:spacing w:line="360" w:lineRule="exact"/>
              <w:jc w:val="center"/>
              <w:rPr>
                <w:szCs w:val="21"/>
              </w:rPr>
            </w:pPr>
          </w:p>
        </w:tc>
        <w:tc>
          <w:tcPr>
            <w:tcW w:w="2936" w:type="dxa"/>
            <w:gridSpan w:val="2"/>
            <w:vMerge w:val="continue"/>
            <w:noWrap w:val="0"/>
            <w:vAlign w:val="center"/>
          </w:tcPr>
          <w:p>
            <w:pPr>
              <w:spacing w:line="360" w:lineRule="exact"/>
              <w:jc w:val="center"/>
              <w:rPr>
                <w:szCs w:val="21"/>
              </w:rPr>
            </w:pPr>
          </w:p>
        </w:tc>
        <w:tc>
          <w:tcPr>
            <w:tcW w:w="1971" w:type="dxa"/>
            <w:gridSpan w:val="2"/>
            <w:vMerge w:val="continue"/>
            <w:noWrap w:val="0"/>
            <w:vAlign w:val="center"/>
          </w:tcPr>
          <w:p>
            <w:pPr>
              <w:spacing w:line="360" w:lineRule="exact"/>
              <w:jc w:val="center"/>
              <w:rPr>
                <w:szCs w:val="21"/>
              </w:rPr>
            </w:pPr>
          </w:p>
        </w:tc>
        <w:tc>
          <w:tcPr>
            <w:tcW w:w="1530" w:type="dxa"/>
            <w:gridSpan w:val="2"/>
            <w:noWrap w:val="0"/>
            <w:vAlign w:val="center"/>
          </w:tcPr>
          <w:p>
            <w:pPr>
              <w:spacing w:line="360" w:lineRule="exact"/>
              <w:jc w:val="center"/>
              <w:rPr>
                <w:szCs w:val="21"/>
              </w:rPr>
            </w:pPr>
            <w:r>
              <w:rPr>
                <w:szCs w:val="21"/>
              </w:rPr>
              <w:t>夜间</w:t>
            </w:r>
          </w:p>
        </w:tc>
        <w:tc>
          <w:tcPr>
            <w:tcW w:w="1694" w:type="dxa"/>
            <w:gridSpan w:val="2"/>
            <w:noWrap w:val="0"/>
            <w:vAlign w:val="center"/>
          </w:tcPr>
          <w:p>
            <w:pPr>
              <w:spacing w:line="360" w:lineRule="exact"/>
              <w:jc w:val="center"/>
              <w:rPr>
                <w:szCs w:val="21"/>
              </w:rPr>
            </w:pPr>
            <w:r>
              <w:rPr>
                <w:szCs w:val="21"/>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820" w:type="dxa"/>
            <w:vMerge w:val="continue"/>
            <w:noWrap w:val="0"/>
            <w:vAlign w:val="center"/>
          </w:tcPr>
          <w:p>
            <w:pPr>
              <w:spacing w:line="360" w:lineRule="exact"/>
              <w:jc w:val="center"/>
              <w:rPr>
                <w:szCs w:val="21"/>
              </w:rPr>
            </w:pPr>
          </w:p>
        </w:tc>
        <w:tc>
          <w:tcPr>
            <w:tcW w:w="2936" w:type="dxa"/>
            <w:gridSpan w:val="2"/>
            <w:vMerge w:val="restart"/>
            <w:noWrap w:val="0"/>
            <w:vAlign w:val="center"/>
          </w:tcPr>
          <w:p>
            <w:pPr>
              <w:spacing w:line="360" w:lineRule="exact"/>
              <w:jc w:val="center"/>
              <w:rPr>
                <w:szCs w:val="21"/>
              </w:rPr>
            </w:pPr>
            <w:r>
              <w:rPr>
                <w:szCs w:val="21"/>
              </w:rPr>
              <w:t>《工业企业厂界环境噪声排放标准》（GB12348-2008）</w:t>
            </w:r>
          </w:p>
        </w:tc>
        <w:tc>
          <w:tcPr>
            <w:tcW w:w="1971" w:type="dxa"/>
            <w:gridSpan w:val="2"/>
            <w:vMerge w:val="restart"/>
            <w:noWrap w:val="0"/>
            <w:vAlign w:val="center"/>
          </w:tcPr>
          <w:p>
            <w:pPr>
              <w:spacing w:line="360" w:lineRule="exact"/>
              <w:jc w:val="center"/>
              <w:rPr>
                <w:szCs w:val="21"/>
              </w:rPr>
            </w:pPr>
            <w:r>
              <w:rPr>
                <w:szCs w:val="21"/>
              </w:rPr>
              <w:t>噪声dB（A）</w:t>
            </w:r>
          </w:p>
        </w:tc>
        <w:tc>
          <w:tcPr>
            <w:tcW w:w="983" w:type="dxa"/>
            <w:noWrap w:val="0"/>
            <w:vAlign w:val="center"/>
          </w:tcPr>
          <w:p>
            <w:pPr>
              <w:spacing w:line="360" w:lineRule="exact"/>
              <w:jc w:val="center"/>
              <w:rPr>
                <w:szCs w:val="21"/>
              </w:rPr>
            </w:pPr>
            <w:r>
              <w:rPr>
                <w:szCs w:val="21"/>
              </w:rPr>
              <w:t>功能类别</w:t>
            </w:r>
          </w:p>
        </w:tc>
        <w:tc>
          <w:tcPr>
            <w:tcW w:w="1089" w:type="dxa"/>
            <w:gridSpan w:val="2"/>
            <w:noWrap w:val="0"/>
            <w:vAlign w:val="center"/>
          </w:tcPr>
          <w:p>
            <w:pPr>
              <w:spacing w:line="360" w:lineRule="exact"/>
              <w:jc w:val="center"/>
              <w:rPr>
                <w:szCs w:val="21"/>
              </w:rPr>
            </w:pPr>
            <w:r>
              <w:rPr>
                <w:szCs w:val="21"/>
              </w:rPr>
              <w:t>昼间</w:t>
            </w:r>
          </w:p>
        </w:tc>
        <w:tc>
          <w:tcPr>
            <w:tcW w:w="1152" w:type="dxa"/>
            <w:noWrap w:val="0"/>
            <w:vAlign w:val="center"/>
          </w:tcPr>
          <w:p>
            <w:pPr>
              <w:spacing w:line="360" w:lineRule="exact"/>
              <w:jc w:val="center"/>
              <w:rPr>
                <w:szCs w:val="21"/>
              </w:rPr>
            </w:pPr>
            <w:r>
              <w:rPr>
                <w:szCs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820" w:type="dxa"/>
            <w:vMerge w:val="continue"/>
            <w:noWrap w:val="0"/>
            <w:vAlign w:val="center"/>
          </w:tcPr>
          <w:p>
            <w:pPr>
              <w:spacing w:line="360" w:lineRule="exact"/>
              <w:jc w:val="center"/>
              <w:rPr>
                <w:szCs w:val="21"/>
              </w:rPr>
            </w:pPr>
          </w:p>
        </w:tc>
        <w:tc>
          <w:tcPr>
            <w:tcW w:w="2936" w:type="dxa"/>
            <w:gridSpan w:val="2"/>
            <w:vMerge w:val="continue"/>
            <w:noWrap w:val="0"/>
            <w:vAlign w:val="center"/>
          </w:tcPr>
          <w:p>
            <w:pPr>
              <w:spacing w:line="360" w:lineRule="exact"/>
              <w:jc w:val="center"/>
              <w:rPr>
                <w:szCs w:val="21"/>
              </w:rPr>
            </w:pPr>
          </w:p>
        </w:tc>
        <w:tc>
          <w:tcPr>
            <w:tcW w:w="1971" w:type="dxa"/>
            <w:gridSpan w:val="2"/>
            <w:vMerge w:val="continue"/>
            <w:noWrap w:val="0"/>
            <w:vAlign w:val="center"/>
          </w:tcPr>
          <w:p>
            <w:pPr>
              <w:spacing w:line="360" w:lineRule="exact"/>
              <w:jc w:val="center"/>
              <w:rPr>
                <w:szCs w:val="21"/>
              </w:rPr>
            </w:pPr>
          </w:p>
        </w:tc>
        <w:tc>
          <w:tcPr>
            <w:tcW w:w="983" w:type="dxa"/>
            <w:noWrap w:val="0"/>
            <w:vAlign w:val="center"/>
          </w:tcPr>
          <w:p>
            <w:pPr>
              <w:spacing w:line="360" w:lineRule="exact"/>
              <w:jc w:val="center"/>
              <w:rPr>
                <w:szCs w:val="21"/>
              </w:rPr>
            </w:pPr>
            <w:r>
              <w:rPr>
                <w:szCs w:val="21"/>
              </w:rPr>
              <w:t>2类</w:t>
            </w:r>
          </w:p>
        </w:tc>
        <w:tc>
          <w:tcPr>
            <w:tcW w:w="1089" w:type="dxa"/>
            <w:gridSpan w:val="2"/>
            <w:noWrap w:val="0"/>
            <w:vAlign w:val="center"/>
          </w:tcPr>
          <w:p>
            <w:pPr>
              <w:spacing w:line="360" w:lineRule="exact"/>
              <w:jc w:val="center"/>
              <w:rPr>
                <w:szCs w:val="21"/>
              </w:rPr>
            </w:pPr>
            <w:r>
              <w:rPr>
                <w:szCs w:val="21"/>
              </w:rPr>
              <w:t>60</w:t>
            </w:r>
          </w:p>
        </w:tc>
        <w:tc>
          <w:tcPr>
            <w:tcW w:w="1152" w:type="dxa"/>
            <w:noWrap w:val="0"/>
            <w:vAlign w:val="center"/>
          </w:tcPr>
          <w:p>
            <w:pPr>
              <w:spacing w:line="360" w:lineRule="exact"/>
              <w:jc w:val="center"/>
              <w:rPr>
                <w:szCs w:val="21"/>
              </w:rPr>
            </w:pPr>
            <w:r>
              <w:rPr>
                <w:szCs w:val="21"/>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20" w:type="dxa"/>
            <w:vMerge w:val="restart"/>
            <w:noWrap w:val="0"/>
            <w:vAlign w:val="center"/>
          </w:tcPr>
          <w:p>
            <w:pPr>
              <w:spacing w:line="360" w:lineRule="exact"/>
              <w:jc w:val="center"/>
              <w:rPr>
                <w:szCs w:val="21"/>
              </w:rPr>
            </w:pPr>
            <w:r>
              <w:rPr>
                <w:szCs w:val="21"/>
              </w:rPr>
              <w:t>固废</w:t>
            </w:r>
          </w:p>
        </w:tc>
        <w:tc>
          <w:tcPr>
            <w:tcW w:w="8131" w:type="dxa"/>
            <w:gridSpan w:val="8"/>
            <w:noWrap w:val="0"/>
            <w:vAlign w:val="center"/>
          </w:tcPr>
          <w:p>
            <w:pPr>
              <w:spacing w:line="360" w:lineRule="exact"/>
              <w:jc w:val="center"/>
              <w:rPr>
                <w:szCs w:val="21"/>
              </w:rPr>
            </w:pPr>
            <w:r>
              <w:rPr>
                <w:szCs w:val="21"/>
              </w:rPr>
              <w:t>《一般工业固体废物贮存、污染控制标准》（GB18599-2001及2013年修改单)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820" w:type="dxa"/>
            <w:vMerge w:val="continue"/>
            <w:noWrap w:val="0"/>
            <w:vAlign w:val="center"/>
          </w:tcPr>
          <w:p>
            <w:pPr>
              <w:spacing w:line="360" w:lineRule="exact"/>
              <w:jc w:val="center"/>
              <w:rPr>
                <w:szCs w:val="21"/>
              </w:rPr>
            </w:pPr>
          </w:p>
        </w:tc>
        <w:tc>
          <w:tcPr>
            <w:tcW w:w="8131" w:type="dxa"/>
            <w:gridSpan w:val="8"/>
            <w:noWrap w:val="0"/>
            <w:vAlign w:val="center"/>
          </w:tcPr>
          <w:p>
            <w:pPr>
              <w:spacing w:line="360" w:lineRule="exact"/>
              <w:jc w:val="center"/>
              <w:rPr>
                <w:szCs w:val="21"/>
              </w:rPr>
            </w:pPr>
            <w:r>
              <w:rPr>
                <w:szCs w:val="21"/>
              </w:rPr>
              <w:t>《危险废物贮存污染控制标准》（GB18597-2001及2013年修改单）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820" w:type="dxa"/>
            <w:vMerge w:val="continue"/>
            <w:noWrap w:val="0"/>
            <w:vAlign w:val="center"/>
          </w:tcPr>
          <w:p>
            <w:pPr>
              <w:spacing w:line="360" w:lineRule="exact"/>
              <w:jc w:val="center"/>
              <w:rPr>
                <w:szCs w:val="21"/>
              </w:rPr>
            </w:pPr>
          </w:p>
        </w:tc>
        <w:tc>
          <w:tcPr>
            <w:tcW w:w="2715" w:type="dxa"/>
            <w:vMerge w:val="restart"/>
            <w:noWrap w:val="0"/>
            <w:vAlign w:val="center"/>
          </w:tcPr>
          <w:p>
            <w:pPr>
              <w:spacing w:line="360" w:lineRule="exact"/>
              <w:jc w:val="center"/>
              <w:rPr>
                <w:szCs w:val="21"/>
              </w:rPr>
            </w:pPr>
            <w:r>
              <w:rPr>
                <w:szCs w:val="21"/>
              </w:rPr>
              <w:t>《畜禽养殖业污染物排放标准》（GB18596-2001）</w:t>
            </w:r>
          </w:p>
        </w:tc>
        <w:tc>
          <w:tcPr>
            <w:tcW w:w="2025" w:type="dxa"/>
            <w:gridSpan w:val="2"/>
            <w:noWrap w:val="0"/>
            <w:vAlign w:val="center"/>
          </w:tcPr>
          <w:p>
            <w:pPr>
              <w:spacing w:line="360" w:lineRule="exact"/>
              <w:jc w:val="center"/>
              <w:rPr>
                <w:szCs w:val="21"/>
              </w:rPr>
            </w:pPr>
            <w:r>
              <w:rPr>
                <w:szCs w:val="21"/>
              </w:rPr>
              <w:t>蛔虫卵</w:t>
            </w:r>
          </w:p>
        </w:tc>
        <w:tc>
          <w:tcPr>
            <w:tcW w:w="3391" w:type="dxa"/>
            <w:gridSpan w:val="5"/>
            <w:noWrap w:val="0"/>
            <w:vAlign w:val="center"/>
          </w:tcPr>
          <w:p>
            <w:pPr>
              <w:spacing w:line="360" w:lineRule="exact"/>
              <w:jc w:val="center"/>
              <w:rPr>
                <w:szCs w:val="21"/>
              </w:rPr>
            </w:pPr>
            <w:r>
              <w:rPr>
                <w:szCs w:val="21"/>
              </w:rPr>
              <w:t>死亡率≥95%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820" w:type="dxa"/>
            <w:vMerge w:val="continue"/>
            <w:noWrap w:val="0"/>
            <w:vAlign w:val="center"/>
          </w:tcPr>
          <w:p>
            <w:pPr>
              <w:spacing w:line="360" w:lineRule="exact"/>
              <w:jc w:val="center"/>
              <w:rPr>
                <w:szCs w:val="21"/>
              </w:rPr>
            </w:pPr>
          </w:p>
        </w:tc>
        <w:tc>
          <w:tcPr>
            <w:tcW w:w="2715" w:type="dxa"/>
            <w:vMerge w:val="continue"/>
            <w:noWrap w:val="0"/>
            <w:vAlign w:val="center"/>
          </w:tcPr>
          <w:p>
            <w:pPr>
              <w:spacing w:line="360" w:lineRule="exact"/>
              <w:jc w:val="center"/>
              <w:rPr>
                <w:szCs w:val="21"/>
              </w:rPr>
            </w:pPr>
          </w:p>
        </w:tc>
        <w:tc>
          <w:tcPr>
            <w:tcW w:w="2025" w:type="dxa"/>
            <w:gridSpan w:val="2"/>
            <w:noWrap w:val="0"/>
            <w:vAlign w:val="center"/>
          </w:tcPr>
          <w:p>
            <w:pPr>
              <w:spacing w:line="360" w:lineRule="exact"/>
              <w:jc w:val="center"/>
              <w:rPr>
                <w:szCs w:val="21"/>
              </w:rPr>
            </w:pPr>
            <w:r>
              <w:rPr>
                <w:szCs w:val="21"/>
              </w:rPr>
              <w:t>粪大肠菌群数值</w:t>
            </w:r>
          </w:p>
        </w:tc>
        <w:tc>
          <w:tcPr>
            <w:tcW w:w="3391" w:type="dxa"/>
            <w:gridSpan w:val="5"/>
            <w:noWrap w:val="0"/>
            <w:vAlign w:val="center"/>
          </w:tcPr>
          <w:p>
            <w:pPr>
              <w:spacing w:line="360" w:lineRule="exact"/>
              <w:jc w:val="center"/>
              <w:rPr>
                <w:szCs w:val="21"/>
              </w:rPr>
            </w:pPr>
            <w:r>
              <w:rPr>
                <w:szCs w:val="21"/>
              </w:rPr>
              <w:t>≤10</w:t>
            </w:r>
            <w:r>
              <w:rPr>
                <w:szCs w:val="21"/>
                <w:vertAlign w:val="superscript"/>
              </w:rPr>
              <w:t>5</w:t>
            </w:r>
            <w:r>
              <w:rPr>
                <w:szCs w:val="21"/>
              </w:rPr>
              <w:t>个/kg</w:t>
            </w:r>
          </w:p>
        </w:tc>
      </w:tr>
    </w:tbl>
    <w:p>
      <w:pPr>
        <w:snapToGrid w:val="0"/>
        <w:spacing w:line="520" w:lineRule="exact"/>
        <w:outlineLvl w:val="1"/>
        <w:rPr>
          <w:rFonts w:eastAsia="黑体"/>
          <w:bCs/>
          <w:sz w:val="28"/>
          <w:szCs w:val="28"/>
        </w:rPr>
      </w:pPr>
      <w:bookmarkStart w:id="118" w:name="_Toc413750079"/>
      <w:bookmarkStart w:id="119" w:name="_Toc412820913"/>
      <w:bookmarkStart w:id="120" w:name="_Toc407000991"/>
      <w:bookmarkStart w:id="121" w:name="_Toc28082"/>
      <w:bookmarkStart w:id="122" w:name="_Toc472009585"/>
      <w:r>
        <w:rPr>
          <w:rFonts w:eastAsia="黑体"/>
          <w:bCs/>
          <w:sz w:val="28"/>
          <w:szCs w:val="28"/>
        </w:rPr>
        <w:t>1.6 评价等级及评价范围</w:t>
      </w:r>
      <w:bookmarkEnd w:id="118"/>
      <w:bookmarkEnd w:id="119"/>
      <w:bookmarkEnd w:id="120"/>
      <w:bookmarkEnd w:id="121"/>
      <w:bookmarkEnd w:id="122"/>
    </w:p>
    <w:p>
      <w:pPr>
        <w:pStyle w:val="2"/>
        <w:snapToGrid w:val="0"/>
        <w:spacing w:before="0" w:after="0" w:line="520" w:lineRule="exact"/>
        <w:rPr>
          <w:rFonts w:eastAsia="黑体"/>
          <w:b w:val="0"/>
          <w:bCs w:val="0"/>
          <w:sz w:val="24"/>
          <w:szCs w:val="24"/>
        </w:rPr>
      </w:pPr>
      <w:bookmarkStart w:id="123" w:name="_Toc275796686"/>
      <w:bookmarkStart w:id="124" w:name="_Toc345417247"/>
      <w:bookmarkStart w:id="125" w:name="_Toc328371597"/>
      <w:bookmarkStart w:id="126" w:name="_Toc275448960"/>
      <w:bookmarkStart w:id="127" w:name="_Toc275449591"/>
      <w:bookmarkStart w:id="128" w:name="_Toc275796849"/>
      <w:bookmarkStart w:id="129" w:name="_Toc278310151"/>
      <w:bookmarkStart w:id="130" w:name="_Toc413750080"/>
      <w:bookmarkStart w:id="131" w:name="_Toc412820914"/>
      <w:bookmarkStart w:id="132" w:name="_Toc407000992"/>
      <w:r>
        <w:rPr>
          <w:rFonts w:eastAsia="黑体"/>
          <w:b w:val="0"/>
          <w:bCs w:val="0"/>
          <w:sz w:val="24"/>
          <w:szCs w:val="24"/>
        </w:rPr>
        <w:t xml:space="preserve">1.6.1 </w:t>
      </w:r>
      <w:bookmarkEnd w:id="123"/>
      <w:bookmarkEnd w:id="124"/>
      <w:bookmarkEnd w:id="125"/>
      <w:bookmarkEnd w:id="126"/>
      <w:bookmarkEnd w:id="127"/>
      <w:bookmarkEnd w:id="128"/>
      <w:bookmarkEnd w:id="129"/>
      <w:r>
        <w:rPr>
          <w:rFonts w:eastAsia="黑体"/>
          <w:b w:val="0"/>
          <w:bCs w:val="0"/>
          <w:sz w:val="24"/>
          <w:szCs w:val="24"/>
        </w:rPr>
        <w:t>环境空气</w:t>
      </w:r>
      <w:bookmarkEnd w:id="130"/>
      <w:bookmarkEnd w:id="131"/>
      <w:bookmarkEnd w:id="132"/>
    </w:p>
    <w:p>
      <w:pPr>
        <w:spacing w:line="500" w:lineRule="exact"/>
        <w:ind w:firstLine="480" w:firstLineChars="200"/>
        <w:rPr>
          <w:sz w:val="24"/>
        </w:rPr>
      </w:pPr>
      <w:r>
        <w:rPr>
          <w:sz w:val="24"/>
        </w:rPr>
        <w:t>项目营运期产生的废气源主要为养殖场产生的恶臭（NH</w:t>
      </w:r>
      <w:r>
        <w:rPr>
          <w:sz w:val="24"/>
          <w:vertAlign w:val="subscript"/>
        </w:rPr>
        <w:t>3</w:t>
      </w:r>
      <w:r>
        <w:rPr>
          <w:sz w:val="24"/>
        </w:rPr>
        <w:t>、H</w:t>
      </w:r>
      <w:r>
        <w:rPr>
          <w:sz w:val="24"/>
          <w:vertAlign w:val="subscript"/>
        </w:rPr>
        <w:t>2</w:t>
      </w:r>
      <w:r>
        <w:rPr>
          <w:sz w:val="24"/>
        </w:rPr>
        <w:t>S）</w:t>
      </w:r>
      <w:r>
        <w:rPr>
          <w:rFonts w:hint="eastAsia"/>
          <w:sz w:val="24"/>
        </w:rPr>
        <w:t>以及</w:t>
      </w:r>
      <w:r>
        <w:rPr>
          <w:sz w:val="24"/>
        </w:rPr>
        <w:t>沼气燃烧废气（</w:t>
      </w:r>
      <w:r>
        <w:rPr>
          <w:rFonts w:hint="eastAsia"/>
          <w:sz w:val="24"/>
        </w:rPr>
        <w:t>颗粒物</w:t>
      </w:r>
      <w:r>
        <w:rPr>
          <w:sz w:val="24"/>
        </w:rPr>
        <w:t>、SO</w:t>
      </w:r>
      <w:r>
        <w:rPr>
          <w:sz w:val="24"/>
          <w:vertAlign w:val="subscript"/>
        </w:rPr>
        <w:t>2</w:t>
      </w:r>
      <w:r>
        <w:rPr>
          <w:sz w:val="24"/>
        </w:rPr>
        <w:t>、NO</w:t>
      </w:r>
      <w:r>
        <w:rPr>
          <w:sz w:val="24"/>
          <w:vertAlign w:val="subscript"/>
        </w:rPr>
        <w:t>x</w:t>
      </w:r>
      <w:r>
        <w:rPr>
          <w:sz w:val="24"/>
        </w:rPr>
        <w:t>）、食堂废气；本次评价分别计算各污染物的最大地面浓度占标率P</w:t>
      </w:r>
      <w:r>
        <w:rPr>
          <w:sz w:val="24"/>
          <w:vertAlign w:val="subscript"/>
        </w:rPr>
        <w:t>i</w:t>
      </w:r>
      <w:r>
        <w:rPr>
          <w:sz w:val="24"/>
        </w:rPr>
        <w:t>及地面浓度达标限值10%时所对应的最远距离D</w:t>
      </w:r>
      <w:r>
        <w:rPr>
          <w:sz w:val="24"/>
          <w:vertAlign w:val="subscript"/>
        </w:rPr>
        <w:t>10%</w:t>
      </w:r>
      <w:r>
        <w:rPr>
          <w:sz w:val="24"/>
        </w:rPr>
        <w:t>。依据工程分析中各污染物正常排放量，估算各污染物的最大影响程度和影响范围，计算各污染物P</w:t>
      </w:r>
      <w:r>
        <w:rPr>
          <w:sz w:val="24"/>
          <w:vertAlign w:val="subscript"/>
        </w:rPr>
        <w:t>max</w:t>
      </w:r>
      <w:r>
        <w:rPr>
          <w:sz w:val="24"/>
        </w:rPr>
        <w:t>（具体见表1.6-1-1.6-3）。</w:t>
      </w:r>
    </w:p>
    <w:p>
      <w:pPr>
        <w:spacing w:after="72" w:afterLines="30" w:line="500" w:lineRule="exact"/>
        <w:jc w:val="center"/>
        <w:rPr>
          <w:b/>
          <w:sz w:val="24"/>
        </w:rPr>
      </w:pPr>
      <w:r>
        <w:rPr>
          <w:b/>
          <w:sz w:val="24"/>
        </w:rPr>
        <w:t>表1.6-1      评价工作级别表</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473"/>
        <w:gridCol w:w="647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473" w:type="dxa"/>
            <w:noWrap w:val="0"/>
            <w:vAlign w:val="center"/>
          </w:tcPr>
          <w:p>
            <w:pPr>
              <w:spacing w:line="360" w:lineRule="exact"/>
              <w:jc w:val="center"/>
              <w:rPr>
                <w:b/>
                <w:szCs w:val="21"/>
              </w:rPr>
            </w:pPr>
            <w:r>
              <w:rPr>
                <w:b/>
                <w:szCs w:val="21"/>
              </w:rPr>
              <w:t>评价工作等级</w:t>
            </w:r>
          </w:p>
        </w:tc>
        <w:tc>
          <w:tcPr>
            <w:tcW w:w="6473" w:type="dxa"/>
            <w:noWrap w:val="0"/>
            <w:vAlign w:val="center"/>
          </w:tcPr>
          <w:p>
            <w:pPr>
              <w:spacing w:line="360" w:lineRule="exact"/>
              <w:jc w:val="center"/>
              <w:rPr>
                <w:b/>
                <w:szCs w:val="21"/>
              </w:rPr>
            </w:pPr>
            <w:r>
              <w:rPr>
                <w:b/>
                <w:szCs w:val="21"/>
              </w:rPr>
              <w:t>评价工作分级判据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73" w:type="dxa"/>
            <w:noWrap w:val="0"/>
            <w:vAlign w:val="center"/>
          </w:tcPr>
          <w:p>
            <w:pPr>
              <w:spacing w:line="360" w:lineRule="exact"/>
              <w:jc w:val="center"/>
              <w:rPr>
                <w:color w:val="auto"/>
                <w:szCs w:val="21"/>
              </w:rPr>
            </w:pPr>
            <w:r>
              <w:rPr>
                <w:color w:val="auto"/>
                <w:szCs w:val="21"/>
              </w:rPr>
              <w:t>一级</w:t>
            </w:r>
          </w:p>
        </w:tc>
        <w:tc>
          <w:tcPr>
            <w:tcW w:w="6473" w:type="dxa"/>
            <w:noWrap w:val="0"/>
            <w:vAlign w:val="center"/>
          </w:tcPr>
          <w:p>
            <w:pPr>
              <w:spacing w:line="360" w:lineRule="exact"/>
              <w:jc w:val="center"/>
              <w:rPr>
                <w:color w:val="auto"/>
                <w:szCs w:val="21"/>
              </w:rPr>
            </w:pPr>
            <w:r>
              <w:rPr>
                <w:color w:val="auto"/>
                <w:szCs w:val="21"/>
              </w:rPr>
              <w:t>P</w:t>
            </w:r>
            <w:r>
              <w:rPr>
                <w:color w:val="auto"/>
                <w:szCs w:val="21"/>
                <w:vertAlign w:val="subscript"/>
              </w:rPr>
              <w:t>max</w:t>
            </w:r>
            <w:r>
              <w:rPr>
                <w:color w:val="auto"/>
                <w:szCs w:val="21"/>
              </w:rPr>
              <w:t>≥</w:t>
            </w:r>
            <w:r>
              <w:rPr>
                <w:rFonts w:hint="eastAsia"/>
                <w:color w:val="auto"/>
                <w:szCs w:val="21"/>
              </w:rPr>
              <w:t>10</w:t>
            </w:r>
            <w:r>
              <w:rPr>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73" w:type="dxa"/>
            <w:noWrap w:val="0"/>
            <w:vAlign w:val="center"/>
          </w:tcPr>
          <w:p>
            <w:pPr>
              <w:spacing w:line="360" w:lineRule="exact"/>
              <w:jc w:val="center"/>
              <w:rPr>
                <w:color w:val="auto"/>
                <w:szCs w:val="21"/>
              </w:rPr>
            </w:pPr>
            <w:r>
              <w:rPr>
                <w:color w:val="auto"/>
                <w:szCs w:val="21"/>
              </w:rPr>
              <w:t>二级</w:t>
            </w:r>
          </w:p>
        </w:tc>
        <w:tc>
          <w:tcPr>
            <w:tcW w:w="6473" w:type="dxa"/>
            <w:noWrap w:val="0"/>
            <w:vAlign w:val="center"/>
          </w:tcPr>
          <w:p>
            <w:pPr>
              <w:spacing w:line="360" w:lineRule="exact"/>
              <w:jc w:val="center"/>
              <w:rPr>
                <w:color w:val="auto"/>
                <w:szCs w:val="21"/>
              </w:rPr>
            </w:pPr>
            <w:r>
              <w:rPr>
                <w:color w:val="auto"/>
                <w:szCs w:val="21"/>
              </w:rPr>
              <w:t>1%≤P</w:t>
            </w:r>
            <w:r>
              <w:rPr>
                <w:color w:val="auto"/>
                <w:szCs w:val="21"/>
                <w:vertAlign w:val="subscript"/>
              </w:rPr>
              <w:t>max</w:t>
            </w:r>
            <w:r>
              <w:rPr>
                <w:rFonts w:hint="eastAsia"/>
                <w:color w:val="auto"/>
                <w:szCs w:val="21"/>
              </w:rPr>
              <w:t>＜1</w:t>
            </w:r>
            <w:r>
              <w:rPr>
                <w:color w:val="auto"/>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73" w:type="dxa"/>
            <w:noWrap w:val="0"/>
            <w:vAlign w:val="center"/>
          </w:tcPr>
          <w:p>
            <w:pPr>
              <w:spacing w:line="360" w:lineRule="exact"/>
              <w:jc w:val="center"/>
              <w:rPr>
                <w:color w:val="auto"/>
                <w:szCs w:val="21"/>
              </w:rPr>
            </w:pPr>
            <w:r>
              <w:rPr>
                <w:color w:val="auto"/>
                <w:szCs w:val="21"/>
              </w:rPr>
              <w:t>三级</w:t>
            </w:r>
          </w:p>
        </w:tc>
        <w:tc>
          <w:tcPr>
            <w:tcW w:w="6473" w:type="dxa"/>
            <w:noWrap w:val="0"/>
            <w:vAlign w:val="center"/>
          </w:tcPr>
          <w:p>
            <w:pPr>
              <w:spacing w:line="360" w:lineRule="exact"/>
              <w:jc w:val="center"/>
              <w:rPr>
                <w:color w:val="auto"/>
                <w:szCs w:val="21"/>
              </w:rPr>
            </w:pPr>
            <w:r>
              <w:rPr>
                <w:color w:val="auto"/>
                <w:szCs w:val="21"/>
              </w:rPr>
              <w:t>P</w:t>
            </w:r>
            <w:r>
              <w:rPr>
                <w:color w:val="auto"/>
                <w:szCs w:val="21"/>
                <w:vertAlign w:val="subscript"/>
              </w:rPr>
              <w:t>max</w:t>
            </w:r>
            <w:r>
              <w:rPr>
                <w:color w:val="auto"/>
                <w:szCs w:val="21"/>
              </w:rPr>
              <w:t>＜1%</w:t>
            </w:r>
          </w:p>
        </w:tc>
      </w:tr>
    </w:tbl>
    <w:p>
      <w:pPr>
        <w:spacing w:line="520" w:lineRule="exact"/>
        <w:jc w:val="center"/>
        <w:rPr>
          <w:b/>
          <w:color w:val="auto"/>
          <w:sz w:val="24"/>
        </w:rPr>
      </w:pPr>
      <w:r>
        <w:rPr>
          <w:b/>
          <w:bCs/>
          <w:color w:val="auto"/>
          <w:sz w:val="24"/>
        </w:rPr>
        <w:t>表1-6-2       估算模式参数表</w:t>
      </w:r>
    </w:p>
    <w:tbl>
      <w:tblPr>
        <w:tblStyle w:val="17"/>
        <w:tblW w:w="894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27"/>
        <w:gridCol w:w="4137"/>
        <w:gridCol w:w="29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964" w:type="dxa"/>
            <w:gridSpan w:val="2"/>
            <w:noWrap w:val="0"/>
            <w:vAlign w:val="center"/>
          </w:tcPr>
          <w:p>
            <w:pPr>
              <w:numPr>
                <w:ilvl w:val="0"/>
                <w:numId w:val="2"/>
              </w:numPr>
              <w:ind w:firstLine="2100" w:firstLineChars="1000"/>
              <w:rPr>
                <w:color w:val="auto"/>
                <w:szCs w:val="21"/>
              </w:rPr>
            </w:pPr>
            <w:r>
              <w:rPr>
                <w:rFonts w:hint="eastAsia"/>
                <w:color w:val="auto"/>
                <w:szCs w:val="21"/>
              </w:rPr>
              <w:t>参数</w:t>
            </w:r>
          </w:p>
        </w:tc>
        <w:tc>
          <w:tcPr>
            <w:tcW w:w="2982" w:type="dxa"/>
            <w:noWrap w:val="0"/>
            <w:vAlign w:val="center"/>
          </w:tcPr>
          <w:p>
            <w:pPr>
              <w:rPr>
                <w:color w:val="auto"/>
                <w:szCs w:val="21"/>
              </w:rPr>
            </w:pPr>
            <w:r>
              <w:rPr>
                <w:rFonts w:hint="eastAsia"/>
                <w:color w:val="auto"/>
                <w:szCs w:val="21"/>
              </w:rPr>
              <w:t>（2）取值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827" w:type="dxa"/>
            <w:vMerge w:val="restart"/>
            <w:noWrap w:val="0"/>
            <w:vAlign w:val="center"/>
          </w:tcPr>
          <w:p>
            <w:pPr>
              <w:numPr>
                <w:ilvl w:val="0"/>
                <w:numId w:val="2"/>
              </w:numPr>
              <w:rPr>
                <w:color w:val="auto"/>
                <w:szCs w:val="21"/>
              </w:rPr>
            </w:pPr>
            <w:r>
              <w:rPr>
                <w:rFonts w:hint="eastAsia"/>
                <w:color w:val="auto"/>
                <w:szCs w:val="21"/>
              </w:rPr>
              <w:t>城市/农村选项</w:t>
            </w:r>
          </w:p>
        </w:tc>
        <w:tc>
          <w:tcPr>
            <w:tcW w:w="4137" w:type="dxa"/>
            <w:noWrap w:val="0"/>
            <w:vAlign w:val="center"/>
          </w:tcPr>
          <w:p>
            <w:pPr>
              <w:numPr>
                <w:ilvl w:val="0"/>
                <w:numId w:val="2"/>
              </w:numPr>
              <w:rPr>
                <w:color w:val="auto"/>
                <w:szCs w:val="21"/>
              </w:rPr>
            </w:pPr>
            <w:r>
              <w:rPr>
                <w:rFonts w:hint="eastAsia"/>
                <w:color w:val="auto"/>
                <w:szCs w:val="21"/>
              </w:rPr>
              <w:t>城市/农村</w:t>
            </w:r>
          </w:p>
        </w:tc>
        <w:tc>
          <w:tcPr>
            <w:tcW w:w="2982" w:type="dxa"/>
            <w:noWrap w:val="0"/>
            <w:vAlign w:val="center"/>
          </w:tcPr>
          <w:p>
            <w:pPr>
              <w:rPr>
                <w:color w:val="auto"/>
                <w:szCs w:val="21"/>
              </w:rPr>
            </w:pPr>
            <w:r>
              <w:rPr>
                <w:rFonts w:hint="eastAsia"/>
                <w:color w:val="auto"/>
                <w:szCs w:val="21"/>
              </w:rPr>
              <w:t>（5）乡村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827" w:type="dxa"/>
            <w:vMerge w:val="continue"/>
            <w:noWrap w:val="0"/>
            <w:vAlign w:val="center"/>
          </w:tcPr>
          <w:p>
            <w:pPr>
              <w:numPr>
                <w:ilvl w:val="0"/>
                <w:numId w:val="2"/>
              </w:numPr>
              <w:rPr>
                <w:color w:val="auto"/>
                <w:szCs w:val="21"/>
              </w:rPr>
            </w:pPr>
          </w:p>
        </w:tc>
        <w:tc>
          <w:tcPr>
            <w:tcW w:w="4137" w:type="dxa"/>
            <w:noWrap w:val="0"/>
            <w:vAlign w:val="center"/>
          </w:tcPr>
          <w:p>
            <w:pPr>
              <w:numPr>
                <w:ilvl w:val="0"/>
                <w:numId w:val="2"/>
              </w:numPr>
              <w:rPr>
                <w:color w:val="auto"/>
                <w:szCs w:val="21"/>
              </w:rPr>
            </w:pPr>
            <w:r>
              <w:rPr>
                <w:rFonts w:hint="eastAsia"/>
                <w:color w:val="auto"/>
                <w:szCs w:val="21"/>
              </w:rPr>
              <w:t>人口数（城市选项时）</w:t>
            </w:r>
          </w:p>
        </w:tc>
        <w:tc>
          <w:tcPr>
            <w:tcW w:w="2982" w:type="dxa"/>
            <w:noWrap w:val="0"/>
            <w:vAlign w:val="center"/>
          </w:tcPr>
          <w:p>
            <w:pPr>
              <w:numPr>
                <w:ilvl w:val="0"/>
                <w:numId w:val="2"/>
              </w:numPr>
              <w:rPr>
                <w:color w:val="auto"/>
                <w:szCs w:val="21"/>
              </w:rPr>
            </w:pPr>
            <w:r>
              <w:rPr>
                <w:rFonts w:hint="eastAsia"/>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964" w:type="dxa"/>
            <w:gridSpan w:val="2"/>
            <w:noWrap w:val="0"/>
            <w:vAlign w:val="center"/>
          </w:tcPr>
          <w:p>
            <w:pPr>
              <w:numPr>
                <w:ilvl w:val="0"/>
                <w:numId w:val="2"/>
              </w:numPr>
              <w:rPr>
                <w:color w:val="auto"/>
                <w:szCs w:val="21"/>
              </w:rPr>
            </w:pPr>
            <w:r>
              <w:rPr>
                <w:rFonts w:hint="eastAsia"/>
                <w:color w:val="auto"/>
                <w:szCs w:val="21"/>
              </w:rPr>
              <w:t>最高环境温度</w:t>
            </w:r>
          </w:p>
        </w:tc>
        <w:tc>
          <w:tcPr>
            <w:tcW w:w="2982" w:type="dxa"/>
            <w:noWrap w:val="0"/>
            <w:vAlign w:val="center"/>
          </w:tcPr>
          <w:p>
            <w:pPr>
              <w:numPr>
                <w:ilvl w:val="0"/>
                <w:numId w:val="2"/>
              </w:numPr>
              <w:rPr>
                <w:color w:val="auto"/>
                <w:szCs w:val="21"/>
              </w:rPr>
            </w:pPr>
            <w:r>
              <w:rPr>
                <w:color w:val="auto"/>
                <w:szCs w:val="21"/>
              </w:rPr>
              <w:t>38</w:t>
            </w:r>
            <w:r>
              <w:rPr>
                <w:rFonts w:hint="eastAsia"/>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964" w:type="dxa"/>
            <w:gridSpan w:val="2"/>
            <w:noWrap w:val="0"/>
            <w:vAlign w:val="center"/>
          </w:tcPr>
          <w:p>
            <w:pPr>
              <w:numPr>
                <w:ilvl w:val="0"/>
                <w:numId w:val="2"/>
              </w:numPr>
              <w:rPr>
                <w:color w:val="auto"/>
                <w:szCs w:val="21"/>
              </w:rPr>
            </w:pPr>
            <w:r>
              <w:rPr>
                <w:rFonts w:hint="eastAsia"/>
                <w:color w:val="auto"/>
                <w:szCs w:val="21"/>
              </w:rPr>
              <w:t>最低环境温度</w:t>
            </w:r>
          </w:p>
        </w:tc>
        <w:tc>
          <w:tcPr>
            <w:tcW w:w="2982" w:type="dxa"/>
            <w:noWrap w:val="0"/>
            <w:vAlign w:val="center"/>
          </w:tcPr>
          <w:p>
            <w:pPr>
              <w:numPr>
                <w:ilvl w:val="0"/>
                <w:numId w:val="2"/>
              </w:numPr>
              <w:rPr>
                <w:color w:val="auto"/>
                <w:szCs w:val="21"/>
              </w:rPr>
            </w:pPr>
            <w:r>
              <w:rPr>
                <w:rFonts w:hint="eastAsia"/>
                <w:color w:val="auto"/>
                <w:szCs w:val="21"/>
              </w:rPr>
              <w:t>-</w:t>
            </w:r>
            <w:r>
              <w:rPr>
                <w:color w:val="auto"/>
                <w:szCs w:val="21"/>
              </w:rPr>
              <w:t>8.3</w:t>
            </w:r>
            <w:r>
              <w:rPr>
                <w:rFonts w:hint="eastAsia"/>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964" w:type="dxa"/>
            <w:gridSpan w:val="2"/>
            <w:noWrap w:val="0"/>
            <w:vAlign w:val="center"/>
          </w:tcPr>
          <w:p>
            <w:pPr>
              <w:numPr>
                <w:ilvl w:val="0"/>
                <w:numId w:val="2"/>
              </w:numPr>
              <w:rPr>
                <w:color w:val="auto"/>
                <w:szCs w:val="21"/>
              </w:rPr>
            </w:pPr>
            <w:r>
              <w:rPr>
                <w:rFonts w:hint="eastAsia"/>
                <w:color w:val="auto"/>
                <w:szCs w:val="21"/>
              </w:rPr>
              <w:t>土地利用类型</w:t>
            </w:r>
          </w:p>
        </w:tc>
        <w:tc>
          <w:tcPr>
            <w:tcW w:w="2982" w:type="dxa"/>
            <w:noWrap w:val="0"/>
            <w:vAlign w:val="center"/>
          </w:tcPr>
          <w:p>
            <w:pPr>
              <w:numPr>
                <w:ilvl w:val="0"/>
                <w:numId w:val="2"/>
              </w:numPr>
              <w:rPr>
                <w:color w:val="auto"/>
                <w:szCs w:val="21"/>
              </w:rPr>
            </w:pPr>
            <w:r>
              <w:rPr>
                <w:rFonts w:hint="eastAsia"/>
                <w:color w:val="auto"/>
                <w:szCs w:val="21"/>
              </w:rPr>
              <w:t>农作地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5964" w:type="dxa"/>
            <w:gridSpan w:val="2"/>
            <w:noWrap w:val="0"/>
            <w:vAlign w:val="center"/>
          </w:tcPr>
          <w:p>
            <w:pPr>
              <w:numPr>
                <w:ilvl w:val="0"/>
                <w:numId w:val="2"/>
              </w:numPr>
              <w:rPr>
                <w:color w:val="auto"/>
                <w:szCs w:val="21"/>
              </w:rPr>
            </w:pPr>
            <w:r>
              <w:rPr>
                <w:rFonts w:hint="eastAsia"/>
                <w:color w:val="auto"/>
                <w:szCs w:val="21"/>
              </w:rPr>
              <w:t>区域湿度条件</w:t>
            </w:r>
          </w:p>
        </w:tc>
        <w:tc>
          <w:tcPr>
            <w:tcW w:w="2982" w:type="dxa"/>
            <w:noWrap w:val="0"/>
            <w:vAlign w:val="center"/>
          </w:tcPr>
          <w:p>
            <w:pPr>
              <w:rPr>
                <w:color w:val="auto"/>
                <w:szCs w:val="21"/>
              </w:rPr>
            </w:pPr>
            <w:r>
              <w:rPr>
                <w:rFonts w:hint="eastAsia"/>
                <w:color w:val="auto"/>
                <w:szCs w:val="21"/>
              </w:rPr>
              <w:t>（1</w:t>
            </w:r>
            <w:r>
              <w:rPr>
                <w:color w:val="auto"/>
                <w:szCs w:val="21"/>
              </w:rPr>
              <w:t>3</w:t>
            </w:r>
            <w:r>
              <w:rPr>
                <w:rFonts w:hint="eastAsia"/>
                <w:color w:val="auto"/>
                <w:szCs w:val="21"/>
              </w:rPr>
              <w:t>）中等湿度气候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827" w:type="dxa"/>
            <w:vMerge w:val="restart"/>
            <w:noWrap w:val="0"/>
            <w:vAlign w:val="center"/>
          </w:tcPr>
          <w:p>
            <w:pPr>
              <w:numPr>
                <w:ilvl w:val="0"/>
                <w:numId w:val="2"/>
              </w:numPr>
              <w:rPr>
                <w:color w:val="auto"/>
                <w:szCs w:val="21"/>
              </w:rPr>
            </w:pPr>
            <w:r>
              <w:rPr>
                <w:rFonts w:hint="eastAsia"/>
                <w:color w:val="auto"/>
                <w:szCs w:val="21"/>
              </w:rPr>
              <w:t>是否考虑地形</w:t>
            </w:r>
          </w:p>
        </w:tc>
        <w:tc>
          <w:tcPr>
            <w:tcW w:w="4137" w:type="dxa"/>
            <w:noWrap w:val="0"/>
            <w:vAlign w:val="center"/>
          </w:tcPr>
          <w:p>
            <w:pPr>
              <w:numPr>
                <w:ilvl w:val="0"/>
                <w:numId w:val="2"/>
              </w:numPr>
              <w:rPr>
                <w:color w:val="auto"/>
                <w:szCs w:val="21"/>
              </w:rPr>
            </w:pPr>
            <w:r>
              <w:rPr>
                <w:rFonts w:hint="eastAsia"/>
                <w:color w:val="auto"/>
                <w:szCs w:val="21"/>
              </w:rPr>
              <w:t>考虑地形</w:t>
            </w:r>
          </w:p>
        </w:tc>
        <w:tc>
          <w:tcPr>
            <w:tcW w:w="2982" w:type="dxa"/>
            <w:noWrap w:val="0"/>
            <w:vAlign w:val="center"/>
          </w:tcPr>
          <w:p>
            <w:pPr>
              <w:rPr>
                <w:color w:val="auto"/>
                <w:szCs w:val="21"/>
              </w:rPr>
            </w:pPr>
            <w:r>
              <w:rPr>
                <w:rFonts w:hint="eastAsia"/>
                <w:color w:val="auto"/>
                <w:szCs w:val="21"/>
              </w:rPr>
              <w:t>（1</w:t>
            </w:r>
            <w:r>
              <w:rPr>
                <w:color w:val="auto"/>
                <w:szCs w:val="21"/>
              </w:rPr>
              <w:t>5</w:t>
            </w:r>
            <w:r>
              <w:rPr>
                <w:rFonts w:hint="eastAsia"/>
                <w:color w:val="auto"/>
                <w:szCs w:val="21"/>
              </w:rPr>
              <w:t>）</w:t>
            </w:r>
            <w:r>
              <w:rPr>
                <w:rFonts w:hint="eastAsia"/>
                <w:color w:val="auto"/>
                <w:szCs w:val="21"/>
              </w:rPr>
              <w:sym w:font="Wingdings" w:char="00FE"/>
            </w:r>
            <w:r>
              <w:rPr>
                <w:rFonts w:hint="eastAsia"/>
                <w:color w:val="auto"/>
                <w:szCs w:val="21"/>
              </w:rPr>
              <w:t xml:space="preserve">是  </w:t>
            </w:r>
            <w:r>
              <w:rPr>
                <w:color w:val="auto"/>
                <w:szCs w:val="21"/>
              </w:rPr>
              <w:t>□</w:t>
            </w:r>
            <w:r>
              <w:rPr>
                <w:rFonts w:hint="eastAsia"/>
                <w:color w:val="auto"/>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827" w:type="dxa"/>
            <w:vMerge w:val="continue"/>
            <w:noWrap w:val="0"/>
            <w:vAlign w:val="center"/>
          </w:tcPr>
          <w:p>
            <w:pPr>
              <w:numPr>
                <w:ilvl w:val="0"/>
                <w:numId w:val="2"/>
              </w:numPr>
              <w:rPr>
                <w:color w:val="auto"/>
                <w:szCs w:val="21"/>
              </w:rPr>
            </w:pPr>
          </w:p>
        </w:tc>
        <w:tc>
          <w:tcPr>
            <w:tcW w:w="4137" w:type="dxa"/>
            <w:noWrap w:val="0"/>
            <w:vAlign w:val="center"/>
          </w:tcPr>
          <w:p>
            <w:pPr>
              <w:numPr>
                <w:ilvl w:val="0"/>
                <w:numId w:val="2"/>
              </w:numPr>
              <w:rPr>
                <w:color w:val="auto"/>
                <w:szCs w:val="21"/>
              </w:rPr>
            </w:pPr>
            <w:r>
              <w:rPr>
                <w:rFonts w:hint="eastAsia"/>
                <w:color w:val="auto"/>
                <w:szCs w:val="21"/>
              </w:rPr>
              <w:t>地形数据分辨率/m</w:t>
            </w:r>
          </w:p>
        </w:tc>
        <w:tc>
          <w:tcPr>
            <w:tcW w:w="2982" w:type="dxa"/>
            <w:noWrap w:val="0"/>
            <w:vAlign w:val="center"/>
          </w:tcPr>
          <w:p>
            <w:pPr>
              <w:rPr>
                <w:rFonts w:hint="eastAsia"/>
                <w:color w:val="auto"/>
                <w:szCs w:val="21"/>
              </w:rPr>
            </w:pPr>
            <w:r>
              <w:rPr>
                <w:rFonts w:hint="eastAsia"/>
                <w:color w:val="auto"/>
                <w:szCs w:val="21"/>
              </w:rPr>
              <w:t>（1</w:t>
            </w:r>
            <w:r>
              <w:rPr>
                <w:color w:val="auto"/>
                <w:szCs w:val="21"/>
              </w:rPr>
              <w:t>7</w:t>
            </w:r>
            <w:r>
              <w:rPr>
                <w:rFonts w:hint="eastAsia"/>
                <w:color w:val="auto"/>
                <w:szCs w:val="21"/>
              </w:rPr>
              <w:t>）</w:t>
            </w:r>
            <w:r>
              <w:rPr>
                <w:color w:val="auto"/>
                <w:szCs w:val="21"/>
              </w:rP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827" w:type="dxa"/>
            <w:vMerge w:val="restart"/>
            <w:noWrap w:val="0"/>
            <w:vAlign w:val="center"/>
          </w:tcPr>
          <w:p>
            <w:pPr>
              <w:numPr>
                <w:ilvl w:val="0"/>
                <w:numId w:val="2"/>
              </w:numPr>
              <w:rPr>
                <w:color w:val="auto"/>
                <w:szCs w:val="21"/>
              </w:rPr>
            </w:pPr>
            <w:r>
              <w:rPr>
                <w:rFonts w:hint="eastAsia"/>
                <w:color w:val="auto"/>
                <w:szCs w:val="21"/>
              </w:rPr>
              <w:t>是否考虑岸线熏烟</w:t>
            </w:r>
          </w:p>
        </w:tc>
        <w:tc>
          <w:tcPr>
            <w:tcW w:w="4137" w:type="dxa"/>
            <w:noWrap w:val="0"/>
            <w:vAlign w:val="center"/>
          </w:tcPr>
          <w:p>
            <w:pPr>
              <w:rPr>
                <w:color w:val="auto"/>
                <w:szCs w:val="21"/>
              </w:rPr>
            </w:pPr>
            <w:r>
              <w:rPr>
                <w:rFonts w:hint="eastAsia"/>
                <w:color w:val="auto"/>
                <w:szCs w:val="21"/>
              </w:rPr>
              <w:t>（1</w:t>
            </w:r>
            <w:r>
              <w:rPr>
                <w:color w:val="auto"/>
                <w:szCs w:val="21"/>
              </w:rPr>
              <w:t>8</w:t>
            </w:r>
            <w:r>
              <w:rPr>
                <w:rFonts w:hint="eastAsia"/>
                <w:color w:val="auto"/>
                <w:szCs w:val="21"/>
              </w:rPr>
              <w:t>）考虑岸线熏烟</w:t>
            </w:r>
          </w:p>
        </w:tc>
        <w:tc>
          <w:tcPr>
            <w:tcW w:w="2982" w:type="dxa"/>
            <w:noWrap w:val="0"/>
            <w:vAlign w:val="center"/>
          </w:tcPr>
          <w:p>
            <w:pPr>
              <w:rPr>
                <w:color w:val="auto"/>
                <w:szCs w:val="21"/>
              </w:rPr>
            </w:pPr>
            <w:r>
              <w:rPr>
                <w:rFonts w:hint="eastAsia"/>
                <w:color w:val="auto"/>
                <w:szCs w:val="21"/>
              </w:rPr>
              <w:t>（1</w:t>
            </w:r>
            <w:r>
              <w:rPr>
                <w:color w:val="auto"/>
                <w:szCs w:val="21"/>
              </w:rPr>
              <w:t>9</w:t>
            </w:r>
            <w:r>
              <w:rPr>
                <w:rFonts w:hint="eastAsia"/>
                <w:color w:val="auto"/>
                <w:szCs w:val="21"/>
              </w:rPr>
              <w:t>）</w:t>
            </w:r>
            <w:r>
              <w:rPr>
                <w:color w:val="auto"/>
                <w:szCs w:val="21"/>
              </w:rPr>
              <w:t>□</w:t>
            </w:r>
            <w:r>
              <w:rPr>
                <w:rFonts w:hint="eastAsia"/>
                <w:color w:val="auto"/>
                <w:szCs w:val="21"/>
              </w:rPr>
              <w:t xml:space="preserve">是  </w:t>
            </w:r>
            <w:r>
              <w:rPr>
                <w:rFonts w:hint="eastAsia"/>
                <w:color w:val="auto"/>
                <w:szCs w:val="21"/>
              </w:rPr>
              <w:sym w:font="Wingdings" w:char="00FE"/>
            </w:r>
            <w:r>
              <w:rPr>
                <w:rFonts w:hint="eastAsia"/>
                <w:color w:val="auto"/>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827" w:type="dxa"/>
            <w:vMerge w:val="continue"/>
            <w:noWrap w:val="0"/>
            <w:vAlign w:val="center"/>
          </w:tcPr>
          <w:p>
            <w:pPr>
              <w:numPr>
                <w:ilvl w:val="0"/>
                <w:numId w:val="2"/>
              </w:numPr>
              <w:rPr>
                <w:color w:val="auto"/>
                <w:szCs w:val="21"/>
              </w:rPr>
            </w:pPr>
          </w:p>
        </w:tc>
        <w:tc>
          <w:tcPr>
            <w:tcW w:w="4137" w:type="dxa"/>
            <w:noWrap w:val="0"/>
            <w:vAlign w:val="center"/>
          </w:tcPr>
          <w:p>
            <w:pPr>
              <w:rPr>
                <w:color w:val="auto"/>
                <w:szCs w:val="21"/>
              </w:rPr>
            </w:pPr>
            <w:r>
              <w:rPr>
                <w:rFonts w:hint="eastAsia"/>
                <w:color w:val="auto"/>
                <w:szCs w:val="21"/>
              </w:rPr>
              <w:t>（2</w:t>
            </w:r>
            <w:r>
              <w:rPr>
                <w:color w:val="auto"/>
                <w:szCs w:val="21"/>
              </w:rPr>
              <w:t>0</w:t>
            </w:r>
            <w:r>
              <w:rPr>
                <w:rFonts w:hint="eastAsia"/>
                <w:color w:val="auto"/>
                <w:szCs w:val="21"/>
              </w:rPr>
              <w:t>）岸线距离/km</w:t>
            </w:r>
          </w:p>
        </w:tc>
        <w:tc>
          <w:tcPr>
            <w:tcW w:w="2982" w:type="dxa"/>
            <w:noWrap w:val="0"/>
            <w:vAlign w:val="center"/>
          </w:tcPr>
          <w:p>
            <w:pPr>
              <w:rPr>
                <w:rFonts w:hint="eastAsia"/>
                <w:color w:val="auto"/>
                <w:szCs w:val="21"/>
              </w:rPr>
            </w:pPr>
            <w:r>
              <w:rPr>
                <w:rFonts w:hint="eastAsia"/>
                <w:color w:val="auto"/>
                <w:szCs w:val="21"/>
              </w:rPr>
              <w:t>（2</w:t>
            </w:r>
            <w:r>
              <w:rPr>
                <w:color w:val="auto"/>
                <w:szCs w:val="21"/>
              </w:rPr>
              <w:t>1</w:t>
            </w:r>
            <w:r>
              <w:rPr>
                <w:rFonts w:hint="eastAsia"/>
                <w:color w:val="auto"/>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827" w:type="dxa"/>
            <w:vMerge w:val="continue"/>
            <w:noWrap w:val="0"/>
            <w:vAlign w:val="center"/>
          </w:tcPr>
          <w:p>
            <w:pPr>
              <w:numPr>
                <w:ilvl w:val="0"/>
                <w:numId w:val="2"/>
              </w:numPr>
              <w:rPr>
                <w:color w:val="auto"/>
                <w:szCs w:val="21"/>
              </w:rPr>
            </w:pPr>
          </w:p>
        </w:tc>
        <w:tc>
          <w:tcPr>
            <w:tcW w:w="4137" w:type="dxa"/>
            <w:noWrap w:val="0"/>
            <w:vAlign w:val="center"/>
          </w:tcPr>
          <w:p>
            <w:pPr>
              <w:rPr>
                <w:color w:val="auto"/>
                <w:szCs w:val="21"/>
              </w:rPr>
            </w:pPr>
            <w:r>
              <w:rPr>
                <w:rFonts w:hint="eastAsia"/>
                <w:color w:val="auto"/>
                <w:szCs w:val="21"/>
              </w:rPr>
              <w:t>（2</w:t>
            </w:r>
            <w:r>
              <w:rPr>
                <w:color w:val="auto"/>
                <w:szCs w:val="21"/>
              </w:rPr>
              <w:t>2</w:t>
            </w:r>
            <w:r>
              <w:rPr>
                <w:rFonts w:hint="eastAsia"/>
                <w:color w:val="auto"/>
                <w:szCs w:val="21"/>
              </w:rPr>
              <w:t>）岸线方向/°</w:t>
            </w:r>
          </w:p>
        </w:tc>
        <w:tc>
          <w:tcPr>
            <w:tcW w:w="2982" w:type="dxa"/>
            <w:noWrap w:val="0"/>
            <w:vAlign w:val="center"/>
          </w:tcPr>
          <w:p>
            <w:pPr>
              <w:rPr>
                <w:rFonts w:hint="eastAsia"/>
                <w:color w:val="auto"/>
                <w:szCs w:val="21"/>
              </w:rPr>
            </w:pPr>
            <w:r>
              <w:rPr>
                <w:rFonts w:hint="eastAsia"/>
                <w:color w:val="auto"/>
                <w:szCs w:val="21"/>
              </w:rPr>
              <w:t>（2</w:t>
            </w:r>
            <w:r>
              <w:rPr>
                <w:color w:val="auto"/>
                <w:szCs w:val="21"/>
              </w:rPr>
              <w:t>3</w:t>
            </w:r>
            <w:r>
              <w:rPr>
                <w:rFonts w:hint="eastAsia"/>
                <w:color w:val="auto"/>
                <w:szCs w:val="21"/>
              </w:rPr>
              <w:t>）/</w:t>
            </w:r>
          </w:p>
        </w:tc>
      </w:tr>
    </w:tbl>
    <w:p>
      <w:pPr>
        <w:spacing w:line="520" w:lineRule="exact"/>
        <w:contextualSpacing/>
        <w:jc w:val="center"/>
        <w:rPr>
          <w:rFonts w:hint="eastAsia"/>
          <w:b/>
          <w:bCs/>
          <w:color w:val="auto"/>
          <w:sz w:val="24"/>
        </w:rPr>
      </w:pPr>
      <w:r>
        <w:rPr>
          <w:b/>
          <w:bCs/>
          <w:color w:val="auto"/>
          <w:sz w:val="24"/>
        </w:rPr>
        <w:t>表1</w:t>
      </w:r>
      <w:r>
        <w:rPr>
          <w:rFonts w:hint="eastAsia"/>
          <w:b/>
          <w:bCs/>
          <w:color w:val="auto"/>
          <w:sz w:val="24"/>
        </w:rPr>
        <w:t>-</w:t>
      </w:r>
      <w:r>
        <w:rPr>
          <w:b/>
          <w:bCs/>
          <w:color w:val="auto"/>
          <w:sz w:val="24"/>
        </w:rPr>
        <w:t xml:space="preserve">6-3  </w:t>
      </w:r>
      <w:r>
        <w:rPr>
          <w:rFonts w:hint="eastAsia"/>
          <w:b/>
          <w:bCs/>
          <w:color w:val="auto"/>
          <w:sz w:val="24"/>
        </w:rPr>
        <w:t>点源</w:t>
      </w:r>
      <w:r>
        <w:rPr>
          <w:b/>
          <w:bCs/>
          <w:color w:val="auto"/>
          <w:sz w:val="24"/>
        </w:rPr>
        <w:t>估算模型计算结果</w:t>
      </w:r>
      <w:r>
        <w:rPr>
          <w:rFonts w:hint="eastAsia"/>
          <w:b/>
          <w:bCs/>
          <w:color w:val="auto"/>
          <w:sz w:val="24"/>
        </w:rPr>
        <w:t>表</w:t>
      </w:r>
    </w:p>
    <w:tbl>
      <w:tblPr>
        <w:tblStyle w:val="17"/>
        <w:tblW w:w="8846"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57" w:type="dxa"/>
          <w:bottom w:w="0" w:type="dxa"/>
          <w:right w:w="57" w:type="dxa"/>
        </w:tblCellMar>
      </w:tblPr>
      <w:tblGrid>
        <w:gridCol w:w="1676"/>
        <w:gridCol w:w="1785"/>
        <w:gridCol w:w="1629"/>
        <w:gridCol w:w="2128"/>
        <w:gridCol w:w="1628"/>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blHeader/>
          <w:jc w:val="center"/>
        </w:trPr>
        <w:tc>
          <w:tcPr>
            <w:tcW w:w="1676" w:type="dxa"/>
            <w:vMerge w:val="restart"/>
            <w:tcBorders>
              <w:top w:val="single" w:color="auto" w:sz="12" w:space="0"/>
              <w:left w:val="single" w:color="auto" w:sz="12" w:space="0"/>
              <w:bottom w:val="single" w:color="auto" w:sz="4" w:space="0"/>
              <w:right w:val="single" w:color="auto" w:sz="4" w:space="0"/>
            </w:tcBorders>
            <w:noWrap w:val="0"/>
            <w:vAlign w:val="center"/>
          </w:tcPr>
          <w:p>
            <w:pPr>
              <w:adjustRightInd w:val="0"/>
              <w:snapToGrid w:val="0"/>
              <w:jc w:val="center"/>
              <w:rPr>
                <w:bCs/>
                <w:color w:val="auto"/>
                <w:spacing w:val="-6"/>
                <w:szCs w:val="21"/>
              </w:rPr>
            </w:pPr>
            <w:r>
              <w:rPr>
                <w:bCs/>
                <w:color w:val="auto"/>
                <w:spacing w:val="-6"/>
                <w:kern w:val="0"/>
                <w:szCs w:val="21"/>
              </w:rPr>
              <w:t>距离（m）</w:t>
            </w:r>
          </w:p>
        </w:tc>
        <w:tc>
          <w:tcPr>
            <w:tcW w:w="3414" w:type="dxa"/>
            <w:gridSpan w:val="2"/>
            <w:tcBorders>
              <w:top w:val="single" w:color="auto" w:sz="12" w:space="0"/>
              <w:left w:val="single" w:color="auto" w:sz="4" w:space="0"/>
              <w:bottom w:val="single" w:color="auto" w:sz="4" w:space="0"/>
              <w:right w:val="single" w:color="auto" w:sz="4" w:space="0"/>
            </w:tcBorders>
            <w:noWrap w:val="0"/>
            <w:vAlign w:val="center"/>
          </w:tcPr>
          <w:p>
            <w:pPr>
              <w:ind w:firstLine="396" w:firstLineChars="200"/>
              <w:jc w:val="center"/>
              <w:rPr>
                <w:bCs/>
                <w:color w:val="auto"/>
                <w:spacing w:val="-6"/>
                <w:szCs w:val="21"/>
              </w:rPr>
            </w:pPr>
            <w:r>
              <w:rPr>
                <w:bCs/>
                <w:color w:val="auto"/>
                <w:spacing w:val="-6"/>
                <w:kern w:val="0"/>
                <w:szCs w:val="21"/>
              </w:rPr>
              <w:t>SO</w:t>
            </w:r>
            <w:r>
              <w:rPr>
                <w:bCs/>
                <w:color w:val="auto"/>
                <w:spacing w:val="-6"/>
                <w:kern w:val="0"/>
                <w:szCs w:val="21"/>
                <w:vertAlign w:val="subscript"/>
              </w:rPr>
              <w:t>2</w:t>
            </w:r>
            <w:r>
              <w:rPr>
                <w:bCs/>
                <w:color w:val="auto"/>
                <w:spacing w:val="-6"/>
                <w:kern w:val="0"/>
                <w:szCs w:val="21"/>
              </w:rPr>
              <w:t>1小时最大浓度</w:t>
            </w:r>
          </w:p>
        </w:tc>
        <w:tc>
          <w:tcPr>
            <w:tcW w:w="3756" w:type="dxa"/>
            <w:gridSpan w:val="2"/>
            <w:tcBorders>
              <w:top w:val="single" w:color="auto" w:sz="12" w:space="0"/>
              <w:left w:val="single" w:color="auto" w:sz="4" w:space="0"/>
              <w:bottom w:val="single" w:color="auto" w:sz="4" w:space="0"/>
              <w:right w:val="single" w:color="auto" w:sz="12" w:space="0"/>
            </w:tcBorders>
            <w:noWrap w:val="0"/>
            <w:vAlign w:val="center"/>
          </w:tcPr>
          <w:p>
            <w:pPr>
              <w:jc w:val="center"/>
              <w:rPr>
                <w:bCs/>
                <w:color w:val="auto"/>
                <w:spacing w:val="-6"/>
                <w:szCs w:val="21"/>
              </w:rPr>
            </w:pPr>
            <w:r>
              <w:rPr>
                <w:bCs/>
                <w:color w:val="auto"/>
                <w:spacing w:val="-6"/>
                <w:kern w:val="0"/>
                <w:szCs w:val="21"/>
              </w:rPr>
              <w:t>NO</w:t>
            </w:r>
            <w:r>
              <w:rPr>
                <w:bCs/>
                <w:color w:val="auto"/>
                <w:spacing w:val="-6"/>
                <w:kern w:val="0"/>
                <w:szCs w:val="21"/>
                <w:vertAlign w:val="subscript"/>
              </w:rPr>
              <w:t>X</w:t>
            </w:r>
            <w:r>
              <w:rPr>
                <w:bCs/>
                <w:color w:val="auto"/>
                <w:spacing w:val="-6"/>
                <w:kern w:val="0"/>
                <w:szCs w:val="21"/>
              </w:rPr>
              <w:t>1小时平均最大浓度</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blHeader/>
          <w:jc w:val="center"/>
        </w:trPr>
        <w:tc>
          <w:tcPr>
            <w:tcW w:w="1676" w:type="dxa"/>
            <w:vMerge w:val="continue"/>
            <w:tcBorders>
              <w:top w:val="single" w:color="auto" w:sz="4" w:space="0"/>
              <w:left w:val="single" w:color="auto" w:sz="12" w:space="0"/>
              <w:bottom w:val="single" w:color="auto" w:sz="4" w:space="0"/>
              <w:right w:val="single" w:color="auto" w:sz="4" w:space="0"/>
            </w:tcBorders>
            <w:noWrap w:val="0"/>
            <w:vAlign w:val="center"/>
          </w:tcPr>
          <w:p>
            <w:pPr>
              <w:jc w:val="center"/>
              <w:rPr>
                <w:bCs/>
                <w:color w:val="auto"/>
                <w:szCs w:val="21"/>
              </w:rPr>
            </w:pPr>
          </w:p>
        </w:tc>
        <w:tc>
          <w:tcPr>
            <w:tcW w:w="178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auto"/>
                <w:spacing w:val="-6"/>
                <w:szCs w:val="21"/>
              </w:rPr>
            </w:pPr>
            <w:r>
              <w:rPr>
                <w:bCs/>
                <w:color w:val="auto"/>
                <w:spacing w:val="-6"/>
                <w:kern w:val="0"/>
                <w:szCs w:val="21"/>
              </w:rPr>
              <w:t>预测浓度</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auto"/>
                <w:spacing w:val="-6"/>
                <w:szCs w:val="21"/>
              </w:rPr>
            </w:pPr>
            <w:r>
              <w:rPr>
                <w:bCs/>
                <w:color w:val="auto"/>
                <w:spacing w:val="-6"/>
                <w:kern w:val="0"/>
                <w:szCs w:val="21"/>
              </w:rPr>
              <w:t>占标率%</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auto"/>
                <w:spacing w:val="-6"/>
                <w:szCs w:val="21"/>
              </w:rPr>
            </w:pPr>
            <w:r>
              <w:rPr>
                <w:bCs/>
                <w:color w:val="auto"/>
                <w:spacing w:val="-6"/>
                <w:kern w:val="0"/>
                <w:szCs w:val="21"/>
              </w:rPr>
              <w:t>预测浓度</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adjustRightInd w:val="0"/>
              <w:snapToGrid w:val="0"/>
              <w:jc w:val="center"/>
              <w:rPr>
                <w:bCs/>
                <w:color w:val="auto"/>
                <w:spacing w:val="-6"/>
                <w:szCs w:val="21"/>
              </w:rPr>
            </w:pPr>
            <w:r>
              <w:rPr>
                <w:bCs/>
                <w:color w:val="auto"/>
                <w:spacing w:val="-6"/>
                <w:kern w:val="0"/>
                <w:szCs w:val="21"/>
              </w:rPr>
              <w:t>占标率%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auto"/>
                <w:spacing w:val="-6"/>
                <w:szCs w:val="21"/>
              </w:rPr>
            </w:pPr>
            <w:r>
              <w:rPr>
                <w:bCs/>
                <w:color w:val="auto"/>
                <w:kern w:val="0"/>
                <w:szCs w:val="21"/>
              </w:rPr>
              <w:t>10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auto"/>
                <w:sz w:val="22"/>
                <w:szCs w:val="22"/>
              </w:rPr>
            </w:pPr>
            <w:r>
              <w:rPr>
                <w:rFonts w:hint="eastAsia"/>
                <w:bCs/>
                <w:color w:val="auto"/>
                <w:sz w:val="22"/>
                <w:szCs w:val="22"/>
              </w:rPr>
              <w:t>0.00</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auto"/>
                <w:sz w:val="22"/>
                <w:szCs w:val="22"/>
              </w:rPr>
            </w:pPr>
            <w:r>
              <w:rPr>
                <w:rFonts w:hint="eastAsia"/>
                <w:color w:val="auto"/>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auto"/>
                <w:sz w:val="22"/>
                <w:szCs w:val="22"/>
              </w:rPr>
            </w:pPr>
            <w:r>
              <w:rPr>
                <w:rFonts w:hint="eastAsia"/>
                <w:bCs/>
                <w:color w:val="auto"/>
                <w:sz w:val="22"/>
                <w:szCs w:val="22"/>
              </w:rPr>
              <w:t>0.00</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auto"/>
                <w:sz w:val="22"/>
                <w:szCs w:val="22"/>
              </w:rPr>
            </w:pPr>
            <w:r>
              <w:rPr>
                <w:rFonts w:hint="eastAsia"/>
                <w:bCs/>
                <w:color w:val="auto"/>
                <w:sz w:val="22"/>
                <w:szCs w:val="22"/>
              </w:rPr>
              <w:t>0.00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tcMar>
              <w:left w:w="28" w:type="dxa"/>
              <w:right w:w="28" w:type="dxa"/>
            </w:tcMar>
            <w:vAlign w:val="center"/>
          </w:tcPr>
          <w:p>
            <w:pPr>
              <w:widowControl/>
              <w:jc w:val="center"/>
              <w:textAlignment w:val="center"/>
              <w:rPr>
                <w:bCs/>
                <w:color w:val="auto"/>
                <w:spacing w:val="-6"/>
                <w:szCs w:val="21"/>
              </w:rPr>
            </w:pPr>
            <w:r>
              <w:rPr>
                <w:bCs/>
                <w:color w:val="auto"/>
                <w:kern w:val="0"/>
                <w:szCs w:val="21"/>
              </w:rPr>
              <w:t>100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auto"/>
                <w:sz w:val="22"/>
                <w:szCs w:val="22"/>
              </w:rPr>
            </w:pPr>
            <w:r>
              <w:rPr>
                <w:rFonts w:hint="eastAsia"/>
                <w:bCs/>
                <w:color w:val="auto"/>
                <w:sz w:val="22"/>
                <w:szCs w:val="22"/>
              </w:rPr>
              <w:t>0.02</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auto"/>
                <w:sz w:val="22"/>
                <w:szCs w:val="22"/>
              </w:rPr>
            </w:pPr>
            <w:r>
              <w:rPr>
                <w:rFonts w:hint="eastAsia"/>
                <w:color w:val="auto"/>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auto"/>
                <w:sz w:val="22"/>
                <w:szCs w:val="22"/>
                <w:lang w:eastAsia="zh-CN"/>
              </w:rPr>
            </w:pPr>
            <w:r>
              <w:rPr>
                <w:rFonts w:hint="eastAsia"/>
                <w:bCs/>
                <w:color w:val="auto"/>
                <w:sz w:val="22"/>
                <w:szCs w:val="22"/>
              </w:rPr>
              <w:t>0.7</w:t>
            </w:r>
            <w:r>
              <w:rPr>
                <w:rFonts w:hint="eastAsia"/>
                <w:bCs/>
                <w:color w:val="auto"/>
                <w:sz w:val="22"/>
                <w:szCs w:val="22"/>
                <w:lang w:val="en-US" w:eastAsia="zh-CN"/>
              </w:rPr>
              <w:t>1</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auto"/>
                <w:sz w:val="22"/>
                <w:szCs w:val="22"/>
                <w:lang w:eastAsia="zh-CN"/>
              </w:rPr>
            </w:pPr>
            <w:r>
              <w:rPr>
                <w:rFonts w:hint="eastAsia"/>
                <w:bCs/>
                <w:color w:val="auto"/>
                <w:sz w:val="22"/>
                <w:szCs w:val="22"/>
              </w:rPr>
              <w:t>0.3</w:t>
            </w:r>
            <w:r>
              <w:rPr>
                <w:rFonts w:hint="eastAsia"/>
                <w:bCs/>
                <w:color w:val="auto"/>
                <w:sz w:val="22"/>
                <w:szCs w:val="22"/>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200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0.02</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val="en-US" w:eastAsia="zh-CN"/>
              </w:rPr>
            </w:pPr>
            <w:r>
              <w:rPr>
                <w:rFonts w:hint="eastAsia"/>
                <w:bCs/>
                <w:color w:val="000000"/>
                <w:sz w:val="22"/>
                <w:szCs w:val="22"/>
              </w:rPr>
              <w:t>0.5</w:t>
            </w:r>
            <w:r>
              <w:rPr>
                <w:rFonts w:hint="eastAsia"/>
                <w:bCs/>
                <w:color w:val="000000"/>
                <w:sz w:val="22"/>
                <w:szCs w:val="22"/>
                <w:lang w:val="en-US" w:eastAsia="zh-CN"/>
              </w:rPr>
              <w:t>0</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0.2</w:t>
            </w:r>
            <w:r>
              <w:rPr>
                <w:rFonts w:hint="eastAsia"/>
                <w:bCs/>
                <w:color w:val="000000"/>
                <w:sz w:val="22"/>
                <w:szCs w:val="22"/>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300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0.4</w:t>
            </w:r>
            <w:r>
              <w:rPr>
                <w:rFonts w:hint="eastAsia"/>
                <w:bCs/>
                <w:color w:val="000000"/>
                <w:sz w:val="22"/>
                <w:szCs w:val="22"/>
                <w:lang w:val="en-US" w:eastAsia="zh-CN"/>
              </w:rPr>
              <w:t>0</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0.2</w:t>
            </w:r>
            <w:r>
              <w:rPr>
                <w:rFonts w:hint="eastAsia"/>
                <w:bCs/>
                <w:color w:val="000000"/>
                <w:sz w:val="22"/>
                <w:szCs w:val="22"/>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400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0.3</w:t>
            </w:r>
            <w:r>
              <w:rPr>
                <w:rFonts w:hint="eastAsia"/>
                <w:bCs/>
                <w:color w:val="000000"/>
                <w:sz w:val="22"/>
                <w:szCs w:val="22"/>
                <w:lang w:val="en-US" w:eastAsia="zh-CN"/>
              </w:rPr>
              <w:t>2</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500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0.3</w:t>
            </w:r>
            <w:r>
              <w:rPr>
                <w:rFonts w:hint="eastAsia"/>
                <w:bCs/>
                <w:color w:val="000000"/>
                <w:sz w:val="22"/>
                <w:szCs w:val="22"/>
                <w:lang w:val="en-US" w:eastAsia="zh-CN"/>
              </w:rPr>
              <w:t>2</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val="en-US" w:eastAsia="zh-CN"/>
              </w:rPr>
            </w:pPr>
            <w:r>
              <w:rPr>
                <w:rFonts w:hint="eastAsia"/>
                <w:bCs/>
                <w:color w:val="000000"/>
                <w:sz w:val="22"/>
                <w:szCs w:val="22"/>
              </w:rPr>
              <w:t>0.1</w:t>
            </w:r>
            <w:r>
              <w:rPr>
                <w:rFonts w:hint="eastAsia"/>
                <w:bCs/>
                <w:color w:val="000000"/>
                <w:sz w:val="22"/>
                <w:szCs w:val="22"/>
                <w:lang w:val="en-US" w:eastAsia="zh-CN"/>
              </w:rPr>
              <w:t>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600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0.3</w:t>
            </w:r>
            <w:r>
              <w:rPr>
                <w:rFonts w:hint="eastAsia"/>
                <w:bCs/>
                <w:color w:val="000000"/>
                <w:sz w:val="22"/>
                <w:szCs w:val="22"/>
                <w:lang w:val="en-US" w:eastAsia="zh-CN"/>
              </w:rPr>
              <w:t>1</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700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0.31</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800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0.2</w:t>
            </w:r>
            <w:r>
              <w:rPr>
                <w:rFonts w:hint="eastAsia"/>
                <w:bCs/>
                <w:color w:val="000000"/>
                <w:sz w:val="22"/>
                <w:szCs w:val="22"/>
                <w:lang w:val="en-US" w:eastAsia="zh-CN"/>
              </w:rPr>
              <w:t>7</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900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0.2</w:t>
            </w:r>
            <w:r>
              <w:rPr>
                <w:rFonts w:hint="eastAsia"/>
                <w:bCs/>
                <w:color w:val="000000"/>
                <w:sz w:val="22"/>
                <w:szCs w:val="22"/>
                <w:lang w:val="en-US" w:eastAsia="zh-CN"/>
              </w:rPr>
              <w:t>7</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0.13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1000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0.2</w:t>
            </w:r>
            <w:r>
              <w:rPr>
                <w:rFonts w:hint="eastAsia"/>
                <w:bCs/>
                <w:color w:val="000000"/>
                <w:sz w:val="22"/>
                <w:szCs w:val="22"/>
                <w:lang w:val="en-US" w:eastAsia="zh-CN"/>
              </w:rPr>
              <w:t>5</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1250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8</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1500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0.00</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7</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1750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0.00</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5</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2000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0.00</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3</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2250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0.00</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2</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kern w:val="0"/>
                <w:szCs w:val="21"/>
              </w:rPr>
            </w:pPr>
            <w:r>
              <w:rPr>
                <w:bCs/>
                <w:color w:val="000000"/>
                <w:kern w:val="0"/>
                <w:szCs w:val="21"/>
              </w:rPr>
              <w:t>2500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0.00</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0.09</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最大浓度（91m）</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bCs/>
                <w:color w:val="000000"/>
                <w:sz w:val="22"/>
                <w:szCs w:val="22"/>
              </w:rPr>
              <w:t>0.02</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bCs/>
                <w:color w:val="000000"/>
                <w:sz w:val="22"/>
                <w:szCs w:val="22"/>
              </w:rPr>
              <w:t>0.7</w:t>
            </w:r>
            <w:r>
              <w:rPr>
                <w:rFonts w:hint="eastAsia"/>
                <w:bCs/>
                <w:color w:val="000000"/>
                <w:sz w:val="22"/>
                <w:szCs w:val="22"/>
                <w:lang w:val="en-US" w:eastAsia="zh-CN"/>
              </w:rPr>
              <w:t>1</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0.3</w:t>
            </w:r>
            <w:r>
              <w:rPr>
                <w:rFonts w:hint="eastAsia"/>
                <w:bCs/>
                <w:color w:val="000000"/>
                <w:sz w:val="22"/>
                <w:szCs w:val="22"/>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12"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标准</w:t>
            </w:r>
          </w:p>
        </w:tc>
        <w:tc>
          <w:tcPr>
            <w:tcW w:w="3414" w:type="dxa"/>
            <w:gridSpan w:val="2"/>
            <w:tcBorders>
              <w:top w:val="single" w:color="auto" w:sz="4" w:space="0"/>
              <w:left w:val="single" w:color="auto" w:sz="4" w:space="0"/>
              <w:bottom w:val="single" w:color="auto" w:sz="12" w:space="0"/>
              <w:right w:val="single" w:color="auto" w:sz="4" w:space="0"/>
            </w:tcBorders>
            <w:noWrap w:val="0"/>
            <w:vAlign w:val="center"/>
          </w:tcPr>
          <w:p>
            <w:pPr>
              <w:jc w:val="center"/>
              <w:rPr>
                <w:bCs/>
                <w:color w:val="000000"/>
                <w:spacing w:val="-6"/>
                <w:szCs w:val="21"/>
              </w:rPr>
            </w:pPr>
            <w:r>
              <w:rPr>
                <w:bCs/>
                <w:color w:val="000000"/>
                <w:spacing w:val="-6"/>
                <w:kern w:val="0"/>
                <w:szCs w:val="21"/>
              </w:rPr>
              <w:t>500µg /m</w:t>
            </w:r>
            <w:r>
              <w:rPr>
                <w:bCs/>
                <w:color w:val="000000"/>
                <w:spacing w:val="-6"/>
                <w:kern w:val="0"/>
                <w:szCs w:val="21"/>
                <w:vertAlign w:val="superscript"/>
              </w:rPr>
              <w:t>3</w:t>
            </w:r>
          </w:p>
        </w:tc>
        <w:tc>
          <w:tcPr>
            <w:tcW w:w="3756" w:type="dxa"/>
            <w:gridSpan w:val="2"/>
            <w:tcBorders>
              <w:top w:val="single" w:color="auto" w:sz="4" w:space="0"/>
              <w:left w:val="single" w:color="auto" w:sz="4" w:space="0"/>
              <w:bottom w:val="single" w:color="auto" w:sz="12" w:space="0"/>
              <w:right w:val="single" w:color="auto" w:sz="12" w:space="0"/>
            </w:tcBorders>
            <w:noWrap w:val="0"/>
            <w:vAlign w:val="center"/>
          </w:tcPr>
          <w:p>
            <w:pPr>
              <w:jc w:val="center"/>
              <w:rPr>
                <w:bCs/>
                <w:color w:val="000000"/>
                <w:spacing w:val="-6"/>
                <w:szCs w:val="21"/>
              </w:rPr>
            </w:pPr>
            <w:r>
              <w:rPr>
                <w:bCs/>
                <w:color w:val="000000"/>
                <w:spacing w:val="-6"/>
                <w:kern w:val="0"/>
                <w:szCs w:val="21"/>
              </w:rPr>
              <w:t>200</w:t>
            </w:r>
            <w:r>
              <w:rPr>
                <w:szCs w:val="21"/>
              </w:rPr>
              <w:t>µg</w:t>
            </w:r>
            <w:r>
              <w:rPr>
                <w:bCs/>
                <w:color w:val="000000"/>
                <w:spacing w:val="-6"/>
                <w:kern w:val="0"/>
                <w:szCs w:val="21"/>
              </w:rPr>
              <w:t xml:space="preserve"> /m</w:t>
            </w:r>
            <w:r>
              <w:rPr>
                <w:bCs/>
                <w:color w:val="000000"/>
                <w:spacing w:val="-6"/>
                <w:kern w:val="0"/>
                <w:szCs w:val="21"/>
                <w:vertAlign w:val="superscript"/>
              </w:rPr>
              <w:t>3</w:t>
            </w:r>
          </w:p>
        </w:tc>
      </w:tr>
    </w:tbl>
    <w:p>
      <w:pPr>
        <w:spacing w:line="520" w:lineRule="exact"/>
        <w:contextualSpacing/>
        <w:jc w:val="center"/>
        <w:rPr>
          <w:rFonts w:hint="eastAsia"/>
          <w:b/>
          <w:bCs/>
          <w:color w:val="auto"/>
          <w:sz w:val="24"/>
        </w:rPr>
      </w:pPr>
      <w:r>
        <w:rPr>
          <w:b/>
          <w:bCs/>
          <w:color w:val="auto"/>
          <w:sz w:val="24"/>
        </w:rPr>
        <w:t>表1</w:t>
      </w:r>
      <w:r>
        <w:rPr>
          <w:rFonts w:hint="eastAsia"/>
          <w:b/>
          <w:bCs/>
          <w:color w:val="auto"/>
          <w:sz w:val="24"/>
        </w:rPr>
        <w:t>-</w:t>
      </w:r>
      <w:r>
        <w:rPr>
          <w:b/>
          <w:bCs/>
          <w:color w:val="auto"/>
          <w:sz w:val="24"/>
        </w:rPr>
        <w:t>6-3</w:t>
      </w:r>
      <w:r>
        <w:rPr>
          <w:rFonts w:hint="eastAsia"/>
          <w:b/>
          <w:bCs/>
          <w:color w:val="auto"/>
          <w:sz w:val="24"/>
        </w:rPr>
        <w:t>（1）</w:t>
      </w:r>
      <w:r>
        <w:rPr>
          <w:b/>
          <w:bCs/>
          <w:color w:val="auto"/>
          <w:sz w:val="24"/>
        </w:rPr>
        <w:t xml:space="preserve">  </w:t>
      </w:r>
      <w:r>
        <w:rPr>
          <w:rFonts w:hint="eastAsia"/>
          <w:b/>
          <w:bCs/>
          <w:color w:val="auto"/>
          <w:sz w:val="24"/>
        </w:rPr>
        <w:t>面源</w:t>
      </w:r>
      <w:r>
        <w:rPr>
          <w:b/>
          <w:bCs/>
          <w:color w:val="auto"/>
          <w:sz w:val="24"/>
        </w:rPr>
        <w:t>估算模型计算结果</w:t>
      </w:r>
      <w:r>
        <w:rPr>
          <w:rFonts w:hint="eastAsia"/>
          <w:b/>
          <w:bCs/>
          <w:color w:val="auto"/>
          <w:sz w:val="24"/>
        </w:rPr>
        <w:t>表</w:t>
      </w:r>
    </w:p>
    <w:tbl>
      <w:tblPr>
        <w:tblStyle w:val="17"/>
        <w:tblW w:w="8846" w:type="dxa"/>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57" w:type="dxa"/>
          <w:bottom w:w="0" w:type="dxa"/>
          <w:right w:w="57" w:type="dxa"/>
        </w:tblCellMar>
      </w:tblPr>
      <w:tblGrid>
        <w:gridCol w:w="1676"/>
        <w:gridCol w:w="1785"/>
        <w:gridCol w:w="1629"/>
        <w:gridCol w:w="2128"/>
        <w:gridCol w:w="1628"/>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blHeader/>
        </w:trPr>
        <w:tc>
          <w:tcPr>
            <w:tcW w:w="1676" w:type="dxa"/>
            <w:vMerge w:val="restart"/>
            <w:tcBorders>
              <w:top w:val="single" w:color="auto" w:sz="12" w:space="0"/>
              <w:left w:val="single" w:color="auto" w:sz="12"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距离（m）</w:t>
            </w:r>
          </w:p>
        </w:tc>
        <w:tc>
          <w:tcPr>
            <w:tcW w:w="3414" w:type="dxa"/>
            <w:gridSpan w:val="2"/>
            <w:tcBorders>
              <w:top w:val="single" w:color="auto" w:sz="12" w:space="0"/>
              <w:left w:val="single" w:color="auto" w:sz="4" w:space="0"/>
              <w:bottom w:val="single" w:color="auto" w:sz="4" w:space="0"/>
              <w:right w:val="single" w:color="auto" w:sz="4" w:space="0"/>
            </w:tcBorders>
            <w:noWrap w:val="0"/>
            <w:vAlign w:val="center"/>
          </w:tcPr>
          <w:p>
            <w:pPr>
              <w:ind w:firstLine="396" w:firstLineChars="200"/>
              <w:jc w:val="center"/>
              <w:rPr>
                <w:bCs/>
                <w:color w:val="000000"/>
                <w:spacing w:val="-6"/>
                <w:szCs w:val="21"/>
              </w:rPr>
            </w:pPr>
            <w:r>
              <w:rPr>
                <w:bCs/>
                <w:color w:val="000000"/>
                <w:spacing w:val="-6"/>
                <w:kern w:val="0"/>
                <w:szCs w:val="21"/>
              </w:rPr>
              <w:t>H</w:t>
            </w:r>
            <w:r>
              <w:rPr>
                <w:bCs/>
                <w:color w:val="000000"/>
                <w:spacing w:val="-6"/>
                <w:kern w:val="0"/>
                <w:szCs w:val="21"/>
                <w:vertAlign w:val="subscript"/>
              </w:rPr>
              <w:t>2</w:t>
            </w:r>
            <w:r>
              <w:rPr>
                <w:bCs/>
                <w:color w:val="000000"/>
                <w:spacing w:val="-6"/>
                <w:kern w:val="0"/>
                <w:szCs w:val="21"/>
              </w:rPr>
              <w:t>S1小时最大浓度</w:t>
            </w:r>
          </w:p>
        </w:tc>
        <w:tc>
          <w:tcPr>
            <w:tcW w:w="3756" w:type="dxa"/>
            <w:gridSpan w:val="2"/>
            <w:tcBorders>
              <w:top w:val="single" w:color="auto" w:sz="12" w:space="0"/>
              <w:left w:val="single" w:color="auto" w:sz="4" w:space="0"/>
              <w:bottom w:val="single" w:color="auto" w:sz="4" w:space="0"/>
              <w:right w:val="single" w:color="auto" w:sz="12" w:space="0"/>
            </w:tcBorders>
            <w:noWrap w:val="0"/>
            <w:vAlign w:val="center"/>
          </w:tcPr>
          <w:p>
            <w:pPr>
              <w:jc w:val="center"/>
              <w:rPr>
                <w:bCs/>
                <w:color w:val="000000"/>
                <w:spacing w:val="-6"/>
                <w:szCs w:val="21"/>
              </w:rPr>
            </w:pPr>
            <w:r>
              <w:rPr>
                <w:bCs/>
                <w:color w:val="000000"/>
                <w:spacing w:val="-6"/>
                <w:kern w:val="0"/>
                <w:szCs w:val="21"/>
              </w:rPr>
              <w:t>NH</w:t>
            </w:r>
            <w:r>
              <w:rPr>
                <w:bCs/>
                <w:color w:val="000000"/>
                <w:spacing w:val="-6"/>
                <w:kern w:val="0"/>
                <w:szCs w:val="21"/>
                <w:vertAlign w:val="subscript"/>
              </w:rPr>
              <w:t>3</w:t>
            </w:r>
            <w:r>
              <w:rPr>
                <w:bCs/>
                <w:color w:val="000000"/>
                <w:spacing w:val="-6"/>
                <w:kern w:val="0"/>
                <w:szCs w:val="21"/>
              </w:rPr>
              <w:t>1小时平均最大浓度</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blHeader/>
        </w:trPr>
        <w:tc>
          <w:tcPr>
            <w:tcW w:w="1676" w:type="dxa"/>
            <w:vMerge w:val="continue"/>
            <w:tcBorders>
              <w:top w:val="single" w:color="auto" w:sz="4" w:space="0"/>
              <w:left w:val="single" w:color="auto" w:sz="12" w:space="0"/>
              <w:bottom w:val="single" w:color="auto" w:sz="4" w:space="0"/>
              <w:right w:val="single" w:color="auto" w:sz="4" w:space="0"/>
            </w:tcBorders>
            <w:noWrap w:val="0"/>
            <w:vAlign w:val="center"/>
          </w:tcPr>
          <w:p>
            <w:pPr>
              <w:jc w:val="center"/>
              <w:rPr>
                <w:bCs/>
                <w:color w:val="000000"/>
                <w:szCs w:val="21"/>
              </w:rPr>
            </w:pPr>
          </w:p>
        </w:tc>
        <w:tc>
          <w:tcPr>
            <w:tcW w:w="178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预测浓度</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占标率%</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预测浓度</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adjustRightInd w:val="0"/>
              <w:snapToGrid w:val="0"/>
              <w:jc w:val="center"/>
              <w:rPr>
                <w:bCs/>
                <w:color w:val="000000"/>
                <w:spacing w:val="-6"/>
                <w:szCs w:val="21"/>
              </w:rPr>
            </w:pPr>
            <w:r>
              <w:rPr>
                <w:bCs/>
                <w:color w:val="000000"/>
                <w:spacing w:val="-6"/>
                <w:kern w:val="0"/>
                <w:szCs w:val="21"/>
              </w:rPr>
              <w:t>占标率%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15</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lang w:val="en-US" w:eastAsia="zh-CN"/>
              </w:rPr>
              <w:t>0.79</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lang w:val="en-US" w:eastAsia="zh-CN"/>
              </w:rPr>
              <w:t>0.42</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val="en-US" w:eastAsia="zh-CN"/>
              </w:rPr>
            </w:pPr>
            <w:r>
              <w:rPr>
                <w:rFonts w:hint="eastAsia"/>
                <w:bCs/>
                <w:color w:val="000000"/>
                <w:sz w:val="22"/>
                <w:szCs w:val="22"/>
              </w:rPr>
              <w:t>0.0</w:t>
            </w:r>
            <w:r>
              <w:rPr>
                <w:rFonts w:hint="eastAsia"/>
                <w:bCs/>
                <w:color w:val="000000"/>
                <w:sz w:val="22"/>
                <w:szCs w:val="22"/>
                <w:lang w:val="en-US" w:eastAsia="zh-CN"/>
              </w:rPr>
              <w:t>8</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81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tcMar>
              <w:left w:w="28" w:type="dxa"/>
              <w:right w:w="28" w:type="dxa"/>
            </w:tcMar>
            <w:vAlign w:val="center"/>
          </w:tcPr>
          <w:p>
            <w:pPr>
              <w:widowControl/>
              <w:jc w:val="center"/>
              <w:textAlignment w:val="center"/>
              <w:rPr>
                <w:bCs/>
                <w:color w:val="000000"/>
                <w:spacing w:val="-6"/>
                <w:szCs w:val="21"/>
              </w:rPr>
            </w:pPr>
            <w:r>
              <w:rPr>
                <w:bCs/>
                <w:color w:val="000000"/>
                <w:kern w:val="0"/>
                <w:szCs w:val="21"/>
              </w:rPr>
              <w:t>100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8</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1.</w:t>
            </w:r>
            <w:r>
              <w:rPr>
                <w:rFonts w:hint="eastAsia"/>
                <w:bCs/>
                <w:color w:val="000000"/>
                <w:sz w:val="22"/>
                <w:szCs w:val="22"/>
                <w:lang w:val="en-US" w:eastAsia="zh-CN"/>
              </w:rPr>
              <w:t>60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lang w:val="en-US" w:eastAsia="zh-CN"/>
              </w:rPr>
              <w:t>1.89</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0.9</w:t>
            </w:r>
            <w:r>
              <w:rPr>
                <w:rFonts w:hint="eastAsia"/>
                <w:bCs/>
                <w:color w:val="000000"/>
                <w:sz w:val="22"/>
                <w:szCs w:val="22"/>
                <w:lang w:val="en-US" w:eastAsia="zh-CN"/>
              </w:rPr>
              <w:t>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200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8</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lang w:val="en-US" w:eastAsia="zh-CN"/>
              </w:rPr>
              <w:t>1.68</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2.</w:t>
            </w:r>
            <w:r>
              <w:rPr>
                <w:rFonts w:hint="eastAsia"/>
                <w:bCs/>
                <w:color w:val="000000"/>
                <w:sz w:val="22"/>
                <w:szCs w:val="22"/>
                <w:lang w:val="en-US" w:eastAsia="zh-CN"/>
              </w:rPr>
              <w:t>19</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1.</w:t>
            </w:r>
            <w:r>
              <w:rPr>
                <w:rFonts w:hint="eastAsia"/>
                <w:bCs/>
                <w:color w:val="000000"/>
                <w:sz w:val="22"/>
                <w:szCs w:val="22"/>
                <w:lang w:val="en-US" w:eastAsia="zh-CN"/>
              </w:rPr>
              <w:t>10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300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8</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1.</w:t>
            </w:r>
            <w:r>
              <w:rPr>
                <w:rFonts w:hint="eastAsia"/>
                <w:bCs/>
                <w:color w:val="000000"/>
                <w:sz w:val="22"/>
                <w:szCs w:val="22"/>
                <w:lang w:val="en-US" w:eastAsia="zh-CN"/>
              </w:rPr>
              <w:t>75</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2.</w:t>
            </w:r>
            <w:r>
              <w:rPr>
                <w:rFonts w:hint="eastAsia"/>
                <w:bCs/>
                <w:color w:val="000000"/>
                <w:sz w:val="22"/>
                <w:szCs w:val="22"/>
                <w:lang w:val="en-US" w:eastAsia="zh-CN"/>
              </w:rPr>
              <w:t>09</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lang w:val="en-US" w:eastAsia="zh-CN"/>
              </w:rPr>
              <w:t>1.07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400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8</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1.6</w:t>
            </w:r>
            <w:r>
              <w:rPr>
                <w:rFonts w:hint="eastAsia"/>
                <w:bCs/>
                <w:color w:val="000000"/>
                <w:sz w:val="22"/>
                <w:szCs w:val="22"/>
                <w:lang w:val="en-US" w:eastAsia="zh-CN"/>
              </w:rPr>
              <w:t>8</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1.98</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0.99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500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6</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1.</w:t>
            </w:r>
            <w:r>
              <w:rPr>
                <w:rFonts w:hint="eastAsia"/>
                <w:bCs/>
                <w:color w:val="000000"/>
                <w:sz w:val="22"/>
                <w:szCs w:val="22"/>
                <w:lang w:val="en-US" w:eastAsia="zh-CN"/>
              </w:rPr>
              <w:t>51</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1.7</w:t>
            </w:r>
            <w:r>
              <w:rPr>
                <w:rFonts w:hint="eastAsia"/>
                <w:bCs/>
                <w:color w:val="000000"/>
                <w:sz w:val="22"/>
                <w:szCs w:val="22"/>
                <w:lang w:val="en-US" w:eastAsia="zh-CN"/>
              </w:rPr>
              <w:t>1</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0.8</w:t>
            </w:r>
            <w:r>
              <w:rPr>
                <w:rFonts w:hint="eastAsia"/>
                <w:bCs/>
                <w:color w:val="000000"/>
                <w:sz w:val="22"/>
                <w:szCs w:val="22"/>
                <w:lang w:val="en-US" w:eastAsia="zh-CN"/>
              </w:rPr>
              <w:t>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600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4</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1.2</w:t>
            </w:r>
            <w:r>
              <w:rPr>
                <w:rFonts w:hint="eastAsia"/>
                <w:bCs/>
                <w:color w:val="000000"/>
                <w:sz w:val="22"/>
                <w:szCs w:val="22"/>
                <w:lang w:val="en-US" w:eastAsia="zh-CN"/>
              </w:rPr>
              <w:t>9</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1.51</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0.75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700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0.11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1.1</w:t>
            </w:r>
            <w:r>
              <w:rPr>
                <w:rFonts w:hint="eastAsia"/>
                <w:bCs/>
                <w:color w:val="000000"/>
                <w:sz w:val="22"/>
                <w:szCs w:val="22"/>
                <w:lang w:val="en-US" w:eastAsia="zh-CN"/>
              </w:rPr>
              <w:t>1</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1.</w:t>
            </w:r>
            <w:r>
              <w:rPr>
                <w:rFonts w:hint="eastAsia"/>
                <w:bCs/>
                <w:color w:val="000000"/>
                <w:sz w:val="22"/>
                <w:szCs w:val="22"/>
                <w:lang w:val="en-US" w:eastAsia="zh-CN"/>
              </w:rPr>
              <w:t>29</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0.6</w:t>
            </w:r>
            <w:r>
              <w:rPr>
                <w:rFonts w:hint="eastAsia"/>
                <w:bCs/>
                <w:color w:val="000000"/>
                <w:sz w:val="22"/>
                <w:szCs w:val="22"/>
                <w:lang w:val="en-US" w:eastAsia="zh-CN"/>
              </w:rPr>
              <w:t>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800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10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1.1</w:t>
            </w:r>
            <w:r>
              <w:rPr>
                <w:rFonts w:hint="eastAsia"/>
                <w:bCs/>
                <w:color w:val="000000"/>
                <w:sz w:val="22"/>
                <w:szCs w:val="22"/>
                <w:lang w:val="en-US" w:eastAsia="zh-CN"/>
              </w:rPr>
              <w:t>5</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0.5</w:t>
            </w:r>
            <w:r>
              <w:rPr>
                <w:rFonts w:hint="eastAsia"/>
                <w:bCs/>
                <w:color w:val="000000"/>
                <w:sz w:val="22"/>
                <w:szCs w:val="22"/>
                <w:lang w:val="en-US" w:eastAsia="zh-CN"/>
              </w:rPr>
              <w:t>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900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0.0</w:t>
            </w:r>
            <w:r>
              <w:rPr>
                <w:rFonts w:hint="eastAsia"/>
                <w:bCs/>
                <w:color w:val="000000"/>
                <w:sz w:val="22"/>
                <w:szCs w:val="22"/>
                <w:lang w:val="en-US" w:eastAsia="zh-CN"/>
              </w:rPr>
              <w:t>8</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77</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1.0</w:t>
            </w:r>
            <w:r>
              <w:rPr>
                <w:rFonts w:hint="eastAsia"/>
                <w:bCs/>
                <w:color w:val="000000"/>
                <w:sz w:val="22"/>
                <w:szCs w:val="22"/>
                <w:lang w:val="en-US" w:eastAsia="zh-CN"/>
              </w:rPr>
              <w:t>2</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0.5</w:t>
            </w:r>
            <w:r>
              <w:rPr>
                <w:rFonts w:hint="eastAsia"/>
                <w:bCs/>
                <w:color w:val="000000"/>
                <w:sz w:val="22"/>
                <w:szCs w:val="22"/>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1000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0.0</w:t>
            </w:r>
            <w:r>
              <w:rPr>
                <w:rFonts w:hint="eastAsia"/>
                <w:bCs/>
                <w:color w:val="000000"/>
                <w:sz w:val="22"/>
                <w:szCs w:val="22"/>
                <w:lang w:val="en-US" w:eastAsia="zh-CN"/>
              </w:rPr>
              <w:t>7</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68</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94</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0.4</w:t>
            </w:r>
            <w:r>
              <w:rPr>
                <w:rFonts w:hint="eastAsia"/>
                <w:bCs/>
                <w:color w:val="000000"/>
                <w:sz w:val="22"/>
                <w:szCs w:val="22"/>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1250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0.0</w:t>
            </w:r>
            <w:r>
              <w:rPr>
                <w:rFonts w:hint="eastAsia"/>
                <w:bCs/>
                <w:color w:val="000000"/>
                <w:sz w:val="22"/>
                <w:szCs w:val="22"/>
                <w:lang w:val="en-US" w:eastAsia="zh-CN"/>
              </w:rPr>
              <w:t>5</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53</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0.72</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0.36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1500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0.0</w:t>
            </w:r>
            <w:r>
              <w:rPr>
                <w:rFonts w:hint="eastAsia"/>
                <w:bCs/>
                <w:color w:val="000000"/>
                <w:sz w:val="22"/>
                <w:szCs w:val="22"/>
                <w:lang w:val="en-US" w:eastAsia="zh-CN"/>
              </w:rPr>
              <w:t>5</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39</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57</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0.2</w:t>
            </w:r>
            <w:r>
              <w:rPr>
                <w:rFonts w:hint="eastAsia"/>
                <w:bCs/>
                <w:color w:val="000000"/>
                <w:sz w:val="22"/>
                <w:szCs w:val="22"/>
                <w:lang w:val="en-US" w:eastAsia="zh-CN"/>
              </w:rPr>
              <w:t>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1750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0.0</w:t>
            </w:r>
            <w:r>
              <w:rPr>
                <w:rFonts w:hint="eastAsia"/>
                <w:bCs/>
                <w:color w:val="000000"/>
                <w:sz w:val="22"/>
                <w:szCs w:val="22"/>
                <w:lang w:val="en-US" w:eastAsia="zh-CN"/>
              </w:rPr>
              <w:t>5</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w:t>
            </w:r>
            <w:r>
              <w:rPr>
                <w:rFonts w:hint="eastAsia"/>
                <w:bCs/>
                <w:color w:val="000000"/>
                <w:sz w:val="22"/>
                <w:szCs w:val="22"/>
                <w:lang w:val="en-US" w:eastAsia="zh-CN"/>
              </w:rPr>
              <w:t>50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49</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25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kern w:val="0"/>
                <w:szCs w:val="21"/>
              </w:rPr>
            </w:pPr>
            <w:r>
              <w:rPr>
                <w:rFonts w:hint="eastAsia"/>
                <w:bCs/>
                <w:color w:val="000000"/>
                <w:kern w:val="0"/>
                <w:szCs w:val="21"/>
              </w:rPr>
              <w:t>2000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0.0</w:t>
            </w:r>
            <w:r>
              <w:rPr>
                <w:rFonts w:hint="eastAsia"/>
                <w:bCs/>
                <w:color w:val="000000"/>
                <w:sz w:val="22"/>
                <w:szCs w:val="22"/>
                <w:lang w:val="en-US" w:eastAsia="zh-CN"/>
              </w:rPr>
              <w:t>3</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25</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38</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18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kern w:val="0"/>
                <w:szCs w:val="21"/>
              </w:rPr>
            </w:pPr>
            <w:r>
              <w:rPr>
                <w:rFonts w:hint="eastAsia"/>
                <w:bCs/>
                <w:color w:val="000000"/>
                <w:kern w:val="0"/>
                <w:szCs w:val="21"/>
              </w:rPr>
              <w:t>2250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0.03</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0.30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34</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kern w:val="0"/>
                <w:szCs w:val="21"/>
              </w:rPr>
            </w:pPr>
            <w:r>
              <w:rPr>
                <w:rFonts w:hint="eastAsia"/>
                <w:bCs/>
                <w:color w:val="000000"/>
                <w:kern w:val="0"/>
                <w:szCs w:val="21"/>
              </w:rPr>
              <w:t>2500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0.0</w:t>
            </w:r>
            <w:r>
              <w:rPr>
                <w:rFonts w:hint="eastAsia"/>
                <w:bCs/>
                <w:color w:val="000000"/>
                <w:sz w:val="22"/>
                <w:szCs w:val="22"/>
                <w:lang w:val="en-US" w:eastAsia="zh-CN"/>
              </w:rPr>
              <w:t>2</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w:t>
            </w:r>
            <w:r>
              <w:rPr>
                <w:rFonts w:hint="eastAsia"/>
                <w:bCs/>
                <w:color w:val="000000"/>
                <w:sz w:val="22"/>
                <w:szCs w:val="22"/>
                <w:lang w:val="en-US" w:eastAsia="zh-CN"/>
              </w:rPr>
              <w:t>16</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28</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最大浓度（</w:t>
            </w:r>
            <w:r>
              <w:rPr>
                <w:rFonts w:hint="eastAsia"/>
                <w:bCs/>
                <w:color w:val="000000"/>
                <w:spacing w:val="-6"/>
                <w:kern w:val="0"/>
                <w:szCs w:val="21"/>
              </w:rPr>
              <w:t>2</w:t>
            </w:r>
            <w:r>
              <w:rPr>
                <w:rFonts w:hint="eastAsia"/>
                <w:bCs/>
                <w:color w:val="000000"/>
                <w:spacing w:val="-6"/>
                <w:kern w:val="0"/>
                <w:szCs w:val="21"/>
                <w:lang w:val="en-US" w:eastAsia="zh-CN"/>
              </w:rPr>
              <w:t>56</w:t>
            </w:r>
            <w:r>
              <w:rPr>
                <w:bCs/>
                <w:color w:val="000000"/>
                <w:spacing w:val="-6"/>
                <w:kern w:val="0"/>
                <w:szCs w:val="21"/>
              </w:rPr>
              <w:t>m）</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8</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1.</w:t>
            </w:r>
            <w:r>
              <w:rPr>
                <w:rFonts w:hint="eastAsia"/>
                <w:bCs/>
                <w:color w:val="000000"/>
                <w:sz w:val="22"/>
                <w:szCs w:val="22"/>
                <w:lang w:val="en-US" w:eastAsia="zh-CN"/>
              </w:rPr>
              <w:t>75</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2.</w:t>
            </w:r>
            <w:r>
              <w:rPr>
                <w:rFonts w:hint="eastAsia"/>
                <w:bCs/>
                <w:color w:val="000000"/>
                <w:sz w:val="22"/>
                <w:szCs w:val="22"/>
                <w:lang w:val="en-US" w:eastAsia="zh-CN"/>
              </w:rPr>
              <w:t>19</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val="en-US" w:eastAsia="zh-CN"/>
              </w:rPr>
            </w:pPr>
            <w:r>
              <w:rPr>
                <w:rFonts w:hint="eastAsia"/>
                <w:bCs/>
                <w:color w:val="000000"/>
                <w:sz w:val="22"/>
                <w:szCs w:val="22"/>
              </w:rPr>
              <w:t>1.1</w:t>
            </w:r>
            <w:r>
              <w:rPr>
                <w:rFonts w:hint="eastAsia"/>
                <w:bCs/>
                <w:color w:val="000000"/>
                <w:sz w:val="22"/>
                <w:szCs w:val="22"/>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12"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标准</w:t>
            </w:r>
          </w:p>
        </w:tc>
        <w:tc>
          <w:tcPr>
            <w:tcW w:w="3414" w:type="dxa"/>
            <w:gridSpan w:val="2"/>
            <w:tcBorders>
              <w:top w:val="single" w:color="auto" w:sz="4" w:space="0"/>
              <w:left w:val="single" w:color="auto" w:sz="4" w:space="0"/>
              <w:bottom w:val="single" w:color="auto" w:sz="12" w:space="0"/>
              <w:right w:val="single" w:color="auto" w:sz="4" w:space="0"/>
            </w:tcBorders>
            <w:noWrap w:val="0"/>
            <w:vAlign w:val="center"/>
          </w:tcPr>
          <w:p>
            <w:pPr>
              <w:jc w:val="center"/>
              <w:rPr>
                <w:bCs/>
                <w:color w:val="000000"/>
                <w:spacing w:val="-6"/>
                <w:szCs w:val="21"/>
              </w:rPr>
            </w:pPr>
            <w:r>
              <w:rPr>
                <w:bCs/>
                <w:color w:val="000000"/>
                <w:spacing w:val="-6"/>
                <w:kern w:val="0"/>
                <w:szCs w:val="21"/>
              </w:rPr>
              <w:t>10</w:t>
            </w:r>
            <w:r>
              <w:rPr>
                <w:szCs w:val="21"/>
              </w:rPr>
              <w:t>µg</w:t>
            </w:r>
            <w:r>
              <w:rPr>
                <w:bCs/>
                <w:color w:val="000000"/>
                <w:spacing w:val="-6"/>
                <w:kern w:val="0"/>
                <w:szCs w:val="21"/>
              </w:rPr>
              <w:t>/m</w:t>
            </w:r>
            <w:r>
              <w:rPr>
                <w:bCs/>
                <w:color w:val="000000"/>
                <w:spacing w:val="-6"/>
                <w:kern w:val="0"/>
                <w:szCs w:val="21"/>
                <w:vertAlign w:val="superscript"/>
              </w:rPr>
              <w:t>3</w:t>
            </w:r>
          </w:p>
        </w:tc>
        <w:tc>
          <w:tcPr>
            <w:tcW w:w="3756" w:type="dxa"/>
            <w:gridSpan w:val="2"/>
            <w:tcBorders>
              <w:top w:val="single" w:color="auto" w:sz="4" w:space="0"/>
              <w:left w:val="single" w:color="auto" w:sz="4" w:space="0"/>
              <w:bottom w:val="single" w:color="auto" w:sz="12" w:space="0"/>
              <w:right w:val="single" w:color="auto" w:sz="12" w:space="0"/>
            </w:tcBorders>
            <w:noWrap w:val="0"/>
            <w:vAlign w:val="center"/>
          </w:tcPr>
          <w:p>
            <w:pPr>
              <w:jc w:val="center"/>
              <w:rPr>
                <w:bCs/>
                <w:color w:val="000000"/>
                <w:spacing w:val="-6"/>
                <w:szCs w:val="21"/>
              </w:rPr>
            </w:pPr>
            <w:r>
              <w:rPr>
                <w:bCs/>
                <w:color w:val="000000"/>
                <w:spacing w:val="-6"/>
                <w:kern w:val="0"/>
                <w:szCs w:val="21"/>
              </w:rPr>
              <w:t>200</w:t>
            </w:r>
            <w:r>
              <w:rPr>
                <w:szCs w:val="21"/>
              </w:rPr>
              <w:t>µg</w:t>
            </w:r>
            <w:r>
              <w:rPr>
                <w:bCs/>
                <w:color w:val="000000"/>
                <w:spacing w:val="-6"/>
                <w:kern w:val="0"/>
                <w:szCs w:val="21"/>
              </w:rPr>
              <w:t>/m</w:t>
            </w:r>
            <w:r>
              <w:rPr>
                <w:bCs/>
                <w:color w:val="000000"/>
                <w:spacing w:val="-6"/>
                <w:kern w:val="0"/>
                <w:szCs w:val="21"/>
                <w:vertAlign w:val="superscript"/>
              </w:rPr>
              <w:t>3</w:t>
            </w:r>
          </w:p>
        </w:tc>
      </w:tr>
    </w:tbl>
    <w:p>
      <w:pPr>
        <w:spacing w:line="520" w:lineRule="exact"/>
        <w:ind w:firstLine="480" w:firstLineChars="200"/>
        <w:rPr>
          <w:sz w:val="24"/>
        </w:rPr>
      </w:pPr>
      <w:r>
        <w:rPr>
          <w:sz w:val="24"/>
        </w:rPr>
        <w:t>由表1-6-3</w:t>
      </w:r>
      <w:r>
        <w:rPr>
          <w:rFonts w:hint="eastAsia"/>
          <w:sz w:val="24"/>
        </w:rPr>
        <w:t>可知</w:t>
      </w:r>
      <w:r>
        <w:rPr>
          <w:sz w:val="24"/>
        </w:rPr>
        <w:t>，拟建项目污染物排放占标率最大的为厂区恶臭无组织排放，其占标率为Pmax</w:t>
      </w:r>
      <w:r>
        <w:rPr>
          <w:sz w:val="24"/>
          <w:vertAlign w:val="subscript"/>
        </w:rPr>
        <w:t>H</w:t>
      </w:r>
      <w:r>
        <w:rPr>
          <w:sz w:val="15"/>
          <w:szCs w:val="15"/>
          <w:vertAlign w:val="subscript"/>
        </w:rPr>
        <w:t>2</w:t>
      </w:r>
      <w:r>
        <w:rPr>
          <w:sz w:val="24"/>
          <w:vertAlign w:val="subscript"/>
        </w:rPr>
        <w:t>S</w:t>
      </w:r>
      <w:r>
        <w:rPr>
          <w:sz w:val="24"/>
        </w:rPr>
        <w:t>=</w:t>
      </w:r>
      <w:r>
        <w:rPr>
          <w:rFonts w:hint="eastAsia"/>
          <w:sz w:val="24"/>
          <w:lang w:val="en-US" w:eastAsia="zh-CN"/>
        </w:rPr>
        <w:t>1.75</w:t>
      </w:r>
      <w:r>
        <w:rPr>
          <w:sz w:val="24"/>
        </w:rPr>
        <w:t>%</w:t>
      </w:r>
      <w:r>
        <w:rPr>
          <w:rFonts w:hint="eastAsia" w:ascii="宋体" w:hAnsi="宋体" w:cs="宋体"/>
          <w:sz w:val="24"/>
        </w:rPr>
        <w:t>＜</w:t>
      </w:r>
      <w:r>
        <w:rPr>
          <w:sz w:val="24"/>
        </w:rPr>
        <w:t>10%，确定本次环境空气影响评价为</w:t>
      </w:r>
      <w:r>
        <w:rPr>
          <w:rFonts w:hint="eastAsia"/>
          <w:sz w:val="24"/>
        </w:rPr>
        <w:t>二</w:t>
      </w:r>
      <w:r>
        <w:rPr>
          <w:sz w:val="24"/>
        </w:rPr>
        <w:t>级评价。根据《环境影响评价技术导则—大气环境》（HJ2.2—2008）中的规定</w:t>
      </w:r>
      <w:r>
        <w:rPr>
          <w:rFonts w:hint="eastAsia"/>
          <w:sz w:val="24"/>
        </w:rPr>
        <w:t>，评价范围的直径或边长一般不应小于</w:t>
      </w:r>
      <w:r>
        <w:rPr>
          <w:sz w:val="24"/>
        </w:rPr>
        <w:t>5km</w:t>
      </w:r>
      <w:r>
        <w:rPr>
          <w:rFonts w:hint="eastAsia"/>
          <w:sz w:val="24"/>
        </w:rPr>
        <w:t>，环境空气评价范围定为以场区中心点为中点，边长为</w:t>
      </w:r>
      <w:r>
        <w:rPr>
          <w:sz w:val="24"/>
        </w:rPr>
        <w:t>5km</w:t>
      </w:r>
      <w:r>
        <w:rPr>
          <w:rFonts w:hint="eastAsia"/>
          <w:sz w:val="24"/>
        </w:rPr>
        <w:t>的正方形区域范围内</w:t>
      </w:r>
      <w:r>
        <w:rPr>
          <w:sz w:val="24"/>
        </w:rPr>
        <w:t>。</w:t>
      </w:r>
    </w:p>
    <w:p>
      <w:pPr>
        <w:pStyle w:val="2"/>
        <w:snapToGrid w:val="0"/>
        <w:spacing w:before="0" w:after="0" w:line="520" w:lineRule="exact"/>
        <w:rPr>
          <w:rFonts w:eastAsia="黑体"/>
          <w:b w:val="0"/>
          <w:bCs w:val="0"/>
          <w:sz w:val="24"/>
          <w:szCs w:val="24"/>
        </w:rPr>
      </w:pPr>
      <w:bookmarkStart w:id="133" w:name="_Toc412820915"/>
      <w:bookmarkStart w:id="134" w:name="_Toc407000993"/>
      <w:bookmarkStart w:id="135" w:name="_Toc413750081"/>
      <w:r>
        <w:rPr>
          <w:rFonts w:eastAsia="黑体"/>
          <w:b w:val="0"/>
          <w:bCs w:val="0"/>
          <w:sz w:val="24"/>
          <w:szCs w:val="24"/>
        </w:rPr>
        <w:t>1.6.2 地表水</w:t>
      </w:r>
      <w:bookmarkEnd w:id="133"/>
      <w:bookmarkEnd w:id="134"/>
      <w:bookmarkEnd w:id="135"/>
    </w:p>
    <w:p>
      <w:pPr>
        <w:spacing w:line="520" w:lineRule="exact"/>
        <w:ind w:firstLine="480" w:firstLineChars="200"/>
        <w:rPr>
          <w:sz w:val="24"/>
          <w:szCs w:val="28"/>
        </w:rPr>
      </w:pPr>
      <w:r>
        <w:rPr>
          <w:sz w:val="24"/>
        </w:rPr>
        <w:t>拟建项目所产生的废水类型属简单类型有机废水，主要污染物为COD、BOD</w:t>
      </w:r>
      <w:r>
        <w:rPr>
          <w:sz w:val="24"/>
          <w:vertAlign w:val="subscript"/>
        </w:rPr>
        <w:t>5</w:t>
      </w:r>
      <w:r>
        <w:rPr>
          <w:sz w:val="24"/>
        </w:rPr>
        <w:t>、NH</w:t>
      </w:r>
      <w:r>
        <w:rPr>
          <w:sz w:val="24"/>
          <w:vertAlign w:val="subscript"/>
        </w:rPr>
        <w:t>3</w:t>
      </w:r>
      <w:r>
        <w:rPr>
          <w:sz w:val="24"/>
        </w:rPr>
        <w:t>-N等，</w:t>
      </w:r>
      <w:r>
        <w:rPr>
          <w:sz w:val="24"/>
          <w:szCs w:val="28"/>
        </w:rPr>
        <w:t>则项目属于水污染型建设项目。根据《环境影响评价技术导则—地</w:t>
      </w:r>
      <w:r>
        <w:rPr>
          <w:rFonts w:hint="eastAsia"/>
          <w:sz w:val="24"/>
          <w:szCs w:val="28"/>
        </w:rPr>
        <w:t>表</w:t>
      </w:r>
      <w:r>
        <w:rPr>
          <w:sz w:val="24"/>
          <w:szCs w:val="28"/>
        </w:rPr>
        <w:t>水环境》（HJ/T2.3-2018）第5.2条表1中所列出的地</w:t>
      </w:r>
      <w:r>
        <w:rPr>
          <w:rFonts w:hint="eastAsia"/>
          <w:sz w:val="24"/>
          <w:szCs w:val="28"/>
        </w:rPr>
        <w:t>表</w:t>
      </w:r>
      <w:r>
        <w:rPr>
          <w:sz w:val="24"/>
          <w:szCs w:val="28"/>
        </w:rPr>
        <w:t>水环境影响评价</w:t>
      </w:r>
      <w:r>
        <w:rPr>
          <w:rFonts w:hint="eastAsia"/>
          <w:sz w:val="24"/>
          <w:szCs w:val="28"/>
        </w:rPr>
        <w:t>等级</w:t>
      </w:r>
      <w:r>
        <w:rPr>
          <w:sz w:val="24"/>
          <w:szCs w:val="28"/>
        </w:rPr>
        <w:t>判定依据，本项目地</w:t>
      </w:r>
      <w:r>
        <w:rPr>
          <w:rFonts w:hint="eastAsia"/>
          <w:sz w:val="24"/>
          <w:szCs w:val="28"/>
        </w:rPr>
        <w:t>表</w:t>
      </w:r>
      <w:r>
        <w:rPr>
          <w:sz w:val="24"/>
          <w:szCs w:val="28"/>
        </w:rPr>
        <w:t>水环境影响评价工作等级确定因素见下表。</w:t>
      </w:r>
    </w:p>
    <w:p>
      <w:pPr>
        <w:spacing w:line="500" w:lineRule="exact"/>
        <w:jc w:val="center"/>
        <w:rPr>
          <w:rFonts w:hint="eastAsia"/>
          <w:b/>
          <w:sz w:val="24"/>
        </w:rPr>
      </w:pPr>
      <w:r>
        <w:rPr>
          <w:b/>
          <w:sz w:val="24"/>
        </w:rPr>
        <w:t xml:space="preserve">表1.6-4      </w:t>
      </w:r>
      <w:r>
        <w:rPr>
          <w:rFonts w:hint="eastAsia"/>
          <w:b/>
          <w:sz w:val="24"/>
        </w:rPr>
        <w:t>水污染影响型</w:t>
      </w:r>
      <w:r>
        <w:rPr>
          <w:b/>
          <w:sz w:val="24"/>
        </w:rPr>
        <w:t>建设项目等级判定表</w:t>
      </w:r>
    </w:p>
    <w:tbl>
      <w:tblPr>
        <w:tblStyle w:val="1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980"/>
        <w:gridCol w:w="2983"/>
        <w:gridCol w:w="298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666" w:type="pct"/>
            <w:vMerge w:val="restart"/>
            <w:noWrap w:val="0"/>
            <w:vAlign w:val="center"/>
          </w:tcPr>
          <w:p>
            <w:pPr>
              <w:spacing w:line="360" w:lineRule="exact"/>
              <w:jc w:val="center"/>
              <w:rPr>
                <w:rFonts w:hint="eastAsia"/>
                <w:szCs w:val="21"/>
              </w:rPr>
            </w:pPr>
            <w:r>
              <w:rPr>
                <w:rFonts w:hint="eastAsia"/>
                <w:szCs w:val="21"/>
              </w:rPr>
              <w:t>评价</w:t>
            </w:r>
            <w:r>
              <w:rPr>
                <w:szCs w:val="21"/>
              </w:rPr>
              <w:t>等级</w:t>
            </w:r>
          </w:p>
        </w:tc>
        <w:tc>
          <w:tcPr>
            <w:tcW w:w="3334" w:type="pct"/>
            <w:gridSpan w:val="2"/>
            <w:noWrap w:val="0"/>
            <w:vAlign w:val="center"/>
          </w:tcPr>
          <w:p>
            <w:pPr>
              <w:spacing w:line="360" w:lineRule="exact"/>
              <w:jc w:val="center"/>
              <w:rPr>
                <w:rFonts w:hint="eastAsia"/>
                <w:szCs w:val="21"/>
              </w:rPr>
            </w:pPr>
            <w:r>
              <w:rPr>
                <w:rFonts w:hint="eastAsia"/>
                <w:szCs w:val="21"/>
              </w:rPr>
              <w:t>判定</w:t>
            </w:r>
            <w:r>
              <w:rPr>
                <w:szCs w:val="21"/>
              </w:rPr>
              <w:t>依据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666" w:type="pct"/>
            <w:vMerge w:val="continue"/>
            <w:noWrap w:val="0"/>
            <w:vAlign w:val="center"/>
          </w:tcPr>
          <w:p>
            <w:pPr>
              <w:spacing w:line="360" w:lineRule="exact"/>
              <w:jc w:val="center"/>
              <w:rPr>
                <w:rFonts w:hint="eastAsia"/>
                <w:szCs w:val="21"/>
              </w:rPr>
            </w:pPr>
          </w:p>
        </w:tc>
        <w:tc>
          <w:tcPr>
            <w:tcW w:w="1667" w:type="pct"/>
            <w:noWrap w:val="0"/>
            <w:vAlign w:val="center"/>
          </w:tcPr>
          <w:p>
            <w:pPr>
              <w:spacing w:line="360" w:lineRule="exact"/>
              <w:jc w:val="center"/>
              <w:rPr>
                <w:rFonts w:hint="eastAsia"/>
                <w:szCs w:val="21"/>
              </w:rPr>
            </w:pPr>
            <w:r>
              <w:rPr>
                <w:rFonts w:hint="eastAsia"/>
                <w:szCs w:val="21"/>
              </w:rPr>
              <w:t>排放方式</w:t>
            </w:r>
          </w:p>
        </w:tc>
        <w:tc>
          <w:tcPr>
            <w:tcW w:w="1667" w:type="pct"/>
            <w:noWrap w:val="0"/>
            <w:vAlign w:val="center"/>
          </w:tcPr>
          <w:p>
            <w:pPr>
              <w:spacing w:line="360" w:lineRule="exact"/>
              <w:jc w:val="center"/>
              <w:rPr>
                <w:szCs w:val="21"/>
              </w:rPr>
            </w:pPr>
            <w:r>
              <w:rPr>
                <w:rFonts w:hint="eastAsia"/>
                <w:szCs w:val="21"/>
              </w:rPr>
              <w:t>废水</w:t>
            </w:r>
            <w:r>
              <w:rPr>
                <w:szCs w:val="21"/>
              </w:rPr>
              <w:t>排放量Q</w:t>
            </w:r>
            <w:r>
              <w:rPr>
                <w:rFonts w:hint="eastAsia"/>
                <w:szCs w:val="21"/>
              </w:rPr>
              <w:t>/（m</w:t>
            </w:r>
            <w:r>
              <w:rPr>
                <w:rFonts w:hint="eastAsia"/>
                <w:szCs w:val="21"/>
                <w:vertAlign w:val="superscript"/>
              </w:rPr>
              <w:t>3</w:t>
            </w:r>
            <w:r>
              <w:rPr>
                <w:rFonts w:hint="eastAsia"/>
                <w:szCs w:val="21"/>
              </w:rPr>
              <w:t>/d）</w:t>
            </w:r>
          </w:p>
          <w:p>
            <w:pPr>
              <w:spacing w:line="360" w:lineRule="exact"/>
              <w:jc w:val="center"/>
              <w:rPr>
                <w:rFonts w:hint="eastAsia"/>
                <w:szCs w:val="21"/>
              </w:rPr>
            </w:pPr>
            <w:r>
              <w:rPr>
                <w:rFonts w:hint="eastAsia"/>
                <w:szCs w:val="21"/>
              </w:rPr>
              <w:t>水污染物</w:t>
            </w:r>
            <w:r>
              <w:rPr>
                <w:szCs w:val="21"/>
              </w:rPr>
              <w:t>当量数W</w:t>
            </w:r>
            <w:r>
              <w:rPr>
                <w:rFonts w:hint="eastAsia"/>
                <w:szCs w:val="21"/>
              </w:rPr>
              <w:t>/（无量纲）</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666" w:type="pct"/>
            <w:noWrap w:val="0"/>
            <w:vAlign w:val="center"/>
          </w:tcPr>
          <w:p>
            <w:pPr>
              <w:spacing w:line="360" w:lineRule="exact"/>
              <w:jc w:val="center"/>
              <w:rPr>
                <w:rFonts w:hint="eastAsia"/>
                <w:szCs w:val="21"/>
              </w:rPr>
            </w:pPr>
            <w:r>
              <w:rPr>
                <w:rFonts w:hint="eastAsia"/>
                <w:szCs w:val="21"/>
              </w:rPr>
              <w:t>一级</w:t>
            </w:r>
          </w:p>
        </w:tc>
        <w:tc>
          <w:tcPr>
            <w:tcW w:w="1667" w:type="pct"/>
            <w:noWrap w:val="0"/>
            <w:vAlign w:val="center"/>
          </w:tcPr>
          <w:p>
            <w:pPr>
              <w:spacing w:line="360" w:lineRule="exact"/>
              <w:jc w:val="center"/>
              <w:rPr>
                <w:rFonts w:hint="eastAsia"/>
                <w:szCs w:val="21"/>
              </w:rPr>
            </w:pPr>
            <w:r>
              <w:rPr>
                <w:rFonts w:hint="eastAsia"/>
                <w:szCs w:val="21"/>
              </w:rPr>
              <w:t>直接</w:t>
            </w:r>
            <w:r>
              <w:rPr>
                <w:szCs w:val="21"/>
              </w:rPr>
              <w:t>排放</w:t>
            </w:r>
          </w:p>
        </w:tc>
        <w:tc>
          <w:tcPr>
            <w:tcW w:w="1667" w:type="pct"/>
            <w:noWrap w:val="0"/>
            <w:vAlign w:val="center"/>
          </w:tcPr>
          <w:p>
            <w:pPr>
              <w:spacing w:line="360" w:lineRule="exact"/>
              <w:jc w:val="center"/>
              <w:rPr>
                <w:rFonts w:hint="eastAsia"/>
                <w:szCs w:val="21"/>
              </w:rPr>
            </w:pPr>
            <w:r>
              <w:rPr>
                <w:rFonts w:hint="eastAsia"/>
                <w:szCs w:val="21"/>
              </w:rPr>
              <w:t>Q</w:t>
            </w:r>
            <w:r>
              <w:rPr>
                <w:szCs w:val="21"/>
              </w:rPr>
              <w:t>≥20000</w:t>
            </w:r>
            <w:r>
              <w:rPr>
                <w:rFonts w:hint="eastAsia"/>
                <w:szCs w:val="21"/>
              </w:rPr>
              <w:t>或</w:t>
            </w:r>
            <w:r>
              <w:rPr>
                <w:szCs w:val="21"/>
              </w:rPr>
              <w:t>W≥600000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666" w:type="pct"/>
            <w:noWrap w:val="0"/>
            <w:vAlign w:val="center"/>
          </w:tcPr>
          <w:p>
            <w:pPr>
              <w:spacing w:line="360" w:lineRule="exact"/>
              <w:jc w:val="center"/>
              <w:rPr>
                <w:rFonts w:hint="eastAsia"/>
                <w:szCs w:val="21"/>
              </w:rPr>
            </w:pPr>
            <w:r>
              <w:rPr>
                <w:rFonts w:hint="eastAsia"/>
                <w:szCs w:val="21"/>
              </w:rPr>
              <w:t>二级</w:t>
            </w:r>
          </w:p>
        </w:tc>
        <w:tc>
          <w:tcPr>
            <w:tcW w:w="1667" w:type="pct"/>
            <w:noWrap w:val="0"/>
            <w:vAlign w:val="center"/>
          </w:tcPr>
          <w:p>
            <w:pPr>
              <w:spacing w:line="360" w:lineRule="exact"/>
              <w:jc w:val="center"/>
              <w:rPr>
                <w:rFonts w:hint="eastAsia"/>
                <w:szCs w:val="21"/>
              </w:rPr>
            </w:pPr>
            <w:r>
              <w:rPr>
                <w:rFonts w:hint="eastAsia"/>
                <w:szCs w:val="21"/>
              </w:rPr>
              <w:t>直接</w:t>
            </w:r>
            <w:r>
              <w:rPr>
                <w:szCs w:val="21"/>
              </w:rPr>
              <w:t>排放</w:t>
            </w:r>
          </w:p>
        </w:tc>
        <w:tc>
          <w:tcPr>
            <w:tcW w:w="1667" w:type="pct"/>
            <w:noWrap w:val="0"/>
            <w:vAlign w:val="center"/>
          </w:tcPr>
          <w:p>
            <w:pPr>
              <w:spacing w:line="360" w:lineRule="exact"/>
              <w:jc w:val="center"/>
              <w:rPr>
                <w:rFonts w:hint="eastAsia"/>
                <w:szCs w:val="21"/>
              </w:rPr>
            </w:pPr>
            <w:r>
              <w:rPr>
                <w:rFonts w:hint="eastAsia"/>
                <w:szCs w:val="21"/>
              </w:rPr>
              <w:t>其他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666" w:type="pct"/>
            <w:noWrap w:val="0"/>
            <w:vAlign w:val="center"/>
          </w:tcPr>
          <w:p>
            <w:pPr>
              <w:spacing w:line="360" w:lineRule="exact"/>
              <w:jc w:val="center"/>
              <w:rPr>
                <w:rFonts w:hint="eastAsia"/>
                <w:szCs w:val="21"/>
              </w:rPr>
            </w:pPr>
            <w:r>
              <w:rPr>
                <w:rFonts w:hint="eastAsia"/>
                <w:szCs w:val="21"/>
              </w:rPr>
              <w:t>三级</w:t>
            </w:r>
            <w:r>
              <w:rPr>
                <w:szCs w:val="21"/>
              </w:rPr>
              <w:t>A</w:t>
            </w:r>
          </w:p>
        </w:tc>
        <w:tc>
          <w:tcPr>
            <w:tcW w:w="1667" w:type="pct"/>
            <w:noWrap w:val="0"/>
            <w:vAlign w:val="center"/>
          </w:tcPr>
          <w:p>
            <w:pPr>
              <w:spacing w:line="360" w:lineRule="exact"/>
              <w:jc w:val="center"/>
              <w:rPr>
                <w:rFonts w:hint="eastAsia"/>
                <w:szCs w:val="21"/>
              </w:rPr>
            </w:pPr>
            <w:r>
              <w:rPr>
                <w:rFonts w:hint="eastAsia"/>
                <w:szCs w:val="21"/>
              </w:rPr>
              <w:t>直接</w:t>
            </w:r>
            <w:r>
              <w:rPr>
                <w:szCs w:val="21"/>
              </w:rPr>
              <w:t>排放</w:t>
            </w:r>
          </w:p>
        </w:tc>
        <w:tc>
          <w:tcPr>
            <w:tcW w:w="1667" w:type="pct"/>
            <w:noWrap w:val="0"/>
            <w:vAlign w:val="center"/>
          </w:tcPr>
          <w:p>
            <w:pPr>
              <w:spacing w:line="360" w:lineRule="exact"/>
              <w:jc w:val="center"/>
              <w:rPr>
                <w:rFonts w:hint="eastAsia"/>
                <w:szCs w:val="21"/>
              </w:rPr>
            </w:pPr>
            <w:r>
              <w:rPr>
                <w:rFonts w:hint="eastAsia"/>
                <w:szCs w:val="21"/>
              </w:rPr>
              <w:t>Q</w:t>
            </w:r>
            <w:r>
              <w:rPr>
                <w:szCs w:val="21"/>
              </w:rPr>
              <w:t>＜</w:t>
            </w:r>
            <w:r>
              <w:rPr>
                <w:rFonts w:hint="eastAsia"/>
                <w:szCs w:val="21"/>
              </w:rPr>
              <w:t>200且</w:t>
            </w:r>
            <w:r>
              <w:rPr>
                <w:szCs w:val="21"/>
              </w:rPr>
              <w:t>W小于</w:t>
            </w:r>
            <w:r>
              <w:rPr>
                <w:rFonts w:hint="eastAsia"/>
                <w:szCs w:val="21"/>
              </w:rPr>
              <w:t>6000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jc w:val="center"/>
        </w:trPr>
        <w:tc>
          <w:tcPr>
            <w:tcW w:w="1666" w:type="pct"/>
            <w:noWrap w:val="0"/>
            <w:vAlign w:val="center"/>
          </w:tcPr>
          <w:p>
            <w:pPr>
              <w:spacing w:line="360" w:lineRule="exact"/>
              <w:jc w:val="center"/>
              <w:rPr>
                <w:rFonts w:hint="eastAsia"/>
                <w:szCs w:val="21"/>
              </w:rPr>
            </w:pPr>
            <w:r>
              <w:rPr>
                <w:rFonts w:hint="eastAsia"/>
                <w:szCs w:val="21"/>
              </w:rPr>
              <w:t>三级</w:t>
            </w:r>
            <w:r>
              <w:rPr>
                <w:szCs w:val="21"/>
              </w:rPr>
              <w:t>B</w:t>
            </w:r>
          </w:p>
        </w:tc>
        <w:tc>
          <w:tcPr>
            <w:tcW w:w="1667" w:type="pct"/>
            <w:noWrap w:val="0"/>
            <w:vAlign w:val="center"/>
          </w:tcPr>
          <w:p>
            <w:pPr>
              <w:spacing w:line="360" w:lineRule="exact"/>
              <w:jc w:val="center"/>
              <w:rPr>
                <w:rFonts w:hint="eastAsia"/>
                <w:szCs w:val="21"/>
              </w:rPr>
            </w:pPr>
            <w:r>
              <w:rPr>
                <w:rFonts w:hint="eastAsia"/>
                <w:szCs w:val="21"/>
              </w:rPr>
              <w:t>间接</w:t>
            </w:r>
            <w:r>
              <w:rPr>
                <w:szCs w:val="21"/>
              </w:rPr>
              <w:t>排放</w:t>
            </w:r>
          </w:p>
        </w:tc>
        <w:tc>
          <w:tcPr>
            <w:tcW w:w="1667" w:type="pct"/>
            <w:noWrap w:val="0"/>
            <w:vAlign w:val="center"/>
          </w:tcPr>
          <w:p>
            <w:pPr>
              <w:spacing w:line="360" w:lineRule="exact"/>
              <w:jc w:val="center"/>
              <w:rPr>
                <w:rFonts w:hint="eastAsia"/>
                <w:szCs w:val="21"/>
              </w:rPr>
            </w:pPr>
            <w:r>
              <w:rPr>
                <w:rFonts w:hint="eastAsia"/>
                <w:szCs w:val="21"/>
              </w:rPr>
              <w:t>—</w:t>
            </w:r>
          </w:p>
        </w:tc>
      </w:tr>
    </w:tbl>
    <w:p>
      <w:pPr>
        <w:spacing w:line="520" w:lineRule="exact"/>
        <w:ind w:firstLine="480" w:firstLineChars="200"/>
        <w:rPr>
          <w:sz w:val="24"/>
          <w:highlight w:val="yellow"/>
        </w:rPr>
      </w:pPr>
      <w:bookmarkStart w:id="136" w:name="_Toc407000994"/>
      <w:bookmarkStart w:id="137" w:name="_Toc413750082"/>
      <w:bookmarkStart w:id="138" w:name="_Toc412820916"/>
      <w:r>
        <w:rPr>
          <w:rFonts w:hint="eastAsia"/>
          <w:sz w:val="24"/>
        </w:rPr>
        <w:t>项目</w:t>
      </w:r>
      <w:r>
        <w:rPr>
          <w:sz w:val="24"/>
        </w:rPr>
        <w:t>废水全部实现综合利用，无废水外排</w:t>
      </w:r>
      <w:r>
        <w:rPr>
          <w:rFonts w:hint="eastAsia"/>
          <w:sz w:val="24"/>
          <w:szCs w:val="28"/>
        </w:rPr>
        <w:t>，</w:t>
      </w:r>
      <w:r>
        <w:rPr>
          <w:sz w:val="24"/>
          <w:szCs w:val="28"/>
        </w:rPr>
        <w:t>根据上表可知，本项目地表水影响评价等级为三级</w:t>
      </w:r>
      <w:r>
        <w:rPr>
          <w:rFonts w:hint="eastAsia"/>
          <w:sz w:val="24"/>
          <w:szCs w:val="28"/>
        </w:rPr>
        <w:t>B</w:t>
      </w:r>
      <w:r>
        <w:rPr>
          <w:sz w:val="24"/>
          <w:szCs w:val="28"/>
        </w:rPr>
        <w:t>，仅作定性分析。</w:t>
      </w:r>
      <w:r>
        <w:rPr>
          <w:sz w:val="24"/>
        </w:rPr>
        <w:t>重点针对污水处理综合利用的措施、途径及利用的可行性进行分析。</w:t>
      </w:r>
    </w:p>
    <w:p>
      <w:pPr>
        <w:pStyle w:val="2"/>
        <w:snapToGrid w:val="0"/>
        <w:spacing w:before="0" w:after="0" w:line="520" w:lineRule="exact"/>
        <w:rPr>
          <w:rFonts w:eastAsia="黑体"/>
          <w:b w:val="0"/>
          <w:bCs w:val="0"/>
          <w:sz w:val="24"/>
          <w:szCs w:val="24"/>
        </w:rPr>
      </w:pPr>
      <w:r>
        <w:rPr>
          <w:rFonts w:eastAsia="黑体"/>
          <w:b w:val="0"/>
          <w:bCs w:val="0"/>
          <w:sz w:val="24"/>
          <w:szCs w:val="24"/>
        </w:rPr>
        <w:t>1.6.3 地下水</w:t>
      </w:r>
      <w:bookmarkEnd w:id="136"/>
      <w:bookmarkEnd w:id="137"/>
      <w:bookmarkEnd w:id="138"/>
    </w:p>
    <w:p>
      <w:pPr>
        <w:spacing w:line="500" w:lineRule="exact"/>
        <w:ind w:firstLine="482"/>
        <w:rPr>
          <w:sz w:val="24"/>
          <w:szCs w:val="28"/>
        </w:rPr>
      </w:pPr>
      <w:r>
        <w:rPr>
          <w:sz w:val="24"/>
          <w:szCs w:val="28"/>
        </w:rPr>
        <w:t>本项目位于</w:t>
      </w:r>
      <w:r>
        <w:rPr>
          <w:rFonts w:hint="eastAsia"/>
          <w:sz w:val="24"/>
          <w:lang w:eastAsia="zh-CN"/>
        </w:rPr>
        <w:t>正阳县汝南埠镇大温寺王店</w:t>
      </w:r>
      <w:r>
        <w:rPr>
          <w:sz w:val="24"/>
          <w:szCs w:val="28"/>
        </w:rPr>
        <w:t>，根据2016年1月7日实施的《环境影响评价技术导则  地下水环境》（HJ610-2016）结合《建设项目环境影响评价分类管理名录》内容，本项目属于</w:t>
      </w:r>
      <w:r>
        <w:rPr>
          <w:rFonts w:hint="eastAsia"/>
          <w:sz w:val="24"/>
          <w:szCs w:val="28"/>
        </w:rPr>
        <w:t>“</w:t>
      </w:r>
      <w:r>
        <w:rPr>
          <w:sz w:val="24"/>
          <w:szCs w:val="28"/>
        </w:rPr>
        <w:t>地下水环境评价行业分类表中：B  农、林、牧、渔、海洋  14畜禽养殖场、养殖小区，环评类别属于报告书</w:t>
      </w:r>
      <w:r>
        <w:rPr>
          <w:rFonts w:hint="eastAsia"/>
          <w:sz w:val="24"/>
          <w:szCs w:val="28"/>
        </w:rPr>
        <w:t>”</w:t>
      </w:r>
      <w:r>
        <w:rPr>
          <w:sz w:val="24"/>
          <w:szCs w:val="28"/>
        </w:rPr>
        <w:t>，此类报告书地下水环境影响评价项目类别属于Ⅲ</w:t>
      </w:r>
      <w:r>
        <w:rPr>
          <w:rFonts w:hint="eastAsia"/>
          <w:sz w:val="24"/>
          <w:szCs w:val="28"/>
        </w:rPr>
        <w:t>类</w:t>
      </w:r>
      <w:r>
        <w:rPr>
          <w:sz w:val="24"/>
          <w:szCs w:val="28"/>
        </w:rPr>
        <w:t>。</w:t>
      </w:r>
    </w:p>
    <w:p>
      <w:pPr>
        <w:spacing w:line="500" w:lineRule="exact"/>
        <w:ind w:firstLine="482"/>
        <w:rPr>
          <w:sz w:val="24"/>
          <w:szCs w:val="28"/>
        </w:rPr>
      </w:pPr>
      <w:r>
        <w:rPr>
          <w:sz w:val="24"/>
          <w:szCs w:val="28"/>
        </w:rPr>
        <w:t>根据《环境影响评价技术导则  地下水环境》（HJ610-2016）地下水敏感程度可分为敏感、较敏感、不敏感三级，地下水敏感程度分级表见表1.6-5。</w:t>
      </w:r>
    </w:p>
    <w:p>
      <w:pPr>
        <w:spacing w:line="500" w:lineRule="exact"/>
        <w:ind w:firstLine="482"/>
        <w:jc w:val="center"/>
        <w:rPr>
          <w:b/>
          <w:sz w:val="24"/>
        </w:rPr>
      </w:pPr>
      <w:r>
        <w:rPr>
          <w:b/>
          <w:sz w:val="24"/>
        </w:rPr>
        <w:t>表1.6-5   地下水敏感程度分级表</w:t>
      </w:r>
    </w:p>
    <w:tbl>
      <w:tblPr>
        <w:tblStyle w:val="1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683"/>
        <w:gridCol w:w="72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4" w:hRule="atLeast"/>
          <w:tblHeader/>
        </w:trPr>
        <w:tc>
          <w:tcPr>
            <w:tcW w:w="1683" w:type="dxa"/>
            <w:noWrap w:val="0"/>
            <w:vAlign w:val="center"/>
          </w:tcPr>
          <w:p>
            <w:pPr>
              <w:adjustRightInd w:val="0"/>
              <w:snapToGrid w:val="0"/>
              <w:spacing w:line="360" w:lineRule="exact"/>
              <w:jc w:val="center"/>
              <w:rPr>
                <w:b/>
                <w:bCs/>
                <w:szCs w:val="21"/>
                <w:lang w:val="en-GB"/>
              </w:rPr>
            </w:pPr>
            <w:r>
              <w:rPr>
                <w:b/>
                <w:bCs/>
                <w:szCs w:val="21"/>
                <w:lang w:val="en-GB"/>
              </w:rPr>
              <w:t>敏感程度</w:t>
            </w:r>
          </w:p>
        </w:tc>
        <w:tc>
          <w:tcPr>
            <w:tcW w:w="7263" w:type="dxa"/>
            <w:noWrap w:val="0"/>
            <w:vAlign w:val="center"/>
          </w:tcPr>
          <w:p>
            <w:pPr>
              <w:adjustRightInd w:val="0"/>
              <w:snapToGrid w:val="0"/>
              <w:spacing w:line="360" w:lineRule="exact"/>
              <w:jc w:val="center"/>
              <w:rPr>
                <w:b/>
                <w:bCs/>
                <w:szCs w:val="21"/>
                <w:lang w:val="en-GB"/>
              </w:rPr>
            </w:pPr>
            <w:r>
              <w:rPr>
                <w:b/>
                <w:bCs/>
                <w:szCs w:val="21"/>
                <w:lang w:val="en-GB"/>
              </w:rPr>
              <w:t>地下水环境敏感特征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83" w:type="dxa"/>
            <w:noWrap w:val="0"/>
            <w:vAlign w:val="center"/>
          </w:tcPr>
          <w:p>
            <w:pPr>
              <w:spacing w:line="360" w:lineRule="exact"/>
              <w:jc w:val="center"/>
              <w:rPr>
                <w:bCs/>
                <w:szCs w:val="21"/>
                <w:lang w:val="en-GB"/>
              </w:rPr>
            </w:pPr>
            <w:r>
              <w:rPr>
                <w:bCs/>
                <w:szCs w:val="21"/>
                <w:lang w:val="en-GB"/>
              </w:rPr>
              <w:t>敏感</w:t>
            </w:r>
          </w:p>
        </w:tc>
        <w:tc>
          <w:tcPr>
            <w:tcW w:w="7263" w:type="dxa"/>
            <w:noWrap w:val="0"/>
            <w:vAlign w:val="center"/>
          </w:tcPr>
          <w:p>
            <w:pPr>
              <w:spacing w:line="360" w:lineRule="exact"/>
              <w:jc w:val="center"/>
              <w:rPr>
                <w:bCs/>
                <w:szCs w:val="21"/>
                <w:lang w:val="en-GB"/>
              </w:rPr>
            </w:pPr>
            <w:r>
              <w:rPr>
                <w:bCs/>
                <w:szCs w:val="21"/>
                <w:lang w:val="en-GB"/>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83" w:type="dxa"/>
            <w:noWrap w:val="0"/>
            <w:vAlign w:val="center"/>
          </w:tcPr>
          <w:p>
            <w:pPr>
              <w:spacing w:line="360" w:lineRule="exact"/>
              <w:jc w:val="center"/>
              <w:rPr>
                <w:bCs/>
                <w:szCs w:val="21"/>
                <w:lang w:val="en-GB"/>
              </w:rPr>
            </w:pPr>
            <w:r>
              <w:rPr>
                <w:bCs/>
                <w:szCs w:val="21"/>
                <w:lang w:val="en-GB"/>
              </w:rPr>
              <w:t>较敏感</w:t>
            </w:r>
          </w:p>
        </w:tc>
        <w:tc>
          <w:tcPr>
            <w:tcW w:w="7263" w:type="dxa"/>
            <w:noWrap w:val="0"/>
            <w:vAlign w:val="center"/>
          </w:tcPr>
          <w:p>
            <w:pPr>
              <w:spacing w:line="360" w:lineRule="exact"/>
              <w:jc w:val="center"/>
              <w:rPr>
                <w:bCs/>
                <w:szCs w:val="21"/>
                <w:lang w:val="en-GB"/>
              </w:rPr>
            </w:pPr>
            <w:r>
              <w:rPr>
                <w:bCs/>
                <w:szCs w:val="21"/>
                <w:lang w:val="en-GB"/>
              </w:rPr>
              <w:t>集中式饮用水水源（包括已建成的在用、备用、应急水源，在建和规划的饮用水水源）准保护区以外的补给径流区；为划定准保护区的集中水式饮用水水源，其保护区以外的补给径流区；分散式饮用水水源地；特殊地下水资源（如矿泉水、温泉等）保护区以外的分布区等其他未列入上述敏感分级的环境敏感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83" w:type="dxa"/>
            <w:noWrap w:val="0"/>
            <w:vAlign w:val="center"/>
          </w:tcPr>
          <w:p>
            <w:pPr>
              <w:spacing w:line="360" w:lineRule="exact"/>
              <w:jc w:val="center"/>
              <w:rPr>
                <w:bCs/>
                <w:szCs w:val="21"/>
                <w:lang w:val="en-GB"/>
              </w:rPr>
            </w:pPr>
            <w:r>
              <w:rPr>
                <w:bCs/>
                <w:szCs w:val="21"/>
                <w:lang w:val="en-GB"/>
              </w:rPr>
              <w:t>不敏感</w:t>
            </w:r>
          </w:p>
        </w:tc>
        <w:tc>
          <w:tcPr>
            <w:tcW w:w="7263" w:type="dxa"/>
            <w:noWrap w:val="0"/>
            <w:vAlign w:val="center"/>
          </w:tcPr>
          <w:p>
            <w:pPr>
              <w:spacing w:line="360" w:lineRule="exact"/>
              <w:jc w:val="center"/>
              <w:rPr>
                <w:bCs/>
                <w:szCs w:val="21"/>
                <w:lang w:val="en-GB"/>
              </w:rPr>
            </w:pPr>
            <w:r>
              <w:rPr>
                <w:bCs/>
                <w:szCs w:val="21"/>
                <w:lang w:val="en-GB"/>
              </w:rPr>
              <w:t>上述地区之外的其它区域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946" w:type="dxa"/>
            <w:gridSpan w:val="2"/>
            <w:noWrap w:val="0"/>
            <w:vAlign w:val="center"/>
          </w:tcPr>
          <w:p>
            <w:pPr>
              <w:spacing w:line="360" w:lineRule="exact"/>
              <w:jc w:val="center"/>
              <w:rPr>
                <w:bCs/>
                <w:szCs w:val="21"/>
                <w:lang w:val="en-GB"/>
              </w:rPr>
            </w:pPr>
            <w:r>
              <w:rPr>
                <w:bCs/>
                <w:szCs w:val="21"/>
                <w:lang w:val="en-GB"/>
              </w:rPr>
              <w:t>注：a“环境敏感区”是指《建设项目环境影响评价分类管理名录》中所界定的设计地下水的环境敏感区</w:t>
            </w:r>
          </w:p>
        </w:tc>
      </w:tr>
    </w:tbl>
    <w:p>
      <w:pPr>
        <w:spacing w:line="520" w:lineRule="exact"/>
        <w:ind w:firstLine="480" w:firstLineChars="200"/>
        <w:jc w:val="left"/>
        <w:rPr>
          <w:sz w:val="24"/>
        </w:rPr>
      </w:pPr>
      <w:r>
        <w:rPr>
          <w:bCs/>
          <w:sz w:val="24"/>
        </w:rPr>
        <w:t>项目区位于</w:t>
      </w:r>
      <w:r>
        <w:rPr>
          <w:rFonts w:hint="eastAsia"/>
          <w:sz w:val="24"/>
          <w:lang w:eastAsia="zh-CN"/>
        </w:rPr>
        <w:t>正阳县汝南埠镇大温寺王店</w:t>
      </w:r>
      <w:r>
        <w:rPr>
          <w:bCs/>
        </w:rPr>
        <w:t>，</w:t>
      </w:r>
      <w:r>
        <w:rPr>
          <w:rFonts w:hint="eastAsia" w:hAnsi="宋体"/>
          <w:bCs/>
          <w:sz w:val="24"/>
        </w:rPr>
        <w:t>根据《驻马店市</w:t>
      </w:r>
      <w:r>
        <w:rPr>
          <w:rFonts w:hAnsi="宋体"/>
          <w:bCs/>
          <w:sz w:val="24"/>
        </w:rPr>
        <w:t>正阳县乡镇集中式</w:t>
      </w:r>
      <w:r>
        <w:rPr>
          <w:rFonts w:hint="eastAsia" w:hAnsi="宋体"/>
          <w:bCs/>
          <w:sz w:val="24"/>
        </w:rPr>
        <w:t>饮用水</w:t>
      </w:r>
      <w:r>
        <w:rPr>
          <w:rFonts w:hAnsi="宋体"/>
          <w:bCs/>
          <w:sz w:val="24"/>
        </w:rPr>
        <w:t>水源</w:t>
      </w:r>
      <w:r>
        <w:rPr>
          <w:rFonts w:hAnsi="宋体"/>
          <w:sz w:val="24"/>
        </w:rPr>
        <w:t>保护区划分技术报告</w:t>
      </w:r>
      <w:r>
        <w:rPr>
          <w:rFonts w:hint="eastAsia" w:hAnsi="宋体"/>
          <w:sz w:val="24"/>
        </w:rPr>
        <w:t>》正阳县</w:t>
      </w:r>
      <w:r>
        <w:rPr>
          <w:rFonts w:hint="eastAsia" w:hAnsi="宋体"/>
          <w:sz w:val="24"/>
          <w:lang w:eastAsia="zh-CN"/>
        </w:rPr>
        <w:t>汝南埠镇</w:t>
      </w:r>
      <w:r>
        <w:rPr>
          <w:rFonts w:hint="eastAsia" w:hAnsi="宋体"/>
          <w:sz w:val="24"/>
        </w:rPr>
        <w:t>地下水井共</w:t>
      </w:r>
      <w:r>
        <w:rPr>
          <w:rFonts w:hint="eastAsia" w:hAnsi="宋体"/>
          <w:sz w:val="24"/>
          <w:lang w:val="en-US" w:eastAsia="zh-CN"/>
        </w:rPr>
        <w:t>4</w:t>
      </w:r>
      <w:r>
        <w:rPr>
          <w:rFonts w:hint="eastAsia" w:hAnsi="宋体"/>
          <w:sz w:val="24"/>
        </w:rPr>
        <w:t>眼井，一级保护区范围为：</w:t>
      </w:r>
      <w:r>
        <w:rPr>
          <w:rFonts w:hint="eastAsia" w:hAnsi="宋体"/>
          <w:sz w:val="24"/>
          <w:lang w:val="en-US" w:eastAsia="zh-CN"/>
        </w:rPr>
        <w:t>水厂厂区及外围东20米、西20米、南16米、北28米的区域(1～3号取水井)，4号取水井外围30米的区域</w:t>
      </w:r>
      <w:r>
        <w:rPr>
          <w:rFonts w:hint="eastAsia" w:hAnsi="宋体"/>
          <w:sz w:val="24"/>
        </w:rPr>
        <w:t>。</w:t>
      </w:r>
      <w:r>
        <w:rPr>
          <w:rFonts w:hint="eastAsia"/>
          <w:sz w:val="24"/>
        </w:rPr>
        <w:t>本项目距离</w:t>
      </w:r>
      <w:r>
        <w:rPr>
          <w:rFonts w:hint="eastAsia" w:hAnsi="宋体"/>
          <w:sz w:val="24"/>
        </w:rPr>
        <w:t>正阳县</w:t>
      </w:r>
      <w:r>
        <w:rPr>
          <w:rFonts w:hint="eastAsia" w:hAnsi="宋体"/>
          <w:sz w:val="24"/>
          <w:lang w:eastAsia="zh-CN"/>
        </w:rPr>
        <w:t>汝南埠镇</w:t>
      </w:r>
      <w:r>
        <w:rPr>
          <w:rFonts w:hint="eastAsia" w:hAnsi="宋体"/>
          <w:sz w:val="24"/>
        </w:rPr>
        <w:t>地下水井</w:t>
      </w:r>
      <w:r>
        <w:rPr>
          <w:sz w:val="24"/>
        </w:rPr>
        <w:t>的最近</w:t>
      </w:r>
      <w:r>
        <w:rPr>
          <w:bCs/>
          <w:sz w:val="24"/>
        </w:rPr>
        <w:t>距离</w:t>
      </w:r>
      <w:r>
        <w:rPr>
          <w:rFonts w:hint="eastAsia"/>
          <w:bCs/>
          <w:sz w:val="24"/>
        </w:rPr>
        <w:t>为</w:t>
      </w:r>
      <w:r>
        <w:rPr>
          <w:rFonts w:hint="eastAsia"/>
          <w:bCs/>
          <w:sz w:val="24"/>
          <w:lang w:val="en-US" w:eastAsia="zh-CN"/>
        </w:rPr>
        <w:t>3.8</w:t>
      </w:r>
      <w:r>
        <w:rPr>
          <w:bCs/>
          <w:sz w:val="24"/>
        </w:rPr>
        <w:t>km。</w:t>
      </w:r>
    </w:p>
    <w:p>
      <w:pPr>
        <w:pStyle w:val="26"/>
        <w:spacing w:after="0" w:afterLines="0" w:line="520" w:lineRule="exact"/>
        <w:ind w:firstLine="480" w:firstLineChars="200"/>
        <w:rPr>
          <w:szCs w:val="28"/>
        </w:rPr>
      </w:pPr>
      <w:r>
        <w:rPr>
          <w:bCs/>
        </w:rPr>
        <w:t>本项目周边村庄供水</w:t>
      </w:r>
      <w:r>
        <w:rPr>
          <w:rFonts w:hint="eastAsia"/>
          <w:bCs/>
        </w:rPr>
        <w:t>均</w:t>
      </w:r>
      <w:r>
        <w:rPr>
          <w:bCs/>
        </w:rPr>
        <w:t>采用居民家中的自备井供水，属于分散式饮用水水源地，根据地下水敏感程度分级表</w:t>
      </w:r>
      <w:r>
        <w:rPr>
          <w:rFonts w:hint="eastAsia"/>
          <w:bCs/>
        </w:rPr>
        <w:t>，</w:t>
      </w:r>
      <w:r>
        <w:rPr>
          <w:bCs/>
        </w:rPr>
        <w:t>本项目所在区域地下水敏感程度为</w:t>
      </w:r>
      <w:r>
        <w:rPr>
          <w:rFonts w:hint="eastAsia"/>
          <w:bCs/>
        </w:rPr>
        <w:t>较</w:t>
      </w:r>
      <w:r>
        <w:rPr>
          <w:bCs/>
        </w:rPr>
        <w:t>敏感。</w:t>
      </w:r>
    </w:p>
    <w:p>
      <w:pPr>
        <w:spacing w:line="520" w:lineRule="exact"/>
        <w:ind w:firstLine="480" w:firstLineChars="200"/>
        <w:rPr>
          <w:bCs/>
          <w:sz w:val="24"/>
        </w:rPr>
      </w:pPr>
      <w:r>
        <w:rPr>
          <w:bCs/>
          <w:sz w:val="24"/>
        </w:rPr>
        <w:t>建设项目地下水环境影响评价工作等级划分情况见表1.6-6。</w:t>
      </w:r>
    </w:p>
    <w:p>
      <w:pPr>
        <w:spacing w:line="520" w:lineRule="exact"/>
        <w:ind w:firstLine="480" w:firstLineChars="200"/>
        <w:rPr>
          <w:bCs/>
          <w:sz w:val="24"/>
        </w:rPr>
      </w:pPr>
    </w:p>
    <w:p>
      <w:pPr>
        <w:spacing w:after="72" w:afterLines="30" w:line="500" w:lineRule="exact"/>
        <w:jc w:val="center"/>
        <w:rPr>
          <w:b/>
          <w:sz w:val="24"/>
        </w:rPr>
      </w:pPr>
      <w:r>
        <w:rPr>
          <w:b/>
          <w:sz w:val="24"/>
        </w:rPr>
        <w:t>表1.6-6      本项目地下水环境影响评价工作等级划分一览表</w:t>
      </w:r>
    </w:p>
    <w:tbl>
      <w:tblPr>
        <w:tblStyle w:val="1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559"/>
        <w:gridCol w:w="1796"/>
        <w:gridCol w:w="1796"/>
        <w:gridCol w:w="17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989" w:type="pct"/>
            <w:noWrap w:val="0"/>
            <w:vAlign w:val="center"/>
          </w:tcPr>
          <w:p>
            <w:pPr>
              <w:spacing w:line="360" w:lineRule="exact"/>
              <w:jc w:val="right"/>
              <w:rPr>
                <w:b/>
                <w:bCs/>
                <w:szCs w:val="21"/>
                <w:lang w:val="en-GB"/>
              </w:rPr>
            </w:pPr>
            <w:r>
              <mc:AlternateContent>
                <mc:Choice Requires="wps">
                  <w:drawing>
                    <wp:anchor distT="0" distB="0" distL="114300" distR="114300" simplePos="0" relativeHeight="251716608" behindDoc="0" locked="0" layoutInCell="1" allowOverlap="1">
                      <wp:simplePos x="0" y="0"/>
                      <wp:positionH relativeFrom="column">
                        <wp:posOffset>-62230</wp:posOffset>
                      </wp:positionH>
                      <wp:positionV relativeFrom="paragraph">
                        <wp:posOffset>-15240</wp:posOffset>
                      </wp:positionV>
                      <wp:extent cx="2367280" cy="694055"/>
                      <wp:effectExtent l="1270" t="4445" r="12700" b="6350"/>
                      <wp:wrapNone/>
                      <wp:docPr id="419" name="直线 576"/>
                      <wp:cNvGraphicFramePr/>
                      <a:graphic xmlns:a="http://schemas.openxmlformats.org/drawingml/2006/main">
                        <a:graphicData uri="http://schemas.microsoft.com/office/word/2010/wordprocessingShape">
                          <wps:wsp>
                            <wps:cNvCnPr/>
                            <wps:spPr>
                              <a:xfrm>
                                <a:off x="0" y="0"/>
                                <a:ext cx="2367280" cy="69405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576" o:spid="_x0000_s1026" o:spt="20" style="position:absolute;left:0pt;margin-left:-4.9pt;margin-top:-1.2pt;height:54.65pt;width:186.4pt;z-index:251716608;mso-width-relative:page;mso-height-relative:page;" filled="f" stroked="t" coordsize="21600,21600" o:gfxdata="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kd68LtcAAAAJAQAADwAAAAAAAAABACAAAAAiAAAAZHJzL2Rvd25yZXYueG1sUEsBAhQAFAAA&#10;AAgAh07iQBMs5QbwAQAA5AMAAA4AAAAAAAAAAQAgAAAAJgEAAGRycy9lMm9Eb2MueG1sUEsFBgAA&#10;AAAGAAYAWQEAAIgFAAAAAA==&#10;">
                      <v:fill on="f" focussize="0,0"/>
                      <v:stroke color="#000000" joinstyle="round"/>
                      <v:imagedata o:title=""/>
                      <o:lock v:ext="edit" aspectratio="f"/>
                    </v:line>
                  </w:pict>
                </mc:Fallback>
              </mc:AlternateContent>
            </w:r>
            <w:r>
              <w:rPr>
                <w:b/>
                <w:bCs/>
                <w:szCs w:val="21"/>
                <w:lang w:val="en-GB"/>
              </w:rPr>
              <w:t>环评类别</w:t>
            </w:r>
          </w:p>
          <w:p>
            <w:pPr>
              <w:spacing w:line="360" w:lineRule="exact"/>
              <w:jc w:val="center"/>
              <w:rPr>
                <w:b/>
                <w:bCs/>
                <w:szCs w:val="21"/>
                <w:lang w:val="en-GB"/>
              </w:rPr>
            </w:pPr>
          </w:p>
          <w:p>
            <w:pPr>
              <w:spacing w:line="360" w:lineRule="exact"/>
              <w:rPr>
                <w:b/>
                <w:bCs/>
                <w:szCs w:val="21"/>
                <w:lang w:val="en-GB"/>
              </w:rPr>
            </w:pPr>
            <w:r>
              <w:rPr>
                <w:b/>
                <w:bCs/>
                <w:szCs w:val="21"/>
                <w:lang w:val="en-GB"/>
              </w:rPr>
              <w:t>环境敏感程度</w:t>
            </w:r>
          </w:p>
        </w:tc>
        <w:tc>
          <w:tcPr>
            <w:tcW w:w="1004" w:type="pct"/>
            <w:noWrap w:val="0"/>
            <w:vAlign w:val="center"/>
          </w:tcPr>
          <w:p>
            <w:pPr>
              <w:spacing w:line="360" w:lineRule="exact"/>
              <w:jc w:val="center"/>
              <w:rPr>
                <w:b/>
                <w:bCs/>
                <w:szCs w:val="21"/>
                <w:lang w:val="en-GB"/>
              </w:rPr>
            </w:pPr>
            <w:r>
              <w:rPr>
                <w:b/>
                <w:bCs/>
                <w:szCs w:val="21"/>
              </w:rPr>
              <w:t>Ⅰ类项目</w:t>
            </w:r>
          </w:p>
        </w:tc>
        <w:tc>
          <w:tcPr>
            <w:tcW w:w="1004" w:type="pct"/>
            <w:noWrap w:val="0"/>
            <w:vAlign w:val="center"/>
          </w:tcPr>
          <w:p>
            <w:pPr>
              <w:spacing w:line="360" w:lineRule="exact"/>
              <w:jc w:val="center"/>
              <w:rPr>
                <w:b/>
                <w:bCs/>
                <w:szCs w:val="21"/>
                <w:lang w:val="en-GB"/>
              </w:rPr>
            </w:pPr>
            <w:r>
              <w:rPr>
                <w:b/>
                <w:bCs/>
                <w:szCs w:val="21"/>
              </w:rPr>
              <w:t>Ⅱ类项目</w:t>
            </w:r>
          </w:p>
        </w:tc>
        <w:tc>
          <w:tcPr>
            <w:tcW w:w="1004" w:type="pct"/>
            <w:noWrap w:val="0"/>
            <w:vAlign w:val="center"/>
          </w:tcPr>
          <w:p>
            <w:pPr>
              <w:spacing w:line="360" w:lineRule="exact"/>
              <w:jc w:val="center"/>
              <w:rPr>
                <w:b/>
                <w:bCs/>
                <w:szCs w:val="21"/>
                <w:lang w:val="en-GB"/>
              </w:rPr>
            </w:pPr>
            <w:r>
              <w:rPr>
                <w:b/>
                <w:bCs/>
                <w:szCs w:val="21"/>
              </w:rPr>
              <w:t>Ⅲ类项目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9" w:type="pct"/>
            <w:noWrap w:val="0"/>
            <w:vAlign w:val="center"/>
          </w:tcPr>
          <w:p>
            <w:pPr>
              <w:spacing w:line="360" w:lineRule="exact"/>
              <w:jc w:val="center"/>
              <w:rPr>
                <w:szCs w:val="21"/>
                <w:lang w:val="en-GB"/>
              </w:rPr>
            </w:pPr>
            <w:r>
              <w:rPr>
                <w:szCs w:val="21"/>
                <w:lang w:val="en-GB"/>
              </w:rPr>
              <w:t>敏感</w:t>
            </w:r>
          </w:p>
        </w:tc>
        <w:tc>
          <w:tcPr>
            <w:tcW w:w="1004" w:type="pct"/>
            <w:noWrap w:val="0"/>
            <w:vAlign w:val="center"/>
          </w:tcPr>
          <w:p>
            <w:pPr>
              <w:spacing w:line="360" w:lineRule="exact"/>
              <w:jc w:val="center"/>
              <w:rPr>
                <w:szCs w:val="21"/>
                <w:lang w:val="en-GB"/>
              </w:rPr>
            </w:pPr>
            <w:r>
              <w:rPr>
                <w:szCs w:val="21"/>
                <w:lang w:val="en-GB"/>
              </w:rPr>
              <w:t>一</w:t>
            </w:r>
          </w:p>
        </w:tc>
        <w:tc>
          <w:tcPr>
            <w:tcW w:w="1004" w:type="pct"/>
            <w:noWrap w:val="0"/>
            <w:vAlign w:val="center"/>
          </w:tcPr>
          <w:p>
            <w:pPr>
              <w:spacing w:line="360" w:lineRule="exact"/>
              <w:jc w:val="center"/>
              <w:rPr>
                <w:szCs w:val="21"/>
                <w:lang w:val="en-GB"/>
              </w:rPr>
            </w:pPr>
            <w:r>
              <w:rPr>
                <w:szCs w:val="21"/>
                <w:lang w:val="en-GB"/>
              </w:rPr>
              <w:t>一</w:t>
            </w:r>
          </w:p>
        </w:tc>
        <w:tc>
          <w:tcPr>
            <w:tcW w:w="1004" w:type="pct"/>
            <w:noWrap w:val="0"/>
            <w:vAlign w:val="center"/>
          </w:tcPr>
          <w:p>
            <w:pPr>
              <w:spacing w:line="360" w:lineRule="exact"/>
              <w:jc w:val="center"/>
              <w:rPr>
                <w:szCs w:val="21"/>
                <w:lang w:val="en-GB"/>
              </w:rPr>
            </w:pPr>
            <w:r>
              <w:rPr>
                <w:szCs w:val="21"/>
                <w:lang w:val="en-GB"/>
              </w:rPr>
              <w:t>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9" w:type="pct"/>
            <w:noWrap w:val="0"/>
            <w:vAlign w:val="center"/>
          </w:tcPr>
          <w:p>
            <w:pPr>
              <w:spacing w:line="360" w:lineRule="exact"/>
              <w:jc w:val="center"/>
              <w:rPr>
                <w:szCs w:val="21"/>
                <w:lang w:val="en-GB"/>
              </w:rPr>
            </w:pPr>
            <w:r>
              <w:rPr>
                <w:szCs w:val="21"/>
                <w:lang w:val="en-GB"/>
              </w:rPr>
              <w:t>较敏感</w:t>
            </w:r>
          </w:p>
        </w:tc>
        <w:tc>
          <w:tcPr>
            <w:tcW w:w="1004" w:type="pct"/>
            <w:noWrap w:val="0"/>
            <w:vAlign w:val="center"/>
          </w:tcPr>
          <w:p>
            <w:pPr>
              <w:spacing w:line="360" w:lineRule="exact"/>
              <w:jc w:val="center"/>
              <w:rPr>
                <w:szCs w:val="21"/>
                <w:lang w:val="en-GB"/>
              </w:rPr>
            </w:pPr>
            <w:r>
              <w:rPr>
                <w:szCs w:val="21"/>
                <w:lang w:val="en-GB"/>
              </w:rPr>
              <w:t>一</w:t>
            </w:r>
          </w:p>
        </w:tc>
        <w:tc>
          <w:tcPr>
            <w:tcW w:w="1004" w:type="pct"/>
            <w:noWrap w:val="0"/>
            <w:vAlign w:val="center"/>
          </w:tcPr>
          <w:p>
            <w:pPr>
              <w:spacing w:line="360" w:lineRule="exact"/>
              <w:jc w:val="center"/>
              <w:rPr>
                <w:szCs w:val="21"/>
                <w:lang w:val="en-GB"/>
              </w:rPr>
            </w:pPr>
            <w:r>
              <w:rPr>
                <w:szCs w:val="21"/>
                <w:lang w:val="en-GB"/>
              </w:rPr>
              <w:t>二</w:t>
            </w:r>
          </w:p>
        </w:tc>
        <w:tc>
          <w:tcPr>
            <w:tcW w:w="1004" w:type="pct"/>
            <w:noWrap w:val="0"/>
            <w:vAlign w:val="center"/>
          </w:tcPr>
          <w:p>
            <w:pPr>
              <w:spacing w:line="360" w:lineRule="exact"/>
              <w:jc w:val="center"/>
              <w:rPr>
                <w:szCs w:val="21"/>
                <w:lang w:val="en-GB"/>
              </w:rPr>
            </w:pPr>
            <w:r>
              <w:rPr>
                <w:szCs w:val="21"/>
                <w:lang w:val="en-GB"/>
              </w:rPr>
              <w:t>三</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89" w:type="pct"/>
            <w:noWrap w:val="0"/>
            <w:vAlign w:val="center"/>
          </w:tcPr>
          <w:p>
            <w:pPr>
              <w:spacing w:line="360" w:lineRule="exact"/>
              <w:jc w:val="center"/>
              <w:rPr>
                <w:szCs w:val="21"/>
                <w:lang w:val="en-GB"/>
              </w:rPr>
            </w:pPr>
            <w:r>
              <w:rPr>
                <w:szCs w:val="21"/>
                <w:lang w:val="en-GB"/>
              </w:rPr>
              <w:t>不敏感</w:t>
            </w:r>
          </w:p>
        </w:tc>
        <w:tc>
          <w:tcPr>
            <w:tcW w:w="1004" w:type="pct"/>
            <w:noWrap w:val="0"/>
            <w:vAlign w:val="center"/>
          </w:tcPr>
          <w:p>
            <w:pPr>
              <w:spacing w:line="360" w:lineRule="exact"/>
              <w:jc w:val="center"/>
              <w:rPr>
                <w:szCs w:val="21"/>
                <w:lang w:val="en-GB"/>
              </w:rPr>
            </w:pPr>
            <w:r>
              <w:rPr>
                <w:szCs w:val="21"/>
                <w:lang w:val="en-GB"/>
              </w:rPr>
              <w:t>二</w:t>
            </w:r>
          </w:p>
        </w:tc>
        <w:tc>
          <w:tcPr>
            <w:tcW w:w="1004" w:type="pct"/>
            <w:noWrap w:val="0"/>
            <w:vAlign w:val="center"/>
          </w:tcPr>
          <w:p>
            <w:pPr>
              <w:spacing w:line="360" w:lineRule="exact"/>
              <w:jc w:val="center"/>
              <w:rPr>
                <w:szCs w:val="21"/>
                <w:lang w:val="en-GB"/>
              </w:rPr>
            </w:pPr>
            <w:r>
              <w:rPr>
                <w:szCs w:val="21"/>
                <w:lang w:val="en-GB"/>
              </w:rPr>
              <w:t>三</w:t>
            </w:r>
          </w:p>
        </w:tc>
        <w:tc>
          <w:tcPr>
            <w:tcW w:w="1004" w:type="pct"/>
            <w:noWrap w:val="0"/>
            <w:vAlign w:val="center"/>
          </w:tcPr>
          <w:p>
            <w:pPr>
              <w:spacing w:line="360" w:lineRule="exact"/>
              <w:jc w:val="center"/>
              <w:rPr>
                <w:szCs w:val="21"/>
                <w:lang w:val="en-GB"/>
              </w:rPr>
            </w:pPr>
            <w:r>
              <w:rPr>
                <w:szCs w:val="21"/>
                <w:lang w:val="en-GB"/>
              </w:rPr>
              <w:t>三</w:t>
            </w:r>
          </w:p>
        </w:tc>
      </w:tr>
    </w:tbl>
    <w:p>
      <w:pPr>
        <w:spacing w:line="500" w:lineRule="exact"/>
        <w:ind w:firstLine="480" w:firstLineChars="200"/>
        <w:rPr>
          <w:rFonts w:hint="eastAsia"/>
          <w:sz w:val="24"/>
          <w:szCs w:val="28"/>
        </w:rPr>
      </w:pPr>
      <w:r>
        <w:rPr>
          <w:sz w:val="24"/>
          <w:szCs w:val="28"/>
        </w:rPr>
        <w:t>综上分析，地下水评价工作等级确定为三级，评价范围为包括项目区及项目配套沼液消纳地约</w:t>
      </w:r>
      <w:r>
        <w:rPr>
          <w:rFonts w:hint="eastAsia"/>
          <w:sz w:val="24"/>
          <w:szCs w:val="28"/>
        </w:rPr>
        <w:t>1</w:t>
      </w:r>
      <w:r>
        <w:rPr>
          <w:sz w:val="24"/>
          <w:szCs w:val="28"/>
        </w:rPr>
        <w:t>km的范围</w:t>
      </w:r>
      <w:r>
        <w:rPr>
          <w:rFonts w:hint="eastAsia"/>
          <w:sz w:val="24"/>
          <w:szCs w:val="28"/>
        </w:rPr>
        <w:t>浅层地下水</w:t>
      </w:r>
      <w:r>
        <w:rPr>
          <w:sz w:val="24"/>
          <w:szCs w:val="28"/>
        </w:rPr>
        <w:t>。</w:t>
      </w:r>
    </w:p>
    <w:p>
      <w:pPr>
        <w:pStyle w:val="2"/>
        <w:snapToGrid w:val="0"/>
        <w:spacing w:before="0" w:after="0" w:line="520" w:lineRule="exact"/>
        <w:rPr>
          <w:rFonts w:eastAsia="黑体"/>
          <w:b w:val="0"/>
          <w:bCs w:val="0"/>
          <w:sz w:val="24"/>
          <w:szCs w:val="24"/>
        </w:rPr>
      </w:pPr>
      <w:bookmarkStart w:id="139" w:name="_Toc412820917"/>
      <w:bookmarkStart w:id="140" w:name="_Toc407000995"/>
      <w:bookmarkStart w:id="141" w:name="_Toc413750083"/>
      <w:r>
        <w:rPr>
          <w:rFonts w:eastAsia="黑体"/>
          <w:b w:val="0"/>
          <w:bCs w:val="0"/>
          <w:sz w:val="24"/>
          <w:szCs w:val="24"/>
        </w:rPr>
        <w:t xml:space="preserve">1.6.4 </w:t>
      </w:r>
      <w:bookmarkEnd w:id="139"/>
      <w:bookmarkEnd w:id="140"/>
      <w:bookmarkEnd w:id="141"/>
      <w:r>
        <w:rPr>
          <w:rFonts w:hint="eastAsia" w:eastAsia="黑体"/>
          <w:b w:val="0"/>
          <w:bCs w:val="0"/>
          <w:sz w:val="24"/>
          <w:szCs w:val="24"/>
        </w:rPr>
        <w:t>声环境</w:t>
      </w:r>
    </w:p>
    <w:p>
      <w:pPr>
        <w:spacing w:line="500" w:lineRule="exact"/>
        <w:ind w:firstLine="480" w:firstLineChars="200"/>
        <w:rPr>
          <w:sz w:val="24"/>
        </w:rPr>
      </w:pPr>
      <w:r>
        <w:rPr>
          <w:sz w:val="24"/>
        </w:rPr>
        <w:t>项目区域</w:t>
      </w:r>
      <w:r>
        <w:rPr>
          <w:rFonts w:hint="eastAsia"/>
          <w:sz w:val="24"/>
        </w:rPr>
        <w:t>原</w:t>
      </w:r>
      <w:r>
        <w:rPr>
          <w:sz w:val="24"/>
        </w:rPr>
        <w:t>属于《声环境质量标准》（GB3096-2008）规定的</w:t>
      </w:r>
      <w:r>
        <w:rPr>
          <w:rFonts w:hint="eastAsia"/>
          <w:sz w:val="24"/>
        </w:rPr>
        <w:t>2</w:t>
      </w:r>
      <w:r>
        <w:rPr>
          <w:sz w:val="24"/>
        </w:rPr>
        <w:t>类功能区</w:t>
      </w:r>
      <w:r>
        <w:rPr>
          <w:rFonts w:hint="eastAsia"/>
          <w:sz w:val="24"/>
        </w:rPr>
        <w:t>，</w:t>
      </w:r>
      <w:r>
        <w:rPr>
          <w:sz w:val="24"/>
        </w:rPr>
        <w:t>运</w:t>
      </w:r>
      <w:r>
        <w:rPr>
          <w:rFonts w:hint="eastAsia"/>
          <w:sz w:val="24"/>
        </w:rPr>
        <w:t>营</w:t>
      </w:r>
      <w:r>
        <w:rPr>
          <w:sz w:val="24"/>
        </w:rPr>
        <w:t>期噪声源主要来自猪舍风机、猪叫及水泵等运行产生的设备噪声及猪叫声，工程建设前后，噪声级增加量不大，根据《环境影响评价技术导则—声环境》（HJ2.4-2009），声环境影响评价等级为二级。</w:t>
      </w:r>
    </w:p>
    <w:p>
      <w:pPr>
        <w:spacing w:line="500" w:lineRule="exact"/>
        <w:ind w:firstLine="480" w:firstLineChars="200"/>
        <w:rPr>
          <w:sz w:val="24"/>
        </w:rPr>
      </w:pPr>
      <w:r>
        <w:rPr>
          <w:sz w:val="24"/>
        </w:rPr>
        <w:t>本项目声环境评价等级划分详见表1.6-7。</w:t>
      </w:r>
    </w:p>
    <w:p>
      <w:pPr>
        <w:spacing w:after="72" w:afterLines="30" w:line="500" w:lineRule="exact"/>
        <w:jc w:val="center"/>
        <w:rPr>
          <w:b/>
          <w:sz w:val="24"/>
        </w:rPr>
      </w:pPr>
      <w:r>
        <w:rPr>
          <w:b/>
          <w:sz w:val="24"/>
        </w:rPr>
        <w:t>表1.6-7      声环境评价等级划分表</w:t>
      </w:r>
    </w:p>
    <w:tbl>
      <w:tblPr>
        <w:tblStyle w:val="1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955"/>
        <w:gridCol w:w="3391"/>
        <w:gridCol w:w="260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955" w:type="dxa"/>
            <w:noWrap w:val="0"/>
            <w:vAlign w:val="center"/>
          </w:tcPr>
          <w:p>
            <w:pPr>
              <w:tabs>
                <w:tab w:val="left" w:pos="1080"/>
              </w:tabs>
              <w:spacing w:line="360" w:lineRule="exact"/>
              <w:jc w:val="center"/>
              <w:rPr>
                <w:b/>
                <w:szCs w:val="21"/>
              </w:rPr>
            </w:pPr>
            <w:r>
              <w:rPr>
                <w:b/>
                <w:szCs w:val="21"/>
              </w:rPr>
              <w:t>评价类别</w:t>
            </w:r>
          </w:p>
        </w:tc>
        <w:tc>
          <w:tcPr>
            <w:tcW w:w="3391" w:type="dxa"/>
            <w:noWrap w:val="0"/>
            <w:vAlign w:val="center"/>
          </w:tcPr>
          <w:p>
            <w:pPr>
              <w:tabs>
                <w:tab w:val="left" w:pos="1080"/>
              </w:tabs>
              <w:spacing w:line="360" w:lineRule="exact"/>
              <w:jc w:val="center"/>
              <w:rPr>
                <w:b/>
                <w:szCs w:val="21"/>
              </w:rPr>
            </w:pPr>
            <w:r>
              <w:rPr>
                <w:b/>
                <w:szCs w:val="21"/>
              </w:rPr>
              <w:t>指标</w:t>
            </w:r>
          </w:p>
        </w:tc>
        <w:tc>
          <w:tcPr>
            <w:tcW w:w="2600" w:type="dxa"/>
            <w:noWrap w:val="0"/>
            <w:vAlign w:val="center"/>
          </w:tcPr>
          <w:p>
            <w:pPr>
              <w:tabs>
                <w:tab w:val="left" w:pos="1080"/>
              </w:tabs>
              <w:spacing w:line="360" w:lineRule="exact"/>
              <w:jc w:val="center"/>
              <w:rPr>
                <w:b/>
                <w:szCs w:val="21"/>
              </w:rPr>
            </w:pPr>
            <w:r>
              <w:rPr>
                <w:b/>
                <w:szCs w:val="21"/>
              </w:rPr>
              <w:t>评价等级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55" w:type="dxa"/>
            <w:noWrap w:val="0"/>
            <w:vAlign w:val="center"/>
          </w:tcPr>
          <w:p>
            <w:pPr>
              <w:tabs>
                <w:tab w:val="left" w:pos="1080"/>
              </w:tabs>
              <w:spacing w:line="360" w:lineRule="exact"/>
              <w:jc w:val="center"/>
              <w:rPr>
                <w:szCs w:val="21"/>
              </w:rPr>
            </w:pPr>
            <w:r>
              <w:rPr>
                <w:szCs w:val="21"/>
              </w:rPr>
              <w:t>所在区域环境功能区划</w:t>
            </w:r>
          </w:p>
        </w:tc>
        <w:tc>
          <w:tcPr>
            <w:tcW w:w="3391" w:type="dxa"/>
            <w:noWrap w:val="0"/>
            <w:vAlign w:val="center"/>
          </w:tcPr>
          <w:p>
            <w:pPr>
              <w:tabs>
                <w:tab w:val="left" w:pos="1080"/>
              </w:tabs>
              <w:spacing w:line="360" w:lineRule="exact"/>
              <w:jc w:val="center"/>
              <w:rPr>
                <w:szCs w:val="21"/>
              </w:rPr>
            </w:pPr>
            <w:r>
              <w:rPr>
                <w:szCs w:val="21"/>
              </w:rPr>
              <w:t xml:space="preserve">GB3096-2008  </w:t>
            </w:r>
            <w:r>
              <w:rPr>
                <w:rFonts w:hint="eastAsia"/>
                <w:szCs w:val="21"/>
              </w:rPr>
              <w:t>2</w:t>
            </w:r>
            <w:r>
              <w:rPr>
                <w:szCs w:val="21"/>
              </w:rPr>
              <w:t>类</w:t>
            </w:r>
          </w:p>
        </w:tc>
        <w:tc>
          <w:tcPr>
            <w:tcW w:w="2600" w:type="dxa"/>
            <w:vMerge w:val="restart"/>
            <w:noWrap w:val="0"/>
            <w:vAlign w:val="center"/>
          </w:tcPr>
          <w:p>
            <w:pPr>
              <w:tabs>
                <w:tab w:val="left" w:pos="1080"/>
              </w:tabs>
              <w:spacing w:line="360" w:lineRule="exact"/>
              <w:jc w:val="center"/>
              <w:rPr>
                <w:szCs w:val="21"/>
              </w:rPr>
            </w:pPr>
            <w:r>
              <w:rPr>
                <w:szCs w:val="21"/>
              </w:rPr>
              <w:t>二级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55" w:type="dxa"/>
            <w:noWrap w:val="0"/>
            <w:vAlign w:val="center"/>
          </w:tcPr>
          <w:p>
            <w:pPr>
              <w:tabs>
                <w:tab w:val="left" w:pos="1080"/>
              </w:tabs>
              <w:spacing w:line="360" w:lineRule="exact"/>
              <w:jc w:val="center"/>
              <w:rPr>
                <w:szCs w:val="21"/>
              </w:rPr>
            </w:pPr>
            <w:r>
              <w:rPr>
                <w:szCs w:val="21"/>
              </w:rPr>
              <w:t>噪声级变化</w:t>
            </w:r>
          </w:p>
        </w:tc>
        <w:tc>
          <w:tcPr>
            <w:tcW w:w="3391" w:type="dxa"/>
            <w:noWrap w:val="0"/>
            <w:vAlign w:val="center"/>
          </w:tcPr>
          <w:p>
            <w:pPr>
              <w:tabs>
                <w:tab w:val="left" w:pos="1080"/>
              </w:tabs>
              <w:spacing w:line="360" w:lineRule="exact"/>
              <w:jc w:val="center"/>
              <w:rPr>
                <w:szCs w:val="21"/>
              </w:rPr>
            </w:pPr>
            <w:r>
              <w:rPr>
                <w:szCs w:val="21"/>
              </w:rPr>
              <w:t>建设项目建设前后评价范围内敏感目标噪声级增高量达3-5dB(A)</w:t>
            </w:r>
          </w:p>
        </w:tc>
        <w:tc>
          <w:tcPr>
            <w:tcW w:w="2600" w:type="dxa"/>
            <w:vMerge w:val="continue"/>
            <w:noWrap w:val="0"/>
            <w:vAlign w:val="center"/>
          </w:tcPr>
          <w:p>
            <w:pPr>
              <w:tabs>
                <w:tab w:val="left" w:pos="1080"/>
              </w:tabs>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55" w:type="dxa"/>
            <w:noWrap w:val="0"/>
            <w:vAlign w:val="center"/>
          </w:tcPr>
          <w:p>
            <w:pPr>
              <w:tabs>
                <w:tab w:val="left" w:pos="1080"/>
              </w:tabs>
              <w:spacing w:line="360" w:lineRule="exact"/>
              <w:jc w:val="center"/>
              <w:rPr>
                <w:szCs w:val="21"/>
              </w:rPr>
            </w:pPr>
            <w:r>
              <w:rPr>
                <w:szCs w:val="21"/>
              </w:rPr>
              <w:t>受影响人口</w:t>
            </w:r>
          </w:p>
        </w:tc>
        <w:tc>
          <w:tcPr>
            <w:tcW w:w="3391" w:type="dxa"/>
            <w:noWrap w:val="0"/>
            <w:vAlign w:val="center"/>
          </w:tcPr>
          <w:p>
            <w:pPr>
              <w:tabs>
                <w:tab w:val="left" w:pos="1080"/>
              </w:tabs>
              <w:spacing w:line="360" w:lineRule="exact"/>
              <w:jc w:val="center"/>
              <w:rPr>
                <w:szCs w:val="21"/>
              </w:rPr>
            </w:pPr>
            <w:r>
              <w:rPr>
                <w:szCs w:val="21"/>
              </w:rPr>
              <w:t>受噪声影响人口数量增多时</w:t>
            </w:r>
          </w:p>
        </w:tc>
        <w:tc>
          <w:tcPr>
            <w:tcW w:w="2600" w:type="dxa"/>
            <w:vMerge w:val="continue"/>
            <w:noWrap w:val="0"/>
            <w:vAlign w:val="center"/>
          </w:tcPr>
          <w:p>
            <w:pPr>
              <w:tabs>
                <w:tab w:val="left" w:pos="1080"/>
              </w:tabs>
              <w:spacing w:line="360" w:lineRule="exact"/>
              <w:jc w:val="center"/>
              <w:rPr>
                <w:szCs w:val="21"/>
              </w:rPr>
            </w:pPr>
          </w:p>
        </w:tc>
      </w:tr>
    </w:tbl>
    <w:p>
      <w:pPr>
        <w:spacing w:line="500" w:lineRule="exact"/>
        <w:ind w:firstLine="480" w:firstLineChars="200"/>
        <w:rPr>
          <w:sz w:val="24"/>
        </w:rPr>
      </w:pPr>
      <w:r>
        <w:rPr>
          <w:sz w:val="24"/>
        </w:rPr>
        <w:t>评价范围：本项目所在区域为环境声功能区划中的</w:t>
      </w:r>
      <w:r>
        <w:rPr>
          <w:rFonts w:hint="eastAsia"/>
          <w:sz w:val="24"/>
        </w:rPr>
        <w:t>2</w:t>
      </w:r>
      <w:r>
        <w:rPr>
          <w:sz w:val="24"/>
        </w:rPr>
        <w:t>类声功能区，故评价等级为二级，评价范围为项目边界外200m范围。</w:t>
      </w:r>
    </w:p>
    <w:p>
      <w:pPr>
        <w:pStyle w:val="2"/>
        <w:snapToGrid w:val="0"/>
        <w:spacing w:before="0" w:after="0" w:line="520" w:lineRule="exact"/>
        <w:rPr>
          <w:rFonts w:eastAsia="黑体"/>
          <w:b w:val="0"/>
          <w:bCs w:val="0"/>
          <w:sz w:val="24"/>
          <w:szCs w:val="24"/>
        </w:rPr>
      </w:pPr>
      <w:bookmarkStart w:id="142" w:name="_Toc412820918"/>
      <w:bookmarkStart w:id="143" w:name="_Toc407000996"/>
      <w:bookmarkStart w:id="144" w:name="_Toc413750084"/>
      <w:r>
        <w:rPr>
          <w:rFonts w:eastAsia="黑体"/>
          <w:b w:val="0"/>
          <w:bCs w:val="0"/>
          <w:sz w:val="24"/>
          <w:szCs w:val="24"/>
        </w:rPr>
        <w:t>1.6.5 生态环境</w:t>
      </w:r>
      <w:bookmarkEnd w:id="142"/>
      <w:bookmarkEnd w:id="143"/>
      <w:bookmarkEnd w:id="144"/>
    </w:p>
    <w:p>
      <w:pPr>
        <w:spacing w:line="500" w:lineRule="exact"/>
        <w:ind w:firstLine="480" w:firstLineChars="200"/>
        <w:rPr>
          <w:sz w:val="24"/>
        </w:rPr>
      </w:pPr>
      <w:r>
        <w:rPr>
          <w:sz w:val="24"/>
        </w:rPr>
        <w:t>场址所在地</w:t>
      </w:r>
      <w:r>
        <w:rPr>
          <w:rFonts w:hint="eastAsia"/>
          <w:sz w:val="24"/>
        </w:rPr>
        <w:t>约</w:t>
      </w:r>
      <w:r>
        <w:rPr>
          <w:sz w:val="24"/>
        </w:rPr>
        <w:t>共</w:t>
      </w:r>
      <w:r>
        <w:rPr>
          <w:rFonts w:hint="eastAsia"/>
          <w:sz w:val="24"/>
          <w:lang w:eastAsia="zh-CN"/>
        </w:rPr>
        <w:t>26.7亩</w:t>
      </w:r>
      <w:r>
        <w:rPr>
          <w:rFonts w:hint="eastAsia"/>
          <w:sz w:val="24"/>
        </w:rPr>
        <w:t>（</w:t>
      </w:r>
      <w:r>
        <w:rPr>
          <w:rFonts w:hint="eastAsia"/>
          <w:sz w:val="24"/>
          <w:lang w:eastAsia="zh-CN"/>
        </w:rPr>
        <w:t>17831.57</w:t>
      </w:r>
      <w:r>
        <w:rPr>
          <w:rFonts w:hint="eastAsia"/>
          <w:sz w:val="24"/>
        </w:rPr>
        <w:t>m</w:t>
      </w:r>
      <w:r>
        <w:rPr>
          <w:rFonts w:hint="eastAsia"/>
          <w:sz w:val="24"/>
          <w:vertAlign w:val="superscript"/>
        </w:rPr>
        <w:t>3</w:t>
      </w:r>
      <w:r>
        <w:rPr>
          <w:rFonts w:hint="eastAsia"/>
          <w:sz w:val="24"/>
        </w:rPr>
        <w:t>）</w:t>
      </w:r>
      <w:r>
        <w:rPr>
          <w:sz w:val="24"/>
        </w:rPr>
        <w:t>，</w:t>
      </w:r>
      <w:r>
        <w:rPr>
          <w:rFonts w:hint="eastAsia"/>
          <w:sz w:val="24"/>
        </w:rPr>
        <w:t>均</w:t>
      </w:r>
      <w:r>
        <w:rPr>
          <w:sz w:val="24"/>
        </w:rPr>
        <w:t>为</w:t>
      </w:r>
      <w:r>
        <w:rPr>
          <w:rFonts w:hint="eastAsia"/>
          <w:sz w:val="24"/>
        </w:rPr>
        <w:t>一般耕地</w:t>
      </w:r>
      <w:r>
        <w:rPr>
          <w:sz w:val="24"/>
        </w:rPr>
        <w:t>，</w:t>
      </w:r>
      <w:r>
        <w:rPr>
          <w:rFonts w:hint="eastAsia"/>
          <w:sz w:val="24"/>
        </w:rPr>
        <w:t>不涉及基本农田，</w:t>
      </w:r>
      <w:r>
        <w:rPr>
          <w:sz w:val="24"/>
        </w:rPr>
        <w:t>不属于生态敏感区，根据《环境影响评价技术导则  生态影响》[HJ19－2011]，结合项目特点区域内没有需要特殊保护的珍稀动植物和文物，因此评价生态影响评价工作等级为三级。</w:t>
      </w:r>
    </w:p>
    <w:p>
      <w:pPr>
        <w:spacing w:line="500" w:lineRule="exact"/>
        <w:ind w:firstLine="480" w:firstLineChars="200"/>
        <w:rPr>
          <w:sz w:val="24"/>
        </w:rPr>
      </w:pPr>
    </w:p>
    <w:p>
      <w:pPr>
        <w:spacing w:line="500" w:lineRule="exact"/>
        <w:jc w:val="center"/>
        <w:rPr>
          <w:b/>
          <w:sz w:val="24"/>
        </w:rPr>
      </w:pPr>
      <w:r>
        <w:rPr>
          <w:b/>
          <w:sz w:val="24"/>
        </w:rPr>
        <w:t>表1.6-8      生态影响评价工作等级划分表</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49"/>
        <w:gridCol w:w="2319"/>
        <w:gridCol w:w="2675"/>
        <w:gridCol w:w="21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849" w:type="dxa"/>
            <w:vMerge w:val="restart"/>
            <w:noWrap w:val="0"/>
            <w:vAlign w:val="center"/>
          </w:tcPr>
          <w:p>
            <w:pPr>
              <w:adjustRightInd w:val="0"/>
              <w:snapToGrid w:val="0"/>
              <w:spacing w:line="360" w:lineRule="exact"/>
              <w:jc w:val="center"/>
              <w:rPr>
                <w:b/>
                <w:szCs w:val="21"/>
              </w:rPr>
            </w:pPr>
            <w:r>
              <w:rPr>
                <w:b/>
                <w:szCs w:val="21"/>
              </w:rPr>
              <w:t>影响区域生态敏感性</w:t>
            </w:r>
          </w:p>
        </w:tc>
        <w:tc>
          <w:tcPr>
            <w:tcW w:w="7097" w:type="dxa"/>
            <w:gridSpan w:val="3"/>
            <w:noWrap w:val="0"/>
            <w:vAlign w:val="center"/>
          </w:tcPr>
          <w:p>
            <w:pPr>
              <w:adjustRightInd w:val="0"/>
              <w:snapToGrid w:val="0"/>
              <w:spacing w:line="360" w:lineRule="exact"/>
              <w:jc w:val="center"/>
              <w:rPr>
                <w:b/>
                <w:szCs w:val="21"/>
              </w:rPr>
            </w:pPr>
            <w:r>
              <w:rPr>
                <w:b/>
                <w:szCs w:val="21"/>
              </w:rPr>
              <w:t>工程占地（水域）范围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849" w:type="dxa"/>
            <w:vMerge w:val="continue"/>
            <w:noWrap w:val="0"/>
            <w:vAlign w:val="center"/>
          </w:tcPr>
          <w:p>
            <w:pPr>
              <w:widowControl/>
              <w:spacing w:line="360" w:lineRule="exact"/>
              <w:jc w:val="left"/>
              <w:rPr>
                <w:b/>
                <w:szCs w:val="21"/>
              </w:rPr>
            </w:pPr>
          </w:p>
        </w:tc>
        <w:tc>
          <w:tcPr>
            <w:tcW w:w="2319" w:type="dxa"/>
            <w:noWrap w:val="0"/>
            <w:vAlign w:val="center"/>
          </w:tcPr>
          <w:p>
            <w:pPr>
              <w:adjustRightInd w:val="0"/>
              <w:snapToGrid w:val="0"/>
              <w:spacing w:line="360" w:lineRule="exact"/>
              <w:jc w:val="center"/>
              <w:rPr>
                <w:b/>
                <w:szCs w:val="21"/>
              </w:rPr>
            </w:pPr>
            <w:r>
              <w:rPr>
                <w:b/>
                <w:szCs w:val="21"/>
              </w:rPr>
              <w:t>面积≥20km</w:t>
            </w:r>
            <w:r>
              <w:rPr>
                <w:b/>
                <w:szCs w:val="21"/>
                <w:vertAlign w:val="superscript"/>
              </w:rPr>
              <w:t>2</w:t>
            </w:r>
            <w:r>
              <w:rPr>
                <w:b/>
                <w:szCs w:val="21"/>
              </w:rPr>
              <w:t>或长度≥100km</w:t>
            </w:r>
          </w:p>
        </w:tc>
        <w:tc>
          <w:tcPr>
            <w:tcW w:w="2675" w:type="dxa"/>
            <w:noWrap w:val="0"/>
            <w:vAlign w:val="center"/>
          </w:tcPr>
          <w:p>
            <w:pPr>
              <w:adjustRightInd w:val="0"/>
              <w:snapToGrid w:val="0"/>
              <w:spacing w:line="360" w:lineRule="exact"/>
              <w:jc w:val="center"/>
              <w:rPr>
                <w:b/>
                <w:szCs w:val="21"/>
              </w:rPr>
            </w:pPr>
            <w:r>
              <w:rPr>
                <w:b/>
                <w:szCs w:val="21"/>
              </w:rPr>
              <w:t>面积2km</w:t>
            </w:r>
            <w:r>
              <w:rPr>
                <w:b/>
                <w:szCs w:val="21"/>
                <w:vertAlign w:val="superscript"/>
              </w:rPr>
              <w:t>2</w:t>
            </w:r>
            <w:r>
              <w:rPr>
                <w:b/>
                <w:szCs w:val="21"/>
              </w:rPr>
              <w:t>～20km</w:t>
            </w:r>
            <w:r>
              <w:rPr>
                <w:b/>
                <w:szCs w:val="21"/>
                <w:vertAlign w:val="superscript"/>
              </w:rPr>
              <w:t>2</w:t>
            </w:r>
            <w:r>
              <w:rPr>
                <w:b/>
                <w:szCs w:val="21"/>
              </w:rPr>
              <w:t>或长度50km～100km</w:t>
            </w:r>
          </w:p>
        </w:tc>
        <w:tc>
          <w:tcPr>
            <w:tcW w:w="2103" w:type="dxa"/>
            <w:noWrap w:val="0"/>
            <w:vAlign w:val="center"/>
          </w:tcPr>
          <w:p>
            <w:pPr>
              <w:adjustRightInd w:val="0"/>
              <w:snapToGrid w:val="0"/>
              <w:spacing w:line="360" w:lineRule="exact"/>
              <w:jc w:val="center"/>
              <w:rPr>
                <w:b/>
                <w:szCs w:val="21"/>
              </w:rPr>
            </w:pPr>
            <w:r>
              <w:rPr>
                <w:b/>
                <w:szCs w:val="21"/>
              </w:rPr>
              <w:t>面积≤2km</w:t>
            </w:r>
            <w:r>
              <w:rPr>
                <w:b/>
                <w:szCs w:val="21"/>
                <w:vertAlign w:val="superscript"/>
              </w:rPr>
              <w:t>2</w:t>
            </w:r>
            <w:r>
              <w:rPr>
                <w:b/>
                <w:szCs w:val="21"/>
              </w:rPr>
              <w:t>或长度≤50km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9" w:type="dxa"/>
            <w:noWrap w:val="0"/>
            <w:vAlign w:val="center"/>
          </w:tcPr>
          <w:p>
            <w:pPr>
              <w:adjustRightInd w:val="0"/>
              <w:snapToGrid w:val="0"/>
              <w:spacing w:line="360" w:lineRule="exact"/>
              <w:jc w:val="center"/>
              <w:rPr>
                <w:szCs w:val="21"/>
              </w:rPr>
            </w:pPr>
            <w:r>
              <w:rPr>
                <w:szCs w:val="21"/>
              </w:rPr>
              <w:t>特殊生态敏感区</w:t>
            </w:r>
          </w:p>
        </w:tc>
        <w:tc>
          <w:tcPr>
            <w:tcW w:w="2319" w:type="dxa"/>
            <w:noWrap w:val="0"/>
            <w:vAlign w:val="center"/>
          </w:tcPr>
          <w:p>
            <w:pPr>
              <w:adjustRightInd w:val="0"/>
              <w:snapToGrid w:val="0"/>
              <w:spacing w:line="360" w:lineRule="exact"/>
              <w:jc w:val="center"/>
              <w:rPr>
                <w:szCs w:val="21"/>
              </w:rPr>
            </w:pPr>
            <w:r>
              <w:rPr>
                <w:szCs w:val="21"/>
              </w:rPr>
              <w:t>一级</w:t>
            </w:r>
          </w:p>
        </w:tc>
        <w:tc>
          <w:tcPr>
            <w:tcW w:w="2675" w:type="dxa"/>
            <w:noWrap w:val="0"/>
            <w:vAlign w:val="center"/>
          </w:tcPr>
          <w:p>
            <w:pPr>
              <w:adjustRightInd w:val="0"/>
              <w:snapToGrid w:val="0"/>
              <w:spacing w:line="360" w:lineRule="exact"/>
              <w:jc w:val="center"/>
              <w:rPr>
                <w:szCs w:val="21"/>
              </w:rPr>
            </w:pPr>
            <w:r>
              <w:rPr>
                <w:szCs w:val="21"/>
              </w:rPr>
              <w:t>一级</w:t>
            </w:r>
          </w:p>
        </w:tc>
        <w:tc>
          <w:tcPr>
            <w:tcW w:w="2103" w:type="dxa"/>
            <w:noWrap w:val="0"/>
            <w:vAlign w:val="center"/>
          </w:tcPr>
          <w:p>
            <w:pPr>
              <w:adjustRightInd w:val="0"/>
              <w:snapToGrid w:val="0"/>
              <w:spacing w:line="360" w:lineRule="exact"/>
              <w:jc w:val="center"/>
              <w:rPr>
                <w:szCs w:val="21"/>
              </w:rPr>
            </w:pPr>
            <w:r>
              <w:rPr>
                <w:szCs w:val="21"/>
              </w:rPr>
              <w:t>一级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9" w:type="dxa"/>
            <w:noWrap w:val="0"/>
            <w:vAlign w:val="center"/>
          </w:tcPr>
          <w:p>
            <w:pPr>
              <w:adjustRightInd w:val="0"/>
              <w:snapToGrid w:val="0"/>
              <w:spacing w:line="360" w:lineRule="exact"/>
              <w:jc w:val="center"/>
              <w:rPr>
                <w:szCs w:val="21"/>
              </w:rPr>
            </w:pPr>
            <w:r>
              <w:rPr>
                <w:szCs w:val="21"/>
              </w:rPr>
              <w:t>重要生态敏感区</w:t>
            </w:r>
          </w:p>
        </w:tc>
        <w:tc>
          <w:tcPr>
            <w:tcW w:w="2319" w:type="dxa"/>
            <w:noWrap w:val="0"/>
            <w:vAlign w:val="center"/>
          </w:tcPr>
          <w:p>
            <w:pPr>
              <w:adjustRightInd w:val="0"/>
              <w:snapToGrid w:val="0"/>
              <w:spacing w:line="360" w:lineRule="exact"/>
              <w:jc w:val="center"/>
              <w:rPr>
                <w:szCs w:val="21"/>
              </w:rPr>
            </w:pPr>
            <w:r>
              <w:rPr>
                <w:szCs w:val="21"/>
              </w:rPr>
              <w:t>一级</w:t>
            </w:r>
          </w:p>
        </w:tc>
        <w:tc>
          <w:tcPr>
            <w:tcW w:w="2675" w:type="dxa"/>
            <w:noWrap w:val="0"/>
            <w:vAlign w:val="center"/>
          </w:tcPr>
          <w:p>
            <w:pPr>
              <w:adjustRightInd w:val="0"/>
              <w:snapToGrid w:val="0"/>
              <w:spacing w:line="360" w:lineRule="exact"/>
              <w:jc w:val="center"/>
              <w:rPr>
                <w:szCs w:val="21"/>
              </w:rPr>
            </w:pPr>
            <w:r>
              <w:rPr>
                <w:szCs w:val="21"/>
              </w:rPr>
              <w:t>二级</w:t>
            </w:r>
          </w:p>
        </w:tc>
        <w:tc>
          <w:tcPr>
            <w:tcW w:w="2103" w:type="dxa"/>
            <w:noWrap w:val="0"/>
            <w:vAlign w:val="center"/>
          </w:tcPr>
          <w:p>
            <w:pPr>
              <w:adjustRightInd w:val="0"/>
              <w:snapToGrid w:val="0"/>
              <w:spacing w:line="360" w:lineRule="exact"/>
              <w:jc w:val="center"/>
              <w:rPr>
                <w:szCs w:val="21"/>
              </w:rPr>
            </w:pPr>
            <w:r>
              <w:rPr>
                <w:szCs w:val="21"/>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49" w:type="dxa"/>
            <w:shd w:val="clear" w:color="auto" w:fill="auto"/>
            <w:noWrap w:val="0"/>
            <w:vAlign w:val="center"/>
          </w:tcPr>
          <w:p>
            <w:pPr>
              <w:adjustRightInd w:val="0"/>
              <w:snapToGrid w:val="0"/>
              <w:spacing w:line="360" w:lineRule="exact"/>
              <w:jc w:val="center"/>
              <w:rPr>
                <w:szCs w:val="21"/>
              </w:rPr>
            </w:pPr>
            <w:r>
              <w:rPr>
                <w:szCs w:val="21"/>
              </w:rPr>
              <w:t>一般区域</w:t>
            </w:r>
          </w:p>
        </w:tc>
        <w:tc>
          <w:tcPr>
            <w:tcW w:w="2319" w:type="dxa"/>
            <w:shd w:val="clear" w:color="auto" w:fill="auto"/>
            <w:noWrap w:val="0"/>
            <w:vAlign w:val="center"/>
          </w:tcPr>
          <w:p>
            <w:pPr>
              <w:adjustRightInd w:val="0"/>
              <w:snapToGrid w:val="0"/>
              <w:spacing w:line="360" w:lineRule="exact"/>
              <w:jc w:val="center"/>
              <w:rPr>
                <w:szCs w:val="21"/>
              </w:rPr>
            </w:pPr>
            <w:r>
              <w:rPr>
                <w:szCs w:val="21"/>
              </w:rPr>
              <w:t>二级</w:t>
            </w:r>
          </w:p>
        </w:tc>
        <w:tc>
          <w:tcPr>
            <w:tcW w:w="2675" w:type="dxa"/>
            <w:shd w:val="clear" w:color="auto" w:fill="auto"/>
            <w:noWrap w:val="0"/>
            <w:vAlign w:val="center"/>
          </w:tcPr>
          <w:p>
            <w:pPr>
              <w:adjustRightInd w:val="0"/>
              <w:snapToGrid w:val="0"/>
              <w:spacing w:line="360" w:lineRule="exact"/>
              <w:jc w:val="center"/>
              <w:rPr>
                <w:szCs w:val="21"/>
              </w:rPr>
            </w:pPr>
            <w:r>
              <w:rPr>
                <w:szCs w:val="21"/>
              </w:rPr>
              <w:t>三级</w:t>
            </w:r>
          </w:p>
        </w:tc>
        <w:tc>
          <w:tcPr>
            <w:tcW w:w="2103" w:type="dxa"/>
            <w:shd w:val="clear" w:color="auto" w:fill="D7D7D7"/>
            <w:noWrap w:val="0"/>
            <w:vAlign w:val="center"/>
          </w:tcPr>
          <w:p>
            <w:pPr>
              <w:adjustRightInd w:val="0"/>
              <w:snapToGrid w:val="0"/>
              <w:spacing w:line="360" w:lineRule="exact"/>
              <w:jc w:val="center"/>
              <w:rPr>
                <w:szCs w:val="21"/>
              </w:rPr>
            </w:pPr>
            <w:r>
              <w:rPr>
                <w:b/>
                <w:bCs/>
                <w:szCs w:val="21"/>
              </w:rPr>
              <w:t>三级</w:t>
            </w:r>
          </w:p>
        </w:tc>
      </w:tr>
    </w:tbl>
    <w:p>
      <w:pPr>
        <w:pStyle w:val="2"/>
        <w:snapToGrid w:val="0"/>
        <w:spacing w:before="0" w:after="0" w:line="520" w:lineRule="exact"/>
        <w:rPr>
          <w:rFonts w:eastAsia="黑体"/>
          <w:b w:val="0"/>
          <w:bCs w:val="0"/>
          <w:sz w:val="24"/>
          <w:szCs w:val="24"/>
        </w:rPr>
      </w:pPr>
      <w:bookmarkStart w:id="145" w:name="_Toc412820919"/>
      <w:bookmarkStart w:id="146" w:name="_Toc407000997"/>
      <w:bookmarkStart w:id="147" w:name="_Toc413750085"/>
      <w:r>
        <w:rPr>
          <w:rFonts w:eastAsia="黑体"/>
          <w:b w:val="0"/>
          <w:bCs w:val="0"/>
          <w:sz w:val="24"/>
          <w:szCs w:val="24"/>
        </w:rPr>
        <w:t xml:space="preserve">1.6.6 </w:t>
      </w:r>
      <w:r>
        <w:rPr>
          <w:rFonts w:hint="eastAsia" w:eastAsia="黑体"/>
          <w:b w:val="0"/>
          <w:bCs w:val="0"/>
          <w:sz w:val="24"/>
          <w:szCs w:val="24"/>
        </w:rPr>
        <w:t>土壤</w:t>
      </w:r>
      <w:r>
        <w:rPr>
          <w:rFonts w:eastAsia="黑体"/>
          <w:b w:val="0"/>
          <w:bCs w:val="0"/>
          <w:sz w:val="24"/>
          <w:szCs w:val="24"/>
        </w:rPr>
        <w:t>环境</w:t>
      </w:r>
    </w:p>
    <w:p>
      <w:pPr>
        <w:pStyle w:val="27"/>
        <w:rPr>
          <w:rFonts w:hint="eastAsia"/>
        </w:rPr>
      </w:pPr>
      <w:r>
        <w:rPr>
          <w:rFonts w:hint="eastAsia"/>
        </w:rPr>
        <w:t>本项目</w:t>
      </w:r>
      <w:r>
        <w:t>位于</w:t>
      </w:r>
      <w:r>
        <w:rPr>
          <w:rFonts w:hint="eastAsia"/>
        </w:rPr>
        <w:t>驻马店市</w:t>
      </w:r>
      <w:r>
        <w:t>正阳县，</w:t>
      </w:r>
      <w:r>
        <w:rPr>
          <w:rFonts w:hint="eastAsia"/>
        </w:rPr>
        <w:t>属于</w:t>
      </w:r>
      <w:r>
        <w:t>生态影响型项目，</w:t>
      </w:r>
      <w:r>
        <w:rPr>
          <w:rFonts w:hint="eastAsia"/>
        </w:rPr>
        <w:t>项目</w:t>
      </w:r>
      <w:r>
        <w:t>区域属于半湿润</w:t>
      </w:r>
      <w:r>
        <w:rPr>
          <w:rFonts w:hint="eastAsia"/>
        </w:rPr>
        <w:t>地区</w:t>
      </w:r>
      <w:r>
        <w:t>，</w:t>
      </w:r>
      <w:r>
        <w:rPr>
          <w:rFonts w:hint="eastAsia"/>
        </w:rPr>
        <w:t>其</w:t>
      </w:r>
      <w:r>
        <w:t>干燥度为</w:t>
      </w:r>
      <w:r>
        <w:rPr>
          <w:rFonts w:hint="eastAsia"/>
        </w:rPr>
        <w:t>1</w:t>
      </w:r>
      <w:r>
        <w:t>~1.5</w:t>
      </w:r>
      <w:r>
        <w:rPr>
          <w:rFonts w:hint="eastAsia"/>
        </w:rPr>
        <w:t>，地下水</w:t>
      </w:r>
      <w:r>
        <w:t>埋深</w:t>
      </w:r>
      <w:r>
        <w:rPr>
          <w:rFonts w:hint="eastAsia"/>
        </w:rPr>
        <w:t>大于1.5</w:t>
      </w:r>
      <w:r>
        <w:t>m，根据现状监测，</w:t>
      </w:r>
      <w:r>
        <w:rPr>
          <w:rFonts w:hint="eastAsia"/>
        </w:rPr>
        <w:t>项目区</w:t>
      </w:r>
      <w:r>
        <w:t>土壤PH值为</w:t>
      </w:r>
      <w:r>
        <w:rPr>
          <w:rFonts w:hint="eastAsia"/>
        </w:rPr>
        <w:t>7</w:t>
      </w:r>
      <w:r>
        <w:t>.5~7.8</w:t>
      </w:r>
      <w:r>
        <w:rPr>
          <w:rFonts w:hint="eastAsia"/>
        </w:rPr>
        <w:t>。根据</w:t>
      </w:r>
      <w:r>
        <w:t>《</w:t>
      </w:r>
      <w:r>
        <w:rPr>
          <w:rFonts w:hint="eastAsia"/>
        </w:rPr>
        <w:t>环境影响</w:t>
      </w:r>
      <w:r>
        <w:t>评价技术导则—</w:t>
      </w:r>
      <w:r>
        <w:rPr>
          <w:rFonts w:hint="eastAsia"/>
        </w:rPr>
        <w:t>土壤</w:t>
      </w:r>
      <w:r>
        <w:t>环境（</w:t>
      </w:r>
      <w:r>
        <w:rPr>
          <w:rFonts w:hint="eastAsia"/>
        </w:rPr>
        <w:t>试行</w:t>
      </w:r>
      <w:r>
        <w:t>）》</w:t>
      </w:r>
      <w:r>
        <w:rPr>
          <w:rFonts w:hint="eastAsia"/>
        </w:rPr>
        <w:t>（HJ</w:t>
      </w:r>
      <w:r>
        <w:t>964-2018</w:t>
      </w:r>
      <w:r>
        <w:rPr>
          <w:rFonts w:hint="eastAsia"/>
        </w:rPr>
        <w:t>）中“生态</w:t>
      </w:r>
      <w:r>
        <w:t>影响型敏感程度分级表</w:t>
      </w:r>
      <w:r>
        <w:rPr>
          <w:rFonts w:hint="eastAsia"/>
        </w:rPr>
        <w:t>”（见</w:t>
      </w:r>
      <w:r>
        <w:t>表</w:t>
      </w:r>
      <w:r>
        <w:rPr>
          <w:rFonts w:hint="eastAsia"/>
        </w:rPr>
        <w:t>1</w:t>
      </w:r>
      <w:r>
        <w:t>.6-9</w:t>
      </w:r>
      <w:r>
        <w:rPr>
          <w:rFonts w:hint="eastAsia"/>
        </w:rPr>
        <w:t>）可知</w:t>
      </w:r>
      <w:r>
        <w:t>，项目属于</w:t>
      </w:r>
      <w:r>
        <w:rPr>
          <w:rFonts w:hint="eastAsia"/>
        </w:rPr>
        <w:t>不敏感。</w:t>
      </w:r>
    </w:p>
    <w:p>
      <w:pPr>
        <w:pStyle w:val="27"/>
      </w:pPr>
      <w:r>
        <w:rPr>
          <w:rFonts w:hint="eastAsia"/>
        </w:rPr>
        <w:t>根据</w:t>
      </w:r>
      <w:r>
        <w:t>《</w:t>
      </w:r>
      <w:r>
        <w:rPr>
          <w:rFonts w:hint="eastAsia"/>
        </w:rPr>
        <w:t>环境影响</w:t>
      </w:r>
      <w:r>
        <w:t>评价技术导则—</w:t>
      </w:r>
      <w:r>
        <w:rPr>
          <w:rFonts w:hint="eastAsia"/>
        </w:rPr>
        <w:t>土壤</w:t>
      </w:r>
      <w:r>
        <w:t>环境（</w:t>
      </w:r>
      <w:r>
        <w:rPr>
          <w:rFonts w:hint="eastAsia"/>
        </w:rPr>
        <w:t>试行</w:t>
      </w:r>
      <w:r>
        <w:t>）》</w:t>
      </w:r>
      <w:r>
        <w:rPr>
          <w:rFonts w:hint="eastAsia"/>
        </w:rPr>
        <w:t>（HJ</w:t>
      </w:r>
      <w:r>
        <w:t>964-2018</w:t>
      </w:r>
      <w:r>
        <w:rPr>
          <w:rFonts w:hint="eastAsia"/>
        </w:rPr>
        <w:t>）中“附录</w:t>
      </w:r>
      <w:r>
        <w:t>A土壤环境影响评价项目</w:t>
      </w:r>
      <w:r>
        <w:rPr>
          <w:rFonts w:hint="eastAsia"/>
        </w:rPr>
        <w:t>类别”可知“</w:t>
      </w:r>
      <w:r>
        <w:rPr>
          <w:rFonts w:hint="eastAsia"/>
          <w:lang w:eastAsia="zh-CN"/>
        </w:rPr>
        <w:t>年出栏生猪1.2万头</w:t>
      </w:r>
      <w:r>
        <w:rPr>
          <w:rFonts w:hint="eastAsia"/>
        </w:rPr>
        <w:t>（其他</w:t>
      </w:r>
      <w:r>
        <w:t>畜禽种类折合猪的养殖规模</w:t>
      </w:r>
      <w:r>
        <w:rPr>
          <w:rFonts w:hint="eastAsia"/>
        </w:rPr>
        <w:t>）及</w:t>
      </w:r>
      <w:r>
        <w:t>以上的畜禽养殖场或养殖小区</w:t>
      </w:r>
      <w:r>
        <w:rPr>
          <w:rFonts w:hint="eastAsia"/>
        </w:rPr>
        <w:t>”属于“</w:t>
      </w:r>
      <w:r>
        <w:rPr>
          <w:rFonts w:hint="eastAsia" w:ascii="宋体" w:hAnsi="宋体" w:cs="宋体"/>
        </w:rPr>
        <w:t>Ⅲ</w:t>
      </w:r>
      <w:r>
        <w:rPr>
          <w:rFonts w:hint="eastAsia"/>
        </w:rPr>
        <w:t>类”，根据生态</w:t>
      </w:r>
      <w:r>
        <w:t>影响型评价工作等级划分</w:t>
      </w:r>
      <w:r>
        <w:rPr>
          <w:rFonts w:hint="eastAsia"/>
        </w:rPr>
        <w:t>（见</w:t>
      </w:r>
      <w:r>
        <w:t>表</w:t>
      </w:r>
      <w:r>
        <w:rPr>
          <w:rFonts w:hint="eastAsia"/>
        </w:rPr>
        <w:t>1</w:t>
      </w:r>
      <w:r>
        <w:t>.6-10</w:t>
      </w:r>
      <w:r>
        <w:rPr>
          <w:rFonts w:hint="eastAsia"/>
        </w:rPr>
        <w:t>）</w:t>
      </w:r>
      <w:r>
        <w:t>可知，项目可不开展土壤环境影响评价工作。</w:t>
      </w:r>
    </w:p>
    <w:p>
      <w:pPr>
        <w:spacing w:line="520" w:lineRule="exact"/>
        <w:jc w:val="center"/>
        <w:rPr>
          <w:b/>
          <w:bCs/>
          <w:sz w:val="24"/>
        </w:rPr>
      </w:pPr>
      <w:r>
        <w:rPr>
          <w:rFonts w:hint="eastAsia"/>
          <w:b/>
          <w:bCs/>
          <w:sz w:val="24"/>
        </w:rPr>
        <w:t>表1</w:t>
      </w:r>
      <w:r>
        <w:rPr>
          <w:b/>
          <w:bCs/>
          <w:sz w:val="24"/>
        </w:rPr>
        <w:t>.6</w:t>
      </w:r>
      <w:r>
        <w:rPr>
          <w:rFonts w:hint="eastAsia"/>
          <w:b/>
          <w:bCs/>
          <w:sz w:val="24"/>
        </w:rPr>
        <w:t>-</w:t>
      </w:r>
      <w:r>
        <w:rPr>
          <w:b/>
          <w:bCs/>
          <w:sz w:val="24"/>
        </w:rPr>
        <w:t>9</w:t>
      </w:r>
      <w:r>
        <w:rPr>
          <w:rFonts w:hint="eastAsia"/>
          <w:b/>
          <w:bCs/>
          <w:sz w:val="24"/>
        </w:rPr>
        <w:t xml:space="preserve"> </w:t>
      </w:r>
      <w:r>
        <w:rPr>
          <w:b/>
          <w:bCs/>
          <w:sz w:val="24"/>
        </w:rPr>
        <w:t xml:space="preserve"> </w:t>
      </w:r>
      <w:r>
        <w:rPr>
          <w:rFonts w:hint="eastAsia"/>
          <w:b/>
          <w:bCs/>
          <w:sz w:val="24"/>
        </w:rPr>
        <w:t xml:space="preserve"> 生态</w:t>
      </w:r>
      <w:r>
        <w:rPr>
          <w:b/>
          <w:bCs/>
          <w:sz w:val="24"/>
        </w:rPr>
        <w:t>影响型</w:t>
      </w:r>
      <w:r>
        <w:rPr>
          <w:rFonts w:hint="eastAsia"/>
          <w:b/>
          <w:bCs/>
          <w:sz w:val="24"/>
        </w:rPr>
        <w:t>敏感</w:t>
      </w:r>
      <w:r>
        <w:rPr>
          <w:b/>
          <w:bCs/>
          <w:sz w:val="24"/>
        </w:rPr>
        <w:t>程度分级表</w:t>
      </w:r>
    </w:p>
    <w:tbl>
      <w:tblPr>
        <w:tblStyle w:val="17"/>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27"/>
        <w:gridCol w:w="4619"/>
        <w:gridCol w:w="1590"/>
        <w:gridCol w:w="161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1127" w:type="dxa"/>
            <w:vMerge w:val="restart"/>
            <w:noWrap w:val="0"/>
            <w:vAlign w:val="center"/>
          </w:tcPr>
          <w:p>
            <w:pPr>
              <w:spacing w:line="360" w:lineRule="exact"/>
              <w:jc w:val="center"/>
              <w:rPr>
                <w:rFonts w:hint="eastAsia"/>
                <w:bCs/>
                <w:szCs w:val="21"/>
              </w:rPr>
            </w:pPr>
            <w:r>
              <w:rPr>
                <w:rFonts w:hint="eastAsia"/>
                <w:bCs/>
                <w:szCs w:val="21"/>
              </w:rPr>
              <w:t>敏感程度</w:t>
            </w:r>
          </w:p>
        </w:tc>
        <w:tc>
          <w:tcPr>
            <w:tcW w:w="7819" w:type="dxa"/>
            <w:gridSpan w:val="3"/>
            <w:noWrap w:val="0"/>
            <w:vAlign w:val="center"/>
          </w:tcPr>
          <w:p>
            <w:pPr>
              <w:spacing w:line="360" w:lineRule="exact"/>
              <w:jc w:val="center"/>
              <w:rPr>
                <w:rFonts w:hint="eastAsia"/>
                <w:bCs/>
                <w:szCs w:val="21"/>
              </w:rPr>
            </w:pPr>
            <w:r>
              <w:rPr>
                <w:rFonts w:hint="eastAsia"/>
                <w:bCs/>
                <w:szCs w:val="21"/>
              </w:rPr>
              <w:t>判别</w:t>
            </w:r>
            <w:r>
              <w:rPr>
                <w:bCs/>
                <w:szCs w:val="21"/>
              </w:rPr>
              <w:t>依据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1127" w:type="dxa"/>
            <w:vMerge w:val="continue"/>
            <w:noWrap w:val="0"/>
            <w:vAlign w:val="center"/>
          </w:tcPr>
          <w:p>
            <w:pPr>
              <w:spacing w:line="360" w:lineRule="exact"/>
              <w:jc w:val="center"/>
              <w:rPr>
                <w:rFonts w:hint="eastAsia"/>
                <w:bCs/>
                <w:szCs w:val="21"/>
              </w:rPr>
            </w:pPr>
          </w:p>
        </w:tc>
        <w:tc>
          <w:tcPr>
            <w:tcW w:w="4619" w:type="dxa"/>
            <w:noWrap w:val="0"/>
            <w:vAlign w:val="center"/>
          </w:tcPr>
          <w:p>
            <w:pPr>
              <w:spacing w:line="360" w:lineRule="exact"/>
              <w:jc w:val="center"/>
              <w:rPr>
                <w:rFonts w:hint="eastAsia"/>
                <w:bCs/>
                <w:szCs w:val="21"/>
              </w:rPr>
            </w:pPr>
            <w:r>
              <w:rPr>
                <w:rFonts w:hint="eastAsia"/>
                <w:bCs/>
                <w:szCs w:val="21"/>
              </w:rPr>
              <w:t>盐化</w:t>
            </w:r>
          </w:p>
        </w:tc>
        <w:tc>
          <w:tcPr>
            <w:tcW w:w="1590" w:type="dxa"/>
            <w:noWrap w:val="0"/>
            <w:vAlign w:val="center"/>
          </w:tcPr>
          <w:p>
            <w:pPr>
              <w:spacing w:line="360" w:lineRule="exact"/>
              <w:jc w:val="center"/>
              <w:rPr>
                <w:rFonts w:hint="eastAsia"/>
                <w:bCs/>
                <w:szCs w:val="21"/>
              </w:rPr>
            </w:pPr>
            <w:r>
              <w:rPr>
                <w:rFonts w:hint="eastAsia"/>
                <w:bCs/>
                <w:szCs w:val="21"/>
              </w:rPr>
              <w:t>酸化</w:t>
            </w:r>
          </w:p>
        </w:tc>
        <w:tc>
          <w:tcPr>
            <w:tcW w:w="1610" w:type="dxa"/>
            <w:noWrap w:val="0"/>
            <w:vAlign w:val="center"/>
          </w:tcPr>
          <w:p>
            <w:pPr>
              <w:spacing w:line="360" w:lineRule="exact"/>
              <w:jc w:val="center"/>
              <w:rPr>
                <w:rFonts w:hint="eastAsia"/>
                <w:bCs/>
                <w:szCs w:val="21"/>
              </w:rPr>
            </w:pPr>
            <w:r>
              <w:rPr>
                <w:rFonts w:hint="eastAsia"/>
                <w:bCs/>
                <w:szCs w:val="21"/>
              </w:rPr>
              <w:t>碱化</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1127" w:type="dxa"/>
            <w:noWrap w:val="0"/>
            <w:vAlign w:val="center"/>
          </w:tcPr>
          <w:p>
            <w:pPr>
              <w:spacing w:line="360" w:lineRule="exact"/>
              <w:jc w:val="center"/>
              <w:rPr>
                <w:rFonts w:hint="eastAsia"/>
                <w:bCs/>
                <w:szCs w:val="21"/>
              </w:rPr>
            </w:pPr>
            <w:r>
              <w:rPr>
                <w:rFonts w:hint="eastAsia"/>
                <w:bCs/>
                <w:szCs w:val="21"/>
              </w:rPr>
              <w:t>敏感</w:t>
            </w:r>
          </w:p>
        </w:tc>
        <w:tc>
          <w:tcPr>
            <w:tcW w:w="4619" w:type="dxa"/>
            <w:noWrap w:val="0"/>
            <w:vAlign w:val="center"/>
          </w:tcPr>
          <w:p>
            <w:pPr>
              <w:spacing w:line="360" w:lineRule="exact"/>
              <w:jc w:val="center"/>
              <w:rPr>
                <w:rFonts w:hint="eastAsia"/>
                <w:bCs/>
                <w:szCs w:val="21"/>
              </w:rPr>
            </w:pPr>
            <w:r>
              <w:rPr>
                <w:rFonts w:hint="eastAsia"/>
                <w:bCs/>
                <w:szCs w:val="21"/>
              </w:rPr>
              <w:t>建设</w:t>
            </w:r>
            <w:r>
              <w:rPr>
                <w:bCs/>
                <w:szCs w:val="21"/>
              </w:rPr>
              <w:t>项目所在地干燥度</w:t>
            </w:r>
            <w:r>
              <w:rPr>
                <w:rFonts w:hint="eastAsia"/>
                <w:bCs/>
                <w:szCs w:val="21"/>
                <w:vertAlign w:val="superscript"/>
              </w:rPr>
              <w:t>a</w:t>
            </w:r>
            <w:r>
              <w:rPr>
                <w:rFonts w:hint="eastAsia"/>
                <w:bCs/>
                <w:szCs w:val="21"/>
              </w:rPr>
              <w:t>＞2.5且</w:t>
            </w:r>
            <w:r>
              <w:rPr>
                <w:bCs/>
                <w:szCs w:val="21"/>
              </w:rPr>
              <w:t>常年地下水位平均埋深＜</w:t>
            </w:r>
            <w:r>
              <w:rPr>
                <w:rFonts w:hint="eastAsia"/>
                <w:bCs/>
                <w:szCs w:val="21"/>
              </w:rPr>
              <w:t>1.5</w:t>
            </w:r>
            <w:r>
              <w:rPr>
                <w:bCs/>
                <w:szCs w:val="21"/>
              </w:rPr>
              <w:t>m</w:t>
            </w:r>
            <w:r>
              <w:rPr>
                <w:rFonts w:hint="eastAsia"/>
                <w:bCs/>
                <w:szCs w:val="21"/>
              </w:rPr>
              <w:t>的</w:t>
            </w:r>
            <w:r>
              <w:rPr>
                <w:bCs/>
                <w:szCs w:val="21"/>
              </w:rPr>
              <w:t>地势平坦区域；或</w:t>
            </w:r>
            <w:r>
              <w:rPr>
                <w:rFonts w:hint="eastAsia"/>
                <w:bCs/>
                <w:szCs w:val="21"/>
              </w:rPr>
              <w:t>土壤</w:t>
            </w:r>
            <w:r>
              <w:rPr>
                <w:bCs/>
                <w:szCs w:val="21"/>
              </w:rPr>
              <w:t>含盐量＞</w:t>
            </w:r>
            <w:r>
              <w:rPr>
                <w:rFonts w:hint="eastAsia"/>
                <w:bCs/>
                <w:szCs w:val="21"/>
              </w:rPr>
              <w:t>4</w:t>
            </w:r>
            <w:r>
              <w:rPr>
                <w:bCs/>
                <w:szCs w:val="21"/>
              </w:rPr>
              <w:t>g/kg</w:t>
            </w:r>
            <w:r>
              <w:rPr>
                <w:rFonts w:hint="eastAsia"/>
                <w:bCs/>
                <w:szCs w:val="21"/>
              </w:rPr>
              <w:t>的</w:t>
            </w:r>
            <w:r>
              <w:rPr>
                <w:bCs/>
                <w:szCs w:val="21"/>
              </w:rPr>
              <w:t>区域</w:t>
            </w:r>
          </w:p>
        </w:tc>
        <w:tc>
          <w:tcPr>
            <w:tcW w:w="1590" w:type="dxa"/>
            <w:noWrap w:val="0"/>
            <w:vAlign w:val="center"/>
          </w:tcPr>
          <w:p>
            <w:pPr>
              <w:spacing w:line="360" w:lineRule="exact"/>
              <w:jc w:val="center"/>
              <w:rPr>
                <w:rFonts w:hint="eastAsia"/>
                <w:bCs/>
                <w:szCs w:val="21"/>
              </w:rPr>
            </w:pPr>
            <w:r>
              <w:rPr>
                <w:bCs/>
                <w:szCs w:val="21"/>
              </w:rPr>
              <w:t>pH</w:t>
            </w:r>
            <w:r>
              <w:rPr>
                <w:rFonts w:hint="eastAsia"/>
                <w:bCs/>
                <w:szCs w:val="21"/>
              </w:rPr>
              <w:t>≤4.5</w:t>
            </w:r>
          </w:p>
        </w:tc>
        <w:tc>
          <w:tcPr>
            <w:tcW w:w="1610" w:type="dxa"/>
            <w:noWrap w:val="0"/>
            <w:vAlign w:val="center"/>
          </w:tcPr>
          <w:p>
            <w:pPr>
              <w:spacing w:line="360" w:lineRule="exact"/>
              <w:jc w:val="center"/>
              <w:rPr>
                <w:rFonts w:hint="eastAsia"/>
                <w:bCs/>
                <w:szCs w:val="21"/>
              </w:rPr>
            </w:pPr>
            <w:r>
              <w:rPr>
                <w:bCs/>
                <w:szCs w:val="21"/>
              </w:rPr>
              <w:t>pH</w:t>
            </w:r>
            <w:r>
              <w:rPr>
                <w:rFonts w:hint="eastAsia"/>
                <w:bCs/>
                <w:szCs w:val="21"/>
              </w:rPr>
              <w:t>≥9.0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1127" w:type="dxa"/>
            <w:noWrap w:val="0"/>
            <w:vAlign w:val="center"/>
          </w:tcPr>
          <w:p>
            <w:pPr>
              <w:spacing w:line="360" w:lineRule="exact"/>
              <w:jc w:val="center"/>
              <w:rPr>
                <w:rFonts w:hint="eastAsia"/>
                <w:bCs/>
                <w:szCs w:val="21"/>
              </w:rPr>
            </w:pPr>
            <w:r>
              <w:rPr>
                <w:rFonts w:hint="eastAsia"/>
                <w:bCs/>
                <w:szCs w:val="21"/>
              </w:rPr>
              <w:t>较敏感</w:t>
            </w:r>
          </w:p>
        </w:tc>
        <w:tc>
          <w:tcPr>
            <w:tcW w:w="4619" w:type="dxa"/>
            <w:noWrap w:val="0"/>
            <w:vAlign w:val="center"/>
          </w:tcPr>
          <w:p>
            <w:pPr>
              <w:spacing w:line="360" w:lineRule="exact"/>
              <w:jc w:val="center"/>
              <w:rPr>
                <w:rFonts w:hint="eastAsia"/>
                <w:bCs/>
                <w:szCs w:val="21"/>
              </w:rPr>
            </w:pPr>
            <w:r>
              <w:rPr>
                <w:rFonts w:hint="eastAsia"/>
                <w:bCs/>
                <w:szCs w:val="21"/>
              </w:rPr>
              <w:t>建设</w:t>
            </w:r>
            <w:r>
              <w:rPr>
                <w:bCs/>
                <w:szCs w:val="21"/>
              </w:rPr>
              <w:t>项目所在地</w:t>
            </w:r>
            <w:r>
              <w:rPr>
                <w:rFonts w:hint="eastAsia"/>
                <w:bCs/>
                <w:szCs w:val="21"/>
              </w:rPr>
              <w:t>干燥度</w:t>
            </w:r>
            <w:r>
              <w:rPr>
                <w:bCs/>
                <w:szCs w:val="21"/>
              </w:rPr>
              <w:t>大于</w:t>
            </w:r>
            <w:r>
              <w:rPr>
                <w:rFonts w:hint="eastAsia"/>
                <w:bCs/>
                <w:szCs w:val="21"/>
              </w:rPr>
              <w:t>2.5且</w:t>
            </w:r>
            <w:r>
              <w:rPr>
                <w:bCs/>
                <w:szCs w:val="21"/>
              </w:rPr>
              <w:t>常年地下水位平均埋深≥1.5m</w:t>
            </w:r>
            <w:r>
              <w:rPr>
                <w:rFonts w:hint="eastAsia"/>
                <w:bCs/>
                <w:szCs w:val="21"/>
              </w:rPr>
              <w:t>的</w:t>
            </w:r>
            <w:r>
              <w:rPr>
                <w:bCs/>
                <w:szCs w:val="21"/>
              </w:rPr>
              <w:t>，或</w:t>
            </w:r>
            <w:r>
              <w:rPr>
                <w:rFonts w:hint="eastAsia"/>
                <w:bCs/>
                <w:szCs w:val="21"/>
              </w:rPr>
              <w:t>1.8＜</w:t>
            </w:r>
            <w:r>
              <w:rPr>
                <w:bCs/>
                <w:szCs w:val="21"/>
              </w:rPr>
              <w:t>干燥度≤2.5</w:t>
            </w:r>
            <w:r>
              <w:rPr>
                <w:rFonts w:hint="eastAsia"/>
                <w:bCs/>
                <w:szCs w:val="21"/>
              </w:rPr>
              <w:t>且</w:t>
            </w:r>
            <w:r>
              <w:rPr>
                <w:bCs/>
                <w:szCs w:val="21"/>
              </w:rPr>
              <w:t>常年地下水位平均埋深＜</w:t>
            </w:r>
            <w:r>
              <w:rPr>
                <w:rFonts w:hint="eastAsia"/>
                <w:bCs/>
                <w:szCs w:val="21"/>
              </w:rPr>
              <w:t>1.8</w:t>
            </w:r>
            <w:r>
              <w:rPr>
                <w:bCs/>
                <w:szCs w:val="21"/>
              </w:rPr>
              <w:t>m</w:t>
            </w:r>
            <w:r>
              <w:rPr>
                <w:rFonts w:hint="eastAsia"/>
                <w:bCs/>
                <w:szCs w:val="21"/>
              </w:rPr>
              <w:t>的</w:t>
            </w:r>
            <w:r>
              <w:rPr>
                <w:bCs/>
                <w:szCs w:val="21"/>
              </w:rPr>
              <w:t>地势平坦区域；</w:t>
            </w:r>
            <w:r>
              <w:rPr>
                <w:rFonts w:hint="eastAsia"/>
                <w:bCs/>
                <w:szCs w:val="21"/>
              </w:rPr>
              <w:t>建设</w:t>
            </w:r>
            <w:r>
              <w:rPr>
                <w:bCs/>
                <w:szCs w:val="21"/>
              </w:rPr>
              <w:t>项目所在地区干燥度＞</w:t>
            </w:r>
            <w:r>
              <w:rPr>
                <w:rFonts w:hint="eastAsia"/>
                <w:bCs/>
                <w:szCs w:val="21"/>
              </w:rPr>
              <w:t>2.5或</w:t>
            </w:r>
            <w:r>
              <w:rPr>
                <w:bCs/>
                <w:szCs w:val="21"/>
              </w:rPr>
              <w:t>常年地下水位平均埋深</w:t>
            </w:r>
            <w:r>
              <w:rPr>
                <w:rFonts w:hint="eastAsia"/>
                <w:bCs/>
                <w:szCs w:val="21"/>
              </w:rPr>
              <w:t>＜1.5</w:t>
            </w:r>
            <w:r>
              <w:rPr>
                <w:bCs/>
                <w:szCs w:val="21"/>
              </w:rPr>
              <w:t>m</w:t>
            </w:r>
            <w:r>
              <w:rPr>
                <w:rFonts w:hint="eastAsia"/>
                <w:bCs/>
                <w:szCs w:val="21"/>
              </w:rPr>
              <w:t>的</w:t>
            </w:r>
            <w:r>
              <w:rPr>
                <w:bCs/>
                <w:szCs w:val="21"/>
              </w:rPr>
              <w:t>平原区</w:t>
            </w:r>
            <w:r>
              <w:rPr>
                <w:rFonts w:hint="eastAsia"/>
                <w:bCs/>
                <w:szCs w:val="21"/>
              </w:rPr>
              <w:t>；</w:t>
            </w:r>
            <w:r>
              <w:rPr>
                <w:bCs/>
                <w:szCs w:val="21"/>
              </w:rPr>
              <w:t>或2g/kg</w:t>
            </w:r>
            <w:r>
              <w:rPr>
                <w:rFonts w:hint="eastAsia"/>
                <w:bCs/>
                <w:szCs w:val="21"/>
              </w:rPr>
              <w:t>＜</w:t>
            </w:r>
            <w:r>
              <w:rPr>
                <w:bCs/>
                <w:szCs w:val="21"/>
              </w:rPr>
              <w:t>土壤含盐量≤4g/kg</w:t>
            </w:r>
            <w:r>
              <w:rPr>
                <w:rFonts w:hint="eastAsia"/>
                <w:bCs/>
                <w:szCs w:val="21"/>
              </w:rPr>
              <w:t>的</w:t>
            </w:r>
            <w:r>
              <w:rPr>
                <w:bCs/>
                <w:szCs w:val="21"/>
              </w:rPr>
              <w:t>区域</w:t>
            </w:r>
          </w:p>
        </w:tc>
        <w:tc>
          <w:tcPr>
            <w:tcW w:w="1590" w:type="dxa"/>
            <w:noWrap w:val="0"/>
            <w:vAlign w:val="center"/>
          </w:tcPr>
          <w:p>
            <w:pPr>
              <w:spacing w:line="360" w:lineRule="exact"/>
              <w:jc w:val="center"/>
              <w:rPr>
                <w:rFonts w:hint="eastAsia"/>
                <w:bCs/>
                <w:szCs w:val="21"/>
              </w:rPr>
            </w:pPr>
            <w:r>
              <w:rPr>
                <w:rFonts w:hint="eastAsia"/>
                <w:bCs/>
                <w:szCs w:val="21"/>
              </w:rPr>
              <w:t>4.5＜pH≤5.5</w:t>
            </w:r>
          </w:p>
        </w:tc>
        <w:tc>
          <w:tcPr>
            <w:tcW w:w="1610" w:type="dxa"/>
            <w:noWrap w:val="0"/>
            <w:vAlign w:val="center"/>
          </w:tcPr>
          <w:p>
            <w:pPr>
              <w:spacing w:line="360" w:lineRule="exact"/>
              <w:jc w:val="center"/>
              <w:rPr>
                <w:rFonts w:hint="eastAsia"/>
                <w:bCs/>
                <w:szCs w:val="21"/>
              </w:rPr>
            </w:pPr>
            <w:r>
              <w:rPr>
                <w:bCs/>
                <w:szCs w:val="21"/>
              </w:rPr>
              <w:t>8</w:t>
            </w:r>
            <w:r>
              <w:rPr>
                <w:rFonts w:hint="eastAsia"/>
                <w:bCs/>
                <w:szCs w:val="21"/>
              </w:rPr>
              <w:t>.5＜pH≤</w:t>
            </w:r>
            <w:r>
              <w:rPr>
                <w:bCs/>
                <w:szCs w:val="21"/>
              </w:rPr>
              <w:t>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1127" w:type="dxa"/>
            <w:noWrap w:val="0"/>
            <w:vAlign w:val="center"/>
          </w:tcPr>
          <w:p>
            <w:pPr>
              <w:spacing w:line="360" w:lineRule="exact"/>
              <w:jc w:val="center"/>
              <w:rPr>
                <w:rFonts w:hint="eastAsia"/>
                <w:bCs/>
                <w:szCs w:val="21"/>
              </w:rPr>
            </w:pPr>
            <w:r>
              <w:rPr>
                <w:rFonts w:hint="eastAsia"/>
                <w:bCs/>
                <w:szCs w:val="21"/>
              </w:rPr>
              <w:t>不敏感</w:t>
            </w:r>
          </w:p>
        </w:tc>
        <w:tc>
          <w:tcPr>
            <w:tcW w:w="4619" w:type="dxa"/>
            <w:noWrap w:val="0"/>
            <w:vAlign w:val="center"/>
          </w:tcPr>
          <w:p>
            <w:pPr>
              <w:spacing w:line="360" w:lineRule="exact"/>
              <w:jc w:val="center"/>
              <w:rPr>
                <w:rFonts w:hint="eastAsia"/>
                <w:bCs/>
                <w:szCs w:val="21"/>
              </w:rPr>
            </w:pPr>
            <w:r>
              <w:rPr>
                <w:rFonts w:hint="eastAsia"/>
                <w:bCs/>
                <w:szCs w:val="21"/>
              </w:rPr>
              <w:t>其他</w:t>
            </w:r>
          </w:p>
        </w:tc>
        <w:tc>
          <w:tcPr>
            <w:tcW w:w="3200" w:type="dxa"/>
            <w:gridSpan w:val="2"/>
            <w:noWrap w:val="0"/>
            <w:vAlign w:val="center"/>
          </w:tcPr>
          <w:p>
            <w:pPr>
              <w:spacing w:line="360" w:lineRule="exact"/>
              <w:jc w:val="center"/>
              <w:rPr>
                <w:rFonts w:hint="eastAsia"/>
                <w:bCs/>
                <w:szCs w:val="21"/>
              </w:rPr>
            </w:pPr>
            <w:r>
              <w:rPr>
                <w:rFonts w:hint="eastAsia"/>
                <w:bCs/>
                <w:szCs w:val="21"/>
              </w:rPr>
              <w:t>5.</w:t>
            </w:r>
            <w:r>
              <w:rPr>
                <w:bCs/>
                <w:szCs w:val="21"/>
              </w:rPr>
              <w:t>5</w:t>
            </w:r>
            <w:r>
              <w:rPr>
                <w:rFonts w:hint="eastAsia"/>
                <w:bCs/>
                <w:szCs w:val="21"/>
              </w:rPr>
              <w:t>＜</w:t>
            </w:r>
            <w:r>
              <w:rPr>
                <w:bCs/>
                <w:szCs w:val="21"/>
              </w:rPr>
              <w:t>pH</w:t>
            </w:r>
            <w:r>
              <w:rPr>
                <w:rFonts w:hint="eastAsia"/>
                <w:bCs/>
                <w:szCs w:val="21"/>
              </w:rPr>
              <w:t>＜8.5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0" w:type="auto"/>
            <w:gridSpan w:val="4"/>
            <w:noWrap w:val="0"/>
            <w:vAlign w:val="center"/>
          </w:tcPr>
          <w:p>
            <w:pPr>
              <w:spacing w:line="360" w:lineRule="exact"/>
              <w:jc w:val="center"/>
              <w:rPr>
                <w:rFonts w:hint="eastAsia"/>
                <w:bCs/>
                <w:szCs w:val="21"/>
              </w:rPr>
            </w:pPr>
            <w:r>
              <w:rPr>
                <w:rFonts w:hint="eastAsia"/>
                <w:bCs/>
                <w:szCs w:val="21"/>
                <w:vertAlign w:val="superscript"/>
              </w:rPr>
              <w:t>a</w:t>
            </w:r>
            <w:r>
              <w:rPr>
                <w:rFonts w:hint="eastAsia"/>
                <w:bCs/>
                <w:szCs w:val="21"/>
              </w:rPr>
              <w:t>是</w:t>
            </w:r>
            <w:r>
              <w:rPr>
                <w:bCs/>
                <w:szCs w:val="21"/>
              </w:rPr>
              <w:t>指</w:t>
            </w:r>
            <w:r>
              <w:rPr>
                <w:rFonts w:hint="eastAsia"/>
                <w:bCs/>
                <w:szCs w:val="21"/>
              </w:rPr>
              <w:t>采用</w:t>
            </w:r>
            <w:r>
              <w:rPr>
                <w:bCs/>
                <w:szCs w:val="21"/>
              </w:rPr>
              <w:t>E601</w:t>
            </w:r>
            <w:r>
              <w:rPr>
                <w:rFonts w:hint="eastAsia"/>
                <w:bCs/>
                <w:szCs w:val="21"/>
              </w:rPr>
              <w:t>观测</w:t>
            </w:r>
            <w:r>
              <w:rPr>
                <w:bCs/>
                <w:szCs w:val="21"/>
              </w:rPr>
              <w:t>的多年平均水面蒸发</w:t>
            </w:r>
            <w:r>
              <w:rPr>
                <w:rFonts w:hint="eastAsia"/>
                <w:bCs/>
                <w:szCs w:val="21"/>
              </w:rPr>
              <w:t>量</w:t>
            </w:r>
            <w:r>
              <w:rPr>
                <w:bCs/>
                <w:szCs w:val="21"/>
              </w:rPr>
              <w:t>与降水量的比值，即蒸降比值。</w:t>
            </w:r>
          </w:p>
        </w:tc>
      </w:tr>
    </w:tbl>
    <w:p>
      <w:pPr>
        <w:spacing w:line="520" w:lineRule="exact"/>
        <w:jc w:val="center"/>
        <w:rPr>
          <w:b/>
          <w:bCs/>
          <w:sz w:val="24"/>
        </w:rPr>
      </w:pPr>
      <w:r>
        <w:rPr>
          <w:rFonts w:hint="eastAsia"/>
          <w:bCs/>
          <w:sz w:val="24"/>
        </w:rPr>
        <mc:AlternateContent>
          <mc:Choice Requires="wps">
            <w:drawing>
              <wp:anchor distT="0" distB="0" distL="114300" distR="114300" simplePos="0" relativeHeight="251748352" behindDoc="0" locked="0" layoutInCell="1" allowOverlap="1">
                <wp:simplePos x="0" y="0"/>
                <wp:positionH relativeFrom="column">
                  <wp:posOffset>3060065</wp:posOffset>
                </wp:positionH>
                <wp:positionV relativeFrom="paragraph">
                  <wp:posOffset>278929465</wp:posOffset>
                </wp:positionV>
                <wp:extent cx="962025" cy="723900"/>
                <wp:effectExtent l="3175" t="3810" r="6350" b="15240"/>
                <wp:wrapNone/>
                <wp:docPr id="459" name="自选图形 1858"/>
                <wp:cNvGraphicFramePr/>
                <a:graphic xmlns:a="http://schemas.openxmlformats.org/drawingml/2006/main">
                  <a:graphicData uri="http://schemas.microsoft.com/office/word/2010/wordprocessingShape">
                    <wps:wsp>
                      <wps:cNvCnPr/>
                      <wps:spPr>
                        <a:xfrm>
                          <a:off x="0" y="0"/>
                          <a:ext cx="962025" cy="72390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858" o:spid="_x0000_s1026" o:spt="32" type="#_x0000_t32" style="position:absolute;left:0pt;margin-left:240.95pt;margin-top:21962.95pt;height:57pt;width:75.75pt;z-index:251748352;mso-width-relative:page;mso-height-relative:page;" filled="f" stroked="t" coordsize="21600,21600" o:gfxdata="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aO6rk3AAAAA8BAAAPAAAAAAAAAAEAIAAAACIAAABkcnMvZG93&#10;bnJldi54bWxQSwECFAAUAAAACACHTuJAhiIS8fwBAADsAwAADgAAAAAAAAABACAAAAArAQAAZHJz&#10;L2Uyb0RvYy54bWxQSwUGAAAAAAYABgBZAQAAmQUAAAAA&#10;">
                <v:fill on="f" focussize="0,0"/>
                <v:stroke color="#000000" joinstyle="round"/>
                <v:imagedata o:title=""/>
                <o:lock v:ext="edit" aspectratio="f"/>
              </v:shape>
            </w:pict>
          </mc:Fallback>
        </mc:AlternateContent>
      </w:r>
      <w:r>
        <w:rPr>
          <w:rFonts w:hint="eastAsia"/>
          <w:b/>
          <w:bCs/>
          <w:sz w:val="24"/>
        </w:rPr>
        <w:t>表1</w:t>
      </w:r>
      <w:r>
        <w:rPr>
          <w:b/>
          <w:bCs/>
          <w:sz w:val="24"/>
        </w:rPr>
        <w:t>.6-10</w:t>
      </w:r>
      <w:r>
        <w:rPr>
          <w:rFonts w:hint="eastAsia"/>
          <w:b/>
          <w:bCs/>
          <w:sz w:val="24"/>
        </w:rPr>
        <w:t xml:space="preserve">   生态影响型</w:t>
      </w:r>
      <w:r>
        <w:rPr>
          <w:b/>
          <w:bCs/>
          <w:sz w:val="24"/>
        </w:rPr>
        <w:t>评价工作等级划分表</w:t>
      </w:r>
    </w:p>
    <w:tbl>
      <w:tblPr>
        <w:tblStyle w:val="17"/>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516"/>
        <w:gridCol w:w="1956"/>
        <w:gridCol w:w="2237"/>
        <w:gridCol w:w="223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1182" w:hRule="atLeast"/>
        </w:trPr>
        <w:tc>
          <w:tcPr>
            <w:tcW w:w="2518" w:type="dxa"/>
            <w:noWrap w:val="0"/>
            <w:vAlign w:val="center"/>
          </w:tcPr>
          <w:p>
            <w:pPr>
              <w:spacing w:line="360" w:lineRule="exact"/>
              <w:jc w:val="center"/>
              <w:rPr>
                <w:bCs/>
                <w:sz w:val="24"/>
              </w:rPr>
            </w:pPr>
            <w:r>
              <w:rPr>
                <w:rFonts w:hint="eastAsia"/>
                <w:bCs/>
                <w:sz w:val="24"/>
              </w:rPr>
              <w:t xml:space="preserve">      </w:t>
            </w:r>
            <w:r>
              <w:rPr>
                <w:bCs/>
                <w:sz w:val="24"/>
              </w:rPr>
              <w:t xml:space="preserve">  </w:t>
            </w:r>
            <w:r>
              <w:rPr>
                <w:rFonts w:hint="eastAsia"/>
                <w:bCs/>
                <w:sz w:val="24"/>
              </w:rPr>
              <w:t>项目类别</w:t>
            </w:r>
          </w:p>
          <w:p>
            <w:pPr>
              <w:spacing w:line="360" w:lineRule="exact"/>
              <w:rPr>
                <w:bCs/>
                <w:sz w:val="24"/>
              </w:rPr>
            </w:pPr>
            <w:r>
              <w:rPr>
                <w:rFonts w:hint="eastAsia"/>
                <w:bCs/>
                <w:sz w:val="24"/>
              </w:rPr>
              <mc:AlternateContent>
                <mc:Choice Requires="wps">
                  <w:drawing>
                    <wp:anchor distT="0" distB="0" distL="114300" distR="114300" simplePos="0" relativeHeight="251749376" behindDoc="0" locked="0" layoutInCell="1" allowOverlap="1">
                      <wp:simplePos x="0" y="0"/>
                      <wp:positionH relativeFrom="column">
                        <wp:posOffset>3060065</wp:posOffset>
                      </wp:positionH>
                      <wp:positionV relativeFrom="paragraph">
                        <wp:posOffset>278351615</wp:posOffset>
                      </wp:positionV>
                      <wp:extent cx="1455420" cy="257175"/>
                      <wp:effectExtent l="635" t="4445" r="10795" b="5080"/>
                      <wp:wrapNone/>
                      <wp:docPr id="460" name="自选图形 1859"/>
                      <wp:cNvGraphicFramePr/>
                      <a:graphic xmlns:a="http://schemas.openxmlformats.org/drawingml/2006/main">
                        <a:graphicData uri="http://schemas.microsoft.com/office/word/2010/wordprocessingShape">
                          <wps:wsp>
                            <wps:cNvCnPr/>
                            <wps:spPr>
                              <a:xfrm>
                                <a:off x="0" y="0"/>
                                <a:ext cx="1455420" cy="25717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859" o:spid="_x0000_s1026" o:spt="32" type="#_x0000_t32" style="position:absolute;left:0pt;margin-left:240.95pt;margin-top:21917.45pt;height:20.25pt;width:114.6pt;z-index:251749376;mso-width-relative:page;mso-height-relative:page;" filled="f" stroked="t" coordsize="21600,21600" o:gfxdata="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icXl3AAAAA8BAAAPAAAAAAAAAAEAIAAAACIAAABkcnMvZG93&#10;bnJldi54bWxQSwECFAAUAAAACACHTuJAAZQoMfwBAADtAwAADgAAAAAAAAABACAAAAArAQAAZHJz&#10;L2Uyb0RvYy54bWxQSwUGAAAAAAYABgBZAQAAmQUAAAAA&#10;">
                      <v:fill on="f" focussize="0,0"/>
                      <v:stroke color="#000000" joinstyle="round"/>
                      <v:imagedata o:title=""/>
                      <o:lock v:ext="edit" aspectratio="f"/>
                    </v:shape>
                  </w:pict>
                </mc:Fallback>
              </mc:AlternateContent>
            </w:r>
            <w:r>
              <w:rPr>
                <w:rFonts w:hint="eastAsia"/>
                <w:bCs/>
                <w:sz w:val="24"/>
              </w:rPr>
              <w:t>评价</w:t>
            </w:r>
            <w:r>
              <w:rPr>
                <w:bCs/>
                <w:sz w:val="24"/>
              </w:rPr>
              <w:t>工作等级</w:t>
            </w:r>
          </w:p>
          <w:p>
            <w:pPr>
              <w:spacing w:line="360" w:lineRule="exact"/>
              <w:rPr>
                <w:rFonts w:hint="eastAsia"/>
                <w:bCs/>
                <w:sz w:val="24"/>
              </w:rPr>
            </w:pPr>
            <w:r>
              <w:rPr>
                <w:rFonts w:hint="eastAsia"/>
                <w:bCs/>
                <w:sz w:val="24"/>
              </w:rPr>
              <w:t>敏感程度</w:t>
            </w:r>
          </w:p>
        </w:tc>
        <w:tc>
          <w:tcPr>
            <w:tcW w:w="1956" w:type="dxa"/>
            <w:noWrap w:val="0"/>
            <w:vAlign w:val="center"/>
          </w:tcPr>
          <w:p>
            <w:pPr>
              <w:spacing w:line="360" w:lineRule="exact"/>
              <w:jc w:val="center"/>
              <w:rPr>
                <w:rFonts w:hint="eastAsia"/>
                <w:bCs/>
                <w:sz w:val="24"/>
              </w:rPr>
            </w:pPr>
            <w:r>
              <w:rPr>
                <w:rFonts w:hint="eastAsia" w:ascii="宋体" w:hAnsi="宋体"/>
                <w:bCs/>
                <w:sz w:val="24"/>
              </w:rPr>
              <w:t>Ⅰ</w:t>
            </w:r>
            <w:r>
              <w:rPr>
                <w:rFonts w:hint="eastAsia"/>
                <w:bCs/>
                <w:sz w:val="24"/>
              </w:rPr>
              <w:t>类</w:t>
            </w:r>
          </w:p>
        </w:tc>
        <w:tc>
          <w:tcPr>
            <w:tcW w:w="2237" w:type="dxa"/>
            <w:noWrap w:val="0"/>
            <w:vAlign w:val="center"/>
          </w:tcPr>
          <w:p>
            <w:pPr>
              <w:spacing w:line="360" w:lineRule="exact"/>
              <w:jc w:val="center"/>
              <w:rPr>
                <w:rFonts w:hint="eastAsia"/>
                <w:bCs/>
                <w:sz w:val="24"/>
              </w:rPr>
            </w:pPr>
            <w:r>
              <w:rPr>
                <w:rFonts w:hint="eastAsia" w:ascii="宋体" w:hAnsi="宋体"/>
                <w:bCs/>
                <w:sz w:val="24"/>
              </w:rPr>
              <w:t>Ⅱ</w:t>
            </w:r>
            <w:r>
              <w:rPr>
                <w:rFonts w:hint="eastAsia"/>
                <w:bCs/>
                <w:sz w:val="24"/>
              </w:rPr>
              <w:t>类</w:t>
            </w:r>
          </w:p>
        </w:tc>
        <w:tc>
          <w:tcPr>
            <w:tcW w:w="2237" w:type="dxa"/>
            <w:noWrap w:val="0"/>
            <w:vAlign w:val="center"/>
          </w:tcPr>
          <w:p>
            <w:pPr>
              <w:spacing w:line="360" w:lineRule="exact"/>
              <w:jc w:val="center"/>
              <w:rPr>
                <w:rFonts w:hint="eastAsia"/>
                <w:bCs/>
                <w:sz w:val="24"/>
              </w:rPr>
            </w:pPr>
            <w:r>
              <w:rPr>
                <w:rFonts w:hint="eastAsia" w:ascii="宋体" w:hAnsi="宋体"/>
                <w:bCs/>
                <w:sz w:val="24"/>
              </w:rPr>
              <w:t>Ⅲ</w:t>
            </w:r>
            <w:r>
              <w:rPr>
                <w:rFonts w:hint="eastAsia"/>
                <w:bCs/>
                <w:sz w:val="24"/>
              </w:rPr>
              <w:t>类</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2518" w:type="dxa"/>
            <w:noWrap w:val="0"/>
            <w:vAlign w:val="center"/>
          </w:tcPr>
          <w:p>
            <w:pPr>
              <w:spacing w:line="360" w:lineRule="exact"/>
              <w:jc w:val="center"/>
              <w:rPr>
                <w:rFonts w:hint="eastAsia"/>
                <w:bCs/>
                <w:sz w:val="24"/>
              </w:rPr>
            </w:pPr>
            <w:r>
              <w:rPr>
                <w:rFonts w:hint="eastAsia"/>
                <w:bCs/>
                <w:sz w:val="24"/>
              </w:rPr>
              <w:t>敏感</w:t>
            </w:r>
          </w:p>
        </w:tc>
        <w:tc>
          <w:tcPr>
            <w:tcW w:w="1956" w:type="dxa"/>
            <w:noWrap w:val="0"/>
            <w:vAlign w:val="center"/>
          </w:tcPr>
          <w:p>
            <w:pPr>
              <w:spacing w:line="360" w:lineRule="exact"/>
              <w:jc w:val="center"/>
              <w:rPr>
                <w:rFonts w:hint="eastAsia"/>
                <w:bCs/>
                <w:sz w:val="24"/>
              </w:rPr>
            </w:pPr>
            <w:r>
              <w:rPr>
                <w:rFonts w:hint="eastAsia"/>
                <w:bCs/>
                <w:sz w:val="24"/>
              </w:rPr>
              <w:t>一级</w:t>
            </w:r>
          </w:p>
        </w:tc>
        <w:tc>
          <w:tcPr>
            <w:tcW w:w="2237" w:type="dxa"/>
            <w:noWrap w:val="0"/>
            <w:vAlign w:val="center"/>
          </w:tcPr>
          <w:p>
            <w:pPr>
              <w:spacing w:line="360" w:lineRule="exact"/>
              <w:jc w:val="center"/>
              <w:rPr>
                <w:rFonts w:hint="eastAsia"/>
                <w:bCs/>
                <w:sz w:val="24"/>
              </w:rPr>
            </w:pPr>
            <w:r>
              <w:rPr>
                <w:rFonts w:hint="eastAsia"/>
                <w:bCs/>
                <w:sz w:val="24"/>
              </w:rPr>
              <w:t>二级</w:t>
            </w:r>
          </w:p>
        </w:tc>
        <w:tc>
          <w:tcPr>
            <w:tcW w:w="2237" w:type="dxa"/>
            <w:noWrap w:val="0"/>
            <w:vAlign w:val="center"/>
          </w:tcPr>
          <w:p>
            <w:pPr>
              <w:spacing w:line="360" w:lineRule="exact"/>
              <w:jc w:val="center"/>
              <w:rPr>
                <w:rFonts w:hint="eastAsia"/>
                <w:bCs/>
                <w:sz w:val="24"/>
              </w:rPr>
            </w:pPr>
            <w:r>
              <w:rPr>
                <w:rFonts w:hint="eastAsia"/>
                <w:bCs/>
                <w:sz w:val="24"/>
              </w:rPr>
              <w:t>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2518" w:type="dxa"/>
            <w:noWrap w:val="0"/>
            <w:vAlign w:val="center"/>
          </w:tcPr>
          <w:p>
            <w:pPr>
              <w:spacing w:line="360" w:lineRule="exact"/>
              <w:jc w:val="center"/>
              <w:rPr>
                <w:rFonts w:hint="eastAsia"/>
                <w:bCs/>
                <w:sz w:val="24"/>
              </w:rPr>
            </w:pPr>
            <w:r>
              <w:rPr>
                <w:rFonts w:hint="eastAsia"/>
                <w:bCs/>
                <w:sz w:val="24"/>
              </w:rPr>
              <w:t>较敏感</w:t>
            </w:r>
          </w:p>
        </w:tc>
        <w:tc>
          <w:tcPr>
            <w:tcW w:w="1956" w:type="dxa"/>
            <w:noWrap w:val="0"/>
            <w:vAlign w:val="center"/>
          </w:tcPr>
          <w:p>
            <w:pPr>
              <w:spacing w:line="360" w:lineRule="exact"/>
              <w:jc w:val="center"/>
              <w:rPr>
                <w:rFonts w:hint="eastAsia"/>
                <w:bCs/>
                <w:sz w:val="24"/>
              </w:rPr>
            </w:pPr>
            <w:r>
              <w:rPr>
                <w:rFonts w:hint="eastAsia"/>
                <w:bCs/>
                <w:sz w:val="24"/>
              </w:rPr>
              <w:t>二级</w:t>
            </w:r>
          </w:p>
        </w:tc>
        <w:tc>
          <w:tcPr>
            <w:tcW w:w="2237" w:type="dxa"/>
            <w:noWrap w:val="0"/>
            <w:vAlign w:val="center"/>
          </w:tcPr>
          <w:p>
            <w:pPr>
              <w:spacing w:line="360" w:lineRule="exact"/>
              <w:jc w:val="center"/>
              <w:rPr>
                <w:rFonts w:hint="eastAsia"/>
                <w:bCs/>
                <w:sz w:val="24"/>
              </w:rPr>
            </w:pPr>
            <w:r>
              <w:rPr>
                <w:rFonts w:hint="eastAsia"/>
                <w:bCs/>
                <w:sz w:val="24"/>
              </w:rPr>
              <w:t>二级</w:t>
            </w:r>
          </w:p>
        </w:tc>
        <w:tc>
          <w:tcPr>
            <w:tcW w:w="2237" w:type="dxa"/>
            <w:noWrap w:val="0"/>
            <w:vAlign w:val="center"/>
          </w:tcPr>
          <w:p>
            <w:pPr>
              <w:spacing w:line="360" w:lineRule="exact"/>
              <w:jc w:val="center"/>
              <w:rPr>
                <w:rFonts w:hint="eastAsia"/>
                <w:bCs/>
                <w:sz w:val="24"/>
              </w:rPr>
            </w:pPr>
            <w:r>
              <w:rPr>
                <w:rFonts w:hint="eastAsia"/>
                <w:bCs/>
                <w:sz w:val="24"/>
              </w:rPr>
              <w:t>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2518" w:type="dxa"/>
            <w:shd w:val="clear" w:color="auto" w:fill="auto"/>
            <w:noWrap w:val="0"/>
            <w:vAlign w:val="center"/>
          </w:tcPr>
          <w:p>
            <w:pPr>
              <w:spacing w:line="360" w:lineRule="exact"/>
              <w:jc w:val="center"/>
              <w:rPr>
                <w:rFonts w:hint="eastAsia"/>
                <w:bCs/>
                <w:sz w:val="24"/>
              </w:rPr>
            </w:pPr>
            <w:r>
              <w:rPr>
                <w:rFonts w:hint="eastAsia"/>
                <w:bCs/>
                <w:sz w:val="24"/>
              </w:rPr>
              <w:t>不敏感</w:t>
            </w:r>
          </w:p>
        </w:tc>
        <w:tc>
          <w:tcPr>
            <w:tcW w:w="1956" w:type="dxa"/>
            <w:shd w:val="clear" w:color="auto" w:fill="auto"/>
            <w:noWrap w:val="0"/>
            <w:vAlign w:val="center"/>
          </w:tcPr>
          <w:p>
            <w:pPr>
              <w:spacing w:line="360" w:lineRule="exact"/>
              <w:jc w:val="center"/>
              <w:rPr>
                <w:rFonts w:hint="eastAsia"/>
                <w:bCs/>
                <w:sz w:val="24"/>
              </w:rPr>
            </w:pPr>
            <w:r>
              <w:rPr>
                <w:rFonts w:hint="eastAsia"/>
                <w:bCs/>
                <w:sz w:val="24"/>
              </w:rPr>
              <w:t>二级</w:t>
            </w:r>
          </w:p>
        </w:tc>
        <w:tc>
          <w:tcPr>
            <w:tcW w:w="2237" w:type="dxa"/>
            <w:shd w:val="clear" w:color="auto" w:fill="auto"/>
            <w:noWrap w:val="0"/>
            <w:vAlign w:val="center"/>
          </w:tcPr>
          <w:p>
            <w:pPr>
              <w:spacing w:line="360" w:lineRule="exact"/>
              <w:jc w:val="center"/>
              <w:rPr>
                <w:rFonts w:hint="eastAsia"/>
                <w:bCs/>
                <w:sz w:val="24"/>
              </w:rPr>
            </w:pPr>
            <w:r>
              <w:rPr>
                <w:rFonts w:hint="eastAsia"/>
                <w:bCs/>
                <w:sz w:val="24"/>
              </w:rPr>
              <w:t>三级</w:t>
            </w:r>
          </w:p>
        </w:tc>
        <w:tc>
          <w:tcPr>
            <w:tcW w:w="2237" w:type="dxa"/>
            <w:shd w:val="clear" w:color="auto" w:fill="D7D7D7"/>
            <w:noWrap w:val="0"/>
            <w:vAlign w:val="center"/>
          </w:tcPr>
          <w:p>
            <w:pPr>
              <w:spacing w:line="360" w:lineRule="exact"/>
              <w:jc w:val="center"/>
              <w:rPr>
                <w:rFonts w:hint="eastAsia"/>
                <w:bCs/>
                <w:sz w:val="24"/>
              </w:rPr>
            </w:pPr>
            <w:r>
              <w:rPr>
                <w:rFonts w:hint="eastAsia"/>
                <w:bCs/>
                <w:sz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8948" w:type="dxa"/>
            <w:gridSpan w:val="4"/>
            <w:noWrap w:val="0"/>
            <w:vAlign w:val="center"/>
          </w:tcPr>
          <w:p>
            <w:pPr>
              <w:spacing w:line="360" w:lineRule="exact"/>
              <w:ind w:firstLine="480" w:firstLineChars="200"/>
              <w:jc w:val="left"/>
              <w:rPr>
                <w:rFonts w:hint="eastAsia"/>
                <w:bCs/>
                <w:sz w:val="24"/>
              </w:rPr>
            </w:pPr>
            <w:r>
              <w:rPr>
                <w:rFonts w:hint="eastAsia"/>
                <w:bCs/>
                <w:sz w:val="24"/>
              </w:rPr>
              <w:t>注</w:t>
            </w:r>
            <w:r>
              <w:rPr>
                <w:bCs/>
                <w:sz w:val="24"/>
              </w:rPr>
              <w:t>：“—”</w:t>
            </w:r>
            <w:r>
              <w:rPr>
                <w:rFonts w:hint="eastAsia"/>
                <w:bCs/>
                <w:sz w:val="24"/>
              </w:rPr>
              <w:t>表示</w:t>
            </w:r>
            <w:r>
              <w:rPr>
                <w:bCs/>
                <w:sz w:val="24"/>
              </w:rPr>
              <w:t>可不开展土壤环境影响评价工作</w:t>
            </w:r>
          </w:p>
        </w:tc>
      </w:tr>
    </w:tbl>
    <w:p>
      <w:pPr>
        <w:pStyle w:val="2"/>
        <w:snapToGrid w:val="0"/>
        <w:spacing w:before="0" w:after="0" w:line="520" w:lineRule="exact"/>
        <w:rPr>
          <w:rFonts w:eastAsia="黑体"/>
          <w:b w:val="0"/>
          <w:bCs w:val="0"/>
          <w:sz w:val="24"/>
          <w:szCs w:val="24"/>
        </w:rPr>
      </w:pPr>
      <w:r>
        <w:rPr>
          <w:rFonts w:eastAsia="黑体"/>
          <w:b w:val="0"/>
          <w:bCs w:val="0"/>
          <w:sz w:val="24"/>
          <w:szCs w:val="24"/>
        </w:rPr>
        <w:t>1.6.7 环境风险</w:t>
      </w:r>
      <w:bookmarkEnd w:id="145"/>
      <w:bookmarkEnd w:id="146"/>
      <w:bookmarkEnd w:id="147"/>
    </w:p>
    <w:p>
      <w:pPr>
        <w:spacing w:line="520" w:lineRule="exact"/>
        <w:ind w:firstLine="480" w:firstLineChars="200"/>
        <w:rPr>
          <w:sz w:val="24"/>
        </w:rPr>
      </w:pPr>
      <w:r>
        <w:rPr>
          <w:sz w:val="24"/>
        </w:rPr>
        <w:t>根据《建设项目环境风险评价技术导则》（HJ/T169-2018），</w:t>
      </w:r>
      <w:r>
        <w:rPr>
          <w:rFonts w:hint="eastAsia"/>
          <w:sz w:val="24"/>
        </w:rPr>
        <w:t>项目</w:t>
      </w:r>
      <w:r>
        <w:rPr>
          <w:sz w:val="24"/>
        </w:rPr>
        <w:t>风险潜势为</w:t>
      </w:r>
      <w:r>
        <w:rPr>
          <w:rFonts w:hint="eastAsia" w:ascii="宋体" w:hAnsi="宋体"/>
          <w:sz w:val="24"/>
        </w:rPr>
        <w:t>Ⅰ</w:t>
      </w:r>
      <w:r>
        <w:rPr>
          <w:sz w:val="24"/>
        </w:rPr>
        <w:t>，</w:t>
      </w:r>
      <w:r>
        <w:rPr>
          <w:rFonts w:hint="eastAsia"/>
          <w:sz w:val="24"/>
        </w:rPr>
        <w:t>可</w:t>
      </w:r>
      <w:r>
        <w:rPr>
          <w:sz w:val="24"/>
        </w:rPr>
        <w:t>开展简单分析。风险评价工作级别划分见下表。</w:t>
      </w:r>
    </w:p>
    <w:p>
      <w:pPr>
        <w:spacing w:after="72" w:afterLines="30" w:line="500" w:lineRule="exact"/>
        <w:jc w:val="center"/>
        <w:rPr>
          <w:b/>
          <w:sz w:val="24"/>
        </w:rPr>
      </w:pPr>
      <w:r>
        <w:rPr>
          <w:b/>
          <w:sz w:val="24"/>
        </w:rPr>
        <w:t>表1.6-11   风险评价工作级别表</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569"/>
        <w:gridCol w:w="1737"/>
        <w:gridCol w:w="1736"/>
        <w:gridCol w:w="2084"/>
        <w:gridCol w:w="163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1569" w:type="dxa"/>
            <w:noWrap w:val="0"/>
            <w:vAlign w:val="center"/>
          </w:tcPr>
          <w:p>
            <w:pPr>
              <w:snapToGrid w:val="0"/>
              <w:spacing w:line="360" w:lineRule="exact"/>
              <w:jc w:val="center"/>
              <w:rPr>
                <w:rFonts w:hint="eastAsia"/>
                <w:szCs w:val="21"/>
                <w:lang w:bidi="en-US"/>
              </w:rPr>
            </w:pPr>
            <w:r>
              <w:rPr>
                <w:rFonts w:hint="eastAsia"/>
                <w:szCs w:val="21"/>
                <w:lang w:bidi="en-US"/>
              </w:rPr>
              <w:t>环境风险</w:t>
            </w:r>
            <w:r>
              <w:rPr>
                <w:szCs w:val="21"/>
                <w:lang w:bidi="en-US"/>
              </w:rPr>
              <w:t>潜势</w:t>
            </w:r>
          </w:p>
        </w:tc>
        <w:tc>
          <w:tcPr>
            <w:tcW w:w="1737" w:type="dxa"/>
            <w:noWrap w:val="0"/>
            <w:vAlign w:val="center"/>
          </w:tcPr>
          <w:p>
            <w:pPr>
              <w:snapToGrid w:val="0"/>
              <w:spacing w:line="360" w:lineRule="exact"/>
              <w:jc w:val="center"/>
              <w:rPr>
                <w:rFonts w:hint="eastAsia" w:ascii="宋体" w:hAnsi="宋体" w:eastAsia="MS Mincho" w:cs="宋体"/>
                <w:szCs w:val="21"/>
                <w:lang w:bidi="en-US"/>
              </w:rPr>
            </w:pPr>
            <w:r>
              <w:rPr>
                <w:rFonts w:hint="eastAsia"/>
                <w:szCs w:val="21"/>
                <w:lang w:bidi="en-US"/>
              </w:rPr>
              <w:t>Ⅳ、</w:t>
            </w:r>
            <w:r>
              <w:rPr>
                <w:rFonts w:hint="eastAsia" w:ascii="宋体" w:hAnsi="宋体" w:cs="宋体"/>
                <w:szCs w:val="21"/>
                <w:lang w:eastAsia="ja-JP" w:bidi="en-US"/>
              </w:rPr>
              <w:t>Ⅳ</w:t>
            </w:r>
            <w:r>
              <w:rPr>
                <w:rFonts w:hint="eastAsia" w:ascii="宋体" w:hAnsi="宋体" w:cs="宋体"/>
                <w:szCs w:val="21"/>
                <w:vertAlign w:val="superscript"/>
                <w:lang w:bidi="en-US"/>
              </w:rPr>
              <w:t>+</w:t>
            </w:r>
          </w:p>
        </w:tc>
        <w:tc>
          <w:tcPr>
            <w:tcW w:w="1736" w:type="dxa"/>
            <w:noWrap w:val="0"/>
            <w:vAlign w:val="center"/>
          </w:tcPr>
          <w:p>
            <w:pPr>
              <w:snapToGrid w:val="0"/>
              <w:spacing w:line="360" w:lineRule="exact"/>
              <w:jc w:val="center"/>
              <w:rPr>
                <w:rFonts w:hint="eastAsia"/>
                <w:szCs w:val="21"/>
                <w:lang w:bidi="en-US"/>
              </w:rPr>
            </w:pPr>
            <w:r>
              <w:rPr>
                <w:rFonts w:hint="eastAsia"/>
                <w:szCs w:val="21"/>
                <w:lang w:bidi="en-US"/>
              </w:rPr>
              <w:t>Ⅲ</w:t>
            </w:r>
          </w:p>
        </w:tc>
        <w:tc>
          <w:tcPr>
            <w:tcW w:w="2084" w:type="dxa"/>
            <w:noWrap w:val="0"/>
            <w:vAlign w:val="center"/>
          </w:tcPr>
          <w:p>
            <w:pPr>
              <w:snapToGrid w:val="0"/>
              <w:spacing w:line="360" w:lineRule="exact"/>
              <w:jc w:val="center"/>
              <w:rPr>
                <w:szCs w:val="21"/>
                <w:lang w:bidi="en-US"/>
              </w:rPr>
            </w:pPr>
            <w:r>
              <w:rPr>
                <w:rFonts w:hint="eastAsia"/>
                <w:szCs w:val="21"/>
                <w:lang w:bidi="en-US"/>
              </w:rPr>
              <w:t>Ⅱ</w:t>
            </w:r>
          </w:p>
        </w:tc>
        <w:tc>
          <w:tcPr>
            <w:tcW w:w="1636" w:type="dxa"/>
            <w:noWrap w:val="0"/>
            <w:vAlign w:val="center"/>
          </w:tcPr>
          <w:p>
            <w:pPr>
              <w:snapToGrid w:val="0"/>
              <w:spacing w:line="360" w:lineRule="exact"/>
              <w:jc w:val="center"/>
              <w:rPr>
                <w:szCs w:val="21"/>
                <w:lang w:bidi="en-US"/>
              </w:rPr>
            </w:pPr>
            <w:r>
              <w:rPr>
                <w:rFonts w:hint="eastAsia"/>
                <w:szCs w:val="21"/>
                <w:lang w:bidi="en-US"/>
              </w:rPr>
              <w:t>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0" w:type="dxa"/>
            <w:bottom w:w="0" w:type="dxa"/>
            <w:right w:w="0" w:type="dxa"/>
          </w:tblCellMar>
        </w:tblPrEx>
        <w:trPr>
          <w:trHeight w:val="301" w:hRule="atLeast"/>
          <w:jc w:val="center"/>
        </w:trPr>
        <w:tc>
          <w:tcPr>
            <w:tcW w:w="1569" w:type="dxa"/>
            <w:noWrap w:val="0"/>
            <w:vAlign w:val="center"/>
          </w:tcPr>
          <w:p>
            <w:pPr>
              <w:snapToGrid w:val="0"/>
              <w:spacing w:line="360" w:lineRule="exact"/>
              <w:jc w:val="center"/>
              <w:rPr>
                <w:rFonts w:hint="eastAsia"/>
                <w:szCs w:val="21"/>
                <w:lang w:bidi="en-US"/>
              </w:rPr>
            </w:pPr>
            <w:r>
              <w:rPr>
                <w:rFonts w:hint="eastAsia"/>
                <w:szCs w:val="21"/>
                <w:lang w:bidi="en-US"/>
              </w:rPr>
              <w:t>评价工作</w:t>
            </w:r>
            <w:r>
              <w:rPr>
                <w:szCs w:val="21"/>
                <w:lang w:bidi="en-US"/>
              </w:rPr>
              <w:t>等级</w:t>
            </w:r>
          </w:p>
        </w:tc>
        <w:tc>
          <w:tcPr>
            <w:tcW w:w="1737" w:type="dxa"/>
            <w:noWrap w:val="0"/>
            <w:vAlign w:val="center"/>
          </w:tcPr>
          <w:p>
            <w:pPr>
              <w:snapToGrid w:val="0"/>
              <w:spacing w:line="360" w:lineRule="exact"/>
              <w:jc w:val="center"/>
              <w:rPr>
                <w:szCs w:val="21"/>
                <w:lang w:bidi="en-US"/>
              </w:rPr>
            </w:pPr>
            <w:r>
              <w:rPr>
                <w:szCs w:val="21"/>
                <w:lang w:bidi="en-US"/>
              </w:rPr>
              <w:t>一</w:t>
            </w:r>
          </w:p>
        </w:tc>
        <w:tc>
          <w:tcPr>
            <w:tcW w:w="1736" w:type="dxa"/>
            <w:noWrap w:val="0"/>
            <w:vAlign w:val="center"/>
          </w:tcPr>
          <w:p>
            <w:pPr>
              <w:snapToGrid w:val="0"/>
              <w:spacing w:line="360" w:lineRule="exact"/>
              <w:jc w:val="center"/>
              <w:rPr>
                <w:szCs w:val="21"/>
                <w:lang w:bidi="en-US"/>
              </w:rPr>
            </w:pPr>
            <w:r>
              <w:rPr>
                <w:szCs w:val="21"/>
                <w:lang w:bidi="en-US"/>
              </w:rPr>
              <w:t>二</w:t>
            </w:r>
          </w:p>
        </w:tc>
        <w:tc>
          <w:tcPr>
            <w:tcW w:w="2084" w:type="dxa"/>
            <w:noWrap w:val="0"/>
            <w:vAlign w:val="center"/>
          </w:tcPr>
          <w:p>
            <w:pPr>
              <w:snapToGrid w:val="0"/>
              <w:spacing w:line="360" w:lineRule="exact"/>
              <w:jc w:val="center"/>
              <w:rPr>
                <w:szCs w:val="21"/>
                <w:lang w:bidi="en-US"/>
              </w:rPr>
            </w:pPr>
            <w:r>
              <w:rPr>
                <w:rFonts w:hint="eastAsia"/>
                <w:szCs w:val="21"/>
                <w:lang w:bidi="en-US"/>
              </w:rPr>
              <w:t>三</w:t>
            </w:r>
          </w:p>
        </w:tc>
        <w:tc>
          <w:tcPr>
            <w:tcW w:w="1636" w:type="dxa"/>
            <w:noWrap w:val="0"/>
            <w:vAlign w:val="center"/>
          </w:tcPr>
          <w:p>
            <w:pPr>
              <w:snapToGrid w:val="0"/>
              <w:spacing w:line="360" w:lineRule="exact"/>
              <w:jc w:val="center"/>
              <w:rPr>
                <w:szCs w:val="21"/>
                <w:lang w:bidi="en-US"/>
              </w:rPr>
            </w:pPr>
            <w:r>
              <w:rPr>
                <w:rFonts w:hint="eastAsia"/>
                <w:szCs w:val="21"/>
                <w:lang w:bidi="en-US"/>
              </w:rPr>
              <w:t>简单分析</w:t>
            </w:r>
          </w:p>
        </w:tc>
      </w:tr>
    </w:tbl>
    <w:p>
      <w:pPr>
        <w:snapToGrid w:val="0"/>
        <w:spacing w:line="520" w:lineRule="exact"/>
        <w:outlineLvl w:val="1"/>
        <w:rPr>
          <w:rFonts w:eastAsia="黑体"/>
          <w:bCs/>
          <w:sz w:val="28"/>
          <w:szCs w:val="28"/>
        </w:rPr>
      </w:pPr>
      <w:bookmarkStart w:id="148" w:name="_Toc17144"/>
      <w:bookmarkStart w:id="149" w:name="_Toc412820920"/>
      <w:bookmarkStart w:id="150" w:name="_Toc413750086"/>
      <w:bookmarkStart w:id="151" w:name="_Toc407000998"/>
      <w:bookmarkStart w:id="152" w:name="_Toc472009587"/>
      <w:r>
        <w:rPr>
          <w:rFonts w:eastAsia="黑体"/>
          <w:bCs/>
          <w:sz w:val="28"/>
          <w:szCs w:val="28"/>
        </w:rPr>
        <w:t>1.7</w:t>
      </w:r>
      <w:r>
        <w:rPr>
          <w:rFonts w:hint="eastAsia" w:eastAsia="黑体"/>
          <w:bCs/>
          <w:sz w:val="28"/>
          <w:szCs w:val="28"/>
        </w:rPr>
        <w:t>产业政策</w:t>
      </w:r>
      <w:r>
        <w:rPr>
          <w:rFonts w:eastAsia="黑体"/>
          <w:bCs/>
          <w:sz w:val="28"/>
          <w:szCs w:val="28"/>
        </w:rPr>
        <w:t>及规划相符性分析</w:t>
      </w:r>
      <w:bookmarkEnd w:id="148"/>
    </w:p>
    <w:p>
      <w:pPr>
        <w:pStyle w:val="2"/>
        <w:snapToGrid w:val="0"/>
        <w:spacing w:before="0" w:after="0" w:line="520" w:lineRule="exact"/>
        <w:rPr>
          <w:rFonts w:eastAsia="黑体"/>
          <w:b w:val="0"/>
          <w:bCs w:val="0"/>
          <w:sz w:val="24"/>
          <w:szCs w:val="24"/>
        </w:rPr>
      </w:pPr>
      <w:r>
        <w:rPr>
          <w:rFonts w:eastAsia="黑体"/>
          <w:b w:val="0"/>
          <w:bCs w:val="0"/>
          <w:sz w:val="24"/>
          <w:szCs w:val="24"/>
        </w:rPr>
        <w:t>1.7.1《产业结构调整指导目录（2011年本）（2013修订）》</w:t>
      </w:r>
    </w:p>
    <w:p>
      <w:pPr>
        <w:spacing w:line="520" w:lineRule="exact"/>
        <w:ind w:firstLine="480"/>
        <w:rPr>
          <w:sz w:val="24"/>
        </w:rPr>
      </w:pPr>
      <w:r>
        <w:rPr>
          <w:sz w:val="24"/>
        </w:rPr>
        <w:t>本项目为生猪规模化养殖建设项目，根据国家发展和改革委员会第</w:t>
      </w:r>
      <w:r>
        <w:rPr>
          <w:rFonts w:eastAsia="Times New Roman"/>
          <w:sz w:val="24"/>
        </w:rPr>
        <w:t>9</w:t>
      </w:r>
      <w:r>
        <w:rPr>
          <w:sz w:val="24"/>
        </w:rPr>
        <w:t>号令《产业结构调整指导目录》（</w:t>
      </w:r>
      <w:r>
        <w:rPr>
          <w:rFonts w:eastAsia="Times New Roman"/>
          <w:sz w:val="24"/>
        </w:rPr>
        <w:t>2011</w:t>
      </w:r>
      <w:r>
        <w:rPr>
          <w:sz w:val="24"/>
        </w:rPr>
        <w:t>年本）（</w:t>
      </w:r>
      <w:r>
        <w:rPr>
          <w:rFonts w:eastAsia="Times New Roman"/>
          <w:sz w:val="24"/>
        </w:rPr>
        <w:t>2013</w:t>
      </w:r>
      <w:r>
        <w:rPr>
          <w:sz w:val="24"/>
        </w:rPr>
        <w:t>年修正版），本项目属于鼓励类</w:t>
      </w:r>
      <w:r>
        <w:rPr>
          <w:rFonts w:hint="eastAsia"/>
          <w:sz w:val="24"/>
        </w:rPr>
        <w:t>“</w:t>
      </w:r>
      <w:r>
        <w:rPr>
          <w:sz w:val="24"/>
        </w:rPr>
        <w:t>一、农林业中5、畜禽标准化规模养殖技术开发与应用</w:t>
      </w:r>
      <w:r>
        <w:rPr>
          <w:rFonts w:hint="eastAsia"/>
          <w:sz w:val="24"/>
        </w:rPr>
        <w:t>”</w:t>
      </w:r>
      <w:r>
        <w:rPr>
          <w:sz w:val="24"/>
        </w:rPr>
        <w:t>，符合国家产业政策。</w:t>
      </w:r>
    </w:p>
    <w:p>
      <w:pPr>
        <w:pStyle w:val="2"/>
        <w:snapToGrid w:val="0"/>
        <w:spacing w:before="0" w:after="0" w:line="520" w:lineRule="exact"/>
        <w:rPr>
          <w:rFonts w:hint="eastAsia" w:eastAsia="黑体"/>
          <w:b w:val="0"/>
          <w:bCs w:val="0"/>
          <w:sz w:val="24"/>
          <w:szCs w:val="24"/>
        </w:rPr>
      </w:pPr>
      <w:r>
        <w:rPr>
          <w:rFonts w:hint="eastAsia" w:eastAsia="黑体"/>
          <w:b w:val="0"/>
          <w:bCs w:val="0"/>
          <w:sz w:val="24"/>
          <w:szCs w:val="24"/>
        </w:rPr>
        <w:t>1.7.2  土地利用</w:t>
      </w:r>
      <w:r>
        <w:rPr>
          <w:rFonts w:eastAsia="黑体"/>
          <w:b w:val="0"/>
          <w:bCs w:val="0"/>
          <w:sz w:val="24"/>
          <w:szCs w:val="24"/>
        </w:rPr>
        <w:t>总体规划</w:t>
      </w:r>
    </w:p>
    <w:p>
      <w:pPr>
        <w:spacing w:line="520" w:lineRule="exact"/>
        <w:ind w:firstLine="480"/>
        <w:rPr>
          <w:rFonts w:hint="eastAsia"/>
          <w:bCs/>
          <w:sz w:val="24"/>
        </w:rPr>
      </w:pPr>
      <w:r>
        <w:rPr>
          <w:rFonts w:hint="eastAsia"/>
          <w:bCs/>
          <w:sz w:val="24"/>
        </w:rPr>
        <w:t>本项目拟建场址位于</w:t>
      </w:r>
      <w:r>
        <w:rPr>
          <w:rFonts w:hint="eastAsia"/>
          <w:bCs/>
          <w:sz w:val="24"/>
          <w:lang w:eastAsia="zh-CN"/>
        </w:rPr>
        <w:t>正阳县汝南埠镇大温寺王店</w:t>
      </w:r>
      <w:r>
        <w:rPr>
          <w:rFonts w:hint="eastAsia"/>
          <w:bCs/>
          <w:sz w:val="24"/>
        </w:rPr>
        <w:t>，根据</w:t>
      </w:r>
      <w:r>
        <w:rPr>
          <w:rFonts w:hint="eastAsia"/>
          <w:bCs/>
          <w:sz w:val="24"/>
          <w:lang w:eastAsia="zh-CN"/>
        </w:rPr>
        <w:t>汝南埠镇</w:t>
      </w:r>
      <w:r>
        <w:rPr>
          <w:rFonts w:hint="eastAsia"/>
          <w:bCs/>
          <w:sz w:val="24"/>
        </w:rPr>
        <w:t>人民政府出具的关于本项目的用地情况的证明（附件三）可知，本项目所在地</w:t>
      </w:r>
      <w:r>
        <w:rPr>
          <w:bCs/>
          <w:sz w:val="24"/>
        </w:rPr>
        <w:t>为</w:t>
      </w:r>
      <w:r>
        <w:rPr>
          <w:rFonts w:hint="eastAsia"/>
          <w:bCs/>
          <w:sz w:val="24"/>
        </w:rPr>
        <w:t>一般耕地，符合《正阳县</w:t>
      </w:r>
      <w:r>
        <w:rPr>
          <w:rFonts w:hint="eastAsia"/>
          <w:bCs/>
          <w:sz w:val="24"/>
          <w:lang w:eastAsia="zh-CN"/>
        </w:rPr>
        <w:t>汝南埠镇</w:t>
      </w:r>
      <w:r>
        <w:rPr>
          <w:rFonts w:hint="eastAsia"/>
          <w:bCs/>
          <w:sz w:val="24"/>
        </w:rPr>
        <w:t>土地利用总体规划图（2010-2020）》（局部）。</w:t>
      </w:r>
    </w:p>
    <w:p>
      <w:pPr>
        <w:pStyle w:val="2"/>
        <w:snapToGrid w:val="0"/>
        <w:spacing w:before="0" w:after="0" w:line="520" w:lineRule="exact"/>
        <w:rPr>
          <w:rFonts w:eastAsia="黑体"/>
          <w:b w:val="0"/>
          <w:bCs w:val="0"/>
          <w:sz w:val="24"/>
          <w:szCs w:val="24"/>
        </w:rPr>
      </w:pPr>
      <w:r>
        <w:rPr>
          <w:rFonts w:eastAsia="黑体"/>
          <w:b w:val="0"/>
          <w:bCs w:val="0"/>
          <w:sz w:val="24"/>
          <w:szCs w:val="24"/>
        </w:rPr>
        <w:t>1.7.3正阳县人民政府关于印发《正阳县人民政府关于印发正阳县畜禽养殖禁养区划分及防治工作方案的通知》</w:t>
      </w:r>
      <w:r>
        <w:rPr>
          <w:rFonts w:hint="eastAsia" w:eastAsia="黑体"/>
          <w:b w:val="0"/>
          <w:bCs w:val="0"/>
          <w:sz w:val="24"/>
          <w:szCs w:val="24"/>
        </w:rPr>
        <w:t>（正政文[201</w:t>
      </w:r>
      <w:r>
        <w:rPr>
          <w:rFonts w:eastAsia="黑体"/>
          <w:b w:val="0"/>
          <w:bCs w:val="0"/>
          <w:sz w:val="24"/>
          <w:szCs w:val="24"/>
        </w:rPr>
        <w:t>6</w:t>
      </w:r>
      <w:r>
        <w:rPr>
          <w:rFonts w:hint="eastAsia" w:eastAsia="黑体"/>
          <w:b w:val="0"/>
          <w:bCs w:val="0"/>
          <w:sz w:val="24"/>
          <w:szCs w:val="24"/>
        </w:rPr>
        <w:t>]1</w:t>
      </w:r>
      <w:r>
        <w:rPr>
          <w:rFonts w:eastAsia="黑体"/>
          <w:b w:val="0"/>
          <w:bCs w:val="0"/>
          <w:sz w:val="24"/>
          <w:szCs w:val="24"/>
        </w:rPr>
        <w:t>2</w:t>
      </w:r>
      <w:r>
        <w:rPr>
          <w:rFonts w:hint="eastAsia" w:eastAsia="黑体"/>
          <w:b w:val="0"/>
          <w:bCs w:val="0"/>
          <w:sz w:val="24"/>
          <w:szCs w:val="24"/>
        </w:rPr>
        <w:t>号）</w:t>
      </w:r>
    </w:p>
    <w:p>
      <w:pPr>
        <w:spacing w:line="500" w:lineRule="exact"/>
        <w:rPr>
          <w:rFonts w:hint="eastAsia"/>
          <w:b/>
          <w:sz w:val="24"/>
        </w:rPr>
      </w:pPr>
      <w:r>
        <w:rPr>
          <w:b/>
          <w:sz w:val="24"/>
        </w:rPr>
        <w:t xml:space="preserve"> 1.7.3.1  </w:t>
      </w:r>
      <w:r>
        <w:rPr>
          <w:rFonts w:hint="eastAsia"/>
          <w:b/>
          <w:sz w:val="24"/>
        </w:rPr>
        <w:t>正阳县</w:t>
      </w:r>
      <w:r>
        <w:rPr>
          <w:b/>
          <w:sz w:val="24"/>
        </w:rPr>
        <w:t>禁限养区的划分</w:t>
      </w:r>
    </w:p>
    <w:p>
      <w:pPr>
        <w:spacing w:line="500" w:lineRule="exact"/>
        <w:rPr>
          <w:rFonts w:hAnsi="宋体"/>
          <w:kern w:val="10"/>
          <w:sz w:val="24"/>
        </w:rPr>
      </w:pPr>
      <w:r>
        <w:rPr>
          <w:rFonts w:hAnsi="宋体"/>
          <w:kern w:val="10"/>
          <w:sz w:val="24"/>
        </w:rPr>
        <w:t>（</w:t>
      </w:r>
      <w:r>
        <w:rPr>
          <w:rFonts w:hint="eastAsia" w:hAnsi="宋体"/>
          <w:kern w:val="10"/>
          <w:sz w:val="24"/>
        </w:rPr>
        <w:t>一</w:t>
      </w:r>
      <w:r>
        <w:rPr>
          <w:rFonts w:hAnsi="宋体"/>
          <w:kern w:val="10"/>
          <w:sz w:val="24"/>
        </w:rPr>
        <w:t>）依据《畜禽养殖业污染防治技术规范》（HJ/T81-2001）中选址要求：</w:t>
      </w:r>
    </w:p>
    <w:p>
      <w:pPr>
        <w:spacing w:line="500" w:lineRule="exact"/>
        <w:ind w:firstLine="480" w:firstLineChars="200"/>
        <w:rPr>
          <w:rFonts w:hAnsi="宋体"/>
          <w:kern w:val="10"/>
          <w:sz w:val="24"/>
        </w:rPr>
      </w:pPr>
      <w:r>
        <w:rPr>
          <w:rFonts w:hAnsi="宋体"/>
          <w:kern w:val="10"/>
          <w:sz w:val="24"/>
        </w:rPr>
        <w:t>禁建区：</w:t>
      </w:r>
      <w:r>
        <w:rPr>
          <w:rFonts w:hAnsi="宋体"/>
          <w:kern w:val="10"/>
          <w:sz w:val="24"/>
        </w:rPr>
        <w:fldChar w:fldCharType="begin"/>
      </w:r>
      <w:r>
        <w:rPr>
          <w:rFonts w:hAnsi="宋体"/>
          <w:kern w:val="10"/>
          <w:sz w:val="24"/>
        </w:rPr>
        <w:instrText xml:space="preserve"> = 1 \* GB3 </w:instrText>
      </w:r>
      <w:r>
        <w:rPr>
          <w:rFonts w:hAnsi="宋体"/>
          <w:kern w:val="10"/>
          <w:sz w:val="24"/>
        </w:rPr>
        <w:fldChar w:fldCharType="separate"/>
      </w:r>
      <w:r>
        <w:rPr>
          <w:rFonts w:hAnsi="宋体"/>
          <w:kern w:val="10"/>
          <w:sz w:val="24"/>
        </w:rPr>
        <w:t>①</w:t>
      </w:r>
      <w:r>
        <w:rPr>
          <w:rFonts w:hAnsi="宋体"/>
          <w:kern w:val="10"/>
          <w:sz w:val="24"/>
        </w:rPr>
        <w:fldChar w:fldCharType="end"/>
      </w:r>
      <w:r>
        <w:rPr>
          <w:rFonts w:hAnsi="宋体"/>
          <w:kern w:val="10"/>
          <w:sz w:val="24"/>
        </w:rPr>
        <w:t>生活饮用水源保护区、风景名胜区、自然保护区的核心区及缓冲区；</w:t>
      </w:r>
      <w:r>
        <w:rPr>
          <w:rFonts w:hAnsi="宋体"/>
          <w:kern w:val="10"/>
          <w:sz w:val="24"/>
        </w:rPr>
        <w:fldChar w:fldCharType="begin"/>
      </w:r>
      <w:r>
        <w:rPr>
          <w:rFonts w:hAnsi="宋体"/>
          <w:kern w:val="10"/>
          <w:sz w:val="24"/>
        </w:rPr>
        <w:instrText xml:space="preserve"> = 2 \* GB3 </w:instrText>
      </w:r>
      <w:r>
        <w:rPr>
          <w:rFonts w:hAnsi="宋体"/>
          <w:kern w:val="10"/>
          <w:sz w:val="24"/>
        </w:rPr>
        <w:fldChar w:fldCharType="separate"/>
      </w:r>
      <w:r>
        <w:rPr>
          <w:rFonts w:hAnsi="宋体"/>
          <w:kern w:val="10"/>
          <w:sz w:val="24"/>
        </w:rPr>
        <w:t>②</w:t>
      </w:r>
      <w:r>
        <w:rPr>
          <w:rFonts w:hAnsi="宋体"/>
          <w:kern w:val="10"/>
          <w:sz w:val="24"/>
        </w:rPr>
        <w:fldChar w:fldCharType="end"/>
      </w:r>
      <w:r>
        <w:rPr>
          <w:rFonts w:hAnsi="宋体"/>
          <w:kern w:val="10"/>
          <w:sz w:val="24"/>
        </w:rPr>
        <w:t>城市和城镇居民区，包括文教、医疗、商业、工业区、游览区等人口集中区；</w:t>
      </w:r>
      <w:r>
        <w:rPr>
          <w:rFonts w:hAnsi="宋体"/>
          <w:kern w:val="10"/>
          <w:sz w:val="24"/>
        </w:rPr>
        <w:fldChar w:fldCharType="begin"/>
      </w:r>
      <w:r>
        <w:rPr>
          <w:rFonts w:hAnsi="宋体"/>
          <w:kern w:val="10"/>
          <w:sz w:val="24"/>
        </w:rPr>
        <w:instrText xml:space="preserve"> = 3 \* GB3 </w:instrText>
      </w:r>
      <w:r>
        <w:rPr>
          <w:rFonts w:hAnsi="宋体"/>
          <w:kern w:val="10"/>
          <w:sz w:val="24"/>
        </w:rPr>
        <w:fldChar w:fldCharType="separate"/>
      </w:r>
      <w:r>
        <w:rPr>
          <w:rFonts w:hAnsi="宋体"/>
          <w:kern w:val="10"/>
          <w:sz w:val="24"/>
        </w:rPr>
        <w:t>③</w:t>
      </w:r>
      <w:r>
        <w:rPr>
          <w:rFonts w:hAnsi="宋体"/>
          <w:kern w:val="10"/>
          <w:sz w:val="24"/>
        </w:rPr>
        <w:fldChar w:fldCharType="end"/>
      </w:r>
      <w:r>
        <w:rPr>
          <w:rFonts w:hAnsi="宋体"/>
          <w:kern w:val="10"/>
          <w:sz w:val="24"/>
        </w:rPr>
        <w:t>县级人民政府依法划定的禁养区；</w:t>
      </w:r>
      <w:r>
        <w:rPr>
          <w:rFonts w:hAnsi="宋体"/>
          <w:kern w:val="10"/>
          <w:sz w:val="24"/>
        </w:rPr>
        <w:fldChar w:fldCharType="begin"/>
      </w:r>
      <w:r>
        <w:rPr>
          <w:rFonts w:hAnsi="宋体"/>
          <w:kern w:val="10"/>
          <w:sz w:val="24"/>
        </w:rPr>
        <w:instrText xml:space="preserve"> = 4 \* GB3 </w:instrText>
      </w:r>
      <w:r>
        <w:rPr>
          <w:rFonts w:hAnsi="宋体"/>
          <w:kern w:val="10"/>
          <w:sz w:val="24"/>
        </w:rPr>
        <w:fldChar w:fldCharType="separate"/>
      </w:r>
      <w:r>
        <w:rPr>
          <w:rFonts w:hAnsi="宋体"/>
          <w:kern w:val="10"/>
          <w:sz w:val="24"/>
        </w:rPr>
        <w:t>④</w:t>
      </w:r>
      <w:r>
        <w:rPr>
          <w:rFonts w:hAnsi="宋体"/>
          <w:kern w:val="10"/>
          <w:sz w:val="24"/>
        </w:rPr>
        <w:fldChar w:fldCharType="end"/>
      </w:r>
      <w:r>
        <w:rPr>
          <w:rFonts w:hAnsi="宋体"/>
          <w:kern w:val="10"/>
          <w:sz w:val="24"/>
        </w:rPr>
        <w:t>国家或地方法律、法规规定需要特殊保护的区域。</w:t>
      </w:r>
    </w:p>
    <w:p>
      <w:pPr>
        <w:spacing w:line="500" w:lineRule="exact"/>
        <w:ind w:firstLine="570"/>
        <w:rPr>
          <w:rFonts w:hAnsi="宋体"/>
          <w:kern w:val="10"/>
          <w:sz w:val="24"/>
        </w:rPr>
      </w:pPr>
      <w:r>
        <w:rPr>
          <w:rFonts w:hAnsi="宋体"/>
          <w:kern w:val="10"/>
          <w:sz w:val="24"/>
        </w:rPr>
        <w:t>在禁建区外建立的，应在其常年主导风向下风侧，场界与禁建区域边界的最小距离不得小于500m。</w:t>
      </w:r>
    </w:p>
    <w:p>
      <w:pPr>
        <w:spacing w:line="500" w:lineRule="exact"/>
        <w:ind w:firstLine="570"/>
        <w:rPr>
          <w:rFonts w:hAnsi="宋体"/>
          <w:kern w:val="10"/>
          <w:sz w:val="24"/>
        </w:rPr>
      </w:pPr>
      <w:r>
        <w:rPr>
          <w:rFonts w:hAnsi="宋体"/>
          <w:kern w:val="10"/>
          <w:sz w:val="24"/>
        </w:rPr>
        <w:t>畜禽粪便的贮存：贮存设施的位置必须远离各类功能地表水体（距离不得小于400m），并应设在养殖场生产及生活管理区的常年主导风向的下风向或侧风向处。</w:t>
      </w:r>
    </w:p>
    <w:p>
      <w:pPr>
        <w:adjustRightInd w:val="0"/>
        <w:snapToGrid w:val="0"/>
        <w:spacing w:line="500" w:lineRule="exact"/>
        <w:rPr>
          <w:rFonts w:hAnsi="宋体"/>
          <w:kern w:val="10"/>
          <w:sz w:val="24"/>
        </w:rPr>
      </w:pPr>
      <w:r>
        <w:rPr>
          <w:rFonts w:hAnsi="宋体"/>
          <w:kern w:val="10"/>
          <w:sz w:val="24"/>
        </w:rPr>
        <w:t>（二）根据《正阳县人民政府关于印发正阳县畜禽养殖禁养区</w:t>
      </w:r>
      <w:r>
        <w:rPr>
          <w:rFonts w:hint="eastAsia" w:hAnsi="宋体"/>
          <w:kern w:val="10"/>
          <w:sz w:val="24"/>
        </w:rPr>
        <w:t>限养区</w:t>
      </w:r>
      <w:r>
        <w:rPr>
          <w:rFonts w:hAnsi="宋体"/>
          <w:kern w:val="10"/>
          <w:sz w:val="24"/>
        </w:rPr>
        <w:t>划分方案的通知》可知，</w:t>
      </w:r>
    </w:p>
    <w:p>
      <w:pPr>
        <w:spacing w:line="520" w:lineRule="exact"/>
        <w:ind w:firstLine="480" w:firstLineChars="200"/>
        <w:rPr>
          <w:rFonts w:hAnsi="宋体"/>
          <w:kern w:val="10"/>
          <w:sz w:val="24"/>
        </w:rPr>
      </w:pPr>
      <w:r>
        <w:rPr>
          <w:rFonts w:hAnsi="宋体"/>
          <w:kern w:val="10"/>
          <w:sz w:val="24"/>
        </w:rPr>
        <w:t>1、正阳县划定的禁养区范围：</w:t>
      </w:r>
    </w:p>
    <w:p>
      <w:pPr>
        <w:spacing w:line="520" w:lineRule="exact"/>
        <w:ind w:firstLine="480" w:firstLineChars="200"/>
        <w:rPr>
          <w:rFonts w:hAnsi="宋体"/>
          <w:kern w:val="10"/>
          <w:sz w:val="24"/>
        </w:rPr>
      </w:pPr>
      <w:r>
        <w:rPr>
          <w:rFonts w:hint="eastAsia" w:hAnsi="宋体"/>
          <w:kern w:val="10"/>
          <w:sz w:val="24"/>
        </w:rPr>
        <w:t>①</w:t>
      </w:r>
      <w:r>
        <w:rPr>
          <w:rFonts w:hAnsi="宋体"/>
          <w:kern w:val="10"/>
          <w:sz w:val="24"/>
        </w:rPr>
        <w:t xml:space="preserve">县城规划区：东至慎东大道东500米，南至产业南路、西至西外环路及其延伸的长塘路（学北路）范围内； </w:t>
      </w:r>
    </w:p>
    <w:p>
      <w:pPr>
        <w:spacing w:line="520" w:lineRule="exact"/>
        <w:ind w:firstLine="480" w:firstLineChars="200"/>
        <w:rPr>
          <w:rFonts w:hAnsi="宋体"/>
          <w:kern w:val="10"/>
          <w:sz w:val="24"/>
        </w:rPr>
      </w:pPr>
      <w:r>
        <w:rPr>
          <w:rFonts w:hint="eastAsia" w:hAnsi="宋体"/>
          <w:kern w:val="10"/>
          <w:sz w:val="24"/>
        </w:rPr>
        <w:t>②</w:t>
      </w:r>
      <w:r>
        <w:rPr>
          <w:rFonts w:hAnsi="宋体"/>
          <w:kern w:val="10"/>
          <w:sz w:val="24"/>
        </w:rPr>
        <w:t>县城现有生活饮用水源地（包括13眼水井）、真阳镇饮用水源地（包括2眼水井）、规划的第二水源地保护地、乡镇和村级集中式生活饮用水水源地周围500m范围内的区域；</w:t>
      </w:r>
    </w:p>
    <w:p>
      <w:pPr>
        <w:spacing w:line="520" w:lineRule="exact"/>
        <w:ind w:firstLine="480" w:firstLineChars="200"/>
        <w:rPr>
          <w:rFonts w:hAnsi="宋体"/>
          <w:kern w:val="10"/>
          <w:sz w:val="24"/>
        </w:rPr>
      </w:pPr>
      <w:r>
        <w:rPr>
          <w:rFonts w:hint="eastAsia" w:hAnsi="宋体"/>
          <w:kern w:val="10"/>
          <w:sz w:val="24"/>
        </w:rPr>
        <w:t>③</w:t>
      </w:r>
      <w:r>
        <w:rPr>
          <w:rFonts w:hAnsi="宋体"/>
          <w:kern w:val="10"/>
          <w:sz w:val="24"/>
        </w:rPr>
        <w:t>乡镇规划区、新农村规划区及人口集中区；</w:t>
      </w:r>
    </w:p>
    <w:p>
      <w:pPr>
        <w:spacing w:line="520" w:lineRule="exact"/>
        <w:ind w:firstLine="480" w:firstLineChars="200"/>
        <w:rPr>
          <w:rFonts w:hAnsi="宋体"/>
          <w:kern w:val="10"/>
          <w:sz w:val="24"/>
        </w:rPr>
      </w:pPr>
      <w:r>
        <w:rPr>
          <w:rFonts w:hint="eastAsia" w:hAnsi="宋体"/>
          <w:kern w:val="10"/>
          <w:sz w:val="24"/>
        </w:rPr>
        <w:t>④</w:t>
      </w:r>
      <w:r>
        <w:rPr>
          <w:rFonts w:hAnsi="宋体"/>
          <w:kern w:val="10"/>
          <w:sz w:val="24"/>
        </w:rPr>
        <w:t>国家或者地方法律、法规另有规定的及县政府依法划定的需要特殊保护的其他区域。</w:t>
      </w:r>
    </w:p>
    <w:p>
      <w:pPr>
        <w:spacing w:line="520" w:lineRule="exact"/>
        <w:ind w:firstLine="360" w:firstLineChars="150"/>
        <w:rPr>
          <w:rFonts w:hAnsi="宋体"/>
          <w:kern w:val="10"/>
          <w:sz w:val="24"/>
        </w:rPr>
      </w:pPr>
      <w:r>
        <w:rPr>
          <w:rFonts w:hAnsi="宋体"/>
          <w:kern w:val="10"/>
          <w:sz w:val="24"/>
        </w:rPr>
        <w:t>2、正阳县划定的限养区范围：</w:t>
      </w:r>
    </w:p>
    <w:p>
      <w:pPr>
        <w:spacing w:line="520" w:lineRule="exact"/>
        <w:ind w:firstLine="360" w:firstLineChars="150"/>
        <w:rPr>
          <w:rFonts w:hAnsi="宋体"/>
          <w:kern w:val="10"/>
          <w:sz w:val="24"/>
        </w:rPr>
      </w:pPr>
      <w:r>
        <w:rPr>
          <w:rFonts w:hint="eastAsia" w:hAnsi="宋体"/>
          <w:kern w:val="10"/>
          <w:sz w:val="24"/>
        </w:rPr>
        <w:t>①</w:t>
      </w:r>
      <w:r>
        <w:rPr>
          <w:rFonts w:hAnsi="宋体"/>
          <w:kern w:val="10"/>
          <w:sz w:val="24"/>
        </w:rPr>
        <w:t>县城规划区外延500米范围内的区域</w:t>
      </w:r>
      <w:r>
        <w:rPr>
          <w:rFonts w:hint="eastAsia" w:hAnsi="宋体"/>
          <w:kern w:val="10"/>
          <w:sz w:val="24"/>
        </w:rPr>
        <w:t>；</w:t>
      </w:r>
    </w:p>
    <w:p>
      <w:pPr>
        <w:spacing w:line="520" w:lineRule="exact"/>
        <w:ind w:firstLine="360" w:firstLineChars="150"/>
        <w:rPr>
          <w:rFonts w:hAnsi="宋体"/>
          <w:kern w:val="10"/>
          <w:sz w:val="24"/>
        </w:rPr>
      </w:pPr>
      <w:r>
        <w:rPr>
          <w:rFonts w:hint="eastAsia" w:hAnsi="宋体"/>
          <w:kern w:val="10"/>
          <w:sz w:val="24"/>
        </w:rPr>
        <w:t>②</w:t>
      </w:r>
      <w:r>
        <w:rPr>
          <w:rFonts w:hAnsi="宋体"/>
          <w:kern w:val="10"/>
          <w:sz w:val="24"/>
        </w:rPr>
        <w:t>县城生活饮用水源、乡镇和村级集中生活饮用水水源地设定的禁养区上风向外延500米范围</w:t>
      </w:r>
      <w:r>
        <w:rPr>
          <w:rFonts w:hint="eastAsia" w:hAnsi="宋体"/>
          <w:kern w:val="10"/>
          <w:sz w:val="24"/>
        </w:rPr>
        <w:t>；</w:t>
      </w:r>
    </w:p>
    <w:p>
      <w:pPr>
        <w:spacing w:line="520" w:lineRule="exact"/>
        <w:ind w:firstLine="360" w:firstLineChars="150"/>
        <w:rPr>
          <w:rFonts w:hAnsi="宋体"/>
          <w:kern w:val="10"/>
          <w:sz w:val="24"/>
        </w:rPr>
      </w:pPr>
      <w:r>
        <w:rPr>
          <w:rFonts w:hint="eastAsia" w:hAnsi="宋体"/>
          <w:kern w:val="10"/>
          <w:sz w:val="24"/>
        </w:rPr>
        <w:t>③</w:t>
      </w:r>
      <w:r>
        <w:rPr>
          <w:rFonts w:hAnsi="宋体"/>
          <w:kern w:val="10"/>
          <w:sz w:val="24"/>
        </w:rPr>
        <w:t>淮河正阳段，慎水河、吕河、清水河、文殊河、汝河正阳段及主要支流两侧各外延500米范围内</w:t>
      </w:r>
      <w:r>
        <w:rPr>
          <w:rFonts w:hint="eastAsia" w:hAnsi="宋体"/>
          <w:kern w:val="10"/>
          <w:sz w:val="24"/>
        </w:rPr>
        <w:t>；</w:t>
      </w:r>
    </w:p>
    <w:p>
      <w:pPr>
        <w:spacing w:line="520" w:lineRule="exact"/>
        <w:ind w:firstLine="360" w:firstLineChars="150"/>
        <w:rPr>
          <w:rFonts w:hAnsi="宋体"/>
          <w:kern w:val="10"/>
          <w:sz w:val="24"/>
        </w:rPr>
      </w:pPr>
      <w:r>
        <w:rPr>
          <w:rFonts w:hint="eastAsia" w:hAnsi="宋体"/>
          <w:kern w:val="10"/>
          <w:sz w:val="24"/>
        </w:rPr>
        <w:t>④</w:t>
      </w:r>
      <w:r>
        <w:rPr>
          <w:rFonts w:hAnsi="宋体"/>
          <w:kern w:val="10"/>
          <w:sz w:val="24"/>
        </w:rPr>
        <w:t>G4高速正阳引线、S219永定线正阳段、S335棠溪线（含G230）正阳段、S224确平线正阳段、大广高速正阳段、息邢高速正阳段两侧各外延500米范围内的区域。</w:t>
      </w:r>
    </w:p>
    <w:p>
      <w:pPr>
        <w:spacing w:line="500" w:lineRule="exact"/>
        <w:rPr>
          <w:rFonts w:hAnsi="宋体"/>
          <w:b/>
          <w:sz w:val="24"/>
        </w:rPr>
      </w:pPr>
      <w:r>
        <w:rPr>
          <w:rFonts w:hint="eastAsia"/>
          <w:b/>
          <w:sz w:val="24"/>
        </w:rPr>
        <w:t>1.7.</w:t>
      </w:r>
      <w:r>
        <w:rPr>
          <w:b/>
          <w:sz w:val="24"/>
        </w:rPr>
        <w:t>3</w:t>
      </w:r>
      <w:r>
        <w:rPr>
          <w:rFonts w:hint="eastAsia"/>
          <w:b/>
          <w:sz w:val="24"/>
        </w:rPr>
        <w:t>.</w:t>
      </w:r>
      <w:r>
        <w:rPr>
          <w:b/>
          <w:sz w:val="24"/>
        </w:rPr>
        <w:t>2</w:t>
      </w:r>
      <w:r>
        <w:rPr>
          <w:rFonts w:hAnsi="宋体"/>
          <w:b/>
          <w:sz w:val="24"/>
        </w:rPr>
        <w:t>本项目与《正阳县人民政府关于印发正阳县畜禽养殖禁养区划分及防治工作方案的通知》相符性分析</w:t>
      </w:r>
    </w:p>
    <w:p>
      <w:pPr>
        <w:adjustRightInd w:val="0"/>
        <w:snapToGrid w:val="0"/>
        <w:spacing w:after="72" w:afterLines="30" w:line="500" w:lineRule="exact"/>
        <w:jc w:val="center"/>
        <w:rPr>
          <w:b/>
          <w:sz w:val="24"/>
        </w:rPr>
      </w:pPr>
      <w:r>
        <w:rPr>
          <w:rFonts w:hAnsi="宋体"/>
          <w:b/>
          <w:sz w:val="24"/>
        </w:rPr>
        <w:t>表</w:t>
      </w:r>
      <w:r>
        <w:rPr>
          <w:b/>
          <w:sz w:val="24"/>
        </w:rPr>
        <w:t>1.7-1</w:t>
      </w:r>
      <w:r>
        <w:rPr>
          <w:rFonts w:hint="eastAsia"/>
          <w:b/>
          <w:sz w:val="24"/>
        </w:rPr>
        <w:t xml:space="preserve">     </w:t>
      </w:r>
      <w:r>
        <w:rPr>
          <w:rFonts w:hAnsi="宋体"/>
          <w:b/>
          <w:sz w:val="24"/>
        </w:rPr>
        <w:t>本项目与正阳县畜禽养殖禁养区关系</w:t>
      </w:r>
    </w:p>
    <w:tbl>
      <w:tblPr>
        <w:tblStyle w:val="17"/>
        <w:tblW w:w="941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67"/>
        <w:gridCol w:w="3362"/>
        <w:gridCol w:w="4035"/>
        <w:gridCol w:w="155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829" w:type="dxa"/>
            <w:gridSpan w:val="2"/>
            <w:noWrap w:val="0"/>
            <w:vAlign w:val="center"/>
          </w:tcPr>
          <w:p>
            <w:pPr>
              <w:adjustRightInd w:val="0"/>
              <w:snapToGrid w:val="0"/>
              <w:jc w:val="center"/>
              <w:rPr>
                <w:b/>
                <w:szCs w:val="21"/>
              </w:rPr>
            </w:pPr>
            <w:r>
              <w:rPr>
                <w:b/>
                <w:bCs/>
                <w:szCs w:val="21"/>
              </w:rPr>
              <w:t>《关于印发正阳县畜禽养殖禁养区限养区划分方案的通知》</w:t>
            </w:r>
          </w:p>
        </w:tc>
        <w:tc>
          <w:tcPr>
            <w:tcW w:w="4035" w:type="dxa"/>
            <w:noWrap w:val="0"/>
            <w:vAlign w:val="center"/>
          </w:tcPr>
          <w:p>
            <w:pPr>
              <w:adjustRightInd w:val="0"/>
              <w:snapToGrid w:val="0"/>
              <w:jc w:val="center"/>
              <w:rPr>
                <w:b/>
                <w:szCs w:val="21"/>
              </w:rPr>
            </w:pPr>
            <w:r>
              <w:rPr>
                <w:b/>
                <w:szCs w:val="21"/>
              </w:rPr>
              <w:t>本项目与禁养区关系</w:t>
            </w:r>
          </w:p>
        </w:tc>
        <w:tc>
          <w:tcPr>
            <w:tcW w:w="1554" w:type="dxa"/>
            <w:noWrap w:val="0"/>
            <w:vAlign w:val="center"/>
          </w:tcPr>
          <w:p>
            <w:pPr>
              <w:adjustRightInd w:val="0"/>
              <w:snapToGrid w:val="0"/>
              <w:jc w:val="center"/>
              <w:rPr>
                <w:b/>
                <w:szCs w:val="21"/>
              </w:rPr>
            </w:pPr>
            <w:r>
              <w:rPr>
                <w:b/>
                <w:szCs w:val="21"/>
              </w:rPr>
              <w:t>符合性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58" w:hRule="atLeast"/>
          <w:jc w:val="center"/>
        </w:trPr>
        <w:tc>
          <w:tcPr>
            <w:tcW w:w="467" w:type="dxa"/>
            <w:vMerge w:val="restart"/>
            <w:noWrap w:val="0"/>
            <w:vAlign w:val="center"/>
          </w:tcPr>
          <w:p>
            <w:pPr>
              <w:pStyle w:val="11"/>
              <w:jc w:val="center"/>
              <w:rPr>
                <w:rFonts w:ascii="Times New Roman" w:hAnsi="Times New Roman" w:cs="Times New Roman"/>
                <w:sz w:val="21"/>
                <w:szCs w:val="21"/>
              </w:rPr>
            </w:pPr>
            <w:r>
              <w:rPr>
                <w:rFonts w:ascii="Times New Roman" w:cs="Times New Roman"/>
                <w:sz w:val="21"/>
                <w:szCs w:val="21"/>
              </w:rPr>
              <w:t>禁</w:t>
            </w:r>
          </w:p>
          <w:p>
            <w:pPr>
              <w:pStyle w:val="11"/>
              <w:jc w:val="center"/>
              <w:rPr>
                <w:rFonts w:ascii="Times New Roman" w:hAnsi="Times New Roman" w:cs="Times New Roman"/>
                <w:sz w:val="21"/>
                <w:szCs w:val="21"/>
              </w:rPr>
            </w:pPr>
            <w:r>
              <w:rPr>
                <w:rFonts w:ascii="Times New Roman" w:cs="Times New Roman"/>
                <w:sz w:val="21"/>
                <w:szCs w:val="21"/>
              </w:rPr>
              <w:t>养</w:t>
            </w:r>
          </w:p>
          <w:p>
            <w:pPr>
              <w:pStyle w:val="11"/>
              <w:jc w:val="center"/>
              <w:rPr>
                <w:rFonts w:ascii="Times New Roman" w:hAnsi="Times New Roman" w:cs="Times New Roman"/>
                <w:sz w:val="21"/>
                <w:szCs w:val="21"/>
              </w:rPr>
            </w:pPr>
            <w:r>
              <w:rPr>
                <w:rFonts w:ascii="Times New Roman" w:cs="Times New Roman"/>
                <w:sz w:val="21"/>
                <w:szCs w:val="21"/>
              </w:rPr>
              <w:t>区</w:t>
            </w:r>
          </w:p>
        </w:tc>
        <w:tc>
          <w:tcPr>
            <w:tcW w:w="3362" w:type="dxa"/>
            <w:noWrap w:val="0"/>
            <w:vAlign w:val="center"/>
          </w:tcPr>
          <w:p>
            <w:pPr>
              <w:adjustRightInd w:val="0"/>
              <w:snapToGrid w:val="0"/>
              <w:jc w:val="center"/>
              <w:rPr>
                <w:szCs w:val="21"/>
              </w:rPr>
            </w:pPr>
            <w:r>
              <w:rPr>
                <w:rFonts w:hint="eastAsia" w:ascii="宋体" w:hAnsi="宋体" w:cs="宋体"/>
                <w:szCs w:val="21"/>
              </w:rPr>
              <w:t>①</w:t>
            </w:r>
            <w:r>
              <w:rPr>
                <w:szCs w:val="21"/>
              </w:rPr>
              <w:t>县城规划区：东至慎东大道东500米，南至产业南路、西至西外环路及其延伸的长塘路（学北路）范围内</w:t>
            </w:r>
          </w:p>
        </w:tc>
        <w:tc>
          <w:tcPr>
            <w:tcW w:w="4035" w:type="dxa"/>
            <w:noWrap w:val="0"/>
            <w:vAlign w:val="center"/>
          </w:tcPr>
          <w:p>
            <w:pPr>
              <w:adjustRightInd w:val="0"/>
              <w:snapToGrid w:val="0"/>
              <w:jc w:val="center"/>
              <w:rPr>
                <w:szCs w:val="21"/>
              </w:rPr>
            </w:pPr>
            <w:r>
              <w:rPr>
                <w:szCs w:val="21"/>
              </w:rPr>
              <w:t>项目区</w:t>
            </w:r>
            <w:r>
              <w:rPr>
                <w:rFonts w:hint="eastAsia"/>
                <w:szCs w:val="21"/>
              </w:rPr>
              <w:t>东北</w:t>
            </w:r>
            <w:r>
              <w:rPr>
                <w:szCs w:val="21"/>
              </w:rPr>
              <w:t>距正阳县城</w:t>
            </w:r>
            <w:r>
              <w:rPr>
                <w:rFonts w:hint="eastAsia"/>
                <w:szCs w:val="21"/>
              </w:rPr>
              <w:t>约</w:t>
            </w:r>
            <w:r>
              <w:rPr>
                <w:rFonts w:hint="eastAsia"/>
                <w:szCs w:val="21"/>
                <w:lang w:val="en-US" w:eastAsia="zh-CN"/>
              </w:rPr>
              <w:t>31</w:t>
            </w:r>
            <w:r>
              <w:rPr>
                <w:szCs w:val="21"/>
              </w:rPr>
              <w:t>km</w:t>
            </w:r>
          </w:p>
        </w:tc>
        <w:tc>
          <w:tcPr>
            <w:tcW w:w="1554" w:type="dxa"/>
            <w:vMerge w:val="restart"/>
            <w:noWrap w:val="0"/>
            <w:vAlign w:val="center"/>
          </w:tcPr>
          <w:p>
            <w:pPr>
              <w:adjustRightInd w:val="0"/>
              <w:snapToGrid w:val="0"/>
              <w:jc w:val="center"/>
              <w:rPr>
                <w:rFonts w:ascii="宋体" w:hAnsi="宋体"/>
                <w:szCs w:val="21"/>
              </w:rPr>
            </w:pPr>
            <w:r>
              <w:rPr>
                <w:rFonts w:ascii="宋体" w:hAnsi="宋体"/>
                <w:szCs w:val="21"/>
              </w:rPr>
              <w:t>不在禁养区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04" w:hRule="atLeast"/>
          <w:jc w:val="center"/>
        </w:trPr>
        <w:tc>
          <w:tcPr>
            <w:tcW w:w="467" w:type="dxa"/>
            <w:vMerge w:val="continue"/>
            <w:noWrap w:val="0"/>
            <w:vAlign w:val="center"/>
          </w:tcPr>
          <w:p>
            <w:pPr>
              <w:pStyle w:val="11"/>
              <w:jc w:val="center"/>
              <w:rPr>
                <w:rFonts w:ascii="Times New Roman" w:hAnsi="Times New Roman" w:cs="Times New Roman"/>
                <w:sz w:val="21"/>
                <w:szCs w:val="21"/>
              </w:rPr>
            </w:pPr>
          </w:p>
        </w:tc>
        <w:tc>
          <w:tcPr>
            <w:tcW w:w="3362" w:type="dxa"/>
            <w:noWrap w:val="0"/>
            <w:vAlign w:val="center"/>
          </w:tcPr>
          <w:p>
            <w:pPr>
              <w:adjustRightInd w:val="0"/>
              <w:snapToGrid w:val="0"/>
              <w:rPr>
                <w:szCs w:val="21"/>
              </w:rPr>
            </w:pPr>
            <w:r>
              <w:rPr>
                <w:rFonts w:hint="eastAsia" w:ascii="宋体" w:hAnsi="宋体" w:cs="宋体"/>
                <w:szCs w:val="21"/>
              </w:rPr>
              <w:t>②</w:t>
            </w:r>
            <w:r>
              <w:rPr>
                <w:szCs w:val="21"/>
              </w:rPr>
              <w:t>县城现有生活饮用水源地（包括13眼水井）、真阳镇饮用水源地（包括2眼水井）、规划的第二水源地保护地、乡镇和村级集中式生活饮用水水源地周围500m范围内的区域</w:t>
            </w:r>
          </w:p>
        </w:tc>
        <w:tc>
          <w:tcPr>
            <w:tcW w:w="4035" w:type="dxa"/>
            <w:noWrap w:val="0"/>
            <w:vAlign w:val="center"/>
          </w:tcPr>
          <w:p>
            <w:pPr>
              <w:adjustRightInd w:val="0"/>
              <w:snapToGrid w:val="0"/>
              <w:jc w:val="center"/>
              <w:rPr>
                <w:szCs w:val="21"/>
              </w:rPr>
            </w:pPr>
            <w:r>
              <w:rPr>
                <w:bCs/>
                <w:szCs w:val="21"/>
              </w:rPr>
              <w:t>项目距离正阳县饮用水源所在地</w:t>
            </w:r>
            <w:r>
              <w:rPr>
                <w:rFonts w:hint="eastAsia"/>
                <w:bCs/>
                <w:szCs w:val="21"/>
                <w:lang w:val="en-US" w:eastAsia="zh-CN"/>
              </w:rPr>
              <w:t>汝南埠镇</w:t>
            </w:r>
            <w:r>
              <w:rPr>
                <w:bCs/>
                <w:szCs w:val="21"/>
              </w:rPr>
              <w:t>的最近距离为</w:t>
            </w:r>
            <w:r>
              <w:rPr>
                <w:rFonts w:hint="eastAsia"/>
                <w:bCs/>
                <w:szCs w:val="21"/>
                <w:lang w:val="en-US" w:eastAsia="zh-CN"/>
              </w:rPr>
              <w:t>3.8</w:t>
            </w:r>
            <w:r>
              <w:rPr>
                <w:bCs/>
                <w:szCs w:val="21"/>
              </w:rPr>
              <w:t>km，</w:t>
            </w:r>
            <w:r>
              <w:rPr>
                <w:szCs w:val="21"/>
              </w:rPr>
              <w:t>项目区</w:t>
            </w:r>
            <w:r>
              <w:rPr>
                <w:rFonts w:hint="eastAsia"/>
                <w:szCs w:val="21"/>
              </w:rPr>
              <w:t>西南</w:t>
            </w:r>
            <w:r>
              <w:rPr>
                <w:szCs w:val="21"/>
              </w:rPr>
              <w:t>距功能性地表水体</w:t>
            </w:r>
            <w:r>
              <w:rPr>
                <w:rFonts w:hint="eastAsia"/>
                <w:szCs w:val="21"/>
              </w:rPr>
              <w:t>淮河支流（</w:t>
            </w:r>
            <w:r>
              <w:rPr>
                <w:rFonts w:hint="eastAsia"/>
                <w:szCs w:val="21"/>
                <w:lang w:val="en-US" w:eastAsia="zh-CN"/>
              </w:rPr>
              <w:t>黄大港</w:t>
            </w:r>
            <w:r>
              <w:rPr>
                <w:rFonts w:hint="eastAsia"/>
                <w:szCs w:val="21"/>
              </w:rPr>
              <w:t>）</w:t>
            </w:r>
            <w:r>
              <w:rPr>
                <w:szCs w:val="21"/>
              </w:rPr>
              <w:t>最近距离</w:t>
            </w:r>
            <w:r>
              <w:rPr>
                <w:rFonts w:hint="eastAsia"/>
                <w:szCs w:val="21"/>
                <w:lang w:val="en-US" w:eastAsia="zh-CN"/>
              </w:rPr>
              <w:t>2800</w:t>
            </w:r>
            <w:r>
              <w:rPr>
                <w:szCs w:val="21"/>
              </w:rPr>
              <w:t>m</w:t>
            </w:r>
          </w:p>
        </w:tc>
        <w:tc>
          <w:tcPr>
            <w:tcW w:w="1554" w:type="dxa"/>
            <w:vMerge w:val="continue"/>
            <w:noWrap w:val="0"/>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67" w:type="dxa"/>
            <w:vMerge w:val="continue"/>
            <w:noWrap w:val="0"/>
            <w:vAlign w:val="center"/>
          </w:tcPr>
          <w:p>
            <w:pPr>
              <w:adjustRightInd w:val="0"/>
              <w:snapToGrid w:val="0"/>
              <w:jc w:val="center"/>
              <w:rPr>
                <w:szCs w:val="21"/>
              </w:rPr>
            </w:pPr>
          </w:p>
        </w:tc>
        <w:tc>
          <w:tcPr>
            <w:tcW w:w="3362" w:type="dxa"/>
            <w:noWrap w:val="0"/>
            <w:vAlign w:val="center"/>
          </w:tcPr>
          <w:p>
            <w:pPr>
              <w:adjustRightInd w:val="0"/>
              <w:snapToGrid w:val="0"/>
              <w:rPr>
                <w:szCs w:val="21"/>
              </w:rPr>
            </w:pPr>
            <w:r>
              <w:rPr>
                <w:rFonts w:hint="eastAsia" w:ascii="宋体" w:hAnsi="宋体" w:cs="宋体"/>
                <w:szCs w:val="21"/>
              </w:rPr>
              <w:t>③</w:t>
            </w:r>
            <w:r>
              <w:rPr>
                <w:szCs w:val="21"/>
              </w:rPr>
              <w:t>乡镇规划区、新农村规划区及人口集中区</w:t>
            </w:r>
          </w:p>
        </w:tc>
        <w:tc>
          <w:tcPr>
            <w:tcW w:w="4035" w:type="dxa"/>
            <w:noWrap w:val="0"/>
            <w:vAlign w:val="center"/>
          </w:tcPr>
          <w:p>
            <w:pPr>
              <w:adjustRightInd w:val="0"/>
              <w:snapToGrid w:val="0"/>
              <w:jc w:val="center"/>
              <w:rPr>
                <w:szCs w:val="21"/>
              </w:rPr>
            </w:pPr>
            <w:r>
              <w:rPr>
                <w:rFonts w:hint="eastAsia"/>
                <w:szCs w:val="21"/>
              </w:rPr>
              <w:t>项目不在</w:t>
            </w:r>
            <w:r>
              <w:rPr>
                <w:szCs w:val="21"/>
              </w:rPr>
              <w:t>乡镇规划区、新农村规划区及人口集中区</w:t>
            </w:r>
          </w:p>
        </w:tc>
        <w:tc>
          <w:tcPr>
            <w:tcW w:w="1554" w:type="dxa"/>
            <w:vMerge w:val="continue"/>
            <w:noWrap w:val="0"/>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17" w:hRule="atLeast"/>
          <w:jc w:val="center"/>
        </w:trPr>
        <w:tc>
          <w:tcPr>
            <w:tcW w:w="467" w:type="dxa"/>
            <w:vMerge w:val="continue"/>
            <w:noWrap w:val="0"/>
            <w:vAlign w:val="center"/>
          </w:tcPr>
          <w:p>
            <w:pPr>
              <w:adjustRightInd w:val="0"/>
              <w:snapToGrid w:val="0"/>
              <w:jc w:val="center"/>
              <w:rPr>
                <w:szCs w:val="21"/>
              </w:rPr>
            </w:pPr>
          </w:p>
        </w:tc>
        <w:tc>
          <w:tcPr>
            <w:tcW w:w="3362" w:type="dxa"/>
            <w:noWrap w:val="0"/>
            <w:vAlign w:val="center"/>
          </w:tcPr>
          <w:p>
            <w:pPr>
              <w:adjustRightInd w:val="0"/>
              <w:snapToGrid w:val="0"/>
              <w:jc w:val="center"/>
              <w:rPr>
                <w:szCs w:val="21"/>
              </w:rPr>
            </w:pPr>
            <w:r>
              <w:rPr>
                <w:rFonts w:hint="eastAsia" w:ascii="宋体" w:hAnsi="宋体" w:cs="宋体"/>
                <w:szCs w:val="21"/>
              </w:rPr>
              <w:t>④</w:t>
            </w:r>
            <w:r>
              <w:rPr>
                <w:szCs w:val="21"/>
              </w:rPr>
              <w:t>国家或者地方法律、法规另有规定的及县政府依法划定的需要特殊保护的其他区域</w:t>
            </w:r>
          </w:p>
        </w:tc>
        <w:tc>
          <w:tcPr>
            <w:tcW w:w="4035" w:type="dxa"/>
            <w:noWrap w:val="0"/>
            <w:vAlign w:val="center"/>
          </w:tcPr>
          <w:p>
            <w:pPr>
              <w:adjustRightInd w:val="0"/>
              <w:snapToGrid w:val="0"/>
              <w:jc w:val="center"/>
              <w:rPr>
                <w:szCs w:val="21"/>
              </w:rPr>
            </w:pPr>
            <w:r>
              <w:rPr>
                <w:szCs w:val="21"/>
              </w:rPr>
              <w:t>不在禁养区</w:t>
            </w:r>
          </w:p>
        </w:tc>
        <w:tc>
          <w:tcPr>
            <w:tcW w:w="1554" w:type="dxa"/>
            <w:vMerge w:val="continue"/>
            <w:noWrap w:val="0"/>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17" w:hRule="atLeast"/>
          <w:jc w:val="center"/>
        </w:trPr>
        <w:tc>
          <w:tcPr>
            <w:tcW w:w="467" w:type="dxa"/>
            <w:vMerge w:val="restart"/>
            <w:noWrap w:val="0"/>
            <w:vAlign w:val="center"/>
          </w:tcPr>
          <w:p>
            <w:pPr>
              <w:adjustRightInd w:val="0"/>
              <w:snapToGrid w:val="0"/>
              <w:jc w:val="center"/>
              <w:rPr>
                <w:szCs w:val="21"/>
              </w:rPr>
            </w:pPr>
            <w:r>
              <w:rPr>
                <w:rFonts w:hint="eastAsia"/>
                <w:szCs w:val="21"/>
              </w:rPr>
              <w:t>限养区</w:t>
            </w:r>
          </w:p>
        </w:tc>
        <w:tc>
          <w:tcPr>
            <w:tcW w:w="3362" w:type="dxa"/>
            <w:noWrap w:val="0"/>
            <w:vAlign w:val="center"/>
          </w:tcPr>
          <w:p>
            <w:pPr>
              <w:rPr>
                <w:rFonts w:hint="eastAsia"/>
                <w:szCs w:val="21"/>
              </w:rPr>
            </w:pPr>
            <w:r>
              <w:rPr>
                <w:spacing w:val="-6"/>
                <w:kern w:val="0"/>
                <w:szCs w:val="21"/>
              </w:rPr>
              <w:fldChar w:fldCharType="begin"/>
            </w:r>
            <w:r>
              <w:rPr>
                <w:spacing w:val="-6"/>
                <w:kern w:val="0"/>
                <w:szCs w:val="21"/>
              </w:rPr>
              <w:instrText xml:space="preserve"> </w:instrText>
            </w:r>
            <w:r>
              <w:rPr>
                <w:rFonts w:hint="eastAsia"/>
                <w:spacing w:val="-6"/>
                <w:kern w:val="0"/>
                <w:szCs w:val="21"/>
              </w:rPr>
              <w:instrText xml:space="preserve">= 1 \* GB3</w:instrText>
            </w:r>
            <w:r>
              <w:rPr>
                <w:spacing w:val="-6"/>
                <w:kern w:val="0"/>
                <w:szCs w:val="21"/>
              </w:rPr>
              <w:instrText xml:space="preserve"> </w:instrText>
            </w:r>
            <w:r>
              <w:rPr>
                <w:spacing w:val="-6"/>
                <w:kern w:val="0"/>
                <w:szCs w:val="21"/>
              </w:rPr>
              <w:fldChar w:fldCharType="separate"/>
            </w:r>
            <w:r>
              <w:rPr>
                <w:rFonts w:hint="eastAsia"/>
                <w:spacing w:val="-6"/>
                <w:kern w:val="0"/>
                <w:szCs w:val="21"/>
              </w:rPr>
              <w:t>①</w:t>
            </w:r>
            <w:r>
              <w:rPr>
                <w:spacing w:val="-6"/>
                <w:kern w:val="0"/>
                <w:szCs w:val="21"/>
              </w:rPr>
              <w:fldChar w:fldCharType="end"/>
            </w:r>
            <w:r>
              <w:rPr>
                <w:spacing w:val="-6"/>
                <w:kern w:val="0"/>
                <w:szCs w:val="21"/>
              </w:rPr>
              <w:t>县城规划区外延500米范围内的区域</w:t>
            </w:r>
          </w:p>
        </w:tc>
        <w:tc>
          <w:tcPr>
            <w:tcW w:w="4035" w:type="dxa"/>
            <w:noWrap w:val="0"/>
            <w:vAlign w:val="center"/>
          </w:tcPr>
          <w:p>
            <w:pPr>
              <w:adjustRightInd w:val="0"/>
              <w:snapToGrid w:val="0"/>
              <w:jc w:val="center"/>
              <w:rPr>
                <w:rFonts w:hint="eastAsia"/>
                <w:szCs w:val="21"/>
              </w:rPr>
            </w:pPr>
            <w:r>
              <w:rPr>
                <w:szCs w:val="21"/>
              </w:rPr>
              <w:t>项目区</w:t>
            </w:r>
            <w:r>
              <w:rPr>
                <w:rFonts w:hint="eastAsia"/>
                <w:szCs w:val="21"/>
              </w:rPr>
              <w:t>东北</w:t>
            </w:r>
            <w:r>
              <w:rPr>
                <w:szCs w:val="21"/>
              </w:rPr>
              <w:t>距正阳县城</w:t>
            </w:r>
            <w:r>
              <w:rPr>
                <w:rFonts w:hint="eastAsia"/>
                <w:szCs w:val="21"/>
                <w:lang w:val="en-US" w:eastAsia="zh-CN"/>
              </w:rPr>
              <w:t>31</w:t>
            </w:r>
            <w:r>
              <w:rPr>
                <w:szCs w:val="21"/>
              </w:rPr>
              <w:t>km</w:t>
            </w:r>
            <w:r>
              <w:rPr>
                <w:rFonts w:hint="eastAsia"/>
                <w:szCs w:val="21"/>
              </w:rPr>
              <w:t>，</w:t>
            </w:r>
            <w:r>
              <w:rPr>
                <w:szCs w:val="21"/>
              </w:rPr>
              <w:t>不在</w:t>
            </w:r>
            <w:r>
              <w:rPr>
                <w:spacing w:val="-6"/>
                <w:kern w:val="0"/>
                <w:szCs w:val="21"/>
              </w:rPr>
              <w:t>县城规划区外延500米范围内的区域</w:t>
            </w:r>
          </w:p>
        </w:tc>
        <w:tc>
          <w:tcPr>
            <w:tcW w:w="1554" w:type="dxa"/>
            <w:vMerge w:val="restart"/>
            <w:noWrap w:val="0"/>
            <w:vAlign w:val="center"/>
          </w:tcPr>
          <w:p>
            <w:pPr>
              <w:adjustRightInd w:val="0"/>
              <w:snapToGrid w:val="0"/>
              <w:jc w:val="center"/>
              <w:rPr>
                <w:rFonts w:hint="eastAsia"/>
                <w:szCs w:val="21"/>
              </w:rPr>
            </w:pPr>
            <w:r>
              <w:rPr>
                <w:rFonts w:hint="eastAsia"/>
                <w:szCs w:val="21"/>
              </w:rPr>
              <w:t>不在</w:t>
            </w:r>
            <w:r>
              <w:rPr>
                <w:szCs w:val="21"/>
              </w:rPr>
              <w:t>限养区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17" w:hRule="atLeast"/>
          <w:jc w:val="center"/>
        </w:trPr>
        <w:tc>
          <w:tcPr>
            <w:tcW w:w="467" w:type="dxa"/>
            <w:vMerge w:val="continue"/>
            <w:noWrap w:val="0"/>
            <w:vAlign w:val="center"/>
          </w:tcPr>
          <w:p>
            <w:pPr>
              <w:adjustRightInd w:val="0"/>
              <w:snapToGrid w:val="0"/>
              <w:jc w:val="center"/>
              <w:rPr>
                <w:szCs w:val="21"/>
              </w:rPr>
            </w:pPr>
          </w:p>
        </w:tc>
        <w:tc>
          <w:tcPr>
            <w:tcW w:w="3362" w:type="dxa"/>
            <w:noWrap w:val="0"/>
            <w:vAlign w:val="center"/>
          </w:tcPr>
          <w:p>
            <w:pPr>
              <w:rPr>
                <w:rFonts w:hint="eastAsia"/>
                <w:szCs w:val="21"/>
              </w:rPr>
            </w:pPr>
            <w:r>
              <w:rPr>
                <w:rFonts w:hint="eastAsia"/>
                <w:spacing w:val="-6"/>
                <w:kern w:val="0"/>
                <w:szCs w:val="21"/>
              </w:rPr>
              <w:t>②</w:t>
            </w:r>
            <w:r>
              <w:rPr>
                <w:spacing w:val="-6"/>
                <w:kern w:val="0"/>
                <w:szCs w:val="21"/>
              </w:rPr>
              <w:t>县城生活饮用水源、乡镇和村级集中生活饮用水水源地设定的禁养区上风向外延500米范围</w:t>
            </w:r>
          </w:p>
        </w:tc>
        <w:tc>
          <w:tcPr>
            <w:tcW w:w="4035" w:type="dxa"/>
            <w:noWrap w:val="0"/>
            <w:vAlign w:val="center"/>
          </w:tcPr>
          <w:p>
            <w:pPr>
              <w:adjustRightInd w:val="0"/>
              <w:snapToGrid w:val="0"/>
              <w:jc w:val="center"/>
              <w:rPr>
                <w:rFonts w:hint="eastAsia"/>
                <w:szCs w:val="21"/>
              </w:rPr>
            </w:pPr>
            <w:r>
              <w:rPr>
                <w:rFonts w:hint="eastAsia"/>
                <w:szCs w:val="21"/>
              </w:rPr>
              <w:t>项目周边500m范围</w:t>
            </w:r>
            <w:r>
              <w:rPr>
                <w:szCs w:val="21"/>
              </w:rPr>
              <w:t>内无集中式饮用水源地</w:t>
            </w:r>
          </w:p>
        </w:tc>
        <w:tc>
          <w:tcPr>
            <w:tcW w:w="1554" w:type="dxa"/>
            <w:vMerge w:val="continue"/>
            <w:noWrap w:val="0"/>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17" w:hRule="atLeast"/>
          <w:jc w:val="center"/>
        </w:trPr>
        <w:tc>
          <w:tcPr>
            <w:tcW w:w="467" w:type="dxa"/>
            <w:vMerge w:val="continue"/>
            <w:noWrap w:val="0"/>
            <w:vAlign w:val="center"/>
          </w:tcPr>
          <w:p>
            <w:pPr>
              <w:adjustRightInd w:val="0"/>
              <w:snapToGrid w:val="0"/>
              <w:jc w:val="center"/>
              <w:rPr>
                <w:szCs w:val="21"/>
              </w:rPr>
            </w:pPr>
          </w:p>
        </w:tc>
        <w:tc>
          <w:tcPr>
            <w:tcW w:w="3362" w:type="dxa"/>
            <w:noWrap w:val="0"/>
            <w:vAlign w:val="center"/>
          </w:tcPr>
          <w:p>
            <w:pPr>
              <w:rPr>
                <w:rFonts w:hint="eastAsia"/>
                <w:szCs w:val="21"/>
              </w:rPr>
            </w:pPr>
            <w:r>
              <w:rPr>
                <w:rFonts w:hint="eastAsia"/>
                <w:spacing w:val="-6"/>
                <w:kern w:val="0"/>
                <w:szCs w:val="21"/>
              </w:rPr>
              <w:t>③</w:t>
            </w:r>
            <w:r>
              <w:rPr>
                <w:spacing w:val="-6"/>
                <w:kern w:val="0"/>
                <w:szCs w:val="21"/>
              </w:rPr>
              <w:t>淮河正</w:t>
            </w:r>
            <w:r>
              <w:rPr>
                <w:szCs w:val="21"/>
              </w:rPr>
              <w:t>阳段，慎水河、吕河、清水河、文殊河、汝河正阳段及主要支流两侧各</w:t>
            </w:r>
            <w:r>
              <w:rPr>
                <w:rFonts w:hint="eastAsia"/>
                <w:szCs w:val="21"/>
              </w:rPr>
              <w:t>外</w:t>
            </w:r>
            <w:r>
              <w:rPr>
                <w:spacing w:val="-6"/>
                <w:kern w:val="0"/>
                <w:szCs w:val="21"/>
              </w:rPr>
              <w:t>延500米范围内</w:t>
            </w:r>
          </w:p>
        </w:tc>
        <w:tc>
          <w:tcPr>
            <w:tcW w:w="4035" w:type="dxa"/>
            <w:noWrap w:val="0"/>
            <w:vAlign w:val="center"/>
          </w:tcPr>
          <w:p>
            <w:pPr>
              <w:adjustRightInd w:val="0"/>
              <w:snapToGrid w:val="0"/>
              <w:jc w:val="center"/>
              <w:rPr>
                <w:rFonts w:hint="eastAsia"/>
                <w:szCs w:val="21"/>
              </w:rPr>
            </w:pPr>
            <w:r>
              <w:rPr>
                <w:rFonts w:hint="eastAsia"/>
                <w:szCs w:val="21"/>
              </w:rPr>
              <w:t>本项目</w:t>
            </w:r>
            <w:r>
              <w:rPr>
                <w:szCs w:val="21"/>
              </w:rPr>
              <w:t>距离最近的</w:t>
            </w:r>
            <w:r>
              <w:rPr>
                <w:rFonts w:hint="eastAsia"/>
                <w:szCs w:val="21"/>
              </w:rPr>
              <w:t>淮河支流（</w:t>
            </w:r>
            <w:r>
              <w:rPr>
                <w:rFonts w:hint="eastAsia"/>
                <w:szCs w:val="21"/>
                <w:lang w:eastAsia="zh-CN"/>
              </w:rPr>
              <w:t>黄大港</w:t>
            </w:r>
            <w:r>
              <w:rPr>
                <w:rFonts w:hint="eastAsia"/>
                <w:szCs w:val="21"/>
              </w:rPr>
              <w:t>）</w:t>
            </w:r>
            <w:r>
              <w:rPr>
                <w:rFonts w:hint="eastAsia"/>
                <w:szCs w:val="21"/>
                <w:lang w:val="en-US" w:eastAsia="zh-CN"/>
              </w:rPr>
              <w:t>2800</w:t>
            </w:r>
            <w:r>
              <w:rPr>
                <w:rFonts w:hint="eastAsia"/>
                <w:szCs w:val="21"/>
              </w:rPr>
              <w:t>m</w:t>
            </w:r>
          </w:p>
        </w:tc>
        <w:tc>
          <w:tcPr>
            <w:tcW w:w="1554" w:type="dxa"/>
            <w:vMerge w:val="continue"/>
            <w:noWrap w:val="0"/>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17" w:hRule="atLeast"/>
          <w:jc w:val="center"/>
        </w:trPr>
        <w:tc>
          <w:tcPr>
            <w:tcW w:w="467" w:type="dxa"/>
            <w:vMerge w:val="continue"/>
            <w:noWrap w:val="0"/>
            <w:vAlign w:val="center"/>
          </w:tcPr>
          <w:p>
            <w:pPr>
              <w:adjustRightInd w:val="0"/>
              <w:snapToGrid w:val="0"/>
              <w:jc w:val="center"/>
              <w:rPr>
                <w:szCs w:val="21"/>
              </w:rPr>
            </w:pPr>
          </w:p>
        </w:tc>
        <w:tc>
          <w:tcPr>
            <w:tcW w:w="3362" w:type="dxa"/>
            <w:noWrap w:val="0"/>
            <w:vAlign w:val="center"/>
          </w:tcPr>
          <w:p>
            <w:pPr>
              <w:rPr>
                <w:rFonts w:hint="eastAsia"/>
                <w:szCs w:val="21"/>
              </w:rPr>
            </w:pPr>
            <w:r>
              <w:rPr>
                <w:spacing w:val="-6"/>
                <w:kern w:val="0"/>
                <w:szCs w:val="21"/>
              </w:rPr>
              <w:fldChar w:fldCharType="begin"/>
            </w:r>
            <w:r>
              <w:rPr>
                <w:spacing w:val="-6"/>
                <w:kern w:val="0"/>
                <w:szCs w:val="21"/>
              </w:rPr>
              <w:instrText xml:space="preserve"> </w:instrText>
            </w:r>
            <w:r>
              <w:rPr>
                <w:rFonts w:hint="eastAsia"/>
                <w:spacing w:val="-6"/>
                <w:kern w:val="0"/>
                <w:szCs w:val="21"/>
              </w:rPr>
              <w:instrText xml:space="preserve">= 4 \* GB3</w:instrText>
            </w:r>
            <w:r>
              <w:rPr>
                <w:spacing w:val="-6"/>
                <w:kern w:val="0"/>
                <w:szCs w:val="21"/>
              </w:rPr>
              <w:instrText xml:space="preserve"> </w:instrText>
            </w:r>
            <w:r>
              <w:rPr>
                <w:spacing w:val="-6"/>
                <w:kern w:val="0"/>
                <w:szCs w:val="21"/>
              </w:rPr>
              <w:fldChar w:fldCharType="separate"/>
            </w:r>
            <w:r>
              <w:rPr>
                <w:rFonts w:hint="eastAsia"/>
                <w:spacing w:val="-6"/>
                <w:kern w:val="0"/>
                <w:szCs w:val="21"/>
              </w:rPr>
              <w:t>④</w:t>
            </w:r>
            <w:r>
              <w:rPr>
                <w:spacing w:val="-6"/>
                <w:kern w:val="0"/>
                <w:szCs w:val="21"/>
              </w:rPr>
              <w:fldChar w:fldCharType="end"/>
            </w:r>
            <w:r>
              <w:rPr>
                <w:spacing w:val="-6"/>
                <w:kern w:val="0"/>
                <w:szCs w:val="21"/>
              </w:rPr>
              <w:t>G4高速正阳引线、S219永定线正阳段、S335棠溪线（含G230）正阳段、S224确平线正阳段、大广高速正阳段、息邢高速正阳段两侧各外延500米范围内的区域。</w:t>
            </w:r>
          </w:p>
        </w:tc>
        <w:tc>
          <w:tcPr>
            <w:tcW w:w="4035" w:type="dxa"/>
            <w:noWrap w:val="0"/>
            <w:vAlign w:val="center"/>
          </w:tcPr>
          <w:p>
            <w:pPr>
              <w:adjustRightInd w:val="0"/>
              <w:snapToGrid w:val="0"/>
              <w:jc w:val="center"/>
              <w:rPr>
                <w:rFonts w:hint="eastAsia"/>
                <w:szCs w:val="21"/>
              </w:rPr>
            </w:pPr>
            <w:r>
              <w:rPr>
                <w:szCs w:val="21"/>
              </w:rPr>
              <w:t>距离最近的省道</w:t>
            </w:r>
            <w:r>
              <w:rPr>
                <w:rFonts w:hint="eastAsia"/>
                <w:szCs w:val="21"/>
              </w:rPr>
              <w:t xml:space="preserve">S335 </w:t>
            </w:r>
            <w:r>
              <w:rPr>
                <w:rFonts w:hint="eastAsia"/>
                <w:szCs w:val="21"/>
                <w:lang w:val="en-US" w:eastAsia="zh-CN"/>
              </w:rPr>
              <w:t>3.8</w:t>
            </w:r>
            <w:r>
              <w:rPr>
                <w:rFonts w:hint="eastAsia"/>
                <w:szCs w:val="21"/>
              </w:rPr>
              <w:t>km</w:t>
            </w:r>
          </w:p>
        </w:tc>
        <w:tc>
          <w:tcPr>
            <w:tcW w:w="1554" w:type="dxa"/>
            <w:vMerge w:val="continue"/>
            <w:noWrap w:val="0"/>
            <w:vAlign w:val="center"/>
          </w:tcPr>
          <w:p>
            <w:pPr>
              <w:adjustRightInd w:val="0"/>
              <w:snapToGrid w:val="0"/>
              <w:jc w:val="center"/>
              <w:rPr>
                <w:szCs w:val="21"/>
              </w:rPr>
            </w:pPr>
          </w:p>
        </w:tc>
      </w:tr>
    </w:tbl>
    <w:p>
      <w:pPr>
        <w:adjustRightInd w:val="0"/>
        <w:snapToGrid w:val="0"/>
        <w:spacing w:before="120" w:beforeLines="50" w:line="520" w:lineRule="exact"/>
        <w:ind w:firstLine="480" w:firstLineChars="200"/>
        <w:rPr>
          <w:sz w:val="24"/>
        </w:rPr>
      </w:pPr>
      <w:r>
        <w:rPr>
          <w:rFonts w:hint="eastAsia"/>
          <w:sz w:val="24"/>
        </w:rPr>
        <w:t>由表1</w:t>
      </w:r>
      <w:r>
        <w:rPr>
          <w:sz w:val="24"/>
        </w:rPr>
        <w:t>.7</w:t>
      </w:r>
      <w:r>
        <w:rPr>
          <w:rFonts w:hint="eastAsia"/>
          <w:sz w:val="24"/>
        </w:rPr>
        <w:t>-1知，</w:t>
      </w:r>
      <w:r>
        <w:rPr>
          <w:sz w:val="24"/>
        </w:rPr>
        <w:t>项目场址</w:t>
      </w:r>
      <w:r>
        <w:rPr>
          <w:rFonts w:hint="eastAsia"/>
          <w:sz w:val="24"/>
        </w:rPr>
        <w:t>地处农村地区</w:t>
      </w:r>
      <w:r>
        <w:rPr>
          <w:rFonts w:hAnsi="宋体"/>
          <w:sz w:val="24"/>
        </w:rPr>
        <w:t>，</w:t>
      </w:r>
      <w:r>
        <w:rPr>
          <w:rFonts w:hint="eastAsia"/>
          <w:sz w:val="24"/>
        </w:rPr>
        <w:t>评价范围内无自然保护区、风景名胜区、森林公园、集中式饮用水源保护区及</w:t>
      </w:r>
      <w:r>
        <w:rPr>
          <w:sz w:val="24"/>
        </w:rPr>
        <w:t>人口集中区域</w:t>
      </w:r>
      <w:r>
        <w:rPr>
          <w:rFonts w:hint="eastAsia"/>
          <w:sz w:val="24"/>
        </w:rPr>
        <w:t>；根据区域地下水调查资料可知，项目所在区域500m范围内无生活饮用水源地。因此</w:t>
      </w:r>
      <w:r>
        <w:rPr>
          <w:sz w:val="24"/>
        </w:rPr>
        <w:t>本项目不在禁养区、限养区范围内。</w:t>
      </w:r>
      <w:r>
        <w:rPr>
          <w:rFonts w:hint="eastAsia"/>
          <w:sz w:val="24"/>
        </w:rPr>
        <w:t>因此，本项目选址符合</w:t>
      </w:r>
      <w:r>
        <w:rPr>
          <w:sz w:val="24"/>
        </w:rPr>
        <w:t>《</w:t>
      </w:r>
      <w:r>
        <w:rPr>
          <w:rFonts w:ascii="宋体" w:hAnsi="宋体"/>
          <w:bCs/>
          <w:sz w:val="24"/>
        </w:rPr>
        <w:t>正阳县人民政府关于印发正阳县畜禽养殖禁养区划分及防治工作方案的通知</w:t>
      </w:r>
      <w:r>
        <w:rPr>
          <w:sz w:val="24"/>
        </w:rPr>
        <w:t>》</w:t>
      </w:r>
      <w:r>
        <w:rPr>
          <w:rFonts w:hint="eastAsia"/>
          <w:sz w:val="24"/>
        </w:rPr>
        <w:t>规定的要求。</w:t>
      </w:r>
    </w:p>
    <w:p>
      <w:pPr>
        <w:spacing w:line="500" w:lineRule="exact"/>
        <w:rPr>
          <w:rFonts w:eastAsia="楷体_GB2312"/>
          <w:b/>
          <w:bCs/>
        </w:rPr>
      </w:pPr>
      <w:r>
        <w:rPr>
          <w:rFonts w:eastAsia="黑体"/>
          <w:sz w:val="24"/>
        </w:rPr>
        <w:t xml:space="preserve">1.7.4 </w:t>
      </w:r>
      <w:r>
        <w:rPr>
          <w:rFonts w:hint="eastAsia" w:eastAsia="黑体"/>
          <w:sz w:val="24"/>
        </w:rPr>
        <w:t>正阳县</w:t>
      </w:r>
      <w:r>
        <w:rPr>
          <w:rFonts w:eastAsia="黑体"/>
          <w:sz w:val="24"/>
        </w:rPr>
        <w:t>城市总体规划（2012-2030）</w:t>
      </w:r>
    </w:p>
    <w:p>
      <w:pPr>
        <w:spacing w:line="500" w:lineRule="exact"/>
        <w:rPr>
          <w:rFonts w:hint="eastAsia" w:hAnsi="宋体"/>
          <w:sz w:val="24"/>
        </w:rPr>
      </w:pPr>
      <w:r>
        <w:rPr>
          <w:b/>
          <w:sz w:val="24"/>
        </w:rPr>
        <w:t xml:space="preserve">1.7.4.1  </w:t>
      </w:r>
      <w:r>
        <w:rPr>
          <w:rFonts w:hint="eastAsia"/>
          <w:b/>
          <w:sz w:val="24"/>
        </w:rPr>
        <w:t>正阳县</w:t>
      </w:r>
      <w:r>
        <w:rPr>
          <w:b/>
          <w:sz w:val="24"/>
        </w:rPr>
        <w:t>总体规划内容</w:t>
      </w:r>
    </w:p>
    <w:p>
      <w:pPr>
        <w:spacing w:line="500" w:lineRule="exact"/>
        <w:ind w:firstLine="480" w:firstLineChars="200"/>
        <w:rPr>
          <w:rFonts w:hAnsi="宋体"/>
          <w:sz w:val="24"/>
        </w:rPr>
      </w:pPr>
      <w:r>
        <w:rPr>
          <w:rFonts w:hAnsi="宋体"/>
          <w:sz w:val="24"/>
        </w:rPr>
        <w:t>根据《正阳县城乡总体规划（2012-2030）》，正阳县的城市建设规划为：</w:t>
      </w:r>
    </w:p>
    <w:p>
      <w:pPr>
        <w:spacing w:line="500" w:lineRule="exact"/>
        <w:ind w:firstLine="480" w:firstLineChars="200"/>
        <w:rPr>
          <w:rFonts w:hAnsi="宋体"/>
          <w:sz w:val="24"/>
        </w:rPr>
      </w:pPr>
      <w:r>
        <w:rPr>
          <w:rFonts w:hint="eastAsia" w:hAnsi="宋体"/>
          <w:sz w:val="24"/>
        </w:rPr>
        <w:t>（1）</w:t>
      </w:r>
      <w:r>
        <w:rPr>
          <w:rFonts w:hAnsi="宋体"/>
          <w:sz w:val="24"/>
        </w:rPr>
        <w:t>城乡空间布局结构</w:t>
      </w:r>
    </w:p>
    <w:p>
      <w:pPr>
        <w:spacing w:line="500" w:lineRule="exact"/>
        <w:rPr>
          <w:rFonts w:hAnsi="宋体"/>
          <w:sz w:val="24"/>
        </w:rPr>
      </w:pPr>
      <w:r>
        <w:rPr>
          <w:rFonts w:hAnsi="宋体"/>
          <w:sz w:val="24"/>
        </w:rPr>
        <w:t xml:space="preserve">    规划期末正阳县规划为“一核、三极、三轴、三区”的城乡空间结构。</w:t>
      </w:r>
    </w:p>
    <w:p>
      <w:pPr>
        <w:spacing w:line="500" w:lineRule="exact"/>
        <w:rPr>
          <w:rFonts w:hAnsi="宋体"/>
          <w:sz w:val="24"/>
        </w:rPr>
      </w:pPr>
      <w:r>
        <w:rPr>
          <w:rFonts w:hAnsi="宋体"/>
          <w:sz w:val="24"/>
        </w:rPr>
        <w:t xml:space="preserve">    “一核”：为中心城市，政治、经济、文化中心，以做强做大中心城区为正阳县未来发展的核心重点。 </w:t>
      </w:r>
    </w:p>
    <w:p>
      <w:pPr>
        <w:spacing w:line="500" w:lineRule="exact"/>
        <w:rPr>
          <w:rFonts w:hAnsi="宋体"/>
          <w:sz w:val="24"/>
        </w:rPr>
      </w:pPr>
      <w:r>
        <w:rPr>
          <w:rFonts w:hAnsi="宋体"/>
          <w:sz w:val="24"/>
        </w:rPr>
        <w:t xml:space="preserve">    “三极”：为重点镇：东部的汝南埠镇，南部的为陡沟镇和铜钟镇，为县域东部和南部的增长极，从而形成县域东部和南部中心，带动区域发展。 </w:t>
      </w:r>
    </w:p>
    <w:p>
      <w:pPr>
        <w:spacing w:line="500" w:lineRule="exact"/>
        <w:rPr>
          <w:rFonts w:hAnsi="宋体"/>
          <w:sz w:val="24"/>
        </w:rPr>
      </w:pPr>
      <w:r>
        <w:rPr>
          <w:rFonts w:hAnsi="宋体"/>
          <w:sz w:val="24"/>
        </w:rPr>
        <w:t xml:space="preserve">    “三轴”：南北向沿S219、S224城镇发展轴，东西向沿S335城镇发展轴。 </w:t>
      </w:r>
    </w:p>
    <w:p>
      <w:pPr>
        <w:spacing w:line="500" w:lineRule="exact"/>
        <w:rPr>
          <w:rFonts w:hAnsi="宋体"/>
          <w:sz w:val="24"/>
        </w:rPr>
      </w:pPr>
      <w:r>
        <w:rPr>
          <w:rFonts w:hAnsi="宋体"/>
          <w:sz w:val="24"/>
        </w:rPr>
        <w:t xml:space="preserve">    “三区”：西北部城镇核心密集区，东部城镇综合发展区、南部城镇综合发展区。</w:t>
      </w:r>
    </w:p>
    <w:p>
      <w:pPr>
        <w:spacing w:line="500" w:lineRule="exact"/>
        <w:rPr>
          <w:rFonts w:hAnsi="宋体"/>
          <w:sz w:val="24"/>
        </w:rPr>
      </w:pPr>
      <w:r>
        <w:rPr>
          <w:rFonts w:hAnsi="宋体"/>
          <w:sz w:val="24"/>
        </w:rPr>
        <w:t xml:space="preserve">    （2）中心城区用地布局：</w:t>
      </w:r>
    </w:p>
    <w:p>
      <w:pPr>
        <w:spacing w:line="500" w:lineRule="exact"/>
        <w:rPr>
          <w:sz w:val="24"/>
        </w:rPr>
      </w:pPr>
      <w:r>
        <w:rPr>
          <w:sz w:val="24"/>
        </w:rPr>
        <w:t xml:space="preserve">    </w:t>
      </w:r>
      <w:r>
        <w:rPr>
          <w:sz w:val="24"/>
        </w:rPr>
        <w:fldChar w:fldCharType="begin"/>
      </w:r>
      <w:r>
        <w:rPr>
          <w:sz w:val="24"/>
        </w:rPr>
        <w:instrText xml:space="preserve"> = 1 \* GB3 \* MERGEFORMAT </w:instrText>
      </w:r>
      <w:r>
        <w:rPr>
          <w:sz w:val="24"/>
        </w:rPr>
        <w:fldChar w:fldCharType="separate"/>
      </w:r>
      <w:r>
        <w:rPr>
          <w:rFonts w:ascii="宋体" w:hAnsi="宋体"/>
          <w:sz w:val="24"/>
        </w:rPr>
        <w:t>①</w:t>
      </w:r>
      <w:r>
        <w:rPr>
          <w:sz w:val="24"/>
        </w:rPr>
        <w:fldChar w:fldCharType="end"/>
      </w:r>
      <w:r>
        <w:rPr>
          <w:rFonts w:hAnsi="宋体"/>
          <w:sz w:val="24"/>
        </w:rPr>
        <w:t>居住用地</w:t>
      </w:r>
    </w:p>
    <w:p>
      <w:pPr>
        <w:spacing w:line="500" w:lineRule="exact"/>
        <w:rPr>
          <w:sz w:val="24"/>
        </w:rPr>
      </w:pPr>
      <w:r>
        <w:rPr>
          <w:sz w:val="24"/>
        </w:rPr>
        <w:t xml:space="preserve">    </w:t>
      </w:r>
      <w:r>
        <w:rPr>
          <w:rFonts w:hAnsi="宋体"/>
          <w:sz w:val="24"/>
        </w:rPr>
        <w:t>中心城区现状居住用地</w:t>
      </w:r>
      <w:r>
        <w:rPr>
          <w:sz w:val="24"/>
        </w:rPr>
        <w:t>601.36</w:t>
      </w:r>
      <w:r>
        <w:rPr>
          <w:rFonts w:hAnsi="宋体"/>
          <w:sz w:val="24"/>
        </w:rPr>
        <w:t>公顷，占现状建设用地总量的</w:t>
      </w:r>
      <w:r>
        <w:rPr>
          <w:sz w:val="24"/>
        </w:rPr>
        <w:t>44.39%</w:t>
      </w:r>
      <w:r>
        <w:rPr>
          <w:rFonts w:hAnsi="宋体"/>
          <w:sz w:val="24"/>
        </w:rPr>
        <w:t>，人均</w:t>
      </w:r>
      <w:r>
        <w:rPr>
          <w:sz w:val="24"/>
        </w:rPr>
        <w:t>42.95</w:t>
      </w:r>
      <w:r>
        <w:rPr>
          <w:rFonts w:hAnsi="宋体"/>
          <w:sz w:val="24"/>
        </w:rPr>
        <w:t>平方米。规划</w:t>
      </w:r>
      <w:r>
        <w:rPr>
          <w:sz w:val="24"/>
        </w:rPr>
        <w:t>2030</w:t>
      </w:r>
      <w:r>
        <w:rPr>
          <w:rFonts w:hAnsi="宋体"/>
          <w:sz w:val="24"/>
        </w:rPr>
        <w:t>年居住用地</w:t>
      </w:r>
      <w:r>
        <w:rPr>
          <w:sz w:val="24"/>
        </w:rPr>
        <w:t>1416.12</w:t>
      </w:r>
      <w:r>
        <w:rPr>
          <w:rFonts w:hAnsi="宋体"/>
          <w:sz w:val="24"/>
        </w:rPr>
        <w:t>公顷，占城市建设总用地的</w:t>
      </w:r>
      <w:r>
        <w:rPr>
          <w:sz w:val="24"/>
        </w:rPr>
        <w:t>28.61</w:t>
      </w:r>
      <w:r>
        <w:rPr>
          <w:rFonts w:hAnsi="宋体"/>
          <w:sz w:val="24"/>
        </w:rPr>
        <w:t>％，人均</w:t>
      </w:r>
      <w:r>
        <w:rPr>
          <w:sz w:val="24"/>
        </w:rPr>
        <w:t>31.47</w:t>
      </w:r>
      <w:r>
        <w:rPr>
          <w:rFonts w:hAnsi="宋体"/>
          <w:sz w:val="24"/>
        </w:rPr>
        <w:t>平方米。根据城市功能片区划分，将居住用地划分为</w:t>
      </w:r>
      <w:r>
        <w:rPr>
          <w:sz w:val="24"/>
        </w:rPr>
        <w:t>4</w:t>
      </w:r>
      <w:r>
        <w:rPr>
          <w:rFonts w:hAnsi="宋体"/>
          <w:sz w:val="24"/>
        </w:rPr>
        <w:t>个居住片区。</w:t>
      </w:r>
    </w:p>
    <w:p>
      <w:pPr>
        <w:spacing w:line="500" w:lineRule="exact"/>
        <w:rPr>
          <w:sz w:val="24"/>
        </w:rPr>
      </w:pPr>
      <w:r>
        <w:rPr>
          <w:sz w:val="24"/>
        </w:rPr>
        <w:t xml:space="preserve">    </w:t>
      </w:r>
      <w:r>
        <w:rPr>
          <w:sz w:val="24"/>
        </w:rPr>
        <w:fldChar w:fldCharType="begin"/>
      </w:r>
      <w:r>
        <w:rPr>
          <w:sz w:val="24"/>
        </w:rPr>
        <w:instrText xml:space="preserve"> = 2 \* GB3 \* MERGEFORMAT </w:instrText>
      </w:r>
      <w:r>
        <w:rPr>
          <w:sz w:val="24"/>
        </w:rPr>
        <w:fldChar w:fldCharType="separate"/>
      </w:r>
      <w:r>
        <w:rPr>
          <w:rFonts w:ascii="宋体" w:hAnsi="宋体"/>
          <w:sz w:val="24"/>
        </w:rPr>
        <w:t>②</w:t>
      </w:r>
      <w:r>
        <w:rPr>
          <w:sz w:val="24"/>
        </w:rPr>
        <w:fldChar w:fldCharType="end"/>
      </w:r>
      <w:r>
        <w:rPr>
          <w:rFonts w:hAnsi="宋体"/>
          <w:sz w:val="24"/>
        </w:rPr>
        <w:t>公共管理与公共服务用地</w:t>
      </w:r>
    </w:p>
    <w:p>
      <w:pPr>
        <w:spacing w:line="500" w:lineRule="exact"/>
        <w:rPr>
          <w:sz w:val="24"/>
        </w:rPr>
      </w:pPr>
      <w:r>
        <w:rPr>
          <w:sz w:val="24"/>
        </w:rPr>
        <w:t xml:space="preserve">    </w:t>
      </w:r>
      <w:r>
        <w:rPr>
          <w:rFonts w:hAnsi="宋体"/>
          <w:sz w:val="24"/>
        </w:rPr>
        <w:t>中心城区现状公共管理与公共服务用地</w:t>
      </w:r>
      <w:r>
        <w:rPr>
          <w:sz w:val="24"/>
        </w:rPr>
        <w:t>144.7</w:t>
      </w:r>
      <w:r>
        <w:rPr>
          <w:rFonts w:hAnsi="宋体"/>
          <w:sz w:val="24"/>
        </w:rPr>
        <w:t>公顷，占现状建设用地总量的</w:t>
      </w:r>
      <w:r>
        <w:rPr>
          <w:sz w:val="24"/>
        </w:rPr>
        <w:t>10.69%</w:t>
      </w:r>
      <w:r>
        <w:rPr>
          <w:rFonts w:hAnsi="宋体"/>
          <w:sz w:val="24"/>
        </w:rPr>
        <w:t>，人均</w:t>
      </w:r>
      <w:r>
        <w:rPr>
          <w:sz w:val="24"/>
        </w:rPr>
        <w:t>10.34</w:t>
      </w:r>
      <w:r>
        <w:rPr>
          <w:rFonts w:hAnsi="宋体"/>
          <w:sz w:val="24"/>
        </w:rPr>
        <w:t>平方米。规划</w:t>
      </w:r>
      <w:r>
        <w:rPr>
          <w:sz w:val="24"/>
        </w:rPr>
        <w:t>2030</w:t>
      </w:r>
      <w:r>
        <w:rPr>
          <w:rFonts w:hAnsi="宋体"/>
          <w:sz w:val="24"/>
        </w:rPr>
        <w:t>年公共管理与服务设施用地</w:t>
      </w:r>
      <w:r>
        <w:rPr>
          <w:sz w:val="24"/>
        </w:rPr>
        <w:t>389.2</w:t>
      </w:r>
      <w:r>
        <w:rPr>
          <w:rFonts w:hAnsi="宋体"/>
          <w:sz w:val="24"/>
        </w:rPr>
        <w:t>公顷，占城市建设用地</w:t>
      </w:r>
      <w:r>
        <w:rPr>
          <w:sz w:val="24"/>
        </w:rPr>
        <w:t>7.86%</w:t>
      </w:r>
      <w:r>
        <w:rPr>
          <w:rFonts w:hAnsi="宋体"/>
          <w:sz w:val="24"/>
        </w:rPr>
        <w:t>，人均</w:t>
      </w:r>
      <w:r>
        <w:rPr>
          <w:sz w:val="24"/>
        </w:rPr>
        <w:t>8.65</w:t>
      </w:r>
      <w:r>
        <w:rPr>
          <w:rFonts w:hAnsi="宋体"/>
          <w:sz w:val="24"/>
        </w:rPr>
        <w:t>平方米。公共设施的布局依托新区的建设，结合亲水空间和绿化空间布局。对老城区的公共管理和公共服务设施用地进行整合，根据实际发展需要合理的土地置换。</w:t>
      </w:r>
    </w:p>
    <w:p>
      <w:pPr>
        <w:spacing w:line="500" w:lineRule="exact"/>
        <w:rPr>
          <w:sz w:val="24"/>
        </w:rPr>
      </w:pPr>
      <w:r>
        <w:rPr>
          <w:sz w:val="24"/>
        </w:rPr>
        <w:t xml:space="preserve">    </w:t>
      </w:r>
      <w:r>
        <w:rPr>
          <w:sz w:val="24"/>
        </w:rPr>
        <w:fldChar w:fldCharType="begin"/>
      </w:r>
      <w:r>
        <w:rPr>
          <w:sz w:val="24"/>
        </w:rPr>
        <w:instrText xml:space="preserve"> = 3 \* GB3 \* MERGEFORMAT </w:instrText>
      </w:r>
      <w:r>
        <w:rPr>
          <w:sz w:val="24"/>
        </w:rPr>
        <w:fldChar w:fldCharType="separate"/>
      </w:r>
      <w:r>
        <w:rPr>
          <w:rFonts w:ascii="宋体" w:hAnsi="宋体"/>
          <w:sz w:val="24"/>
        </w:rPr>
        <w:t>③</w:t>
      </w:r>
      <w:r>
        <w:rPr>
          <w:sz w:val="24"/>
        </w:rPr>
        <w:fldChar w:fldCharType="end"/>
      </w:r>
      <w:r>
        <w:rPr>
          <w:rFonts w:hAnsi="宋体"/>
          <w:sz w:val="24"/>
        </w:rPr>
        <w:t>商业服务业设施用地</w:t>
      </w:r>
    </w:p>
    <w:p>
      <w:pPr>
        <w:spacing w:line="500" w:lineRule="exact"/>
        <w:rPr>
          <w:sz w:val="24"/>
        </w:rPr>
      </w:pPr>
      <w:r>
        <w:rPr>
          <w:sz w:val="24"/>
        </w:rPr>
        <w:t xml:space="preserve">    </w:t>
      </w:r>
      <w:r>
        <w:rPr>
          <w:rFonts w:hAnsi="宋体"/>
          <w:sz w:val="24"/>
        </w:rPr>
        <w:t>中心城区现状商业服务业设施用地</w:t>
      </w:r>
      <w:r>
        <w:rPr>
          <w:sz w:val="24"/>
        </w:rPr>
        <w:t>78.72</w:t>
      </w:r>
      <w:r>
        <w:rPr>
          <w:rFonts w:hAnsi="宋体"/>
          <w:sz w:val="24"/>
        </w:rPr>
        <w:t>公顷，占现状建设用地总量的</w:t>
      </w:r>
      <w:r>
        <w:rPr>
          <w:sz w:val="24"/>
        </w:rPr>
        <w:t>5.81%</w:t>
      </w:r>
      <w:r>
        <w:rPr>
          <w:rFonts w:hAnsi="宋体"/>
          <w:sz w:val="24"/>
        </w:rPr>
        <w:t>，人均</w:t>
      </w:r>
      <w:r>
        <w:rPr>
          <w:sz w:val="24"/>
        </w:rPr>
        <w:t>5.62</w:t>
      </w:r>
      <w:r>
        <w:rPr>
          <w:rFonts w:hAnsi="宋体"/>
          <w:sz w:val="24"/>
        </w:rPr>
        <w:t>平方米。规划</w:t>
      </w:r>
      <w:r>
        <w:rPr>
          <w:sz w:val="24"/>
        </w:rPr>
        <w:t>2030</w:t>
      </w:r>
      <w:r>
        <w:rPr>
          <w:rFonts w:hAnsi="宋体"/>
          <w:sz w:val="24"/>
        </w:rPr>
        <w:t>年商业服务业用地为</w:t>
      </w:r>
      <w:r>
        <w:rPr>
          <w:sz w:val="24"/>
        </w:rPr>
        <w:t>297.74</w:t>
      </w:r>
      <w:r>
        <w:rPr>
          <w:rFonts w:hAnsi="宋体"/>
          <w:sz w:val="24"/>
        </w:rPr>
        <w:t>公顷，占城市建设用地的</w:t>
      </w:r>
      <w:r>
        <w:rPr>
          <w:sz w:val="24"/>
        </w:rPr>
        <w:t>6.02</w:t>
      </w:r>
      <w:r>
        <w:rPr>
          <w:rFonts w:hAnsi="宋体"/>
          <w:sz w:val="24"/>
        </w:rPr>
        <w:t>％，人均</w:t>
      </w:r>
      <w:r>
        <w:rPr>
          <w:sz w:val="24"/>
        </w:rPr>
        <w:t>6.62</w:t>
      </w:r>
      <w:r>
        <w:rPr>
          <w:rFonts w:hAnsi="宋体"/>
          <w:sz w:val="24"/>
        </w:rPr>
        <w:t>平方米。商业服务业设施用地主要结合各片区中心进行布局，老城区主要对现状商业服务业设施进行用地的梳理整合，服务周边居民生活。新区商务办公、商业服务业用地布局，主要结合新区的功能形成联动，服务于县域及周边居民生活。</w:t>
      </w:r>
    </w:p>
    <w:p>
      <w:pPr>
        <w:spacing w:line="500" w:lineRule="exact"/>
        <w:rPr>
          <w:sz w:val="24"/>
        </w:rPr>
      </w:pPr>
      <w:r>
        <w:rPr>
          <w:sz w:val="24"/>
        </w:rPr>
        <w:t xml:space="preserve">    </w:t>
      </w:r>
      <w:r>
        <w:rPr>
          <w:sz w:val="24"/>
        </w:rPr>
        <w:fldChar w:fldCharType="begin"/>
      </w:r>
      <w:r>
        <w:rPr>
          <w:sz w:val="24"/>
        </w:rPr>
        <w:instrText xml:space="preserve"> = 4 \* GB3 \* MERGEFORMAT </w:instrText>
      </w:r>
      <w:r>
        <w:rPr>
          <w:sz w:val="24"/>
        </w:rPr>
        <w:fldChar w:fldCharType="separate"/>
      </w:r>
      <w:r>
        <w:rPr>
          <w:rFonts w:ascii="宋体" w:hAnsi="宋体"/>
          <w:sz w:val="24"/>
        </w:rPr>
        <w:t>④</w:t>
      </w:r>
      <w:r>
        <w:rPr>
          <w:sz w:val="24"/>
        </w:rPr>
        <w:fldChar w:fldCharType="end"/>
      </w:r>
      <w:r>
        <w:rPr>
          <w:rFonts w:hAnsi="宋体"/>
          <w:sz w:val="24"/>
        </w:rPr>
        <w:t>工业用地</w:t>
      </w:r>
    </w:p>
    <w:p>
      <w:pPr>
        <w:spacing w:line="500" w:lineRule="exact"/>
        <w:rPr>
          <w:sz w:val="24"/>
        </w:rPr>
      </w:pPr>
      <w:r>
        <w:rPr>
          <w:sz w:val="24"/>
        </w:rPr>
        <w:t xml:space="preserve">    </w:t>
      </w:r>
      <w:r>
        <w:rPr>
          <w:rFonts w:hAnsi="宋体"/>
          <w:sz w:val="24"/>
        </w:rPr>
        <w:t>中心城区现状工业用地</w:t>
      </w:r>
      <w:r>
        <w:rPr>
          <w:sz w:val="24"/>
        </w:rPr>
        <w:t>237.43</w:t>
      </w:r>
      <w:r>
        <w:rPr>
          <w:rFonts w:hAnsi="宋体"/>
          <w:sz w:val="24"/>
        </w:rPr>
        <w:t>公顷，占现状建设用地总量的</w:t>
      </w:r>
      <w:r>
        <w:rPr>
          <w:sz w:val="24"/>
        </w:rPr>
        <w:t>17.52%</w:t>
      </w:r>
      <w:r>
        <w:rPr>
          <w:rFonts w:hAnsi="宋体"/>
          <w:sz w:val="24"/>
        </w:rPr>
        <w:t>，人均</w:t>
      </w:r>
      <w:r>
        <w:rPr>
          <w:sz w:val="24"/>
        </w:rPr>
        <w:t>16.96</w:t>
      </w:r>
      <w:r>
        <w:rPr>
          <w:rFonts w:hAnsi="宋体"/>
          <w:sz w:val="24"/>
        </w:rPr>
        <w:t>平方米。规划</w:t>
      </w:r>
      <w:r>
        <w:rPr>
          <w:sz w:val="24"/>
        </w:rPr>
        <w:t xml:space="preserve">2030 </w:t>
      </w:r>
      <w:r>
        <w:rPr>
          <w:rFonts w:hAnsi="宋体"/>
          <w:sz w:val="24"/>
        </w:rPr>
        <w:t>年工业用地</w:t>
      </w:r>
      <w:r>
        <w:rPr>
          <w:sz w:val="24"/>
        </w:rPr>
        <w:t>1171.58</w:t>
      </w:r>
      <w:r>
        <w:rPr>
          <w:rFonts w:hAnsi="宋体"/>
          <w:sz w:val="24"/>
        </w:rPr>
        <w:t>公顷，占城市建设用地</w:t>
      </w:r>
      <w:r>
        <w:rPr>
          <w:sz w:val="24"/>
        </w:rPr>
        <w:t>23.67</w:t>
      </w:r>
      <w:r>
        <w:rPr>
          <w:rFonts w:hAnsi="宋体"/>
          <w:sz w:val="24"/>
        </w:rPr>
        <w:t>％，人均</w:t>
      </w:r>
      <w:r>
        <w:rPr>
          <w:sz w:val="24"/>
        </w:rPr>
        <w:t>26.03</w:t>
      </w:r>
      <w:r>
        <w:rPr>
          <w:rFonts w:hAnsi="宋体"/>
          <w:sz w:val="24"/>
        </w:rPr>
        <w:t>平方米。工业用地主要集中布局在产业集聚区，鼓励同类产业的相对集中，注重集聚区的基础设施配套，抓好工业污染的治理，避免工业发展对城区的环境干扰。</w:t>
      </w:r>
    </w:p>
    <w:p>
      <w:pPr>
        <w:spacing w:line="500" w:lineRule="exact"/>
        <w:rPr>
          <w:sz w:val="24"/>
        </w:rPr>
      </w:pPr>
      <w:r>
        <w:rPr>
          <w:sz w:val="24"/>
        </w:rPr>
        <w:t xml:space="preserve">    </w:t>
      </w:r>
      <w:r>
        <w:rPr>
          <w:sz w:val="24"/>
        </w:rPr>
        <w:fldChar w:fldCharType="begin"/>
      </w:r>
      <w:r>
        <w:rPr>
          <w:sz w:val="24"/>
        </w:rPr>
        <w:instrText xml:space="preserve"> = 5 \* GB3 \* MERGEFORMAT </w:instrText>
      </w:r>
      <w:r>
        <w:rPr>
          <w:sz w:val="24"/>
        </w:rPr>
        <w:fldChar w:fldCharType="separate"/>
      </w:r>
      <w:r>
        <w:rPr>
          <w:rFonts w:ascii="宋体" w:hAnsi="宋体"/>
          <w:sz w:val="24"/>
        </w:rPr>
        <w:t>⑤</w:t>
      </w:r>
      <w:r>
        <w:rPr>
          <w:sz w:val="24"/>
        </w:rPr>
        <w:fldChar w:fldCharType="end"/>
      </w:r>
      <w:r>
        <w:rPr>
          <w:rFonts w:hAnsi="宋体"/>
          <w:sz w:val="24"/>
        </w:rPr>
        <w:t>物流仓储用地</w:t>
      </w:r>
    </w:p>
    <w:p>
      <w:pPr>
        <w:spacing w:line="500" w:lineRule="exact"/>
        <w:rPr>
          <w:sz w:val="24"/>
        </w:rPr>
      </w:pPr>
      <w:r>
        <w:rPr>
          <w:sz w:val="24"/>
        </w:rPr>
        <w:t xml:space="preserve">    </w:t>
      </w:r>
      <w:r>
        <w:rPr>
          <w:rFonts w:hAnsi="宋体"/>
          <w:sz w:val="24"/>
        </w:rPr>
        <w:t>中心城区现状物流仓储用地</w:t>
      </w:r>
      <w:r>
        <w:rPr>
          <w:sz w:val="24"/>
        </w:rPr>
        <w:t>9.08</w:t>
      </w:r>
      <w:r>
        <w:rPr>
          <w:rFonts w:hAnsi="宋体"/>
          <w:sz w:val="24"/>
        </w:rPr>
        <w:t>公顷，占现状建设用地总量的</w:t>
      </w:r>
      <w:r>
        <w:rPr>
          <w:sz w:val="24"/>
        </w:rPr>
        <w:t>0.67%</w:t>
      </w:r>
      <w:r>
        <w:rPr>
          <w:rFonts w:hAnsi="宋体"/>
          <w:sz w:val="24"/>
        </w:rPr>
        <w:t>，人均</w:t>
      </w:r>
      <w:r>
        <w:rPr>
          <w:sz w:val="24"/>
        </w:rPr>
        <w:t>0.65</w:t>
      </w:r>
      <w:r>
        <w:rPr>
          <w:rFonts w:hAnsi="宋体"/>
          <w:sz w:val="24"/>
        </w:rPr>
        <w:t>平方米。规划</w:t>
      </w:r>
      <w:r>
        <w:rPr>
          <w:sz w:val="24"/>
        </w:rPr>
        <w:t xml:space="preserve">2030 </w:t>
      </w:r>
      <w:r>
        <w:rPr>
          <w:rFonts w:hAnsi="宋体"/>
          <w:sz w:val="24"/>
        </w:rPr>
        <w:t>年物流仓储用地</w:t>
      </w:r>
      <w:r>
        <w:rPr>
          <w:sz w:val="24"/>
        </w:rPr>
        <w:t>156.72</w:t>
      </w:r>
      <w:r>
        <w:rPr>
          <w:rFonts w:hAnsi="宋体"/>
          <w:sz w:val="24"/>
        </w:rPr>
        <w:t>公顷，占城市建设用地</w:t>
      </w:r>
      <w:r>
        <w:rPr>
          <w:sz w:val="24"/>
        </w:rPr>
        <w:t>3.16</w:t>
      </w:r>
      <w:r>
        <w:rPr>
          <w:rFonts w:hAnsi="宋体"/>
          <w:sz w:val="24"/>
        </w:rPr>
        <w:t>％，人均</w:t>
      </w:r>
      <w:r>
        <w:rPr>
          <w:sz w:val="24"/>
        </w:rPr>
        <w:t>3.48</w:t>
      </w:r>
      <w:r>
        <w:rPr>
          <w:rFonts w:hAnsi="宋体"/>
          <w:sz w:val="24"/>
        </w:rPr>
        <w:t>平方米。物流仓储用地布局主要结合主要的对外交通节点分片集中布置。</w:t>
      </w:r>
    </w:p>
    <w:p>
      <w:pPr>
        <w:spacing w:line="500" w:lineRule="exact"/>
        <w:rPr>
          <w:sz w:val="24"/>
        </w:rPr>
      </w:pPr>
      <w:r>
        <w:rPr>
          <w:sz w:val="24"/>
        </w:rPr>
        <w:t xml:space="preserve">    </w:t>
      </w:r>
      <w:r>
        <w:rPr>
          <w:sz w:val="24"/>
        </w:rPr>
        <w:fldChar w:fldCharType="begin"/>
      </w:r>
      <w:r>
        <w:rPr>
          <w:sz w:val="24"/>
        </w:rPr>
        <w:instrText xml:space="preserve"> = 6 \* GB3 \* MERGEFORMAT </w:instrText>
      </w:r>
      <w:r>
        <w:rPr>
          <w:sz w:val="24"/>
        </w:rPr>
        <w:fldChar w:fldCharType="separate"/>
      </w:r>
      <w:r>
        <w:rPr>
          <w:rFonts w:ascii="宋体" w:hAnsi="宋体"/>
          <w:sz w:val="24"/>
        </w:rPr>
        <w:t>⑥</w:t>
      </w:r>
      <w:r>
        <w:rPr>
          <w:sz w:val="24"/>
        </w:rPr>
        <w:fldChar w:fldCharType="end"/>
      </w:r>
      <w:r>
        <w:rPr>
          <w:rFonts w:hAnsi="宋体"/>
          <w:sz w:val="24"/>
        </w:rPr>
        <w:t>道路交通设施用地</w:t>
      </w:r>
    </w:p>
    <w:p>
      <w:pPr>
        <w:spacing w:line="500" w:lineRule="exact"/>
        <w:rPr>
          <w:sz w:val="24"/>
        </w:rPr>
      </w:pPr>
      <w:r>
        <w:rPr>
          <w:sz w:val="24"/>
        </w:rPr>
        <w:t xml:space="preserve">    </w:t>
      </w:r>
      <w:r>
        <w:rPr>
          <w:rFonts w:hAnsi="宋体"/>
          <w:sz w:val="24"/>
        </w:rPr>
        <w:t>中心城区现状交通设施用地</w:t>
      </w:r>
      <w:r>
        <w:rPr>
          <w:sz w:val="24"/>
        </w:rPr>
        <w:t>220.31</w:t>
      </w:r>
      <w:r>
        <w:rPr>
          <w:rFonts w:hAnsi="宋体"/>
          <w:sz w:val="24"/>
        </w:rPr>
        <w:t>公顷，占现状建设用地总量的</w:t>
      </w:r>
      <w:r>
        <w:rPr>
          <w:sz w:val="24"/>
        </w:rPr>
        <w:t>16.26%</w:t>
      </w:r>
      <w:r>
        <w:rPr>
          <w:rFonts w:hAnsi="宋体"/>
          <w:sz w:val="24"/>
        </w:rPr>
        <w:t>，人均</w:t>
      </w:r>
      <w:r>
        <w:rPr>
          <w:sz w:val="24"/>
        </w:rPr>
        <w:t>15.7</w:t>
      </w:r>
      <w:r>
        <w:rPr>
          <w:rFonts w:hAnsi="宋体"/>
          <w:sz w:val="24"/>
        </w:rPr>
        <w:t>平方米。规划交通设施用地</w:t>
      </w:r>
      <w:r>
        <w:rPr>
          <w:sz w:val="24"/>
        </w:rPr>
        <w:t>732.23</w:t>
      </w:r>
      <w:r>
        <w:rPr>
          <w:rFonts w:hAnsi="宋体"/>
          <w:sz w:val="24"/>
        </w:rPr>
        <w:t>公顷，占城市建设用地的</w:t>
      </w:r>
      <w:r>
        <w:rPr>
          <w:sz w:val="24"/>
        </w:rPr>
        <w:t>14.79%</w:t>
      </w:r>
      <w:r>
        <w:rPr>
          <w:rFonts w:hAnsi="宋体"/>
          <w:sz w:val="24"/>
        </w:rPr>
        <w:t>，人均</w:t>
      </w:r>
      <w:r>
        <w:rPr>
          <w:sz w:val="24"/>
        </w:rPr>
        <w:t>16.27</w:t>
      </w:r>
      <w:r>
        <w:rPr>
          <w:rFonts w:hAnsi="宋体"/>
          <w:sz w:val="24"/>
        </w:rPr>
        <w:t>平方米。</w:t>
      </w:r>
    </w:p>
    <w:p>
      <w:pPr>
        <w:spacing w:line="500" w:lineRule="exact"/>
        <w:rPr>
          <w:sz w:val="24"/>
        </w:rPr>
      </w:pPr>
      <w:r>
        <w:rPr>
          <w:sz w:val="24"/>
        </w:rPr>
        <w:t xml:space="preserve">    </w:t>
      </w:r>
      <w:r>
        <w:rPr>
          <w:sz w:val="24"/>
        </w:rPr>
        <w:fldChar w:fldCharType="begin"/>
      </w:r>
      <w:r>
        <w:rPr>
          <w:sz w:val="24"/>
        </w:rPr>
        <w:instrText xml:space="preserve"> = 7 \* GB3 \* MERGEFORMAT </w:instrText>
      </w:r>
      <w:r>
        <w:rPr>
          <w:sz w:val="24"/>
        </w:rPr>
        <w:fldChar w:fldCharType="separate"/>
      </w:r>
      <w:r>
        <w:rPr>
          <w:rFonts w:ascii="宋体" w:hAnsi="宋体"/>
          <w:sz w:val="24"/>
        </w:rPr>
        <w:t>⑦</w:t>
      </w:r>
      <w:r>
        <w:rPr>
          <w:sz w:val="24"/>
        </w:rPr>
        <w:fldChar w:fldCharType="end"/>
      </w:r>
      <w:r>
        <w:rPr>
          <w:rFonts w:hAnsi="宋体"/>
          <w:sz w:val="24"/>
        </w:rPr>
        <w:t>公用设施用地</w:t>
      </w:r>
    </w:p>
    <w:p>
      <w:pPr>
        <w:spacing w:line="500" w:lineRule="exact"/>
        <w:rPr>
          <w:rFonts w:hAnsi="宋体"/>
          <w:sz w:val="24"/>
        </w:rPr>
      </w:pPr>
      <w:r>
        <w:rPr>
          <w:sz w:val="24"/>
        </w:rPr>
        <w:t xml:space="preserve">    </w:t>
      </w:r>
      <w:r>
        <w:rPr>
          <w:rFonts w:hAnsi="宋体"/>
          <w:sz w:val="24"/>
        </w:rPr>
        <w:t>中心城区现状公用设施用地</w:t>
      </w:r>
      <w:r>
        <w:rPr>
          <w:sz w:val="24"/>
        </w:rPr>
        <w:t>10.34</w:t>
      </w:r>
      <w:r>
        <w:rPr>
          <w:rFonts w:hAnsi="宋体"/>
          <w:sz w:val="24"/>
        </w:rPr>
        <w:t>公顷，占现状建设用地总量的</w:t>
      </w:r>
      <w:r>
        <w:rPr>
          <w:sz w:val="24"/>
        </w:rPr>
        <w:t>0.76%</w:t>
      </w:r>
      <w:r>
        <w:rPr>
          <w:rFonts w:hAnsi="宋体"/>
          <w:sz w:val="24"/>
        </w:rPr>
        <w:t>，人均</w:t>
      </w:r>
      <w:r>
        <w:rPr>
          <w:sz w:val="24"/>
        </w:rPr>
        <w:t>0.74</w:t>
      </w:r>
      <w:r>
        <w:rPr>
          <w:rFonts w:hAnsi="宋体"/>
          <w:sz w:val="24"/>
        </w:rPr>
        <w:t>平方米。规划公用设施用地36.5公顷，占城市建设用地0.73%，人均0.81平方米。</w:t>
      </w:r>
    </w:p>
    <w:p>
      <w:pPr>
        <w:spacing w:line="500" w:lineRule="exact"/>
        <w:rPr>
          <w:rFonts w:hAnsi="宋体"/>
          <w:sz w:val="24"/>
        </w:rPr>
      </w:pPr>
      <w:r>
        <w:rPr>
          <w:rFonts w:hAnsi="宋体"/>
          <w:sz w:val="24"/>
        </w:rPr>
        <w:t xml:space="preserve">    </w:t>
      </w:r>
      <w:r>
        <w:rPr>
          <w:rFonts w:hAnsi="宋体"/>
          <w:sz w:val="24"/>
        </w:rPr>
        <w:fldChar w:fldCharType="begin"/>
      </w:r>
      <w:r>
        <w:rPr>
          <w:rFonts w:hAnsi="宋体"/>
          <w:sz w:val="24"/>
        </w:rPr>
        <w:instrText xml:space="preserve"> = 8 \* GB3 \* MERGEFORMAT </w:instrText>
      </w:r>
      <w:r>
        <w:rPr>
          <w:rFonts w:hAnsi="宋体"/>
          <w:sz w:val="24"/>
        </w:rPr>
        <w:fldChar w:fldCharType="separate"/>
      </w:r>
      <w:r>
        <w:rPr>
          <w:rFonts w:hAnsi="宋体"/>
          <w:sz w:val="24"/>
        </w:rPr>
        <w:t>⑧</w:t>
      </w:r>
      <w:r>
        <w:rPr>
          <w:rFonts w:hAnsi="宋体"/>
          <w:sz w:val="24"/>
        </w:rPr>
        <w:fldChar w:fldCharType="end"/>
      </w:r>
      <w:r>
        <w:rPr>
          <w:rFonts w:hAnsi="宋体"/>
          <w:sz w:val="24"/>
        </w:rPr>
        <w:t>绿地</w:t>
      </w:r>
    </w:p>
    <w:p>
      <w:pPr>
        <w:spacing w:line="500" w:lineRule="exact"/>
        <w:ind w:firstLine="480"/>
        <w:rPr>
          <w:rFonts w:hAnsi="宋体"/>
          <w:sz w:val="24"/>
        </w:rPr>
      </w:pPr>
      <w:r>
        <w:rPr>
          <w:rFonts w:hAnsi="宋体"/>
          <w:sz w:val="24"/>
        </w:rPr>
        <w:t>中心城区现状绿地52.86公顷，占现状建设用地总量的3.9%，人均3.78平方米。规划按照园林城市的标准，大幅度提高绿地的用地指标。规划绿地750.28公顷，占城市建设用地15.16%，人均16.67平方米。</w:t>
      </w:r>
    </w:p>
    <w:p>
      <w:pPr>
        <w:spacing w:line="500" w:lineRule="exact"/>
        <w:rPr>
          <w:rFonts w:hAnsi="宋体"/>
          <w:b/>
          <w:sz w:val="24"/>
        </w:rPr>
      </w:pPr>
      <w:r>
        <w:rPr>
          <w:b/>
          <w:sz w:val="24"/>
        </w:rPr>
        <w:t xml:space="preserve">1.7.4.2  </w:t>
      </w:r>
      <w:r>
        <w:rPr>
          <w:rFonts w:hAnsi="宋体"/>
          <w:b/>
          <w:sz w:val="24"/>
        </w:rPr>
        <w:t>项目建设与城乡总体规划的相符性</w:t>
      </w:r>
    </w:p>
    <w:p>
      <w:pPr>
        <w:spacing w:line="500" w:lineRule="exact"/>
        <w:ind w:firstLine="480" w:firstLineChars="200"/>
        <w:rPr>
          <w:sz w:val="24"/>
        </w:rPr>
      </w:pPr>
      <w:r>
        <w:rPr>
          <w:sz w:val="24"/>
        </w:rPr>
        <w:t>本项目位于河南省</w:t>
      </w:r>
      <w:r>
        <w:rPr>
          <w:rFonts w:hint="eastAsia"/>
          <w:sz w:val="24"/>
          <w:lang w:eastAsia="zh-CN"/>
        </w:rPr>
        <w:t>正阳县汝南埠镇大温寺王店</w:t>
      </w:r>
      <w:r>
        <w:rPr>
          <w:sz w:val="24"/>
        </w:rPr>
        <w:t>，</w:t>
      </w:r>
      <w:r>
        <w:rPr>
          <w:rFonts w:hint="eastAsia"/>
          <w:sz w:val="24"/>
        </w:rPr>
        <w:t>东北</w:t>
      </w:r>
      <w:r>
        <w:rPr>
          <w:sz w:val="24"/>
        </w:rPr>
        <w:t>距</w:t>
      </w:r>
      <w:r>
        <w:rPr>
          <w:rFonts w:hint="eastAsia"/>
          <w:sz w:val="24"/>
        </w:rPr>
        <w:t>正阳县</w:t>
      </w:r>
      <w:r>
        <w:rPr>
          <w:sz w:val="24"/>
        </w:rPr>
        <w:t>总规</w:t>
      </w:r>
      <w:r>
        <w:rPr>
          <w:rFonts w:hint="eastAsia"/>
          <w:sz w:val="24"/>
        </w:rPr>
        <w:t>西</w:t>
      </w:r>
      <w:r>
        <w:rPr>
          <w:sz w:val="24"/>
        </w:rPr>
        <w:t>边界约</w:t>
      </w:r>
      <w:r>
        <w:rPr>
          <w:rFonts w:hint="eastAsia"/>
          <w:sz w:val="24"/>
          <w:lang w:val="en-US" w:eastAsia="zh-CN"/>
        </w:rPr>
        <w:t>31</w:t>
      </w:r>
      <w:r>
        <w:rPr>
          <w:sz w:val="24"/>
        </w:rPr>
        <w:t>km，与《</w:t>
      </w:r>
      <w:r>
        <w:rPr>
          <w:rFonts w:hint="eastAsia"/>
          <w:sz w:val="24"/>
        </w:rPr>
        <w:t>正阳县</w:t>
      </w:r>
      <w:r>
        <w:rPr>
          <w:sz w:val="24"/>
        </w:rPr>
        <w:t>城市总体规划》(2012-2030)城市规划区范围对比，本项目不在《</w:t>
      </w:r>
      <w:r>
        <w:rPr>
          <w:rFonts w:hint="eastAsia"/>
          <w:sz w:val="24"/>
        </w:rPr>
        <w:t>正阳县</w:t>
      </w:r>
      <w:r>
        <w:rPr>
          <w:sz w:val="24"/>
        </w:rPr>
        <w:t>城市总体规划》</w:t>
      </w:r>
      <w:r>
        <w:rPr>
          <w:rFonts w:hint="eastAsia"/>
          <w:sz w:val="24"/>
        </w:rPr>
        <w:t>范围</w:t>
      </w:r>
      <w:r>
        <w:rPr>
          <w:sz w:val="24"/>
        </w:rPr>
        <w:t>内，故本次项目的建设不违背</w:t>
      </w:r>
      <w:r>
        <w:rPr>
          <w:rFonts w:hint="eastAsia"/>
          <w:sz w:val="24"/>
        </w:rPr>
        <w:t>正阳县</w:t>
      </w:r>
      <w:r>
        <w:rPr>
          <w:sz w:val="24"/>
        </w:rPr>
        <w:t>城市总体规划。</w:t>
      </w:r>
    </w:p>
    <w:p>
      <w:pPr>
        <w:pStyle w:val="2"/>
        <w:snapToGrid w:val="0"/>
        <w:spacing w:before="0" w:after="0" w:line="520" w:lineRule="exact"/>
        <w:rPr>
          <w:rFonts w:hint="eastAsia" w:eastAsia="黑体"/>
          <w:b w:val="0"/>
          <w:bCs w:val="0"/>
          <w:sz w:val="24"/>
          <w:szCs w:val="24"/>
        </w:rPr>
      </w:pPr>
      <w:r>
        <w:rPr>
          <w:rFonts w:hint="eastAsia" w:eastAsia="黑体"/>
          <w:b w:val="0"/>
          <w:bCs w:val="0"/>
          <w:sz w:val="24"/>
          <w:szCs w:val="24"/>
        </w:rPr>
        <w:t>1.7.</w:t>
      </w:r>
      <w:r>
        <w:rPr>
          <w:rFonts w:eastAsia="黑体"/>
          <w:b w:val="0"/>
          <w:bCs w:val="0"/>
          <w:sz w:val="24"/>
          <w:szCs w:val="24"/>
        </w:rPr>
        <w:t>5</w:t>
      </w:r>
      <w:r>
        <w:rPr>
          <w:rFonts w:hint="eastAsia" w:eastAsia="黑体"/>
          <w:b w:val="0"/>
          <w:bCs w:val="0"/>
          <w:sz w:val="24"/>
          <w:szCs w:val="24"/>
        </w:rPr>
        <w:t>与饮用水源</w:t>
      </w:r>
      <w:r>
        <w:rPr>
          <w:rFonts w:eastAsia="黑体"/>
          <w:b w:val="0"/>
          <w:bCs w:val="0"/>
          <w:sz w:val="24"/>
          <w:szCs w:val="24"/>
        </w:rPr>
        <w:t>保护规划相符性分析</w:t>
      </w:r>
    </w:p>
    <w:p>
      <w:pPr>
        <w:spacing w:line="500" w:lineRule="exact"/>
        <w:rPr>
          <w:b/>
          <w:sz w:val="24"/>
        </w:rPr>
      </w:pPr>
      <w:r>
        <w:rPr>
          <w:b/>
          <w:sz w:val="24"/>
        </w:rPr>
        <w:t>1.7.5.1《</w:t>
      </w:r>
      <w:r>
        <w:rPr>
          <w:rFonts w:hint="eastAsia"/>
          <w:b/>
          <w:sz w:val="24"/>
        </w:rPr>
        <w:t>驻马店市正阳县</w:t>
      </w:r>
      <w:r>
        <w:rPr>
          <w:b/>
          <w:sz w:val="24"/>
        </w:rPr>
        <w:t>乡镇集中式饮用水水源保护区划分技术报告》</w:t>
      </w:r>
    </w:p>
    <w:p>
      <w:pPr>
        <w:spacing w:line="520" w:lineRule="exact"/>
        <w:ind w:firstLine="480" w:firstLineChars="200"/>
        <w:rPr>
          <w:rFonts w:hAnsi="宋体"/>
          <w:sz w:val="24"/>
        </w:rPr>
      </w:pPr>
      <w:r>
        <w:rPr>
          <w:rFonts w:hAnsi="宋体"/>
          <w:sz w:val="24"/>
        </w:rPr>
        <w:t>根据《驻马店市正阳县乡镇集中式饮用水水源保护区划分技术报告》可知，正阳县辖8个镇11个乡，具体情况见表1.7-2。</w:t>
      </w:r>
    </w:p>
    <w:p>
      <w:pPr>
        <w:spacing w:line="520" w:lineRule="exact"/>
        <w:jc w:val="center"/>
        <w:rPr>
          <w:rFonts w:hAnsi="宋体"/>
          <w:b/>
          <w:sz w:val="24"/>
        </w:rPr>
      </w:pPr>
      <w:r>
        <w:rPr>
          <w:rFonts w:hAnsi="宋体"/>
          <w:b/>
          <w:sz w:val="24"/>
        </w:rPr>
        <w:t>表1.7-2    正阳县乡镇饮用水水源地统计一览表</w:t>
      </w:r>
    </w:p>
    <w:tbl>
      <w:tblPr>
        <w:tblStyle w:val="1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60"/>
        <w:gridCol w:w="2362"/>
        <w:gridCol w:w="2153"/>
        <w:gridCol w:w="1659"/>
        <w:gridCol w:w="1006"/>
        <w:gridCol w:w="100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9" w:hRule="atLeast"/>
          <w:tblHeader/>
          <w:jc w:val="center"/>
        </w:trPr>
        <w:tc>
          <w:tcPr>
            <w:tcW w:w="425" w:type="pct"/>
            <w:noWrap w:val="0"/>
            <w:vAlign w:val="center"/>
          </w:tcPr>
          <w:p>
            <w:pPr>
              <w:jc w:val="center"/>
              <w:rPr>
                <w:b/>
                <w:szCs w:val="21"/>
              </w:rPr>
            </w:pPr>
            <w:r>
              <w:rPr>
                <w:b/>
                <w:szCs w:val="21"/>
              </w:rPr>
              <w:t>序号</w:t>
            </w:r>
          </w:p>
        </w:tc>
        <w:tc>
          <w:tcPr>
            <w:tcW w:w="1320" w:type="pct"/>
            <w:noWrap w:val="0"/>
            <w:vAlign w:val="center"/>
          </w:tcPr>
          <w:p>
            <w:pPr>
              <w:jc w:val="center"/>
              <w:rPr>
                <w:b/>
                <w:szCs w:val="21"/>
              </w:rPr>
            </w:pPr>
            <w:r>
              <w:rPr>
                <w:b/>
                <w:szCs w:val="21"/>
              </w:rPr>
              <w:t>水源地名称</w:t>
            </w:r>
          </w:p>
        </w:tc>
        <w:tc>
          <w:tcPr>
            <w:tcW w:w="1203" w:type="pct"/>
            <w:noWrap w:val="0"/>
            <w:vAlign w:val="center"/>
          </w:tcPr>
          <w:p>
            <w:pPr>
              <w:jc w:val="center"/>
              <w:rPr>
                <w:b/>
                <w:szCs w:val="21"/>
              </w:rPr>
            </w:pPr>
            <w:r>
              <w:rPr>
                <w:b/>
                <w:szCs w:val="21"/>
              </w:rPr>
              <w:t>水井（位置）名称</w:t>
            </w:r>
          </w:p>
        </w:tc>
        <w:tc>
          <w:tcPr>
            <w:tcW w:w="927" w:type="pct"/>
            <w:noWrap w:val="0"/>
            <w:vAlign w:val="center"/>
          </w:tcPr>
          <w:p>
            <w:pPr>
              <w:jc w:val="center"/>
              <w:rPr>
                <w:b/>
                <w:szCs w:val="21"/>
              </w:rPr>
            </w:pPr>
            <w:r>
              <w:rPr>
                <w:b/>
                <w:szCs w:val="21"/>
              </w:rPr>
              <w:t>供水井数量（个）</w:t>
            </w:r>
          </w:p>
        </w:tc>
        <w:tc>
          <w:tcPr>
            <w:tcW w:w="562" w:type="pct"/>
            <w:noWrap w:val="0"/>
            <w:vAlign w:val="center"/>
          </w:tcPr>
          <w:p>
            <w:pPr>
              <w:jc w:val="center"/>
              <w:rPr>
                <w:b/>
                <w:szCs w:val="21"/>
              </w:rPr>
            </w:pPr>
            <w:r>
              <w:rPr>
                <w:b/>
                <w:szCs w:val="21"/>
              </w:rPr>
              <w:t>备注</w:t>
            </w:r>
          </w:p>
        </w:tc>
        <w:tc>
          <w:tcPr>
            <w:tcW w:w="562" w:type="pct"/>
            <w:noWrap w:val="0"/>
            <w:vAlign w:val="top"/>
          </w:tcPr>
          <w:p>
            <w:pPr>
              <w:jc w:val="center"/>
              <w:rPr>
                <w:b/>
                <w:szCs w:val="21"/>
              </w:rPr>
            </w:pPr>
            <w:r>
              <w:rPr>
                <w:b/>
                <w:szCs w:val="21"/>
              </w:rPr>
              <w:t>水源保护区定界情况,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425" w:type="pct"/>
            <w:noWrap w:val="0"/>
            <w:vAlign w:val="center"/>
          </w:tcPr>
          <w:p>
            <w:pPr>
              <w:autoSpaceDE w:val="0"/>
              <w:autoSpaceDN w:val="0"/>
              <w:adjustRightInd w:val="0"/>
              <w:jc w:val="center"/>
              <w:rPr>
                <w:szCs w:val="21"/>
              </w:rPr>
            </w:pPr>
            <w:r>
              <w:rPr>
                <w:szCs w:val="21"/>
              </w:rPr>
              <w:t>1</w:t>
            </w:r>
          </w:p>
        </w:tc>
        <w:tc>
          <w:tcPr>
            <w:tcW w:w="1320" w:type="pct"/>
            <w:noWrap w:val="0"/>
            <w:vAlign w:val="center"/>
          </w:tcPr>
          <w:p>
            <w:pPr>
              <w:jc w:val="center"/>
              <w:rPr>
                <w:szCs w:val="21"/>
              </w:rPr>
            </w:pPr>
            <w:r>
              <w:rPr>
                <w:rFonts w:hint="eastAsia"/>
                <w:szCs w:val="21"/>
                <w:lang w:eastAsia="zh-CN"/>
              </w:rPr>
              <w:t>汝南埠镇</w:t>
            </w:r>
            <w:r>
              <w:rPr>
                <w:szCs w:val="21"/>
              </w:rPr>
              <w:t>地下水井</w:t>
            </w:r>
          </w:p>
        </w:tc>
        <w:tc>
          <w:tcPr>
            <w:tcW w:w="1203" w:type="pct"/>
            <w:noWrap w:val="0"/>
            <w:vAlign w:val="center"/>
          </w:tcPr>
          <w:p>
            <w:pPr>
              <w:pStyle w:val="14"/>
              <w:spacing w:before="0" w:beforeAutospacing="0" w:after="0" w:afterAutospacing="0"/>
              <w:jc w:val="center"/>
              <w:rPr>
                <w:rFonts w:ascii="Times New Roman" w:hAnsi="Times New Roman" w:eastAsia="宋体" w:cs="Times New Roman"/>
                <w:color w:val="auto"/>
                <w:sz w:val="21"/>
                <w:szCs w:val="21"/>
              </w:rPr>
            </w:pPr>
            <w:r>
              <w:rPr>
                <w:rFonts w:ascii="Times New Roman" w:hAnsi="Times New Roman" w:eastAsia="宋体" w:cs="Times New Roman"/>
                <w:color w:val="auto"/>
                <w:kern w:val="24"/>
                <w:sz w:val="21"/>
                <w:szCs w:val="21"/>
              </w:rPr>
              <w:t>兰青村供水井</w:t>
            </w:r>
          </w:p>
        </w:tc>
        <w:tc>
          <w:tcPr>
            <w:tcW w:w="927" w:type="pct"/>
            <w:noWrap w:val="0"/>
            <w:vAlign w:val="center"/>
          </w:tcPr>
          <w:p>
            <w:pPr>
              <w:autoSpaceDE w:val="0"/>
              <w:autoSpaceDN w:val="0"/>
              <w:adjustRightInd w:val="0"/>
              <w:jc w:val="center"/>
              <w:rPr>
                <w:szCs w:val="21"/>
              </w:rPr>
            </w:pPr>
            <w:r>
              <w:rPr>
                <w:szCs w:val="21"/>
              </w:rPr>
              <w:t>1</w:t>
            </w:r>
          </w:p>
        </w:tc>
        <w:tc>
          <w:tcPr>
            <w:tcW w:w="562" w:type="pct"/>
            <w:noWrap w:val="0"/>
            <w:vAlign w:val="center"/>
          </w:tcPr>
          <w:p>
            <w:pPr>
              <w:jc w:val="center"/>
              <w:rPr>
                <w:szCs w:val="21"/>
              </w:rPr>
            </w:pPr>
            <w:r>
              <w:rPr>
                <w:szCs w:val="21"/>
              </w:rPr>
              <w:t>在用</w:t>
            </w:r>
          </w:p>
        </w:tc>
        <w:tc>
          <w:tcPr>
            <w:tcW w:w="562" w:type="pct"/>
            <w:vMerge w:val="restart"/>
            <w:noWrap w:val="0"/>
            <w:vAlign w:val="top"/>
          </w:tcPr>
          <w:p>
            <w:pPr>
              <w:jc w:val="center"/>
              <w:rPr>
                <w:szCs w:val="21"/>
              </w:rPr>
            </w:pPr>
          </w:p>
          <w:p>
            <w:pPr>
              <w:jc w:val="center"/>
              <w:rPr>
                <w:szCs w:val="21"/>
              </w:rPr>
            </w:pPr>
          </w:p>
          <w:p>
            <w:pPr>
              <w:jc w:val="center"/>
              <w:rPr>
                <w:szCs w:val="21"/>
              </w:rPr>
            </w:pPr>
          </w:p>
          <w:p>
            <w:pPr>
              <w:jc w:val="center"/>
              <w:rPr>
                <w:szCs w:val="21"/>
              </w:rPr>
            </w:pPr>
          </w:p>
          <w:p>
            <w:pPr>
              <w:jc w:val="center"/>
              <w:rPr>
                <w:szCs w:val="21"/>
              </w:rPr>
            </w:pPr>
          </w:p>
          <w:p>
            <w:pPr>
              <w:jc w:val="center"/>
              <w:rPr>
                <w:szCs w:val="21"/>
              </w:rPr>
            </w:pPr>
          </w:p>
          <w:p>
            <w:pPr>
              <w:jc w:val="center"/>
              <w:rPr>
                <w:szCs w:val="21"/>
              </w:rPr>
            </w:pPr>
            <w:r>
              <w:rPr>
                <w:szCs w:val="21"/>
              </w:rPr>
              <w:t>以水源井为中心， 30m为半径的圆形区域</w:t>
            </w:r>
          </w:p>
          <w:p>
            <w:pPr>
              <w:jc w:val="center"/>
              <w:rPr>
                <w:szCs w:val="21"/>
              </w:rPr>
            </w:pPr>
          </w:p>
          <w:p>
            <w:pPr>
              <w:jc w:val="center"/>
              <w:rPr>
                <w:szCs w:val="21"/>
              </w:rPr>
            </w:pPr>
          </w:p>
          <w:p>
            <w:pPr>
              <w:jc w:val="center"/>
              <w:rPr>
                <w:szCs w:val="21"/>
              </w:rPr>
            </w:pPr>
          </w:p>
          <w:p>
            <w:pPr>
              <w:jc w:val="center"/>
              <w:rPr>
                <w:szCs w:val="21"/>
              </w:rPr>
            </w:pPr>
          </w:p>
          <w:p>
            <w:pPr>
              <w:jc w:val="center"/>
              <w:rPr>
                <w:szCs w:val="21"/>
              </w:rPr>
            </w:pPr>
          </w:p>
          <w:p>
            <w:pPr>
              <w:jc w:val="center"/>
              <w:rPr>
                <w:szCs w:val="21"/>
              </w:rPr>
            </w:pPr>
          </w:p>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5" w:type="pct"/>
            <w:noWrap w:val="0"/>
            <w:vAlign w:val="center"/>
          </w:tcPr>
          <w:p>
            <w:pPr>
              <w:autoSpaceDE w:val="0"/>
              <w:autoSpaceDN w:val="0"/>
              <w:adjustRightInd w:val="0"/>
              <w:jc w:val="center"/>
              <w:rPr>
                <w:szCs w:val="21"/>
              </w:rPr>
            </w:pPr>
            <w:r>
              <w:rPr>
                <w:szCs w:val="21"/>
              </w:rPr>
              <w:t>2</w:t>
            </w:r>
          </w:p>
        </w:tc>
        <w:tc>
          <w:tcPr>
            <w:tcW w:w="1320" w:type="pct"/>
            <w:noWrap w:val="0"/>
            <w:vAlign w:val="center"/>
          </w:tcPr>
          <w:p>
            <w:pPr>
              <w:jc w:val="center"/>
              <w:rPr>
                <w:szCs w:val="21"/>
              </w:rPr>
            </w:pPr>
            <w:r>
              <w:rPr>
                <w:szCs w:val="21"/>
              </w:rPr>
              <w:t>大林镇地下水井</w:t>
            </w:r>
          </w:p>
        </w:tc>
        <w:tc>
          <w:tcPr>
            <w:tcW w:w="1203" w:type="pct"/>
            <w:noWrap w:val="0"/>
            <w:vAlign w:val="center"/>
          </w:tcPr>
          <w:p>
            <w:pPr>
              <w:pStyle w:val="14"/>
              <w:spacing w:before="0" w:beforeAutospacing="0" w:after="0" w:afterAutospacing="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大林村</w:t>
            </w:r>
            <w:r>
              <w:rPr>
                <w:rFonts w:ascii="Times New Roman" w:hAnsi="Times New Roman" w:eastAsia="宋体" w:cs="Times New Roman"/>
                <w:color w:val="auto"/>
                <w:kern w:val="24"/>
                <w:sz w:val="21"/>
                <w:szCs w:val="21"/>
              </w:rPr>
              <w:t>供水井</w:t>
            </w:r>
          </w:p>
        </w:tc>
        <w:tc>
          <w:tcPr>
            <w:tcW w:w="927" w:type="pct"/>
            <w:noWrap w:val="0"/>
            <w:vAlign w:val="center"/>
          </w:tcPr>
          <w:p>
            <w:pPr>
              <w:jc w:val="center"/>
              <w:rPr>
                <w:szCs w:val="21"/>
              </w:rPr>
            </w:pPr>
            <w:r>
              <w:rPr>
                <w:szCs w:val="21"/>
              </w:rPr>
              <w:t>1</w:t>
            </w:r>
          </w:p>
        </w:tc>
        <w:tc>
          <w:tcPr>
            <w:tcW w:w="562" w:type="pct"/>
            <w:noWrap w:val="0"/>
            <w:vAlign w:val="center"/>
          </w:tcPr>
          <w:p>
            <w:pPr>
              <w:jc w:val="center"/>
              <w:rPr>
                <w:szCs w:val="21"/>
              </w:rPr>
            </w:pPr>
            <w:r>
              <w:rPr>
                <w:szCs w:val="21"/>
              </w:rPr>
              <w:t>在用</w:t>
            </w:r>
          </w:p>
        </w:tc>
        <w:tc>
          <w:tcPr>
            <w:tcW w:w="562" w:type="pct"/>
            <w:vMerge w:val="continue"/>
            <w:noWrap w:val="0"/>
            <w:vAlign w:val="top"/>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425" w:type="pct"/>
            <w:noWrap w:val="0"/>
            <w:vAlign w:val="center"/>
          </w:tcPr>
          <w:p>
            <w:pPr>
              <w:autoSpaceDE w:val="0"/>
              <w:autoSpaceDN w:val="0"/>
              <w:adjustRightInd w:val="0"/>
              <w:jc w:val="center"/>
              <w:rPr>
                <w:szCs w:val="21"/>
              </w:rPr>
            </w:pPr>
            <w:r>
              <w:rPr>
                <w:szCs w:val="21"/>
              </w:rPr>
              <w:t>3</w:t>
            </w:r>
          </w:p>
        </w:tc>
        <w:tc>
          <w:tcPr>
            <w:tcW w:w="1320" w:type="pct"/>
            <w:noWrap w:val="0"/>
            <w:vAlign w:val="center"/>
          </w:tcPr>
          <w:p>
            <w:pPr>
              <w:jc w:val="center"/>
              <w:rPr>
                <w:szCs w:val="21"/>
              </w:rPr>
            </w:pPr>
            <w:r>
              <w:rPr>
                <w:szCs w:val="21"/>
              </w:rPr>
              <w:t>陡沟镇地下水井</w:t>
            </w:r>
          </w:p>
        </w:tc>
        <w:tc>
          <w:tcPr>
            <w:tcW w:w="1203" w:type="pct"/>
            <w:noWrap w:val="0"/>
            <w:vAlign w:val="center"/>
          </w:tcPr>
          <w:p>
            <w:pPr>
              <w:pStyle w:val="14"/>
              <w:spacing w:before="0" w:beforeAutospacing="0" w:after="0" w:afterAutospacing="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陡沟村</w:t>
            </w:r>
            <w:r>
              <w:rPr>
                <w:rFonts w:ascii="Times New Roman" w:hAnsi="Times New Roman" w:eastAsia="宋体" w:cs="Times New Roman"/>
                <w:color w:val="auto"/>
                <w:kern w:val="24"/>
                <w:sz w:val="21"/>
                <w:szCs w:val="21"/>
              </w:rPr>
              <w:t>供水井</w:t>
            </w:r>
          </w:p>
        </w:tc>
        <w:tc>
          <w:tcPr>
            <w:tcW w:w="927" w:type="pct"/>
            <w:noWrap w:val="0"/>
            <w:vAlign w:val="center"/>
          </w:tcPr>
          <w:p>
            <w:pPr>
              <w:jc w:val="center"/>
              <w:rPr>
                <w:szCs w:val="21"/>
              </w:rPr>
            </w:pPr>
            <w:r>
              <w:rPr>
                <w:szCs w:val="21"/>
              </w:rPr>
              <w:t>1</w:t>
            </w:r>
          </w:p>
        </w:tc>
        <w:tc>
          <w:tcPr>
            <w:tcW w:w="562" w:type="pct"/>
            <w:noWrap w:val="0"/>
            <w:vAlign w:val="center"/>
          </w:tcPr>
          <w:p>
            <w:pPr>
              <w:jc w:val="center"/>
              <w:rPr>
                <w:szCs w:val="21"/>
              </w:rPr>
            </w:pPr>
            <w:r>
              <w:rPr>
                <w:szCs w:val="21"/>
              </w:rPr>
              <w:t>在用</w:t>
            </w:r>
          </w:p>
        </w:tc>
        <w:tc>
          <w:tcPr>
            <w:tcW w:w="562" w:type="pct"/>
            <w:vMerge w:val="continue"/>
            <w:noWrap w:val="0"/>
            <w:vAlign w:val="top"/>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425" w:type="pct"/>
            <w:noWrap w:val="0"/>
            <w:vAlign w:val="center"/>
          </w:tcPr>
          <w:p>
            <w:pPr>
              <w:autoSpaceDE w:val="0"/>
              <w:autoSpaceDN w:val="0"/>
              <w:adjustRightInd w:val="0"/>
              <w:jc w:val="center"/>
              <w:rPr>
                <w:szCs w:val="21"/>
              </w:rPr>
            </w:pPr>
            <w:r>
              <w:rPr>
                <w:szCs w:val="21"/>
              </w:rPr>
              <w:t>4</w:t>
            </w:r>
          </w:p>
        </w:tc>
        <w:tc>
          <w:tcPr>
            <w:tcW w:w="1320" w:type="pct"/>
            <w:noWrap w:val="0"/>
            <w:vAlign w:val="center"/>
          </w:tcPr>
          <w:p>
            <w:pPr>
              <w:jc w:val="center"/>
              <w:rPr>
                <w:szCs w:val="21"/>
              </w:rPr>
            </w:pPr>
            <w:r>
              <w:rPr>
                <w:szCs w:val="21"/>
              </w:rPr>
              <w:t>袁寨乡地下水井</w:t>
            </w:r>
          </w:p>
        </w:tc>
        <w:tc>
          <w:tcPr>
            <w:tcW w:w="1203" w:type="pct"/>
            <w:noWrap w:val="0"/>
            <w:vAlign w:val="center"/>
          </w:tcPr>
          <w:p>
            <w:pPr>
              <w:pStyle w:val="14"/>
              <w:spacing w:before="0" w:beforeAutospacing="0" w:after="0" w:afterAutospacing="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袁寨</w:t>
            </w:r>
            <w:r>
              <w:rPr>
                <w:rFonts w:ascii="Times New Roman" w:hAnsi="Times New Roman" w:eastAsia="宋体" w:cs="Times New Roman"/>
                <w:color w:val="auto"/>
                <w:kern w:val="24"/>
                <w:sz w:val="21"/>
                <w:szCs w:val="21"/>
              </w:rPr>
              <w:t>供水井</w:t>
            </w:r>
          </w:p>
        </w:tc>
        <w:tc>
          <w:tcPr>
            <w:tcW w:w="927" w:type="pct"/>
            <w:noWrap w:val="0"/>
            <w:vAlign w:val="center"/>
          </w:tcPr>
          <w:p>
            <w:pPr>
              <w:jc w:val="center"/>
              <w:rPr>
                <w:szCs w:val="21"/>
              </w:rPr>
            </w:pPr>
            <w:r>
              <w:rPr>
                <w:szCs w:val="21"/>
              </w:rPr>
              <w:t>1</w:t>
            </w:r>
          </w:p>
        </w:tc>
        <w:tc>
          <w:tcPr>
            <w:tcW w:w="562" w:type="pct"/>
            <w:noWrap w:val="0"/>
            <w:vAlign w:val="center"/>
          </w:tcPr>
          <w:p>
            <w:pPr>
              <w:jc w:val="center"/>
              <w:rPr>
                <w:szCs w:val="21"/>
              </w:rPr>
            </w:pPr>
            <w:r>
              <w:rPr>
                <w:szCs w:val="21"/>
              </w:rPr>
              <w:t>在用</w:t>
            </w:r>
          </w:p>
        </w:tc>
        <w:tc>
          <w:tcPr>
            <w:tcW w:w="562" w:type="pct"/>
            <w:vMerge w:val="continue"/>
            <w:noWrap w:val="0"/>
            <w:vAlign w:val="top"/>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25" w:type="pct"/>
            <w:noWrap w:val="0"/>
            <w:vAlign w:val="center"/>
          </w:tcPr>
          <w:p>
            <w:pPr>
              <w:autoSpaceDE w:val="0"/>
              <w:autoSpaceDN w:val="0"/>
              <w:adjustRightInd w:val="0"/>
              <w:jc w:val="center"/>
              <w:rPr>
                <w:szCs w:val="21"/>
              </w:rPr>
            </w:pPr>
            <w:r>
              <w:rPr>
                <w:szCs w:val="21"/>
              </w:rPr>
              <w:t>5</w:t>
            </w:r>
          </w:p>
        </w:tc>
        <w:tc>
          <w:tcPr>
            <w:tcW w:w="1320" w:type="pct"/>
            <w:noWrap w:val="0"/>
            <w:vAlign w:val="center"/>
          </w:tcPr>
          <w:p>
            <w:pPr>
              <w:jc w:val="center"/>
              <w:rPr>
                <w:szCs w:val="21"/>
              </w:rPr>
            </w:pPr>
            <w:r>
              <w:rPr>
                <w:szCs w:val="21"/>
              </w:rPr>
              <w:t>熊寨镇地下水井</w:t>
            </w:r>
          </w:p>
        </w:tc>
        <w:tc>
          <w:tcPr>
            <w:tcW w:w="1203" w:type="pct"/>
            <w:noWrap w:val="0"/>
            <w:vAlign w:val="center"/>
          </w:tcPr>
          <w:p>
            <w:pPr>
              <w:pStyle w:val="14"/>
              <w:spacing w:before="0" w:beforeAutospacing="0" w:after="0" w:afterAutospacing="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熊寨村</w:t>
            </w:r>
            <w:r>
              <w:rPr>
                <w:rFonts w:ascii="Times New Roman" w:hAnsi="Times New Roman" w:eastAsia="宋体" w:cs="Times New Roman"/>
                <w:color w:val="auto"/>
                <w:kern w:val="24"/>
                <w:sz w:val="21"/>
                <w:szCs w:val="21"/>
              </w:rPr>
              <w:t>供水井</w:t>
            </w:r>
          </w:p>
        </w:tc>
        <w:tc>
          <w:tcPr>
            <w:tcW w:w="927" w:type="pct"/>
            <w:noWrap w:val="0"/>
            <w:vAlign w:val="center"/>
          </w:tcPr>
          <w:p>
            <w:pPr>
              <w:jc w:val="center"/>
              <w:rPr>
                <w:szCs w:val="21"/>
              </w:rPr>
            </w:pPr>
            <w:r>
              <w:rPr>
                <w:szCs w:val="21"/>
              </w:rPr>
              <w:t>1</w:t>
            </w:r>
          </w:p>
        </w:tc>
        <w:tc>
          <w:tcPr>
            <w:tcW w:w="562" w:type="pct"/>
            <w:noWrap w:val="0"/>
            <w:vAlign w:val="center"/>
          </w:tcPr>
          <w:p>
            <w:pPr>
              <w:jc w:val="center"/>
              <w:rPr>
                <w:szCs w:val="21"/>
              </w:rPr>
            </w:pPr>
            <w:r>
              <w:rPr>
                <w:szCs w:val="21"/>
              </w:rPr>
              <w:t>在用</w:t>
            </w:r>
          </w:p>
        </w:tc>
        <w:tc>
          <w:tcPr>
            <w:tcW w:w="562" w:type="pct"/>
            <w:vMerge w:val="continue"/>
            <w:noWrap w:val="0"/>
            <w:vAlign w:val="top"/>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425" w:type="pct"/>
            <w:noWrap w:val="0"/>
            <w:vAlign w:val="center"/>
          </w:tcPr>
          <w:p>
            <w:pPr>
              <w:autoSpaceDE w:val="0"/>
              <w:autoSpaceDN w:val="0"/>
              <w:adjustRightInd w:val="0"/>
              <w:jc w:val="center"/>
              <w:rPr>
                <w:szCs w:val="21"/>
              </w:rPr>
            </w:pPr>
            <w:r>
              <w:rPr>
                <w:szCs w:val="21"/>
              </w:rPr>
              <w:t>6</w:t>
            </w:r>
          </w:p>
        </w:tc>
        <w:tc>
          <w:tcPr>
            <w:tcW w:w="1320" w:type="pct"/>
            <w:noWrap w:val="0"/>
            <w:vAlign w:val="center"/>
          </w:tcPr>
          <w:p>
            <w:pPr>
              <w:jc w:val="center"/>
              <w:rPr>
                <w:szCs w:val="21"/>
              </w:rPr>
            </w:pPr>
            <w:r>
              <w:rPr>
                <w:szCs w:val="21"/>
              </w:rPr>
              <w:t>铜钟镇地下水井</w:t>
            </w:r>
          </w:p>
        </w:tc>
        <w:tc>
          <w:tcPr>
            <w:tcW w:w="1203" w:type="pct"/>
            <w:noWrap w:val="0"/>
            <w:vAlign w:val="center"/>
          </w:tcPr>
          <w:p>
            <w:pPr>
              <w:pStyle w:val="14"/>
              <w:spacing w:before="0" w:beforeAutospacing="0" w:after="0" w:afterAutospacing="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铜钟村</w:t>
            </w:r>
            <w:r>
              <w:rPr>
                <w:rFonts w:ascii="Times New Roman" w:hAnsi="Times New Roman" w:eastAsia="宋体" w:cs="Times New Roman"/>
                <w:color w:val="auto"/>
                <w:kern w:val="24"/>
                <w:sz w:val="21"/>
                <w:szCs w:val="21"/>
              </w:rPr>
              <w:t>供水井</w:t>
            </w:r>
          </w:p>
        </w:tc>
        <w:tc>
          <w:tcPr>
            <w:tcW w:w="927" w:type="pct"/>
            <w:noWrap w:val="0"/>
            <w:vAlign w:val="center"/>
          </w:tcPr>
          <w:p>
            <w:pPr>
              <w:jc w:val="center"/>
              <w:rPr>
                <w:szCs w:val="21"/>
              </w:rPr>
            </w:pPr>
            <w:r>
              <w:rPr>
                <w:szCs w:val="21"/>
              </w:rPr>
              <w:t>1</w:t>
            </w:r>
          </w:p>
        </w:tc>
        <w:tc>
          <w:tcPr>
            <w:tcW w:w="562" w:type="pct"/>
            <w:noWrap w:val="0"/>
            <w:vAlign w:val="center"/>
          </w:tcPr>
          <w:p>
            <w:pPr>
              <w:jc w:val="center"/>
              <w:rPr>
                <w:szCs w:val="21"/>
              </w:rPr>
            </w:pPr>
            <w:r>
              <w:rPr>
                <w:szCs w:val="21"/>
              </w:rPr>
              <w:t>在用</w:t>
            </w:r>
          </w:p>
        </w:tc>
        <w:tc>
          <w:tcPr>
            <w:tcW w:w="562" w:type="pct"/>
            <w:vMerge w:val="continue"/>
            <w:noWrap w:val="0"/>
            <w:vAlign w:val="top"/>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425" w:type="pct"/>
            <w:noWrap w:val="0"/>
            <w:vAlign w:val="center"/>
          </w:tcPr>
          <w:p>
            <w:pPr>
              <w:autoSpaceDE w:val="0"/>
              <w:autoSpaceDN w:val="0"/>
              <w:adjustRightInd w:val="0"/>
              <w:jc w:val="center"/>
              <w:rPr>
                <w:szCs w:val="21"/>
              </w:rPr>
            </w:pPr>
            <w:r>
              <w:rPr>
                <w:szCs w:val="21"/>
              </w:rPr>
              <w:t>7</w:t>
            </w:r>
          </w:p>
        </w:tc>
        <w:tc>
          <w:tcPr>
            <w:tcW w:w="1320" w:type="pct"/>
            <w:noWrap w:val="0"/>
            <w:vAlign w:val="center"/>
          </w:tcPr>
          <w:p>
            <w:pPr>
              <w:jc w:val="center"/>
              <w:rPr>
                <w:szCs w:val="21"/>
              </w:rPr>
            </w:pPr>
            <w:r>
              <w:rPr>
                <w:szCs w:val="21"/>
              </w:rPr>
              <w:t>皮店乡地下水井</w:t>
            </w:r>
          </w:p>
        </w:tc>
        <w:tc>
          <w:tcPr>
            <w:tcW w:w="1203" w:type="pct"/>
            <w:noWrap w:val="0"/>
            <w:vAlign w:val="center"/>
          </w:tcPr>
          <w:p>
            <w:pPr>
              <w:pStyle w:val="14"/>
              <w:spacing w:before="0" w:beforeAutospacing="0" w:after="0" w:afterAutospacing="0"/>
              <w:jc w:val="center"/>
              <w:rPr>
                <w:rFonts w:ascii="Times New Roman" w:hAnsi="Times New Roman" w:eastAsia="宋体" w:cs="Times New Roman"/>
                <w:color w:val="auto"/>
                <w:sz w:val="21"/>
                <w:szCs w:val="21"/>
              </w:rPr>
            </w:pPr>
            <w:r>
              <w:rPr>
                <w:rFonts w:ascii="Times New Roman" w:hAnsi="Times New Roman" w:eastAsia="宋体" w:cs="Times New Roman"/>
                <w:color w:val="auto"/>
                <w:kern w:val="24"/>
                <w:sz w:val="21"/>
                <w:szCs w:val="21"/>
              </w:rPr>
              <w:t>罗堂供水井</w:t>
            </w:r>
          </w:p>
        </w:tc>
        <w:tc>
          <w:tcPr>
            <w:tcW w:w="927" w:type="pct"/>
            <w:noWrap w:val="0"/>
            <w:vAlign w:val="center"/>
          </w:tcPr>
          <w:p>
            <w:pPr>
              <w:jc w:val="center"/>
              <w:rPr>
                <w:szCs w:val="21"/>
              </w:rPr>
            </w:pPr>
            <w:r>
              <w:rPr>
                <w:szCs w:val="21"/>
              </w:rPr>
              <w:t>1</w:t>
            </w:r>
          </w:p>
        </w:tc>
        <w:tc>
          <w:tcPr>
            <w:tcW w:w="562" w:type="pct"/>
            <w:noWrap w:val="0"/>
            <w:vAlign w:val="center"/>
          </w:tcPr>
          <w:p>
            <w:pPr>
              <w:jc w:val="center"/>
              <w:rPr>
                <w:szCs w:val="21"/>
              </w:rPr>
            </w:pPr>
            <w:r>
              <w:rPr>
                <w:szCs w:val="21"/>
              </w:rPr>
              <w:t>在用</w:t>
            </w:r>
          </w:p>
        </w:tc>
        <w:tc>
          <w:tcPr>
            <w:tcW w:w="562" w:type="pct"/>
            <w:vMerge w:val="continue"/>
            <w:noWrap w:val="0"/>
            <w:vAlign w:val="top"/>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425" w:type="pct"/>
            <w:vMerge w:val="restart"/>
            <w:noWrap w:val="0"/>
            <w:vAlign w:val="center"/>
          </w:tcPr>
          <w:p>
            <w:pPr>
              <w:autoSpaceDE w:val="0"/>
              <w:autoSpaceDN w:val="0"/>
              <w:adjustRightInd w:val="0"/>
              <w:jc w:val="center"/>
              <w:rPr>
                <w:szCs w:val="21"/>
              </w:rPr>
            </w:pPr>
            <w:r>
              <w:rPr>
                <w:szCs w:val="21"/>
              </w:rPr>
              <w:t>8</w:t>
            </w:r>
          </w:p>
        </w:tc>
        <w:tc>
          <w:tcPr>
            <w:tcW w:w="1320" w:type="pct"/>
            <w:vMerge w:val="restart"/>
            <w:noWrap w:val="0"/>
            <w:vAlign w:val="center"/>
          </w:tcPr>
          <w:p>
            <w:pPr>
              <w:jc w:val="center"/>
              <w:rPr>
                <w:szCs w:val="21"/>
              </w:rPr>
            </w:pPr>
            <w:r>
              <w:rPr>
                <w:szCs w:val="21"/>
              </w:rPr>
              <w:t>汝南埠镇地下水井</w:t>
            </w:r>
          </w:p>
        </w:tc>
        <w:tc>
          <w:tcPr>
            <w:tcW w:w="1203" w:type="pct"/>
            <w:noWrap w:val="0"/>
            <w:vAlign w:val="center"/>
          </w:tcPr>
          <w:p>
            <w:pPr>
              <w:pStyle w:val="14"/>
              <w:spacing w:before="0" w:beforeAutospacing="0" w:after="0" w:afterAutospacing="0"/>
              <w:jc w:val="center"/>
              <w:rPr>
                <w:rFonts w:ascii="Times New Roman" w:hAnsi="Times New Roman" w:eastAsia="宋体" w:cs="Times New Roman"/>
                <w:color w:val="auto"/>
                <w:sz w:val="21"/>
                <w:szCs w:val="21"/>
              </w:rPr>
            </w:pPr>
            <w:r>
              <w:rPr>
                <w:rFonts w:ascii="Times New Roman" w:hAnsi="Times New Roman" w:eastAsia="宋体" w:cs="Times New Roman"/>
                <w:color w:val="auto"/>
                <w:kern w:val="24"/>
                <w:sz w:val="21"/>
                <w:szCs w:val="21"/>
              </w:rPr>
              <w:t>汝南埠供水井1</w:t>
            </w:r>
          </w:p>
        </w:tc>
        <w:tc>
          <w:tcPr>
            <w:tcW w:w="927" w:type="pct"/>
            <w:vMerge w:val="restart"/>
            <w:noWrap w:val="0"/>
            <w:vAlign w:val="center"/>
          </w:tcPr>
          <w:p>
            <w:pPr>
              <w:jc w:val="center"/>
              <w:rPr>
                <w:szCs w:val="21"/>
              </w:rPr>
            </w:pPr>
            <w:r>
              <w:rPr>
                <w:szCs w:val="21"/>
              </w:rPr>
              <w:t>4</w:t>
            </w:r>
          </w:p>
        </w:tc>
        <w:tc>
          <w:tcPr>
            <w:tcW w:w="562" w:type="pct"/>
            <w:noWrap w:val="0"/>
            <w:vAlign w:val="center"/>
          </w:tcPr>
          <w:p>
            <w:pPr>
              <w:jc w:val="center"/>
              <w:rPr>
                <w:szCs w:val="21"/>
              </w:rPr>
            </w:pPr>
            <w:r>
              <w:rPr>
                <w:szCs w:val="21"/>
              </w:rPr>
              <w:t>在用</w:t>
            </w:r>
          </w:p>
        </w:tc>
        <w:tc>
          <w:tcPr>
            <w:tcW w:w="562" w:type="pct"/>
            <w:vMerge w:val="continue"/>
            <w:noWrap w:val="0"/>
            <w:vAlign w:val="top"/>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425" w:type="pct"/>
            <w:vMerge w:val="continue"/>
            <w:noWrap w:val="0"/>
            <w:vAlign w:val="center"/>
          </w:tcPr>
          <w:p>
            <w:pPr>
              <w:autoSpaceDE w:val="0"/>
              <w:autoSpaceDN w:val="0"/>
              <w:adjustRightInd w:val="0"/>
              <w:jc w:val="center"/>
              <w:rPr>
                <w:szCs w:val="21"/>
              </w:rPr>
            </w:pPr>
          </w:p>
        </w:tc>
        <w:tc>
          <w:tcPr>
            <w:tcW w:w="1320" w:type="pct"/>
            <w:vMerge w:val="continue"/>
            <w:noWrap w:val="0"/>
            <w:vAlign w:val="center"/>
          </w:tcPr>
          <w:p>
            <w:pPr>
              <w:jc w:val="center"/>
              <w:rPr>
                <w:szCs w:val="21"/>
              </w:rPr>
            </w:pPr>
          </w:p>
        </w:tc>
        <w:tc>
          <w:tcPr>
            <w:tcW w:w="1203" w:type="pct"/>
            <w:noWrap w:val="0"/>
            <w:vAlign w:val="center"/>
          </w:tcPr>
          <w:p>
            <w:pPr>
              <w:pStyle w:val="14"/>
              <w:spacing w:before="0" w:beforeAutospacing="0" w:after="0" w:afterAutospacing="0"/>
              <w:jc w:val="center"/>
              <w:rPr>
                <w:rFonts w:ascii="Times New Roman" w:hAnsi="Times New Roman" w:eastAsia="宋体" w:cs="Times New Roman"/>
                <w:color w:val="auto"/>
                <w:kern w:val="24"/>
                <w:sz w:val="21"/>
                <w:szCs w:val="21"/>
              </w:rPr>
            </w:pPr>
            <w:r>
              <w:rPr>
                <w:rFonts w:ascii="Times New Roman" w:hAnsi="Times New Roman" w:eastAsia="宋体" w:cs="Times New Roman"/>
                <w:color w:val="auto"/>
                <w:kern w:val="24"/>
                <w:sz w:val="21"/>
                <w:szCs w:val="21"/>
              </w:rPr>
              <w:t>汝南埠水厂水井2</w:t>
            </w:r>
          </w:p>
        </w:tc>
        <w:tc>
          <w:tcPr>
            <w:tcW w:w="927" w:type="pct"/>
            <w:vMerge w:val="continue"/>
            <w:noWrap w:val="0"/>
            <w:vAlign w:val="center"/>
          </w:tcPr>
          <w:p>
            <w:pPr>
              <w:jc w:val="center"/>
              <w:rPr>
                <w:szCs w:val="21"/>
              </w:rPr>
            </w:pPr>
          </w:p>
        </w:tc>
        <w:tc>
          <w:tcPr>
            <w:tcW w:w="562" w:type="pct"/>
            <w:noWrap w:val="0"/>
            <w:vAlign w:val="center"/>
          </w:tcPr>
          <w:p>
            <w:pPr>
              <w:jc w:val="center"/>
              <w:rPr>
                <w:szCs w:val="21"/>
              </w:rPr>
            </w:pPr>
            <w:r>
              <w:rPr>
                <w:szCs w:val="21"/>
              </w:rPr>
              <w:t>在用</w:t>
            </w:r>
          </w:p>
        </w:tc>
        <w:tc>
          <w:tcPr>
            <w:tcW w:w="562" w:type="pct"/>
            <w:vMerge w:val="continue"/>
            <w:noWrap w:val="0"/>
            <w:vAlign w:val="top"/>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425" w:type="pct"/>
            <w:vMerge w:val="continue"/>
            <w:noWrap w:val="0"/>
            <w:vAlign w:val="center"/>
          </w:tcPr>
          <w:p>
            <w:pPr>
              <w:autoSpaceDE w:val="0"/>
              <w:autoSpaceDN w:val="0"/>
              <w:adjustRightInd w:val="0"/>
              <w:jc w:val="center"/>
              <w:rPr>
                <w:szCs w:val="21"/>
              </w:rPr>
            </w:pPr>
          </w:p>
        </w:tc>
        <w:tc>
          <w:tcPr>
            <w:tcW w:w="1320" w:type="pct"/>
            <w:vMerge w:val="continue"/>
            <w:noWrap w:val="0"/>
            <w:vAlign w:val="center"/>
          </w:tcPr>
          <w:p>
            <w:pPr>
              <w:jc w:val="center"/>
              <w:rPr>
                <w:szCs w:val="21"/>
              </w:rPr>
            </w:pPr>
          </w:p>
        </w:tc>
        <w:tc>
          <w:tcPr>
            <w:tcW w:w="1203" w:type="pct"/>
            <w:noWrap w:val="0"/>
            <w:vAlign w:val="center"/>
          </w:tcPr>
          <w:p>
            <w:pPr>
              <w:pStyle w:val="14"/>
              <w:spacing w:before="0" w:beforeAutospacing="0" w:after="0" w:afterAutospacing="0"/>
              <w:jc w:val="center"/>
              <w:rPr>
                <w:rFonts w:ascii="Times New Roman" w:hAnsi="Times New Roman" w:eastAsia="宋体" w:cs="Times New Roman"/>
                <w:color w:val="auto"/>
                <w:kern w:val="24"/>
                <w:sz w:val="21"/>
                <w:szCs w:val="21"/>
              </w:rPr>
            </w:pPr>
            <w:r>
              <w:rPr>
                <w:rFonts w:ascii="Times New Roman" w:hAnsi="Times New Roman" w:eastAsia="宋体" w:cs="Times New Roman"/>
                <w:color w:val="auto"/>
                <w:kern w:val="24"/>
                <w:sz w:val="21"/>
                <w:szCs w:val="21"/>
              </w:rPr>
              <w:t>汝南埠水厂水井3</w:t>
            </w:r>
          </w:p>
        </w:tc>
        <w:tc>
          <w:tcPr>
            <w:tcW w:w="927" w:type="pct"/>
            <w:vMerge w:val="continue"/>
            <w:noWrap w:val="0"/>
            <w:vAlign w:val="center"/>
          </w:tcPr>
          <w:p>
            <w:pPr>
              <w:jc w:val="center"/>
              <w:rPr>
                <w:szCs w:val="21"/>
              </w:rPr>
            </w:pPr>
          </w:p>
        </w:tc>
        <w:tc>
          <w:tcPr>
            <w:tcW w:w="562" w:type="pct"/>
            <w:noWrap w:val="0"/>
            <w:vAlign w:val="center"/>
          </w:tcPr>
          <w:p>
            <w:pPr>
              <w:jc w:val="center"/>
              <w:rPr>
                <w:szCs w:val="21"/>
              </w:rPr>
            </w:pPr>
            <w:r>
              <w:rPr>
                <w:szCs w:val="21"/>
              </w:rPr>
              <w:t>在用</w:t>
            </w:r>
          </w:p>
        </w:tc>
        <w:tc>
          <w:tcPr>
            <w:tcW w:w="562" w:type="pct"/>
            <w:vMerge w:val="continue"/>
            <w:noWrap w:val="0"/>
            <w:vAlign w:val="top"/>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9" w:hRule="atLeast"/>
          <w:jc w:val="center"/>
        </w:trPr>
        <w:tc>
          <w:tcPr>
            <w:tcW w:w="425" w:type="pct"/>
            <w:vMerge w:val="continue"/>
            <w:noWrap w:val="0"/>
            <w:vAlign w:val="center"/>
          </w:tcPr>
          <w:p>
            <w:pPr>
              <w:autoSpaceDE w:val="0"/>
              <w:autoSpaceDN w:val="0"/>
              <w:adjustRightInd w:val="0"/>
              <w:jc w:val="center"/>
              <w:rPr>
                <w:szCs w:val="21"/>
              </w:rPr>
            </w:pPr>
          </w:p>
        </w:tc>
        <w:tc>
          <w:tcPr>
            <w:tcW w:w="1320" w:type="pct"/>
            <w:vMerge w:val="continue"/>
            <w:noWrap w:val="0"/>
            <w:vAlign w:val="center"/>
          </w:tcPr>
          <w:p>
            <w:pPr>
              <w:jc w:val="center"/>
              <w:rPr>
                <w:szCs w:val="21"/>
              </w:rPr>
            </w:pPr>
          </w:p>
        </w:tc>
        <w:tc>
          <w:tcPr>
            <w:tcW w:w="1203" w:type="pct"/>
            <w:noWrap w:val="0"/>
            <w:vAlign w:val="center"/>
          </w:tcPr>
          <w:p>
            <w:pPr>
              <w:pStyle w:val="14"/>
              <w:spacing w:before="0" w:beforeAutospacing="0" w:after="0" w:afterAutospacing="0"/>
              <w:jc w:val="center"/>
              <w:rPr>
                <w:rFonts w:ascii="Times New Roman" w:hAnsi="Times New Roman" w:eastAsia="宋体" w:cs="Times New Roman"/>
                <w:color w:val="auto"/>
                <w:kern w:val="24"/>
                <w:sz w:val="21"/>
                <w:szCs w:val="21"/>
              </w:rPr>
            </w:pPr>
            <w:r>
              <w:rPr>
                <w:rFonts w:ascii="Times New Roman" w:hAnsi="Times New Roman" w:eastAsia="宋体" w:cs="Times New Roman"/>
                <w:color w:val="auto"/>
                <w:kern w:val="24"/>
                <w:sz w:val="21"/>
                <w:szCs w:val="21"/>
              </w:rPr>
              <w:t>汝南埠水厂水井4</w:t>
            </w:r>
          </w:p>
        </w:tc>
        <w:tc>
          <w:tcPr>
            <w:tcW w:w="927" w:type="pct"/>
            <w:vMerge w:val="continue"/>
            <w:noWrap w:val="0"/>
            <w:vAlign w:val="center"/>
          </w:tcPr>
          <w:p>
            <w:pPr>
              <w:jc w:val="center"/>
              <w:rPr>
                <w:szCs w:val="21"/>
              </w:rPr>
            </w:pPr>
          </w:p>
        </w:tc>
        <w:tc>
          <w:tcPr>
            <w:tcW w:w="562" w:type="pct"/>
            <w:noWrap w:val="0"/>
            <w:vAlign w:val="center"/>
          </w:tcPr>
          <w:p>
            <w:pPr>
              <w:jc w:val="center"/>
              <w:rPr>
                <w:szCs w:val="21"/>
              </w:rPr>
            </w:pPr>
            <w:r>
              <w:rPr>
                <w:szCs w:val="21"/>
              </w:rPr>
              <w:t>在用</w:t>
            </w:r>
          </w:p>
        </w:tc>
        <w:tc>
          <w:tcPr>
            <w:tcW w:w="562" w:type="pct"/>
            <w:vMerge w:val="continue"/>
            <w:noWrap w:val="0"/>
            <w:vAlign w:val="top"/>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3" w:hRule="atLeast"/>
          <w:jc w:val="center"/>
        </w:trPr>
        <w:tc>
          <w:tcPr>
            <w:tcW w:w="425" w:type="pct"/>
            <w:noWrap w:val="0"/>
            <w:vAlign w:val="center"/>
          </w:tcPr>
          <w:p>
            <w:pPr>
              <w:autoSpaceDE w:val="0"/>
              <w:autoSpaceDN w:val="0"/>
              <w:adjustRightInd w:val="0"/>
              <w:jc w:val="center"/>
              <w:rPr>
                <w:szCs w:val="21"/>
              </w:rPr>
            </w:pPr>
            <w:r>
              <w:rPr>
                <w:szCs w:val="21"/>
              </w:rPr>
              <w:t>9</w:t>
            </w:r>
          </w:p>
        </w:tc>
        <w:tc>
          <w:tcPr>
            <w:tcW w:w="1320" w:type="pct"/>
            <w:noWrap w:val="0"/>
            <w:vAlign w:val="center"/>
          </w:tcPr>
          <w:p>
            <w:pPr>
              <w:jc w:val="center"/>
              <w:rPr>
                <w:szCs w:val="21"/>
              </w:rPr>
            </w:pPr>
            <w:r>
              <w:rPr>
                <w:szCs w:val="21"/>
              </w:rPr>
              <w:t>油坊店乡地下水井</w:t>
            </w:r>
          </w:p>
        </w:tc>
        <w:tc>
          <w:tcPr>
            <w:tcW w:w="1203" w:type="pct"/>
            <w:noWrap w:val="0"/>
            <w:vAlign w:val="center"/>
          </w:tcPr>
          <w:p>
            <w:pPr>
              <w:pStyle w:val="14"/>
              <w:spacing w:before="0" w:beforeAutospacing="0" w:after="0" w:afterAutospacing="0"/>
              <w:jc w:val="center"/>
              <w:rPr>
                <w:rFonts w:ascii="Times New Roman" w:hAnsi="Times New Roman" w:eastAsia="宋体" w:cs="Times New Roman"/>
                <w:color w:val="auto"/>
                <w:sz w:val="21"/>
                <w:szCs w:val="21"/>
              </w:rPr>
            </w:pPr>
            <w:r>
              <w:rPr>
                <w:rFonts w:ascii="Times New Roman" w:hAnsi="Times New Roman" w:eastAsia="宋体" w:cs="Times New Roman"/>
                <w:color w:val="auto"/>
                <w:kern w:val="24"/>
                <w:sz w:val="21"/>
                <w:szCs w:val="21"/>
              </w:rPr>
              <w:t>油坊店村供水井</w:t>
            </w:r>
          </w:p>
        </w:tc>
        <w:tc>
          <w:tcPr>
            <w:tcW w:w="927" w:type="pct"/>
            <w:noWrap w:val="0"/>
            <w:vAlign w:val="center"/>
          </w:tcPr>
          <w:p>
            <w:pPr>
              <w:jc w:val="center"/>
              <w:rPr>
                <w:szCs w:val="21"/>
              </w:rPr>
            </w:pPr>
            <w:r>
              <w:rPr>
                <w:szCs w:val="21"/>
              </w:rPr>
              <w:t>1</w:t>
            </w:r>
          </w:p>
        </w:tc>
        <w:tc>
          <w:tcPr>
            <w:tcW w:w="562" w:type="pct"/>
            <w:noWrap w:val="0"/>
            <w:vAlign w:val="center"/>
          </w:tcPr>
          <w:p>
            <w:pPr>
              <w:jc w:val="center"/>
              <w:rPr>
                <w:szCs w:val="21"/>
              </w:rPr>
            </w:pPr>
            <w:r>
              <w:rPr>
                <w:szCs w:val="21"/>
              </w:rPr>
              <w:t>在用</w:t>
            </w:r>
          </w:p>
        </w:tc>
        <w:tc>
          <w:tcPr>
            <w:tcW w:w="562" w:type="pct"/>
            <w:vMerge w:val="continue"/>
            <w:noWrap w:val="0"/>
            <w:vAlign w:val="top"/>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425" w:type="pct"/>
            <w:vMerge w:val="restart"/>
            <w:noWrap w:val="0"/>
            <w:vAlign w:val="center"/>
          </w:tcPr>
          <w:p>
            <w:pPr>
              <w:autoSpaceDE w:val="0"/>
              <w:autoSpaceDN w:val="0"/>
              <w:adjustRightInd w:val="0"/>
              <w:jc w:val="center"/>
              <w:rPr>
                <w:szCs w:val="21"/>
              </w:rPr>
            </w:pPr>
            <w:r>
              <w:rPr>
                <w:szCs w:val="21"/>
              </w:rPr>
              <w:t>10</w:t>
            </w:r>
          </w:p>
        </w:tc>
        <w:tc>
          <w:tcPr>
            <w:tcW w:w="1320" w:type="pct"/>
            <w:vMerge w:val="restart"/>
            <w:noWrap w:val="0"/>
            <w:vAlign w:val="center"/>
          </w:tcPr>
          <w:p>
            <w:pPr>
              <w:jc w:val="center"/>
              <w:rPr>
                <w:szCs w:val="21"/>
              </w:rPr>
            </w:pPr>
            <w:r>
              <w:rPr>
                <w:szCs w:val="21"/>
              </w:rPr>
              <w:t>吕河乡地下水井群</w:t>
            </w:r>
          </w:p>
        </w:tc>
        <w:tc>
          <w:tcPr>
            <w:tcW w:w="1203" w:type="pct"/>
            <w:noWrap w:val="0"/>
            <w:vAlign w:val="center"/>
          </w:tcPr>
          <w:p>
            <w:pPr>
              <w:pStyle w:val="14"/>
              <w:spacing w:before="0" w:beforeAutospacing="0" w:after="0" w:afterAutospacing="0"/>
              <w:jc w:val="center"/>
              <w:rPr>
                <w:rFonts w:ascii="Times New Roman" w:hAnsi="Times New Roman" w:eastAsia="宋体" w:cs="Times New Roman"/>
                <w:color w:val="auto"/>
                <w:sz w:val="21"/>
                <w:szCs w:val="21"/>
              </w:rPr>
            </w:pPr>
            <w:r>
              <w:rPr>
                <w:rFonts w:ascii="Times New Roman" w:hAnsi="Times New Roman" w:eastAsia="宋体" w:cs="Times New Roman"/>
                <w:color w:val="auto"/>
                <w:kern w:val="24"/>
                <w:sz w:val="21"/>
                <w:szCs w:val="21"/>
              </w:rPr>
              <w:t>吕河供水井1</w:t>
            </w:r>
          </w:p>
        </w:tc>
        <w:tc>
          <w:tcPr>
            <w:tcW w:w="927" w:type="pct"/>
            <w:vMerge w:val="restart"/>
            <w:noWrap w:val="0"/>
            <w:vAlign w:val="center"/>
          </w:tcPr>
          <w:p>
            <w:pPr>
              <w:jc w:val="center"/>
              <w:rPr>
                <w:szCs w:val="21"/>
              </w:rPr>
            </w:pPr>
            <w:r>
              <w:rPr>
                <w:szCs w:val="21"/>
              </w:rPr>
              <w:t>2</w:t>
            </w:r>
          </w:p>
        </w:tc>
        <w:tc>
          <w:tcPr>
            <w:tcW w:w="562" w:type="pct"/>
            <w:noWrap w:val="0"/>
            <w:vAlign w:val="center"/>
          </w:tcPr>
          <w:p>
            <w:pPr>
              <w:jc w:val="center"/>
              <w:rPr>
                <w:szCs w:val="21"/>
              </w:rPr>
            </w:pPr>
            <w:r>
              <w:rPr>
                <w:szCs w:val="21"/>
              </w:rPr>
              <w:t>在用</w:t>
            </w:r>
          </w:p>
        </w:tc>
        <w:tc>
          <w:tcPr>
            <w:tcW w:w="562" w:type="pct"/>
            <w:vMerge w:val="continue"/>
            <w:noWrap w:val="0"/>
            <w:vAlign w:val="top"/>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25" w:type="pct"/>
            <w:vMerge w:val="continue"/>
            <w:noWrap w:val="0"/>
            <w:vAlign w:val="center"/>
          </w:tcPr>
          <w:p>
            <w:pPr>
              <w:jc w:val="center"/>
              <w:rPr>
                <w:szCs w:val="21"/>
              </w:rPr>
            </w:pPr>
          </w:p>
        </w:tc>
        <w:tc>
          <w:tcPr>
            <w:tcW w:w="1320" w:type="pct"/>
            <w:vMerge w:val="continue"/>
            <w:noWrap w:val="0"/>
            <w:vAlign w:val="center"/>
          </w:tcPr>
          <w:p>
            <w:pPr>
              <w:jc w:val="center"/>
              <w:rPr>
                <w:szCs w:val="21"/>
              </w:rPr>
            </w:pPr>
          </w:p>
        </w:tc>
        <w:tc>
          <w:tcPr>
            <w:tcW w:w="1203" w:type="pct"/>
            <w:noWrap w:val="0"/>
            <w:vAlign w:val="center"/>
          </w:tcPr>
          <w:p>
            <w:pPr>
              <w:pStyle w:val="14"/>
              <w:spacing w:before="0" w:beforeAutospacing="0" w:after="0" w:afterAutospacing="0"/>
              <w:jc w:val="center"/>
              <w:rPr>
                <w:rFonts w:ascii="Times New Roman" w:hAnsi="Times New Roman" w:eastAsia="宋体" w:cs="Times New Roman"/>
                <w:color w:val="auto"/>
                <w:sz w:val="21"/>
                <w:szCs w:val="21"/>
              </w:rPr>
            </w:pPr>
            <w:r>
              <w:rPr>
                <w:rFonts w:ascii="Times New Roman" w:hAnsi="Times New Roman" w:eastAsia="宋体" w:cs="Times New Roman"/>
                <w:color w:val="auto"/>
                <w:kern w:val="24"/>
                <w:sz w:val="21"/>
                <w:szCs w:val="21"/>
              </w:rPr>
              <w:t>吕河供水井2</w:t>
            </w:r>
          </w:p>
        </w:tc>
        <w:tc>
          <w:tcPr>
            <w:tcW w:w="927" w:type="pct"/>
            <w:vMerge w:val="continue"/>
            <w:noWrap w:val="0"/>
            <w:vAlign w:val="center"/>
          </w:tcPr>
          <w:p>
            <w:pPr>
              <w:jc w:val="center"/>
              <w:rPr>
                <w:szCs w:val="21"/>
              </w:rPr>
            </w:pPr>
          </w:p>
        </w:tc>
        <w:tc>
          <w:tcPr>
            <w:tcW w:w="562" w:type="pct"/>
            <w:noWrap w:val="0"/>
            <w:vAlign w:val="center"/>
          </w:tcPr>
          <w:p>
            <w:pPr>
              <w:jc w:val="center"/>
              <w:rPr>
                <w:szCs w:val="21"/>
              </w:rPr>
            </w:pPr>
            <w:r>
              <w:rPr>
                <w:szCs w:val="21"/>
              </w:rPr>
              <w:t>在用</w:t>
            </w:r>
          </w:p>
        </w:tc>
        <w:tc>
          <w:tcPr>
            <w:tcW w:w="562" w:type="pct"/>
            <w:vMerge w:val="continue"/>
            <w:noWrap w:val="0"/>
            <w:vAlign w:val="top"/>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1" w:hRule="atLeast"/>
          <w:jc w:val="center"/>
        </w:trPr>
        <w:tc>
          <w:tcPr>
            <w:tcW w:w="425" w:type="pct"/>
            <w:noWrap w:val="0"/>
            <w:vAlign w:val="center"/>
          </w:tcPr>
          <w:p>
            <w:pPr>
              <w:autoSpaceDE w:val="0"/>
              <w:autoSpaceDN w:val="0"/>
              <w:adjustRightInd w:val="0"/>
              <w:jc w:val="center"/>
              <w:rPr>
                <w:szCs w:val="21"/>
              </w:rPr>
            </w:pPr>
            <w:r>
              <w:rPr>
                <w:szCs w:val="21"/>
              </w:rPr>
              <w:t>11</w:t>
            </w:r>
          </w:p>
        </w:tc>
        <w:tc>
          <w:tcPr>
            <w:tcW w:w="1320" w:type="pct"/>
            <w:noWrap w:val="0"/>
            <w:vAlign w:val="center"/>
          </w:tcPr>
          <w:p>
            <w:pPr>
              <w:jc w:val="center"/>
              <w:rPr>
                <w:szCs w:val="21"/>
              </w:rPr>
            </w:pPr>
            <w:r>
              <w:rPr>
                <w:szCs w:val="21"/>
              </w:rPr>
              <w:t>彭桥乡地下水井</w:t>
            </w:r>
          </w:p>
        </w:tc>
        <w:tc>
          <w:tcPr>
            <w:tcW w:w="1203" w:type="pct"/>
            <w:noWrap w:val="0"/>
            <w:vAlign w:val="center"/>
          </w:tcPr>
          <w:p>
            <w:pPr>
              <w:pStyle w:val="14"/>
              <w:spacing w:before="0" w:beforeAutospacing="0" w:after="0" w:afterAutospacing="0"/>
              <w:jc w:val="center"/>
              <w:rPr>
                <w:rFonts w:ascii="Times New Roman" w:hAnsi="Times New Roman" w:eastAsia="宋体" w:cs="Times New Roman"/>
                <w:color w:val="auto"/>
                <w:sz w:val="21"/>
                <w:szCs w:val="21"/>
              </w:rPr>
            </w:pPr>
            <w:r>
              <w:rPr>
                <w:rFonts w:ascii="Times New Roman" w:hAnsi="Times New Roman" w:eastAsia="宋体" w:cs="Times New Roman"/>
                <w:color w:val="auto"/>
                <w:kern w:val="24"/>
                <w:sz w:val="21"/>
                <w:szCs w:val="21"/>
              </w:rPr>
              <w:t>彭桥村供水井</w:t>
            </w:r>
          </w:p>
        </w:tc>
        <w:tc>
          <w:tcPr>
            <w:tcW w:w="927" w:type="pct"/>
            <w:noWrap w:val="0"/>
            <w:vAlign w:val="center"/>
          </w:tcPr>
          <w:p>
            <w:pPr>
              <w:jc w:val="center"/>
              <w:rPr>
                <w:szCs w:val="21"/>
              </w:rPr>
            </w:pPr>
            <w:r>
              <w:rPr>
                <w:szCs w:val="21"/>
              </w:rPr>
              <w:t>1</w:t>
            </w:r>
          </w:p>
        </w:tc>
        <w:tc>
          <w:tcPr>
            <w:tcW w:w="562" w:type="pct"/>
            <w:noWrap w:val="0"/>
            <w:vAlign w:val="center"/>
          </w:tcPr>
          <w:p>
            <w:pPr>
              <w:jc w:val="center"/>
              <w:rPr>
                <w:szCs w:val="21"/>
              </w:rPr>
            </w:pPr>
            <w:r>
              <w:rPr>
                <w:szCs w:val="21"/>
              </w:rPr>
              <w:t>在用</w:t>
            </w:r>
          </w:p>
        </w:tc>
        <w:tc>
          <w:tcPr>
            <w:tcW w:w="562" w:type="pct"/>
            <w:vMerge w:val="continue"/>
            <w:noWrap w:val="0"/>
            <w:vAlign w:val="top"/>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noWrap w:val="0"/>
            <w:vAlign w:val="center"/>
          </w:tcPr>
          <w:p>
            <w:pPr>
              <w:autoSpaceDE w:val="0"/>
              <w:autoSpaceDN w:val="0"/>
              <w:adjustRightInd w:val="0"/>
              <w:jc w:val="center"/>
              <w:rPr>
                <w:szCs w:val="21"/>
              </w:rPr>
            </w:pPr>
            <w:r>
              <w:rPr>
                <w:szCs w:val="21"/>
              </w:rPr>
              <w:t>12</w:t>
            </w:r>
          </w:p>
        </w:tc>
        <w:tc>
          <w:tcPr>
            <w:tcW w:w="1320" w:type="pct"/>
            <w:noWrap w:val="0"/>
            <w:vAlign w:val="center"/>
          </w:tcPr>
          <w:p>
            <w:pPr>
              <w:jc w:val="center"/>
              <w:rPr>
                <w:szCs w:val="21"/>
              </w:rPr>
            </w:pPr>
            <w:r>
              <w:rPr>
                <w:szCs w:val="21"/>
              </w:rPr>
              <w:t>王勿桥乡地下水井</w:t>
            </w:r>
          </w:p>
        </w:tc>
        <w:tc>
          <w:tcPr>
            <w:tcW w:w="1203" w:type="pct"/>
            <w:noWrap w:val="0"/>
            <w:vAlign w:val="center"/>
          </w:tcPr>
          <w:p>
            <w:pPr>
              <w:pStyle w:val="14"/>
              <w:spacing w:before="0" w:beforeAutospacing="0" w:after="0" w:afterAutospacing="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王勿桥村供水</w:t>
            </w:r>
            <w:r>
              <w:rPr>
                <w:rFonts w:ascii="Times New Roman" w:hAnsi="Times New Roman" w:eastAsia="宋体" w:cs="Times New Roman"/>
                <w:color w:val="auto"/>
                <w:kern w:val="24"/>
                <w:sz w:val="21"/>
                <w:szCs w:val="21"/>
              </w:rPr>
              <w:t>井</w:t>
            </w:r>
          </w:p>
        </w:tc>
        <w:tc>
          <w:tcPr>
            <w:tcW w:w="927" w:type="pct"/>
            <w:noWrap w:val="0"/>
            <w:vAlign w:val="center"/>
          </w:tcPr>
          <w:p>
            <w:pPr>
              <w:jc w:val="center"/>
              <w:rPr>
                <w:szCs w:val="21"/>
              </w:rPr>
            </w:pPr>
            <w:r>
              <w:rPr>
                <w:szCs w:val="21"/>
              </w:rPr>
              <w:t>1</w:t>
            </w:r>
          </w:p>
        </w:tc>
        <w:tc>
          <w:tcPr>
            <w:tcW w:w="562" w:type="pct"/>
            <w:noWrap w:val="0"/>
            <w:vAlign w:val="center"/>
          </w:tcPr>
          <w:p>
            <w:pPr>
              <w:jc w:val="center"/>
              <w:rPr>
                <w:szCs w:val="21"/>
              </w:rPr>
            </w:pPr>
            <w:r>
              <w:rPr>
                <w:szCs w:val="21"/>
              </w:rPr>
              <w:t>在用</w:t>
            </w:r>
          </w:p>
        </w:tc>
        <w:tc>
          <w:tcPr>
            <w:tcW w:w="562" w:type="pct"/>
            <w:vMerge w:val="continue"/>
            <w:noWrap w:val="0"/>
            <w:vAlign w:val="top"/>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noWrap w:val="0"/>
            <w:vAlign w:val="center"/>
          </w:tcPr>
          <w:p>
            <w:pPr>
              <w:autoSpaceDE w:val="0"/>
              <w:autoSpaceDN w:val="0"/>
              <w:adjustRightInd w:val="0"/>
              <w:jc w:val="center"/>
              <w:rPr>
                <w:szCs w:val="21"/>
              </w:rPr>
            </w:pPr>
            <w:r>
              <w:rPr>
                <w:szCs w:val="21"/>
              </w:rPr>
              <w:t>13</w:t>
            </w:r>
          </w:p>
        </w:tc>
        <w:tc>
          <w:tcPr>
            <w:tcW w:w="1320" w:type="pct"/>
            <w:noWrap w:val="0"/>
            <w:vAlign w:val="center"/>
          </w:tcPr>
          <w:p>
            <w:pPr>
              <w:adjustRightInd w:val="0"/>
              <w:snapToGrid w:val="0"/>
              <w:jc w:val="center"/>
              <w:rPr>
                <w:szCs w:val="21"/>
              </w:rPr>
            </w:pPr>
            <w:r>
              <w:rPr>
                <w:szCs w:val="21"/>
              </w:rPr>
              <w:t>付寨乡地下水井</w:t>
            </w:r>
          </w:p>
        </w:tc>
        <w:tc>
          <w:tcPr>
            <w:tcW w:w="1203" w:type="pct"/>
            <w:noWrap w:val="0"/>
            <w:vAlign w:val="center"/>
          </w:tcPr>
          <w:p>
            <w:pPr>
              <w:adjustRightInd w:val="0"/>
              <w:snapToGrid w:val="0"/>
              <w:jc w:val="center"/>
              <w:rPr>
                <w:szCs w:val="21"/>
              </w:rPr>
            </w:pPr>
            <w:r>
              <w:rPr>
                <w:szCs w:val="21"/>
              </w:rPr>
              <w:t>付寨水</w:t>
            </w:r>
            <w:r>
              <w:rPr>
                <w:kern w:val="24"/>
                <w:szCs w:val="21"/>
              </w:rPr>
              <w:t>井</w:t>
            </w:r>
          </w:p>
        </w:tc>
        <w:tc>
          <w:tcPr>
            <w:tcW w:w="927" w:type="pct"/>
            <w:noWrap w:val="0"/>
            <w:vAlign w:val="center"/>
          </w:tcPr>
          <w:p>
            <w:pPr>
              <w:jc w:val="center"/>
              <w:rPr>
                <w:szCs w:val="21"/>
              </w:rPr>
            </w:pPr>
            <w:r>
              <w:rPr>
                <w:szCs w:val="21"/>
              </w:rPr>
              <w:t>1</w:t>
            </w:r>
          </w:p>
        </w:tc>
        <w:tc>
          <w:tcPr>
            <w:tcW w:w="562" w:type="pct"/>
            <w:noWrap w:val="0"/>
            <w:vAlign w:val="center"/>
          </w:tcPr>
          <w:p>
            <w:pPr>
              <w:jc w:val="center"/>
              <w:rPr>
                <w:szCs w:val="21"/>
              </w:rPr>
            </w:pPr>
            <w:r>
              <w:rPr>
                <w:szCs w:val="21"/>
              </w:rPr>
              <w:t>在用</w:t>
            </w:r>
          </w:p>
        </w:tc>
        <w:tc>
          <w:tcPr>
            <w:tcW w:w="562" w:type="pct"/>
            <w:vMerge w:val="continue"/>
            <w:noWrap w:val="0"/>
            <w:vAlign w:val="top"/>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noWrap w:val="0"/>
            <w:vAlign w:val="center"/>
          </w:tcPr>
          <w:p>
            <w:pPr>
              <w:autoSpaceDE w:val="0"/>
              <w:autoSpaceDN w:val="0"/>
              <w:adjustRightInd w:val="0"/>
              <w:jc w:val="center"/>
              <w:rPr>
                <w:szCs w:val="21"/>
              </w:rPr>
            </w:pPr>
            <w:r>
              <w:rPr>
                <w:szCs w:val="21"/>
              </w:rPr>
              <w:t>14</w:t>
            </w:r>
          </w:p>
        </w:tc>
        <w:tc>
          <w:tcPr>
            <w:tcW w:w="1320" w:type="pct"/>
            <w:noWrap w:val="0"/>
            <w:vAlign w:val="center"/>
          </w:tcPr>
          <w:p>
            <w:pPr>
              <w:adjustRightInd w:val="0"/>
              <w:snapToGrid w:val="0"/>
              <w:jc w:val="center"/>
              <w:rPr>
                <w:szCs w:val="21"/>
              </w:rPr>
            </w:pPr>
            <w:r>
              <w:rPr>
                <w:szCs w:val="21"/>
              </w:rPr>
              <w:t>永兴镇地下水井</w:t>
            </w:r>
          </w:p>
        </w:tc>
        <w:tc>
          <w:tcPr>
            <w:tcW w:w="1203" w:type="pct"/>
            <w:noWrap w:val="0"/>
            <w:vAlign w:val="center"/>
          </w:tcPr>
          <w:p>
            <w:pPr>
              <w:adjustRightInd w:val="0"/>
              <w:snapToGrid w:val="0"/>
              <w:jc w:val="center"/>
              <w:rPr>
                <w:szCs w:val="21"/>
              </w:rPr>
            </w:pPr>
            <w:r>
              <w:rPr>
                <w:szCs w:val="21"/>
              </w:rPr>
              <w:t>赵庙村供水</w:t>
            </w:r>
            <w:r>
              <w:rPr>
                <w:kern w:val="24"/>
                <w:szCs w:val="21"/>
              </w:rPr>
              <w:t>井</w:t>
            </w:r>
          </w:p>
        </w:tc>
        <w:tc>
          <w:tcPr>
            <w:tcW w:w="927" w:type="pct"/>
            <w:noWrap w:val="0"/>
            <w:vAlign w:val="center"/>
          </w:tcPr>
          <w:p>
            <w:pPr>
              <w:jc w:val="center"/>
              <w:rPr>
                <w:szCs w:val="21"/>
              </w:rPr>
            </w:pPr>
            <w:r>
              <w:rPr>
                <w:szCs w:val="21"/>
              </w:rPr>
              <w:t>1</w:t>
            </w:r>
          </w:p>
        </w:tc>
        <w:tc>
          <w:tcPr>
            <w:tcW w:w="562" w:type="pct"/>
            <w:noWrap w:val="0"/>
            <w:vAlign w:val="center"/>
          </w:tcPr>
          <w:p>
            <w:pPr>
              <w:jc w:val="center"/>
              <w:rPr>
                <w:szCs w:val="21"/>
              </w:rPr>
            </w:pPr>
            <w:r>
              <w:rPr>
                <w:szCs w:val="21"/>
              </w:rPr>
              <w:t>在用</w:t>
            </w:r>
          </w:p>
        </w:tc>
        <w:tc>
          <w:tcPr>
            <w:tcW w:w="562" w:type="pct"/>
            <w:vMerge w:val="continue"/>
            <w:noWrap w:val="0"/>
            <w:vAlign w:val="top"/>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noWrap w:val="0"/>
            <w:vAlign w:val="center"/>
          </w:tcPr>
          <w:p>
            <w:pPr>
              <w:autoSpaceDE w:val="0"/>
              <w:autoSpaceDN w:val="0"/>
              <w:adjustRightInd w:val="0"/>
              <w:jc w:val="center"/>
              <w:rPr>
                <w:szCs w:val="21"/>
              </w:rPr>
            </w:pPr>
            <w:r>
              <w:rPr>
                <w:szCs w:val="21"/>
              </w:rPr>
              <w:t>15</w:t>
            </w:r>
          </w:p>
        </w:tc>
        <w:tc>
          <w:tcPr>
            <w:tcW w:w="1320" w:type="pct"/>
            <w:noWrap w:val="0"/>
            <w:vAlign w:val="center"/>
          </w:tcPr>
          <w:p>
            <w:pPr>
              <w:adjustRightInd w:val="0"/>
              <w:snapToGrid w:val="0"/>
              <w:jc w:val="center"/>
              <w:rPr>
                <w:szCs w:val="21"/>
              </w:rPr>
            </w:pPr>
            <w:r>
              <w:rPr>
                <w:szCs w:val="21"/>
              </w:rPr>
              <w:t>新阮店乡地下水井</w:t>
            </w:r>
          </w:p>
        </w:tc>
        <w:tc>
          <w:tcPr>
            <w:tcW w:w="1203" w:type="pct"/>
            <w:noWrap w:val="0"/>
            <w:vAlign w:val="center"/>
          </w:tcPr>
          <w:p>
            <w:pPr>
              <w:adjustRightInd w:val="0"/>
              <w:snapToGrid w:val="0"/>
              <w:jc w:val="center"/>
              <w:rPr>
                <w:szCs w:val="21"/>
              </w:rPr>
            </w:pPr>
            <w:r>
              <w:rPr>
                <w:szCs w:val="21"/>
              </w:rPr>
              <w:t>徐围孜村供水</w:t>
            </w:r>
            <w:r>
              <w:rPr>
                <w:kern w:val="24"/>
                <w:szCs w:val="21"/>
              </w:rPr>
              <w:t>井</w:t>
            </w:r>
          </w:p>
        </w:tc>
        <w:tc>
          <w:tcPr>
            <w:tcW w:w="927" w:type="pct"/>
            <w:noWrap w:val="0"/>
            <w:vAlign w:val="center"/>
          </w:tcPr>
          <w:p>
            <w:pPr>
              <w:jc w:val="center"/>
              <w:rPr>
                <w:szCs w:val="21"/>
              </w:rPr>
            </w:pPr>
            <w:r>
              <w:rPr>
                <w:szCs w:val="21"/>
              </w:rPr>
              <w:t>1</w:t>
            </w:r>
          </w:p>
        </w:tc>
        <w:tc>
          <w:tcPr>
            <w:tcW w:w="562" w:type="pct"/>
            <w:noWrap w:val="0"/>
            <w:vAlign w:val="center"/>
          </w:tcPr>
          <w:p>
            <w:pPr>
              <w:jc w:val="center"/>
              <w:rPr>
                <w:szCs w:val="21"/>
              </w:rPr>
            </w:pPr>
            <w:r>
              <w:rPr>
                <w:szCs w:val="21"/>
              </w:rPr>
              <w:t>规划</w:t>
            </w:r>
          </w:p>
        </w:tc>
        <w:tc>
          <w:tcPr>
            <w:tcW w:w="562" w:type="pct"/>
            <w:vMerge w:val="continue"/>
            <w:noWrap w:val="0"/>
            <w:vAlign w:val="top"/>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noWrap w:val="0"/>
            <w:vAlign w:val="center"/>
          </w:tcPr>
          <w:p>
            <w:pPr>
              <w:autoSpaceDE w:val="0"/>
              <w:autoSpaceDN w:val="0"/>
              <w:adjustRightInd w:val="0"/>
              <w:jc w:val="center"/>
              <w:rPr>
                <w:szCs w:val="21"/>
              </w:rPr>
            </w:pPr>
            <w:r>
              <w:rPr>
                <w:szCs w:val="21"/>
              </w:rPr>
              <w:t>16</w:t>
            </w:r>
          </w:p>
        </w:tc>
        <w:tc>
          <w:tcPr>
            <w:tcW w:w="1320" w:type="pct"/>
            <w:noWrap w:val="0"/>
            <w:vAlign w:val="center"/>
          </w:tcPr>
          <w:p>
            <w:pPr>
              <w:adjustRightInd w:val="0"/>
              <w:snapToGrid w:val="0"/>
              <w:jc w:val="center"/>
              <w:rPr>
                <w:szCs w:val="21"/>
              </w:rPr>
            </w:pPr>
            <w:r>
              <w:rPr>
                <w:szCs w:val="21"/>
              </w:rPr>
              <w:t>寒冻镇地下水井</w:t>
            </w:r>
          </w:p>
        </w:tc>
        <w:tc>
          <w:tcPr>
            <w:tcW w:w="1203" w:type="pct"/>
            <w:noWrap w:val="0"/>
            <w:vAlign w:val="center"/>
          </w:tcPr>
          <w:p>
            <w:pPr>
              <w:adjustRightInd w:val="0"/>
              <w:snapToGrid w:val="0"/>
              <w:jc w:val="center"/>
              <w:rPr>
                <w:szCs w:val="21"/>
              </w:rPr>
            </w:pPr>
            <w:r>
              <w:rPr>
                <w:szCs w:val="21"/>
              </w:rPr>
              <w:t>寒冻村供水</w:t>
            </w:r>
            <w:r>
              <w:rPr>
                <w:kern w:val="24"/>
                <w:szCs w:val="21"/>
              </w:rPr>
              <w:t>井</w:t>
            </w:r>
          </w:p>
        </w:tc>
        <w:tc>
          <w:tcPr>
            <w:tcW w:w="927" w:type="pct"/>
            <w:noWrap w:val="0"/>
            <w:vAlign w:val="center"/>
          </w:tcPr>
          <w:p>
            <w:pPr>
              <w:jc w:val="center"/>
              <w:rPr>
                <w:szCs w:val="21"/>
              </w:rPr>
            </w:pPr>
            <w:r>
              <w:rPr>
                <w:szCs w:val="21"/>
              </w:rPr>
              <w:t>1</w:t>
            </w:r>
          </w:p>
        </w:tc>
        <w:tc>
          <w:tcPr>
            <w:tcW w:w="562" w:type="pct"/>
            <w:noWrap w:val="0"/>
            <w:vAlign w:val="center"/>
          </w:tcPr>
          <w:p>
            <w:pPr>
              <w:jc w:val="center"/>
              <w:rPr>
                <w:szCs w:val="21"/>
              </w:rPr>
            </w:pPr>
            <w:r>
              <w:rPr>
                <w:szCs w:val="21"/>
              </w:rPr>
              <w:t>在用</w:t>
            </w:r>
          </w:p>
        </w:tc>
        <w:tc>
          <w:tcPr>
            <w:tcW w:w="562" w:type="pct"/>
            <w:vMerge w:val="continue"/>
            <w:noWrap w:val="0"/>
            <w:vAlign w:val="top"/>
          </w:tcPr>
          <w:p>
            <w:pPr>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5" w:type="pct"/>
            <w:noWrap w:val="0"/>
            <w:vAlign w:val="center"/>
          </w:tcPr>
          <w:p>
            <w:pPr>
              <w:autoSpaceDE w:val="0"/>
              <w:autoSpaceDN w:val="0"/>
              <w:adjustRightInd w:val="0"/>
              <w:jc w:val="center"/>
              <w:rPr>
                <w:szCs w:val="21"/>
              </w:rPr>
            </w:pPr>
            <w:r>
              <w:rPr>
                <w:szCs w:val="21"/>
              </w:rPr>
              <w:t>17</w:t>
            </w:r>
          </w:p>
        </w:tc>
        <w:tc>
          <w:tcPr>
            <w:tcW w:w="1320" w:type="pct"/>
            <w:noWrap w:val="0"/>
            <w:vAlign w:val="center"/>
          </w:tcPr>
          <w:p>
            <w:pPr>
              <w:adjustRightInd w:val="0"/>
              <w:snapToGrid w:val="0"/>
              <w:jc w:val="center"/>
              <w:rPr>
                <w:szCs w:val="21"/>
              </w:rPr>
            </w:pPr>
            <w:r>
              <w:rPr>
                <w:szCs w:val="21"/>
              </w:rPr>
              <w:t>雷寨乡地下水井群</w:t>
            </w:r>
          </w:p>
        </w:tc>
        <w:tc>
          <w:tcPr>
            <w:tcW w:w="1203" w:type="pct"/>
            <w:noWrap w:val="0"/>
            <w:vAlign w:val="center"/>
          </w:tcPr>
          <w:p>
            <w:pPr>
              <w:adjustRightInd w:val="0"/>
              <w:snapToGrid w:val="0"/>
              <w:jc w:val="center"/>
              <w:rPr>
                <w:szCs w:val="21"/>
              </w:rPr>
            </w:pPr>
            <w:r>
              <w:rPr>
                <w:szCs w:val="21"/>
              </w:rPr>
              <w:t>雷寨水井1</w:t>
            </w:r>
          </w:p>
        </w:tc>
        <w:tc>
          <w:tcPr>
            <w:tcW w:w="927" w:type="pct"/>
            <w:noWrap w:val="0"/>
            <w:vAlign w:val="center"/>
          </w:tcPr>
          <w:p>
            <w:pPr>
              <w:jc w:val="center"/>
              <w:rPr>
                <w:szCs w:val="21"/>
              </w:rPr>
            </w:pPr>
            <w:r>
              <w:rPr>
                <w:szCs w:val="21"/>
              </w:rPr>
              <w:t>2</w:t>
            </w:r>
          </w:p>
        </w:tc>
        <w:tc>
          <w:tcPr>
            <w:tcW w:w="562" w:type="pct"/>
            <w:noWrap w:val="0"/>
            <w:vAlign w:val="center"/>
          </w:tcPr>
          <w:p>
            <w:pPr>
              <w:jc w:val="center"/>
              <w:rPr>
                <w:szCs w:val="21"/>
              </w:rPr>
            </w:pPr>
            <w:r>
              <w:rPr>
                <w:szCs w:val="21"/>
              </w:rPr>
              <w:t>在用</w:t>
            </w:r>
          </w:p>
        </w:tc>
        <w:tc>
          <w:tcPr>
            <w:tcW w:w="562" w:type="pct"/>
            <w:vMerge w:val="continue"/>
            <w:noWrap w:val="0"/>
            <w:vAlign w:val="top"/>
          </w:tcPr>
          <w:p>
            <w:pPr>
              <w:jc w:val="center"/>
              <w:rPr>
                <w:szCs w:val="21"/>
              </w:rPr>
            </w:pPr>
          </w:p>
        </w:tc>
      </w:tr>
    </w:tbl>
    <w:p>
      <w:pPr>
        <w:spacing w:line="500" w:lineRule="exact"/>
        <w:rPr>
          <w:b/>
          <w:sz w:val="24"/>
        </w:rPr>
      </w:pPr>
      <w:r>
        <w:rPr>
          <w:b/>
          <w:sz w:val="24"/>
        </w:rPr>
        <w:t xml:space="preserve">1.7.5.2  </w:t>
      </w:r>
      <w:r>
        <w:rPr>
          <w:rFonts w:hAnsi="宋体"/>
          <w:b/>
          <w:sz w:val="24"/>
        </w:rPr>
        <w:t>项目建设与饮用水源保护规划相符性分析</w:t>
      </w:r>
    </w:p>
    <w:p>
      <w:pPr>
        <w:spacing w:line="520" w:lineRule="exact"/>
        <w:ind w:firstLine="480" w:firstLineChars="200"/>
        <w:jc w:val="left"/>
        <w:rPr>
          <w:sz w:val="24"/>
        </w:rPr>
      </w:pPr>
      <w:r>
        <w:rPr>
          <w:rFonts w:hAnsi="宋体"/>
          <w:sz w:val="24"/>
        </w:rPr>
        <w:t>项目区位于</w:t>
      </w:r>
      <w:r>
        <w:rPr>
          <w:rFonts w:hint="eastAsia" w:hAnsi="宋体"/>
          <w:sz w:val="24"/>
          <w:lang w:eastAsia="zh-CN"/>
        </w:rPr>
        <w:t>正阳县汝南埠镇大温寺王店</w:t>
      </w:r>
      <w:r>
        <w:rPr>
          <w:rFonts w:hAnsi="宋体"/>
          <w:sz w:val="24"/>
        </w:rPr>
        <w:t>，</w:t>
      </w:r>
      <w:r>
        <w:rPr>
          <w:rFonts w:hint="eastAsia" w:hAnsi="宋体"/>
          <w:sz w:val="24"/>
        </w:rPr>
        <w:t>根据《驻马店市</w:t>
      </w:r>
      <w:r>
        <w:rPr>
          <w:rFonts w:hAnsi="宋体"/>
          <w:sz w:val="24"/>
        </w:rPr>
        <w:t>正阳县乡镇集中式</w:t>
      </w:r>
      <w:r>
        <w:rPr>
          <w:rFonts w:hint="eastAsia" w:hAnsi="宋体"/>
          <w:sz w:val="24"/>
        </w:rPr>
        <w:t>饮用水</w:t>
      </w:r>
      <w:r>
        <w:rPr>
          <w:rFonts w:hAnsi="宋体"/>
          <w:sz w:val="24"/>
        </w:rPr>
        <w:t>水源保护区划分技术报告</w:t>
      </w:r>
      <w:r>
        <w:rPr>
          <w:rFonts w:hint="eastAsia" w:hAnsi="宋体"/>
          <w:sz w:val="24"/>
        </w:rPr>
        <w:t>》</w:t>
      </w:r>
      <w:r>
        <w:rPr>
          <w:rFonts w:hAnsi="宋体"/>
          <w:sz w:val="24"/>
        </w:rPr>
        <w:t>正阳县</w:t>
      </w:r>
      <w:r>
        <w:rPr>
          <w:rFonts w:hint="eastAsia" w:hAnsi="宋体"/>
          <w:sz w:val="24"/>
          <w:lang w:eastAsia="zh-CN"/>
        </w:rPr>
        <w:t>汝南埠镇</w:t>
      </w:r>
      <w:r>
        <w:rPr>
          <w:rFonts w:hint="eastAsia" w:hAnsi="宋体"/>
          <w:sz w:val="24"/>
        </w:rPr>
        <w:t>设有</w:t>
      </w:r>
      <w:r>
        <w:rPr>
          <w:rFonts w:hint="eastAsia" w:hAnsi="宋体"/>
          <w:sz w:val="24"/>
          <w:lang w:val="en-US" w:eastAsia="zh-CN"/>
        </w:rPr>
        <w:t>4眼</w:t>
      </w:r>
      <w:r>
        <w:rPr>
          <w:rFonts w:hint="eastAsia" w:hAnsi="宋体"/>
          <w:sz w:val="24"/>
        </w:rPr>
        <w:t>水井（</w:t>
      </w:r>
      <w:r>
        <w:rPr>
          <w:rFonts w:hAnsi="宋体"/>
          <w:sz w:val="24"/>
        </w:rPr>
        <w:t>距离本项目</w:t>
      </w:r>
      <w:r>
        <w:rPr>
          <w:rFonts w:hint="eastAsia" w:hAnsi="宋体"/>
          <w:sz w:val="24"/>
          <w:lang w:val="en-US" w:eastAsia="zh-CN"/>
        </w:rPr>
        <w:t>3.8</w:t>
      </w:r>
      <w:r>
        <w:rPr>
          <w:rFonts w:hAnsi="宋体"/>
          <w:sz w:val="24"/>
        </w:rPr>
        <w:t>km</w:t>
      </w:r>
      <w:r>
        <w:rPr>
          <w:rFonts w:hint="eastAsia" w:hAnsi="宋体"/>
          <w:sz w:val="24"/>
        </w:rPr>
        <w:t>）。该水井的保护范围为</w:t>
      </w:r>
      <w:r>
        <w:rPr>
          <w:sz w:val="24"/>
        </w:rPr>
        <w:t>以水源井为中心</w:t>
      </w:r>
      <w:r>
        <w:rPr>
          <w:rFonts w:hint="eastAsia"/>
          <w:sz w:val="24"/>
        </w:rPr>
        <w:t>，</w:t>
      </w:r>
      <w:r>
        <w:rPr>
          <w:sz w:val="24"/>
        </w:rPr>
        <w:t>30m为半径的圆形区域</w:t>
      </w:r>
      <w:r>
        <w:rPr>
          <w:rFonts w:hint="eastAsia"/>
          <w:sz w:val="24"/>
        </w:rPr>
        <w:t>。</w:t>
      </w:r>
    </w:p>
    <w:p>
      <w:pPr>
        <w:spacing w:line="500" w:lineRule="exact"/>
        <w:ind w:firstLine="480"/>
        <w:rPr>
          <w:rFonts w:hint="eastAsia" w:hAnsi="宋体"/>
          <w:snapToGrid w:val="0"/>
          <w:sz w:val="24"/>
        </w:rPr>
      </w:pPr>
      <w:r>
        <w:rPr>
          <w:rFonts w:hint="eastAsia" w:hAnsi="宋体"/>
          <w:snapToGrid w:val="0"/>
          <w:sz w:val="24"/>
        </w:rPr>
        <w:t>正阳县</w:t>
      </w:r>
      <w:r>
        <w:rPr>
          <w:rFonts w:hint="eastAsia" w:hAnsi="宋体"/>
          <w:snapToGrid w:val="0"/>
          <w:sz w:val="24"/>
          <w:lang w:eastAsia="zh-CN"/>
        </w:rPr>
        <w:t>汝南埠镇</w:t>
      </w:r>
      <w:r>
        <w:rPr>
          <w:rFonts w:hint="eastAsia" w:hAnsi="宋体"/>
          <w:snapToGrid w:val="0"/>
          <w:sz w:val="24"/>
        </w:rPr>
        <w:t>地下水井共</w:t>
      </w:r>
      <w:r>
        <w:rPr>
          <w:rFonts w:hint="eastAsia" w:hAnsi="宋体"/>
          <w:snapToGrid w:val="0"/>
          <w:sz w:val="24"/>
          <w:lang w:val="en-US" w:eastAsia="zh-CN"/>
        </w:rPr>
        <w:t>4</w:t>
      </w:r>
      <w:r>
        <w:rPr>
          <w:rFonts w:hint="eastAsia" w:hAnsi="宋体"/>
          <w:snapToGrid w:val="0"/>
          <w:sz w:val="24"/>
        </w:rPr>
        <w:t>眼井，一级保护区范围为：</w:t>
      </w:r>
      <w:r>
        <w:rPr>
          <w:rFonts w:hint="eastAsia" w:hAnsi="宋体"/>
          <w:snapToGrid w:val="0"/>
          <w:sz w:val="24"/>
          <w:lang w:val="en-US" w:eastAsia="zh-CN"/>
        </w:rPr>
        <w:t>水厂厂区及外围东20米、西20米、南16米、北28米的区域(1～3号取水井)，4号取水井外围30米的区域</w:t>
      </w:r>
      <w:r>
        <w:rPr>
          <w:rFonts w:hint="eastAsia" w:hAnsi="宋体"/>
          <w:snapToGrid w:val="0"/>
          <w:sz w:val="24"/>
        </w:rPr>
        <w:t>。正阳县</w:t>
      </w:r>
      <w:r>
        <w:rPr>
          <w:rFonts w:hint="eastAsia" w:hAnsi="宋体"/>
          <w:snapToGrid w:val="0"/>
          <w:sz w:val="24"/>
          <w:lang w:eastAsia="zh-CN"/>
        </w:rPr>
        <w:t>汝南埠镇</w:t>
      </w:r>
      <w:r>
        <w:rPr>
          <w:rFonts w:hint="eastAsia" w:hAnsi="宋体"/>
          <w:snapToGrid w:val="0"/>
          <w:sz w:val="24"/>
        </w:rPr>
        <w:t>地下水井位于</w:t>
      </w:r>
      <w:r>
        <w:rPr>
          <w:rFonts w:hint="eastAsia" w:hAnsi="宋体"/>
          <w:snapToGrid w:val="0"/>
          <w:sz w:val="24"/>
          <w:lang w:eastAsia="zh-CN"/>
        </w:rPr>
        <w:t>汝南埠镇</w:t>
      </w:r>
      <w:r>
        <w:rPr>
          <w:rFonts w:hint="eastAsia" w:hAnsi="宋体"/>
          <w:snapToGrid w:val="0"/>
          <w:sz w:val="24"/>
        </w:rPr>
        <w:t>，位于本项目</w:t>
      </w:r>
      <w:r>
        <w:rPr>
          <w:rFonts w:hint="eastAsia" w:hAnsi="宋体"/>
          <w:snapToGrid w:val="0"/>
          <w:sz w:val="24"/>
          <w:lang w:val="en-US" w:eastAsia="zh-CN"/>
        </w:rPr>
        <w:t>西北</w:t>
      </w:r>
      <w:r>
        <w:rPr>
          <w:rFonts w:hint="eastAsia" w:hAnsi="宋体"/>
          <w:snapToGrid w:val="0"/>
          <w:sz w:val="24"/>
        </w:rPr>
        <w:t>约</w:t>
      </w:r>
      <w:r>
        <w:rPr>
          <w:rFonts w:hint="eastAsia" w:hAnsi="宋体"/>
          <w:snapToGrid w:val="0"/>
          <w:sz w:val="24"/>
          <w:lang w:val="en-US" w:eastAsia="zh-CN"/>
        </w:rPr>
        <w:t>3.8</w:t>
      </w:r>
      <w:r>
        <w:rPr>
          <w:rFonts w:hint="eastAsia" w:hAnsi="宋体"/>
          <w:snapToGrid w:val="0"/>
          <w:sz w:val="24"/>
        </w:rPr>
        <w:t>km，距离本项目沼液消纳地边界约</w:t>
      </w:r>
      <w:r>
        <w:rPr>
          <w:rFonts w:hint="eastAsia" w:hAnsi="宋体"/>
          <w:snapToGrid w:val="0"/>
          <w:sz w:val="24"/>
          <w:lang w:val="en-US" w:eastAsia="zh-CN"/>
        </w:rPr>
        <w:t>3.82</w:t>
      </w:r>
      <w:r>
        <w:rPr>
          <w:rFonts w:hint="eastAsia" w:hAnsi="宋体"/>
          <w:snapToGrid w:val="0"/>
          <w:sz w:val="24"/>
        </w:rPr>
        <w:t>km，本项目和沼液消纳地不在其保护区范围内，符合饮用水源保护规划要求。</w:t>
      </w:r>
    </w:p>
    <w:p>
      <w:pPr>
        <w:spacing w:line="500" w:lineRule="exact"/>
        <w:ind w:firstLine="480"/>
        <w:rPr>
          <w:rFonts w:hAnsi="宋体"/>
          <w:sz w:val="24"/>
        </w:rPr>
      </w:pPr>
      <w:r>
        <w:rPr>
          <w:rFonts w:hint="eastAsia" w:hAnsi="宋体"/>
          <w:sz w:val="24"/>
        </w:rPr>
        <w:t>本项目周边村庄</w:t>
      </w:r>
      <w:r>
        <w:rPr>
          <w:rFonts w:hAnsi="宋体"/>
          <w:sz w:val="24"/>
        </w:rPr>
        <w:t>供水方式主要为居民家中的自备井供水（取水方式以手压井为主），水源为</w:t>
      </w:r>
      <w:r>
        <w:rPr>
          <w:rFonts w:hint="eastAsia" w:hAnsi="宋体"/>
          <w:sz w:val="24"/>
        </w:rPr>
        <w:t>浅</w:t>
      </w:r>
      <w:r>
        <w:rPr>
          <w:rFonts w:hAnsi="宋体"/>
          <w:sz w:val="24"/>
        </w:rPr>
        <w:t>层地下水，参照《饮用水源保护区划分技术规范》中水源保护区的划分方式，项目区周边村庄不需设置水源保护区域。建设单位拟自建自备井以满足自身用水需求。</w:t>
      </w:r>
    </w:p>
    <w:p>
      <w:pPr>
        <w:snapToGrid w:val="0"/>
        <w:spacing w:line="520" w:lineRule="exact"/>
        <w:outlineLvl w:val="1"/>
        <w:rPr>
          <w:rFonts w:eastAsia="黑体"/>
          <w:bCs/>
          <w:sz w:val="28"/>
          <w:szCs w:val="28"/>
        </w:rPr>
      </w:pPr>
      <w:bookmarkStart w:id="153" w:name="_Toc17656"/>
      <w:r>
        <w:rPr>
          <w:rFonts w:eastAsia="黑体"/>
          <w:bCs/>
          <w:sz w:val="28"/>
          <w:szCs w:val="28"/>
        </w:rPr>
        <w:t>1.8报告书章节设置与评价重点</w:t>
      </w:r>
      <w:bookmarkEnd w:id="149"/>
      <w:bookmarkEnd w:id="150"/>
      <w:bookmarkEnd w:id="151"/>
      <w:bookmarkEnd w:id="152"/>
      <w:bookmarkEnd w:id="153"/>
    </w:p>
    <w:p>
      <w:pPr>
        <w:pStyle w:val="2"/>
        <w:snapToGrid w:val="0"/>
        <w:spacing w:before="0" w:after="0" w:line="520" w:lineRule="exact"/>
        <w:rPr>
          <w:rFonts w:eastAsia="黑体"/>
          <w:b w:val="0"/>
          <w:bCs w:val="0"/>
          <w:sz w:val="24"/>
          <w:szCs w:val="24"/>
        </w:rPr>
      </w:pPr>
      <w:bookmarkStart w:id="154" w:name="_Toc413750087"/>
      <w:bookmarkStart w:id="155" w:name="_Toc407000999"/>
      <w:bookmarkStart w:id="156" w:name="_Toc412820921"/>
      <w:r>
        <w:rPr>
          <w:rFonts w:eastAsia="黑体"/>
          <w:b w:val="0"/>
          <w:bCs w:val="0"/>
          <w:sz w:val="24"/>
          <w:szCs w:val="24"/>
        </w:rPr>
        <w:t>1.8.1 评价专题设置</w:t>
      </w:r>
      <w:bookmarkEnd w:id="154"/>
      <w:bookmarkEnd w:id="155"/>
      <w:bookmarkEnd w:id="156"/>
    </w:p>
    <w:p>
      <w:pPr>
        <w:pStyle w:val="25"/>
        <w:spacing w:line="520" w:lineRule="exact"/>
        <w:ind w:firstLine="480"/>
      </w:pPr>
      <w:bookmarkStart w:id="157" w:name="_Toc412820922"/>
      <w:bookmarkStart w:id="158" w:name="_Toc413750088"/>
      <w:bookmarkStart w:id="159" w:name="_Toc407001000"/>
      <w:r>
        <w:t>1、总</w:t>
      </w:r>
      <w:r>
        <w:rPr>
          <w:rFonts w:hint="eastAsia"/>
        </w:rPr>
        <w:t>则</w:t>
      </w:r>
    </w:p>
    <w:p>
      <w:pPr>
        <w:pStyle w:val="25"/>
        <w:spacing w:line="520" w:lineRule="exact"/>
        <w:ind w:firstLine="480"/>
      </w:pPr>
      <w:r>
        <w:t>2、建设项目工程分析</w:t>
      </w:r>
    </w:p>
    <w:p>
      <w:pPr>
        <w:pStyle w:val="25"/>
        <w:spacing w:line="520" w:lineRule="exact"/>
        <w:ind w:firstLine="480"/>
      </w:pPr>
      <w:r>
        <w:t>3、环境现状调查与评价</w:t>
      </w:r>
    </w:p>
    <w:p>
      <w:pPr>
        <w:pStyle w:val="25"/>
        <w:spacing w:line="520" w:lineRule="exact"/>
        <w:ind w:firstLine="480"/>
      </w:pPr>
      <w:r>
        <w:t>4、环境质量影响预测与评价</w:t>
      </w:r>
    </w:p>
    <w:p>
      <w:pPr>
        <w:pStyle w:val="25"/>
        <w:spacing w:line="520" w:lineRule="exact"/>
        <w:ind w:firstLine="480"/>
      </w:pPr>
      <w:r>
        <w:t>5、环境保护措施</w:t>
      </w:r>
      <w:r>
        <w:rPr>
          <w:rFonts w:hint="eastAsia"/>
        </w:rPr>
        <w:t>及其</w:t>
      </w:r>
      <w:r>
        <w:t>可行性论证</w:t>
      </w:r>
    </w:p>
    <w:p>
      <w:pPr>
        <w:pStyle w:val="25"/>
        <w:spacing w:line="520" w:lineRule="exact"/>
        <w:ind w:firstLine="480"/>
      </w:pPr>
      <w:r>
        <w:t>6、环境影响经济损益分析</w:t>
      </w:r>
    </w:p>
    <w:p>
      <w:pPr>
        <w:pStyle w:val="25"/>
        <w:spacing w:line="520" w:lineRule="exact"/>
        <w:ind w:firstLine="480"/>
      </w:pPr>
      <w:r>
        <w:t>7、环境管理与监控计划</w:t>
      </w:r>
    </w:p>
    <w:p>
      <w:pPr>
        <w:pStyle w:val="25"/>
        <w:spacing w:line="520" w:lineRule="exact"/>
        <w:ind w:firstLine="480"/>
        <w:rPr>
          <w:rFonts w:hint="eastAsia"/>
        </w:rPr>
      </w:pPr>
      <w:r>
        <w:t>8、环境影响评价结论</w:t>
      </w:r>
    </w:p>
    <w:p>
      <w:pPr>
        <w:pStyle w:val="2"/>
        <w:snapToGrid w:val="0"/>
        <w:spacing w:before="0" w:after="0" w:line="520" w:lineRule="exact"/>
        <w:rPr>
          <w:rFonts w:eastAsia="黑体"/>
          <w:b w:val="0"/>
          <w:bCs w:val="0"/>
          <w:sz w:val="24"/>
          <w:szCs w:val="24"/>
        </w:rPr>
      </w:pPr>
      <w:bookmarkStart w:id="160" w:name="_Toc23213"/>
      <w:r>
        <w:rPr>
          <w:rFonts w:eastAsia="黑体"/>
          <w:b w:val="0"/>
          <w:bCs w:val="0"/>
          <w:sz w:val="24"/>
          <w:szCs w:val="24"/>
        </w:rPr>
        <w:t>1.8.2 评价重点</w:t>
      </w:r>
      <w:bookmarkEnd w:id="160"/>
    </w:p>
    <w:p>
      <w:pPr>
        <w:spacing w:line="520" w:lineRule="exact"/>
        <w:ind w:firstLine="480" w:firstLineChars="200"/>
        <w:rPr>
          <w:sz w:val="24"/>
        </w:rPr>
      </w:pPr>
      <w:r>
        <w:rPr>
          <w:sz w:val="24"/>
        </w:rPr>
        <w:t>根据对项目工程分析及选址环境特征，确定本项目环境影响评价的重点如下：</w:t>
      </w:r>
    </w:p>
    <w:p>
      <w:pPr>
        <w:spacing w:line="520" w:lineRule="exact"/>
        <w:ind w:firstLine="480" w:firstLineChars="200"/>
        <w:rPr>
          <w:sz w:val="24"/>
        </w:rPr>
      </w:pPr>
      <w:r>
        <w:rPr>
          <w:sz w:val="24"/>
        </w:rPr>
        <w:t>（1）工程分析；针对养殖行业特点，调查分析废气、废水、固废等的污染物特性，重点核实项目污染物的排放源强和排放特征；</w:t>
      </w:r>
    </w:p>
    <w:p>
      <w:pPr>
        <w:spacing w:line="520" w:lineRule="exact"/>
        <w:ind w:firstLine="480" w:firstLineChars="200"/>
        <w:rPr>
          <w:sz w:val="24"/>
        </w:rPr>
      </w:pPr>
      <w:r>
        <w:rPr>
          <w:sz w:val="24"/>
        </w:rPr>
        <w:t>（2）环境影响预测和评价：核实项目污染物的排放源强和排放特征，预测判断项目建设完成后对评价区环境的影响范围和程度；</w:t>
      </w:r>
    </w:p>
    <w:p>
      <w:pPr>
        <w:spacing w:line="520" w:lineRule="exact"/>
        <w:ind w:firstLine="480" w:firstLineChars="200"/>
        <w:rPr>
          <w:sz w:val="24"/>
        </w:rPr>
      </w:pPr>
      <w:r>
        <w:rPr>
          <w:sz w:val="24"/>
        </w:rPr>
        <w:t>（3）污染防治措施及技术经济论证：根据建设项目产生的污染物特点，充分分析污染治理措施的技术先进性、经济合理性及运行的可靠性、农养一体化实施的可靠性，提出相应的对策和措施建议。</w:t>
      </w:r>
    </w:p>
    <w:bookmarkEnd w:id="157"/>
    <w:bookmarkEnd w:id="158"/>
    <w:bookmarkEnd w:id="159"/>
    <w:p>
      <w:pPr>
        <w:rPr>
          <w:sz w:val="24"/>
        </w:rPr>
      </w:pPr>
    </w:p>
    <w:p>
      <w:pPr>
        <w:spacing w:line="500" w:lineRule="exact"/>
        <w:ind w:firstLine="2364" w:firstLineChars="981"/>
        <w:rPr>
          <w:b/>
          <w:sz w:val="24"/>
        </w:rPr>
        <w:sectPr>
          <w:headerReference r:id="rId7" w:type="default"/>
          <w:footerReference r:id="rId8" w:type="default"/>
          <w:pgSz w:w="11906" w:h="16838"/>
          <w:pgMar w:top="1588" w:right="1588" w:bottom="1588" w:left="1588" w:header="851" w:footer="992" w:gutter="0"/>
          <w:pgNumType w:fmt="numberInDash" w:start="1"/>
          <w:cols w:space="720" w:num="1"/>
          <w:docGrid w:linePitch="312" w:charSpace="0"/>
        </w:sectPr>
      </w:pPr>
      <w:r>
        <w:rPr>
          <w:b/>
          <w:sz w:val="24"/>
        </w:rPr>
        <w:t xml:space="preserve">      </w:t>
      </w:r>
    </w:p>
    <w:p>
      <w:pPr>
        <w:keepNext/>
        <w:keepLines/>
        <w:spacing w:before="100" w:beforeAutospacing="1" w:after="100" w:afterAutospacing="1"/>
        <w:jc w:val="center"/>
        <w:outlineLvl w:val="0"/>
        <w:rPr>
          <w:b/>
          <w:sz w:val="44"/>
          <w:szCs w:val="44"/>
        </w:rPr>
      </w:pPr>
      <w:bookmarkStart w:id="161" w:name="_Toc22450"/>
      <w:r>
        <w:rPr>
          <w:b/>
          <w:sz w:val="44"/>
          <w:szCs w:val="44"/>
        </w:rPr>
        <w:t>第二章  工程分析</w:t>
      </w:r>
      <w:bookmarkEnd w:id="1"/>
      <w:bookmarkEnd w:id="2"/>
      <w:bookmarkEnd w:id="3"/>
      <w:bookmarkEnd w:id="161"/>
    </w:p>
    <w:p>
      <w:pPr>
        <w:snapToGrid w:val="0"/>
        <w:spacing w:line="520" w:lineRule="exact"/>
        <w:outlineLvl w:val="1"/>
        <w:rPr>
          <w:rFonts w:eastAsia="黑体"/>
          <w:bCs/>
          <w:sz w:val="28"/>
          <w:szCs w:val="28"/>
        </w:rPr>
      </w:pPr>
      <w:bookmarkStart w:id="162" w:name="_Toc407001384"/>
      <w:bookmarkStart w:id="163" w:name="_Toc3256"/>
      <w:bookmarkStart w:id="164" w:name="_Toc413166111"/>
      <w:bookmarkStart w:id="165" w:name="_Toc311979838"/>
      <w:bookmarkStart w:id="166" w:name="_Toc15045"/>
      <w:bookmarkStart w:id="167" w:name="_Toc10904"/>
      <w:bookmarkStart w:id="168" w:name="_Toc406847391"/>
      <w:bookmarkStart w:id="169" w:name="_Toc311979906"/>
      <w:bookmarkStart w:id="170" w:name="_Toc443924633"/>
      <w:bookmarkStart w:id="171" w:name="_Toc388881894"/>
      <w:bookmarkStart w:id="172" w:name="_Toc311979792"/>
      <w:r>
        <w:rPr>
          <w:rFonts w:eastAsia="黑体"/>
          <w:bCs/>
          <w:sz w:val="28"/>
          <w:szCs w:val="28"/>
        </w:rPr>
        <w:t>2.1 建设项目概况</w:t>
      </w:r>
      <w:bookmarkEnd w:id="162"/>
      <w:bookmarkEnd w:id="163"/>
      <w:bookmarkEnd w:id="164"/>
      <w:bookmarkEnd w:id="165"/>
      <w:bookmarkEnd w:id="166"/>
      <w:bookmarkEnd w:id="167"/>
      <w:bookmarkEnd w:id="168"/>
      <w:bookmarkEnd w:id="169"/>
      <w:bookmarkEnd w:id="170"/>
      <w:bookmarkEnd w:id="171"/>
      <w:bookmarkEnd w:id="172"/>
    </w:p>
    <w:p>
      <w:pPr>
        <w:pStyle w:val="2"/>
        <w:snapToGrid w:val="0"/>
        <w:spacing w:before="0" w:after="0" w:line="520" w:lineRule="exact"/>
        <w:rPr>
          <w:rFonts w:eastAsia="黑体"/>
          <w:b w:val="0"/>
          <w:bCs w:val="0"/>
          <w:sz w:val="24"/>
          <w:szCs w:val="24"/>
        </w:rPr>
      </w:pPr>
      <w:bookmarkStart w:id="173" w:name="_Toc311979793"/>
      <w:bookmarkStart w:id="174" w:name="_Toc413166112"/>
      <w:bookmarkStart w:id="175" w:name="_Toc407001385"/>
      <w:bookmarkStart w:id="176" w:name="_Toc311979907"/>
      <w:bookmarkStart w:id="177" w:name="_Toc311979839"/>
      <w:bookmarkStart w:id="178" w:name="_Toc388881895"/>
      <w:bookmarkStart w:id="179" w:name="_Toc406847392"/>
      <w:r>
        <w:rPr>
          <w:rFonts w:eastAsia="黑体"/>
          <w:b w:val="0"/>
          <w:bCs w:val="0"/>
          <w:sz w:val="24"/>
          <w:szCs w:val="24"/>
        </w:rPr>
        <w:t>2.1.1</w:t>
      </w:r>
      <w:bookmarkEnd w:id="173"/>
      <w:bookmarkEnd w:id="174"/>
      <w:bookmarkEnd w:id="175"/>
      <w:bookmarkEnd w:id="176"/>
      <w:bookmarkEnd w:id="177"/>
      <w:bookmarkEnd w:id="178"/>
      <w:bookmarkEnd w:id="179"/>
      <w:r>
        <w:rPr>
          <w:rFonts w:eastAsia="黑体"/>
          <w:b w:val="0"/>
          <w:bCs w:val="0"/>
          <w:sz w:val="24"/>
          <w:szCs w:val="24"/>
        </w:rPr>
        <w:t>工程基本概况</w:t>
      </w:r>
    </w:p>
    <w:p>
      <w:pPr>
        <w:tabs>
          <w:tab w:val="left" w:pos="0"/>
        </w:tabs>
        <w:snapToGrid w:val="0"/>
        <w:spacing w:line="500" w:lineRule="exact"/>
        <w:ind w:firstLine="480" w:firstLineChars="200"/>
        <w:rPr>
          <w:kern w:val="0"/>
          <w:sz w:val="24"/>
        </w:rPr>
      </w:pPr>
      <w:r>
        <w:rPr>
          <w:kern w:val="0"/>
          <w:sz w:val="24"/>
        </w:rPr>
        <w:t>项目工程基本情况一览表2.1-1。</w:t>
      </w:r>
    </w:p>
    <w:p>
      <w:pPr>
        <w:spacing w:line="500" w:lineRule="exact"/>
        <w:jc w:val="center"/>
        <w:rPr>
          <w:b/>
          <w:sz w:val="24"/>
        </w:rPr>
      </w:pPr>
      <w:r>
        <w:rPr>
          <w:b/>
          <w:sz w:val="24"/>
        </w:rPr>
        <w:t>表2.1-1   项目经济技术参数一览表</w:t>
      </w:r>
    </w:p>
    <w:tbl>
      <w:tblPr>
        <w:tblStyle w:val="17"/>
        <w:tblW w:w="8962" w:type="dxa"/>
        <w:tblInd w:w="-17"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38"/>
        <w:gridCol w:w="2085"/>
        <w:gridCol w:w="633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38" w:type="dxa"/>
            <w:noWrap w:val="0"/>
            <w:tcMar>
              <w:top w:w="0" w:type="dxa"/>
              <w:left w:w="57" w:type="dxa"/>
              <w:bottom w:w="0" w:type="dxa"/>
              <w:right w:w="57" w:type="dxa"/>
            </w:tcMar>
            <w:vAlign w:val="center"/>
          </w:tcPr>
          <w:p>
            <w:pPr>
              <w:adjustRightInd w:val="0"/>
              <w:snapToGrid w:val="0"/>
              <w:spacing w:line="360" w:lineRule="exact"/>
              <w:jc w:val="center"/>
              <w:rPr>
                <w:b/>
                <w:szCs w:val="21"/>
              </w:rPr>
            </w:pPr>
            <w:r>
              <w:rPr>
                <w:b/>
                <w:szCs w:val="21"/>
              </w:rPr>
              <w:t>序号</w:t>
            </w:r>
          </w:p>
        </w:tc>
        <w:tc>
          <w:tcPr>
            <w:tcW w:w="2085" w:type="dxa"/>
            <w:noWrap w:val="0"/>
            <w:tcMar>
              <w:top w:w="0" w:type="dxa"/>
              <w:left w:w="57" w:type="dxa"/>
              <w:bottom w:w="0" w:type="dxa"/>
              <w:right w:w="57" w:type="dxa"/>
            </w:tcMar>
            <w:vAlign w:val="center"/>
          </w:tcPr>
          <w:p>
            <w:pPr>
              <w:adjustRightInd w:val="0"/>
              <w:snapToGrid w:val="0"/>
              <w:spacing w:line="360" w:lineRule="exact"/>
              <w:jc w:val="center"/>
              <w:rPr>
                <w:b/>
                <w:szCs w:val="21"/>
              </w:rPr>
            </w:pPr>
            <w:r>
              <w:rPr>
                <w:b/>
                <w:szCs w:val="21"/>
              </w:rPr>
              <w:t>项    目</w:t>
            </w:r>
          </w:p>
        </w:tc>
        <w:tc>
          <w:tcPr>
            <w:tcW w:w="6339" w:type="dxa"/>
            <w:noWrap w:val="0"/>
            <w:tcMar>
              <w:top w:w="0" w:type="dxa"/>
              <w:left w:w="57" w:type="dxa"/>
              <w:bottom w:w="0" w:type="dxa"/>
              <w:right w:w="57" w:type="dxa"/>
            </w:tcMar>
            <w:vAlign w:val="center"/>
          </w:tcPr>
          <w:p>
            <w:pPr>
              <w:adjustRightInd w:val="0"/>
              <w:snapToGrid w:val="0"/>
              <w:spacing w:line="360" w:lineRule="exact"/>
              <w:jc w:val="center"/>
              <w:rPr>
                <w:b/>
                <w:szCs w:val="21"/>
              </w:rPr>
            </w:pPr>
            <w:r>
              <w:rPr>
                <w:b/>
                <w:szCs w:val="21"/>
              </w:rPr>
              <w:t>内          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38"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1</w:t>
            </w:r>
          </w:p>
        </w:tc>
        <w:tc>
          <w:tcPr>
            <w:tcW w:w="2085"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工程名称</w:t>
            </w:r>
          </w:p>
        </w:tc>
        <w:tc>
          <w:tcPr>
            <w:tcW w:w="6339" w:type="dxa"/>
            <w:noWrap w:val="0"/>
            <w:tcMar>
              <w:top w:w="0" w:type="dxa"/>
              <w:left w:w="57" w:type="dxa"/>
              <w:bottom w:w="0" w:type="dxa"/>
              <w:right w:w="57" w:type="dxa"/>
            </w:tcMar>
            <w:vAlign w:val="center"/>
          </w:tcPr>
          <w:p>
            <w:pPr>
              <w:adjustRightInd w:val="0"/>
              <w:snapToGrid w:val="0"/>
              <w:spacing w:line="360" w:lineRule="exact"/>
              <w:rPr>
                <w:rFonts w:hint="eastAsia" w:eastAsia="宋体"/>
                <w:szCs w:val="21"/>
                <w:lang w:eastAsia="zh-CN"/>
              </w:rPr>
            </w:pPr>
            <w:r>
              <w:rPr>
                <w:rFonts w:hint="eastAsia"/>
                <w:szCs w:val="21"/>
                <w:lang w:eastAsia="zh-CN"/>
              </w:rPr>
              <w:t>正阳县鑫鑫向荣大型种猪养殖有限责任公司</w:t>
            </w:r>
            <w:r>
              <w:rPr>
                <w:rFonts w:hint="eastAsia"/>
                <w:szCs w:val="21"/>
              </w:rPr>
              <w:t>建设</w:t>
            </w:r>
            <w:r>
              <w:rPr>
                <w:rFonts w:hint="eastAsia"/>
                <w:szCs w:val="21"/>
                <w:lang w:eastAsia="zh-CN"/>
              </w:rPr>
              <w:t>年产1.2万头生猪养殖场项目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5" w:hRule="atLeast"/>
        </w:trPr>
        <w:tc>
          <w:tcPr>
            <w:tcW w:w="538"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2</w:t>
            </w:r>
          </w:p>
        </w:tc>
        <w:tc>
          <w:tcPr>
            <w:tcW w:w="2085"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工程建设单位</w:t>
            </w:r>
          </w:p>
        </w:tc>
        <w:tc>
          <w:tcPr>
            <w:tcW w:w="6339" w:type="dxa"/>
            <w:noWrap w:val="0"/>
            <w:tcMar>
              <w:top w:w="0" w:type="dxa"/>
              <w:left w:w="57" w:type="dxa"/>
              <w:bottom w:w="0" w:type="dxa"/>
              <w:right w:w="57" w:type="dxa"/>
            </w:tcMar>
            <w:vAlign w:val="center"/>
          </w:tcPr>
          <w:p>
            <w:pPr>
              <w:adjustRightInd w:val="0"/>
              <w:snapToGrid w:val="0"/>
              <w:spacing w:line="360" w:lineRule="exact"/>
              <w:rPr>
                <w:rFonts w:hint="eastAsia" w:eastAsia="宋体"/>
                <w:szCs w:val="21"/>
                <w:lang w:eastAsia="zh-CN"/>
              </w:rPr>
            </w:pPr>
            <w:r>
              <w:rPr>
                <w:rFonts w:hint="eastAsia"/>
                <w:szCs w:val="21"/>
                <w:lang w:eastAsia="zh-CN"/>
              </w:rPr>
              <w:t>正阳县鑫鑫向荣大型种猪养殖有限责任公司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38"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3</w:t>
            </w:r>
          </w:p>
        </w:tc>
        <w:tc>
          <w:tcPr>
            <w:tcW w:w="2085"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建设性质</w:t>
            </w:r>
          </w:p>
        </w:tc>
        <w:tc>
          <w:tcPr>
            <w:tcW w:w="6339" w:type="dxa"/>
            <w:noWrap w:val="0"/>
            <w:tcMar>
              <w:top w:w="0" w:type="dxa"/>
              <w:left w:w="57" w:type="dxa"/>
              <w:bottom w:w="0" w:type="dxa"/>
              <w:right w:w="57" w:type="dxa"/>
            </w:tcMar>
            <w:vAlign w:val="center"/>
          </w:tcPr>
          <w:p>
            <w:pPr>
              <w:adjustRightInd w:val="0"/>
              <w:snapToGrid w:val="0"/>
              <w:spacing w:line="360" w:lineRule="exact"/>
              <w:rPr>
                <w:szCs w:val="21"/>
              </w:rPr>
            </w:pPr>
            <w:r>
              <w:rPr>
                <w:szCs w:val="21"/>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38"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4</w:t>
            </w:r>
          </w:p>
        </w:tc>
        <w:tc>
          <w:tcPr>
            <w:tcW w:w="2085"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行业类别</w:t>
            </w:r>
          </w:p>
        </w:tc>
        <w:tc>
          <w:tcPr>
            <w:tcW w:w="6339" w:type="dxa"/>
            <w:noWrap w:val="0"/>
            <w:tcMar>
              <w:top w:w="0" w:type="dxa"/>
              <w:left w:w="57" w:type="dxa"/>
              <w:bottom w:w="0" w:type="dxa"/>
              <w:right w:w="57" w:type="dxa"/>
            </w:tcMar>
            <w:vAlign w:val="center"/>
          </w:tcPr>
          <w:p>
            <w:pPr>
              <w:adjustRightInd w:val="0"/>
              <w:snapToGrid w:val="0"/>
              <w:spacing w:line="360" w:lineRule="exact"/>
              <w:rPr>
                <w:szCs w:val="21"/>
              </w:rPr>
            </w:pPr>
            <w:r>
              <w:rPr>
                <w:rFonts w:hint="eastAsia"/>
                <w:szCs w:val="21"/>
              </w:rPr>
              <w:t>A03</w:t>
            </w:r>
            <w:r>
              <w:rPr>
                <w:szCs w:val="21"/>
              </w:rPr>
              <w:t>畜牧业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538"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5</w:t>
            </w:r>
          </w:p>
        </w:tc>
        <w:tc>
          <w:tcPr>
            <w:tcW w:w="2085"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建设地点</w:t>
            </w:r>
          </w:p>
        </w:tc>
        <w:tc>
          <w:tcPr>
            <w:tcW w:w="6339" w:type="dxa"/>
            <w:noWrap w:val="0"/>
            <w:tcMar>
              <w:top w:w="0" w:type="dxa"/>
              <w:left w:w="57" w:type="dxa"/>
              <w:bottom w:w="0" w:type="dxa"/>
              <w:right w:w="57" w:type="dxa"/>
            </w:tcMar>
            <w:vAlign w:val="center"/>
          </w:tcPr>
          <w:p>
            <w:pPr>
              <w:adjustRightInd w:val="0"/>
              <w:snapToGrid w:val="0"/>
              <w:spacing w:line="360" w:lineRule="exact"/>
              <w:rPr>
                <w:rFonts w:hint="eastAsia" w:eastAsia="宋体"/>
                <w:szCs w:val="21"/>
                <w:lang w:eastAsia="zh-CN"/>
              </w:rPr>
            </w:pPr>
            <w:r>
              <w:rPr>
                <w:rFonts w:hint="eastAsia"/>
                <w:szCs w:val="21"/>
                <w:lang w:eastAsia="zh-CN"/>
              </w:rPr>
              <w:t>正阳县汝南埠镇大温寺王店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38"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6</w:t>
            </w:r>
          </w:p>
        </w:tc>
        <w:tc>
          <w:tcPr>
            <w:tcW w:w="2085"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占地</w:t>
            </w:r>
          </w:p>
        </w:tc>
        <w:tc>
          <w:tcPr>
            <w:tcW w:w="6339" w:type="dxa"/>
            <w:noWrap w:val="0"/>
            <w:tcMar>
              <w:top w:w="0" w:type="dxa"/>
              <w:left w:w="57" w:type="dxa"/>
              <w:bottom w:w="0" w:type="dxa"/>
              <w:right w:w="57" w:type="dxa"/>
            </w:tcMar>
            <w:vAlign w:val="center"/>
          </w:tcPr>
          <w:p>
            <w:pPr>
              <w:adjustRightInd w:val="0"/>
              <w:snapToGrid w:val="0"/>
              <w:spacing w:line="360" w:lineRule="exact"/>
              <w:rPr>
                <w:rFonts w:hint="eastAsia"/>
                <w:szCs w:val="21"/>
              </w:rPr>
            </w:pPr>
            <w:r>
              <w:rPr>
                <w:rFonts w:hint="eastAsia"/>
                <w:szCs w:val="21"/>
                <w:lang w:eastAsia="zh-CN"/>
              </w:rPr>
              <w:t>26.7亩</w:t>
            </w:r>
            <w:r>
              <w:rPr>
                <w:szCs w:val="21"/>
              </w:rPr>
              <w:t>，约</w:t>
            </w:r>
            <w:r>
              <w:rPr>
                <w:rFonts w:hint="eastAsia"/>
                <w:szCs w:val="21"/>
                <w:lang w:eastAsia="zh-CN"/>
              </w:rPr>
              <w:t>17831.57</w:t>
            </w:r>
            <w:r>
              <w:rPr>
                <w:szCs w:val="21"/>
              </w:rPr>
              <w:t>m</w:t>
            </w:r>
            <w:r>
              <w:rPr>
                <w:szCs w:val="21"/>
                <w:vertAlign w:val="superscript"/>
              </w:rPr>
              <w:t>2</w:t>
            </w:r>
            <w:r>
              <w:rPr>
                <w:szCs w:val="21"/>
              </w:rPr>
              <w:t>，一般</w:t>
            </w:r>
            <w:r>
              <w:rPr>
                <w:rFonts w:hint="eastAsia"/>
                <w:szCs w:val="21"/>
              </w:rPr>
              <w:t>耕地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38"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7</w:t>
            </w:r>
          </w:p>
        </w:tc>
        <w:tc>
          <w:tcPr>
            <w:tcW w:w="2085"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建筑面积</w:t>
            </w:r>
          </w:p>
        </w:tc>
        <w:tc>
          <w:tcPr>
            <w:tcW w:w="6339" w:type="dxa"/>
            <w:noWrap w:val="0"/>
            <w:tcMar>
              <w:top w:w="0" w:type="dxa"/>
              <w:left w:w="57" w:type="dxa"/>
              <w:bottom w:w="0" w:type="dxa"/>
              <w:right w:w="57" w:type="dxa"/>
            </w:tcMar>
            <w:vAlign w:val="center"/>
          </w:tcPr>
          <w:p>
            <w:pPr>
              <w:adjustRightInd w:val="0"/>
              <w:snapToGrid w:val="0"/>
              <w:spacing w:line="360" w:lineRule="exact"/>
              <w:rPr>
                <w:szCs w:val="21"/>
              </w:rPr>
            </w:pPr>
            <w:r>
              <w:rPr>
                <w:rFonts w:hint="eastAsia"/>
                <w:szCs w:val="21"/>
                <w:lang w:eastAsia="zh-CN"/>
              </w:rPr>
              <w:t>7563.3</w:t>
            </w:r>
            <w:r>
              <w:rPr>
                <w:szCs w:val="21"/>
              </w:rPr>
              <w:t>m</w:t>
            </w:r>
            <w:r>
              <w:rPr>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69" w:hRule="atLeast"/>
        </w:trPr>
        <w:tc>
          <w:tcPr>
            <w:tcW w:w="538"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8</w:t>
            </w:r>
          </w:p>
        </w:tc>
        <w:tc>
          <w:tcPr>
            <w:tcW w:w="2085" w:type="dxa"/>
            <w:noWrap w:val="0"/>
            <w:tcMar>
              <w:top w:w="0" w:type="dxa"/>
              <w:left w:w="57" w:type="dxa"/>
              <w:bottom w:w="0" w:type="dxa"/>
              <w:right w:w="57" w:type="dxa"/>
            </w:tcMar>
            <w:vAlign w:val="center"/>
          </w:tcPr>
          <w:p>
            <w:pPr>
              <w:adjustRightInd w:val="0"/>
              <w:snapToGrid w:val="0"/>
              <w:spacing w:line="360" w:lineRule="exact"/>
              <w:jc w:val="center"/>
              <w:rPr>
                <w:rFonts w:hint="eastAsia" w:ascii="Times New Roman" w:hAnsi="Times New Roman" w:eastAsia="宋体" w:cs="Times New Roman"/>
                <w:bCs/>
                <w:szCs w:val="21"/>
                <w:lang w:eastAsia="zh-CN"/>
              </w:rPr>
            </w:pPr>
            <w:r>
              <w:rPr>
                <w:rFonts w:hint="eastAsia" w:ascii="Times New Roman" w:hAnsi="Times New Roman" w:eastAsia="宋体" w:cs="Times New Roman"/>
                <w:bCs/>
                <w:szCs w:val="21"/>
                <w:lang w:eastAsia="zh-CN"/>
              </w:rPr>
              <w:t>投资</w:t>
            </w:r>
          </w:p>
        </w:tc>
        <w:tc>
          <w:tcPr>
            <w:tcW w:w="6339" w:type="dxa"/>
            <w:noWrap w:val="0"/>
            <w:tcMar>
              <w:top w:w="0" w:type="dxa"/>
              <w:left w:w="57" w:type="dxa"/>
              <w:bottom w:w="0" w:type="dxa"/>
              <w:right w:w="57" w:type="dxa"/>
            </w:tcMar>
            <w:vAlign w:val="center"/>
          </w:tcPr>
          <w:p>
            <w:pPr>
              <w:adjustRightInd w:val="0"/>
              <w:snapToGrid w:val="0"/>
              <w:spacing w:line="360" w:lineRule="exact"/>
              <w:rPr>
                <w:rFonts w:hint="eastAsia" w:ascii="Times New Roman" w:hAnsi="Times New Roman" w:eastAsia="宋体" w:cs="Times New Roman"/>
                <w:bCs/>
                <w:szCs w:val="21"/>
                <w:lang w:eastAsia="zh-CN"/>
              </w:rPr>
            </w:pPr>
            <w:r>
              <w:rPr>
                <w:rFonts w:hint="eastAsia" w:ascii="Times New Roman" w:hAnsi="Times New Roman" w:eastAsia="宋体" w:cs="Times New Roman"/>
                <w:bCs/>
                <w:szCs w:val="21"/>
                <w:lang w:eastAsia="zh-CN"/>
              </w:rPr>
              <w:t>900万元，企业自筹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38"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9</w:t>
            </w:r>
          </w:p>
        </w:tc>
        <w:tc>
          <w:tcPr>
            <w:tcW w:w="2085"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规模</w:t>
            </w:r>
          </w:p>
        </w:tc>
        <w:tc>
          <w:tcPr>
            <w:tcW w:w="6339" w:type="dxa"/>
            <w:noWrap w:val="0"/>
            <w:tcMar>
              <w:top w:w="0" w:type="dxa"/>
              <w:left w:w="57" w:type="dxa"/>
              <w:bottom w:w="0" w:type="dxa"/>
              <w:right w:w="57" w:type="dxa"/>
            </w:tcMar>
            <w:vAlign w:val="center"/>
          </w:tcPr>
          <w:p>
            <w:pPr>
              <w:adjustRightInd w:val="0"/>
              <w:snapToGrid w:val="0"/>
              <w:spacing w:line="360" w:lineRule="exact"/>
              <w:rPr>
                <w:rFonts w:hint="eastAsia" w:eastAsia="宋体"/>
                <w:szCs w:val="21"/>
                <w:lang w:eastAsia="zh-CN"/>
              </w:rPr>
            </w:pPr>
            <w:r>
              <w:rPr>
                <w:szCs w:val="21"/>
              </w:rPr>
              <w:t>养殖场设计规模为</w:t>
            </w:r>
            <w:r>
              <w:rPr>
                <w:rFonts w:hint="eastAsia"/>
                <w:bCs/>
                <w:szCs w:val="21"/>
                <w:lang w:eastAsia="zh-CN"/>
              </w:rPr>
              <w:t>年出栏生猪1.2万头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38"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10</w:t>
            </w:r>
          </w:p>
        </w:tc>
        <w:tc>
          <w:tcPr>
            <w:tcW w:w="2085"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劳动定员及工作制度</w:t>
            </w:r>
          </w:p>
        </w:tc>
        <w:tc>
          <w:tcPr>
            <w:tcW w:w="6339" w:type="dxa"/>
            <w:noWrap w:val="0"/>
            <w:tcMar>
              <w:top w:w="0" w:type="dxa"/>
              <w:left w:w="57" w:type="dxa"/>
              <w:bottom w:w="0" w:type="dxa"/>
              <w:right w:w="57" w:type="dxa"/>
            </w:tcMar>
            <w:vAlign w:val="center"/>
          </w:tcPr>
          <w:p>
            <w:pPr>
              <w:adjustRightInd w:val="0"/>
              <w:snapToGrid w:val="0"/>
              <w:spacing w:line="360" w:lineRule="exact"/>
              <w:rPr>
                <w:rFonts w:hint="eastAsia"/>
                <w:szCs w:val="21"/>
              </w:rPr>
            </w:pPr>
            <w:r>
              <w:rPr>
                <w:szCs w:val="21"/>
              </w:rPr>
              <w:t>年工作日365天，8小时白班工作制</w:t>
            </w:r>
            <w:r>
              <w:rPr>
                <w:rFonts w:hint="eastAsia"/>
                <w:szCs w:val="21"/>
              </w:rPr>
              <w:t>，</w:t>
            </w:r>
            <w:r>
              <w:rPr>
                <w:szCs w:val="21"/>
              </w:rPr>
              <w:t>全场劳动定员</w:t>
            </w:r>
            <w:r>
              <w:rPr>
                <w:rFonts w:hint="eastAsia"/>
                <w:szCs w:val="21"/>
              </w:rPr>
              <w:t>10</w:t>
            </w:r>
            <w:r>
              <w:rPr>
                <w:szCs w:val="21"/>
              </w:rPr>
              <w:t>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38"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11</w:t>
            </w:r>
          </w:p>
        </w:tc>
        <w:tc>
          <w:tcPr>
            <w:tcW w:w="2085"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选址及周边环境现状</w:t>
            </w:r>
          </w:p>
        </w:tc>
        <w:tc>
          <w:tcPr>
            <w:tcW w:w="6339" w:type="dxa"/>
            <w:noWrap w:val="0"/>
            <w:tcMar>
              <w:top w:w="0" w:type="dxa"/>
              <w:left w:w="57" w:type="dxa"/>
              <w:bottom w:w="0" w:type="dxa"/>
              <w:right w:w="57" w:type="dxa"/>
            </w:tcMar>
            <w:vAlign w:val="center"/>
          </w:tcPr>
          <w:p>
            <w:pPr>
              <w:adjustRightInd w:val="0"/>
              <w:snapToGrid w:val="0"/>
              <w:spacing w:line="360" w:lineRule="exact"/>
              <w:rPr>
                <w:rFonts w:hint="eastAsia"/>
                <w:szCs w:val="21"/>
              </w:rPr>
            </w:pPr>
            <w:r>
              <w:rPr>
                <w:szCs w:val="21"/>
              </w:rPr>
              <w:t>项目位于</w:t>
            </w:r>
            <w:r>
              <w:rPr>
                <w:rFonts w:hint="eastAsia"/>
                <w:szCs w:val="21"/>
                <w:lang w:eastAsia="zh-CN"/>
              </w:rPr>
              <w:t>正阳县汝南埠镇大温寺王店</w:t>
            </w:r>
            <w:r>
              <w:rPr>
                <w:szCs w:val="21"/>
              </w:rPr>
              <w:t>，场区四周农田围绕，地形相对平坦。场址周围敏感点（以距离本项目厂界最近的农户测量）：</w:t>
            </w:r>
            <w:r>
              <w:rPr>
                <w:rFonts w:hint="eastAsia"/>
                <w:szCs w:val="21"/>
                <w:lang w:val="en-US" w:eastAsia="zh-CN"/>
              </w:rPr>
              <w:t>东南</w:t>
            </w:r>
            <w:r>
              <w:rPr>
                <w:rFonts w:hint="eastAsia"/>
                <w:szCs w:val="21"/>
              </w:rPr>
              <w:t>侧</w:t>
            </w:r>
            <w:r>
              <w:rPr>
                <w:rFonts w:hint="eastAsia"/>
                <w:szCs w:val="21"/>
                <w:lang w:val="en-US" w:eastAsia="zh-CN"/>
              </w:rPr>
              <w:t>400</w:t>
            </w:r>
            <w:r>
              <w:rPr>
                <w:szCs w:val="21"/>
              </w:rPr>
              <w:t>m</w:t>
            </w:r>
            <w:r>
              <w:rPr>
                <w:rFonts w:hint="eastAsia"/>
                <w:szCs w:val="21"/>
              </w:rPr>
              <w:t>的</w:t>
            </w:r>
            <w:r>
              <w:rPr>
                <w:rFonts w:hint="eastAsia"/>
                <w:szCs w:val="21"/>
                <w:lang w:val="en-US" w:eastAsia="zh-CN"/>
              </w:rPr>
              <w:t>何李庄及680m的洪山庙村760m的东李庄</w:t>
            </w:r>
            <w:r>
              <w:rPr>
                <w:rFonts w:hint="eastAsia"/>
                <w:szCs w:val="21"/>
                <w:lang w:eastAsia="zh-CN"/>
              </w:rPr>
              <w:t>、</w:t>
            </w:r>
            <w:r>
              <w:rPr>
                <w:rFonts w:hint="eastAsia"/>
                <w:szCs w:val="21"/>
                <w:lang w:val="en-US" w:eastAsia="zh-CN"/>
              </w:rPr>
              <w:t>西侧520m的中杨寨、西南</w:t>
            </w:r>
            <w:r>
              <w:rPr>
                <w:rFonts w:hint="eastAsia"/>
                <w:szCs w:val="21"/>
              </w:rPr>
              <w:t>侧</w:t>
            </w:r>
            <w:r>
              <w:rPr>
                <w:rFonts w:hint="eastAsia"/>
                <w:szCs w:val="21"/>
                <w:lang w:val="en-US" w:eastAsia="zh-CN"/>
              </w:rPr>
              <w:t>500</w:t>
            </w:r>
            <w:r>
              <w:rPr>
                <w:rFonts w:hint="eastAsia"/>
                <w:szCs w:val="21"/>
              </w:rPr>
              <w:t>m的</w:t>
            </w:r>
            <w:r>
              <w:rPr>
                <w:rFonts w:hint="eastAsia"/>
                <w:szCs w:val="21"/>
                <w:lang w:val="en-US" w:eastAsia="zh-CN"/>
              </w:rPr>
              <w:t>叶庄</w:t>
            </w:r>
            <w:r>
              <w:rPr>
                <w:rFonts w:hint="eastAsia"/>
                <w:szCs w:val="21"/>
              </w:rPr>
              <w:t>及</w:t>
            </w:r>
            <w:r>
              <w:rPr>
                <w:rFonts w:hint="eastAsia"/>
                <w:szCs w:val="21"/>
                <w:lang w:val="en-US" w:eastAsia="zh-CN"/>
              </w:rPr>
              <w:t>480</w:t>
            </w:r>
            <w:r>
              <w:rPr>
                <w:rFonts w:hint="eastAsia"/>
                <w:szCs w:val="21"/>
              </w:rPr>
              <w:t>m的</w:t>
            </w:r>
            <w:r>
              <w:rPr>
                <w:rFonts w:hint="eastAsia"/>
                <w:szCs w:val="21"/>
                <w:lang w:val="en-US" w:eastAsia="zh-CN"/>
              </w:rPr>
              <w:t>寺王店1150m的庙王庄</w:t>
            </w:r>
            <w:r>
              <w:rPr>
                <w:szCs w:val="21"/>
              </w:rPr>
              <w:t>、</w:t>
            </w:r>
            <w:r>
              <w:rPr>
                <w:rFonts w:hint="eastAsia"/>
                <w:szCs w:val="21"/>
              </w:rPr>
              <w:t>北</w:t>
            </w:r>
            <w:r>
              <w:rPr>
                <w:szCs w:val="21"/>
              </w:rPr>
              <w:t>5</w:t>
            </w:r>
            <w:r>
              <w:rPr>
                <w:rFonts w:hint="eastAsia"/>
                <w:szCs w:val="21"/>
              </w:rPr>
              <w:t>10</w:t>
            </w:r>
            <w:r>
              <w:rPr>
                <w:szCs w:val="21"/>
              </w:rPr>
              <w:t>m</w:t>
            </w:r>
            <w:r>
              <w:rPr>
                <w:rFonts w:hint="eastAsia"/>
                <w:szCs w:val="21"/>
              </w:rPr>
              <w:t>的</w:t>
            </w:r>
            <w:r>
              <w:rPr>
                <w:rFonts w:hint="eastAsia"/>
                <w:szCs w:val="21"/>
                <w:lang w:val="en-US" w:eastAsia="zh-CN"/>
              </w:rPr>
              <w:t>大邢庄</w:t>
            </w:r>
            <w:r>
              <w:rPr>
                <w:szCs w:val="21"/>
              </w:rPr>
              <w:t>，</w:t>
            </w:r>
            <w:r>
              <w:rPr>
                <w:rFonts w:hint="eastAsia"/>
                <w:szCs w:val="21"/>
              </w:rPr>
              <w:t>西</w:t>
            </w:r>
            <w:r>
              <w:rPr>
                <w:szCs w:val="21"/>
              </w:rPr>
              <w:t>北侧</w:t>
            </w:r>
            <w:r>
              <w:rPr>
                <w:rFonts w:hint="eastAsia"/>
                <w:szCs w:val="21"/>
                <w:lang w:val="en-US" w:eastAsia="zh-CN"/>
              </w:rPr>
              <w:t>1100</w:t>
            </w:r>
            <w:r>
              <w:rPr>
                <w:szCs w:val="21"/>
              </w:rPr>
              <w:t>m</w:t>
            </w:r>
            <w:r>
              <w:rPr>
                <w:rFonts w:hint="eastAsia"/>
                <w:szCs w:val="21"/>
              </w:rPr>
              <w:t>的</w:t>
            </w:r>
            <w:r>
              <w:rPr>
                <w:rFonts w:hint="eastAsia"/>
                <w:szCs w:val="21"/>
                <w:lang w:val="en-US" w:eastAsia="zh-CN"/>
              </w:rPr>
              <w:t>小吴庄</w:t>
            </w:r>
            <w:r>
              <w:rPr>
                <w:szCs w:val="21"/>
              </w:rPr>
              <w:t>、</w:t>
            </w:r>
            <w:r>
              <w:rPr>
                <w:rFonts w:hint="eastAsia"/>
                <w:szCs w:val="21"/>
                <w:lang w:val="en-US" w:eastAsia="zh-CN"/>
              </w:rPr>
              <w:t>东北</w:t>
            </w:r>
            <w:r>
              <w:rPr>
                <w:rFonts w:hint="eastAsia"/>
                <w:szCs w:val="21"/>
              </w:rPr>
              <w:t>侧</w:t>
            </w:r>
            <w:r>
              <w:rPr>
                <w:rFonts w:hint="eastAsia"/>
                <w:szCs w:val="21"/>
                <w:lang w:val="en-US" w:eastAsia="zh-CN"/>
              </w:rPr>
              <w:t>1000</w:t>
            </w:r>
            <w:r>
              <w:rPr>
                <w:szCs w:val="21"/>
              </w:rPr>
              <w:t>m</w:t>
            </w:r>
            <w:r>
              <w:rPr>
                <w:rFonts w:hint="eastAsia"/>
                <w:szCs w:val="21"/>
              </w:rPr>
              <w:t>的</w:t>
            </w:r>
            <w:r>
              <w:rPr>
                <w:rFonts w:hint="eastAsia"/>
                <w:szCs w:val="21"/>
                <w:lang w:val="en-US" w:eastAsia="zh-CN"/>
              </w:rPr>
              <w:t>张庄</w:t>
            </w:r>
            <w:r>
              <w:rPr>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38"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12</w:t>
            </w:r>
          </w:p>
        </w:tc>
        <w:tc>
          <w:tcPr>
            <w:tcW w:w="2085"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工程主要组成</w:t>
            </w:r>
          </w:p>
        </w:tc>
        <w:tc>
          <w:tcPr>
            <w:tcW w:w="6339" w:type="dxa"/>
            <w:noWrap w:val="0"/>
            <w:tcMar>
              <w:top w:w="0" w:type="dxa"/>
              <w:left w:w="57" w:type="dxa"/>
              <w:bottom w:w="0" w:type="dxa"/>
              <w:right w:w="57" w:type="dxa"/>
            </w:tcMar>
            <w:vAlign w:val="center"/>
          </w:tcPr>
          <w:p>
            <w:pPr>
              <w:adjustRightInd w:val="0"/>
              <w:snapToGrid w:val="0"/>
              <w:spacing w:line="360" w:lineRule="exact"/>
              <w:rPr>
                <w:szCs w:val="21"/>
              </w:rPr>
            </w:pPr>
            <w:r>
              <w:rPr>
                <w:szCs w:val="21"/>
              </w:rPr>
              <w:t>建设育肥舍</w:t>
            </w:r>
            <w:r>
              <w:rPr>
                <w:rFonts w:hint="eastAsia"/>
                <w:szCs w:val="21"/>
                <w:lang w:val="en-US" w:eastAsia="zh-CN"/>
              </w:rPr>
              <w:t>10</w:t>
            </w:r>
            <w:r>
              <w:rPr>
                <w:rFonts w:hint="eastAsia"/>
                <w:szCs w:val="21"/>
              </w:rPr>
              <w:t>栋</w:t>
            </w:r>
            <w:r>
              <w:rPr>
                <w:szCs w:val="21"/>
              </w:rPr>
              <w:t>，配套</w:t>
            </w:r>
            <w:r>
              <w:rPr>
                <w:rFonts w:hint="eastAsia"/>
                <w:szCs w:val="21"/>
              </w:rPr>
              <w:t>沼气工程</w:t>
            </w:r>
            <w:r>
              <w:rPr>
                <w:szCs w:val="21"/>
              </w:rPr>
              <w:t>；沼气的收集、净化与利用设施；沼液综合利用设施；</w:t>
            </w:r>
            <w:r>
              <w:rPr>
                <w:rFonts w:hint="eastAsia"/>
                <w:szCs w:val="21"/>
              </w:rPr>
              <w:t>固粪、</w:t>
            </w:r>
            <w:r>
              <w:rPr>
                <w:szCs w:val="21"/>
              </w:rPr>
              <w:t>病死猪处理</w:t>
            </w:r>
            <w:r>
              <w:rPr>
                <w:rFonts w:hint="eastAsia"/>
                <w:szCs w:val="21"/>
              </w:rPr>
              <w:t>设施</w:t>
            </w:r>
            <w:r>
              <w:rPr>
                <w:szCs w:val="21"/>
              </w:rPr>
              <w:t>及其它辅助生产设施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38"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13</w:t>
            </w:r>
          </w:p>
        </w:tc>
        <w:tc>
          <w:tcPr>
            <w:tcW w:w="2085"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排水去向</w:t>
            </w:r>
          </w:p>
        </w:tc>
        <w:tc>
          <w:tcPr>
            <w:tcW w:w="6339" w:type="dxa"/>
            <w:noWrap w:val="0"/>
            <w:tcMar>
              <w:top w:w="0" w:type="dxa"/>
              <w:left w:w="57" w:type="dxa"/>
              <w:bottom w:w="0" w:type="dxa"/>
              <w:right w:w="57" w:type="dxa"/>
            </w:tcMar>
            <w:vAlign w:val="center"/>
          </w:tcPr>
          <w:p>
            <w:pPr>
              <w:adjustRightInd w:val="0"/>
              <w:snapToGrid w:val="0"/>
              <w:spacing w:line="360" w:lineRule="exact"/>
              <w:rPr>
                <w:szCs w:val="21"/>
              </w:rPr>
            </w:pPr>
            <w:r>
              <w:rPr>
                <w:szCs w:val="21"/>
              </w:rPr>
              <w:t>本工程废水经沼气工程处理后，全部实现还田利用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38"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14</w:t>
            </w:r>
          </w:p>
        </w:tc>
        <w:tc>
          <w:tcPr>
            <w:tcW w:w="2085" w:type="dxa"/>
            <w:noWrap w:val="0"/>
            <w:tcMar>
              <w:top w:w="0" w:type="dxa"/>
              <w:left w:w="57" w:type="dxa"/>
              <w:bottom w:w="0" w:type="dxa"/>
              <w:right w:w="57" w:type="dxa"/>
            </w:tcMar>
            <w:vAlign w:val="center"/>
          </w:tcPr>
          <w:p>
            <w:pPr>
              <w:adjustRightInd w:val="0"/>
              <w:snapToGrid w:val="0"/>
              <w:spacing w:line="360" w:lineRule="exact"/>
              <w:jc w:val="center"/>
              <w:rPr>
                <w:szCs w:val="21"/>
              </w:rPr>
            </w:pPr>
            <w:r>
              <w:rPr>
                <w:szCs w:val="21"/>
              </w:rPr>
              <w:t>预计正式运行日期</w:t>
            </w:r>
          </w:p>
        </w:tc>
        <w:tc>
          <w:tcPr>
            <w:tcW w:w="6339" w:type="dxa"/>
            <w:noWrap w:val="0"/>
            <w:tcMar>
              <w:top w:w="0" w:type="dxa"/>
              <w:left w:w="57" w:type="dxa"/>
              <w:bottom w:w="0" w:type="dxa"/>
              <w:right w:w="57" w:type="dxa"/>
            </w:tcMar>
            <w:vAlign w:val="center"/>
          </w:tcPr>
          <w:p>
            <w:pPr>
              <w:adjustRightInd w:val="0"/>
              <w:snapToGrid w:val="0"/>
              <w:spacing w:line="360" w:lineRule="exact"/>
              <w:rPr>
                <w:szCs w:val="21"/>
              </w:rPr>
            </w:pPr>
            <w:r>
              <w:rPr>
                <w:szCs w:val="21"/>
              </w:rPr>
              <w:t>20</w:t>
            </w:r>
            <w:r>
              <w:rPr>
                <w:rFonts w:hint="eastAsia"/>
                <w:szCs w:val="21"/>
              </w:rPr>
              <w:t>21</w:t>
            </w:r>
            <w:r>
              <w:rPr>
                <w:szCs w:val="21"/>
              </w:rPr>
              <w:t>年</w:t>
            </w:r>
            <w:r>
              <w:rPr>
                <w:rFonts w:hint="eastAsia"/>
                <w:szCs w:val="21"/>
                <w:lang w:val="en-US" w:eastAsia="zh-CN"/>
              </w:rPr>
              <w:t>12</w:t>
            </w:r>
            <w:r>
              <w:rPr>
                <w:szCs w:val="21"/>
              </w:rPr>
              <w:t>月</w:t>
            </w:r>
          </w:p>
        </w:tc>
      </w:tr>
    </w:tbl>
    <w:p>
      <w:pPr>
        <w:pStyle w:val="2"/>
        <w:snapToGrid w:val="0"/>
        <w:spacing w:before="0" w:after="0" w:line="520" w:lineRule="exact"/>
        <w:rPr>
          <w:rFonts w:eastAsia="黑体"/>
          <w:b w:val="0"/>
          <w:bCs w:val="0"/>
          <w:sz w:val="24"/>
          <w:szCs w:val="24"/>
        </w:rPr>
      </w:pPr>
      <w:bookmarkStart w:id="180" w:name="_Toc407001387"/>
      <w:bookmarkStart w:id="181" w:name="_Toc413166114"/>
      <w:bookmarkStart w:id="182" w:name="_Toc406847394"/>
      <w:bookmarkStart w:id="183" w:name="_Toc3029"/>
      <w:r>
        <w:rPr>
          <w:rFonts w:eastAsia="黑体"/>
          <w:b w:val="0"/>
          <w:bCs w:val="0"/>
          <w:sz w:val="24"/>
          <w:szCs w:val="24"/>
        </w:rPr>
        <w:t>2.1.2 项目主要建设内容</w:t>
      </w:r>
      <w:bookmarkEnd w:id="180"/>
      <w:bookmarkEnd w:id="181"/>
      <w:bookmarkEnd w:id="182"/>
      <w:bookmarkEnd w:id="183"/>
    </w:p>
    <w:p>
      <w:pPr>
        <w:pStyle w:val="13"/>
        <w:spacing w:after="0" w:line="520" w:lineRule="exact"/>
        <w:ind w:firstLine="480" w:firstLineChars="200"/>
        <w:rPr>
          <w:sz w:val="24"/>
        </w:rPr>
      </w:pPr>
      <w:r>
        <w:rPr>
          <w:sz w:val="24"/>
        </w:rPr>
        <w:t>项目拟建设</w:t>
      </w:r>
      <w:r>
        <w:rPr>
          <w:rFonts w:hint="eastAsia"/>
          <w:sz w:val="24"/>
          <w:lang w:eastAsia="zh-CN"/>
        </w:rPr>
        <w:t>年出栏1.2万头</w:t>
      </w:r>
      <w:r>
        <w:rPr>
          <w:sz w:val="24"/>
        </w:rPr>
        <w:t>商品猪的猪舍及附属设施，主要建设内容包括育肥舍</w:t>
      </w:r>
      <w:r>
        <w:rPr>
          <w:rFonts w:hint="eastAsia"/>
          <w:sz w:val="24"/>
          <w:lang w:val="en-US" w:eastAsia="zh-CN"/>
        </w:rPr>
        <w:t>10</w:t>
      </w:r>
      <w:r>
        <w:rPr>
          <w:sz w:val="24"/>
        </w:rPr>
        <w:t>栋</w:t>
      </w:r>
      <w:r>
        <w:rPr>
          <w:rFonts w:hint="eastAsia"/>
          <w:sz w:val="24"/>
        </w:rPr>
        <w:t>，</w:t>
      </w:r>
      <w:r>
        <w:rPr>
          <w:sz w:val="24"/>
        </w:rPr>
        <w:t>其建筑面积为</w:t>
      </w:r>
      <w:r>
        <w:rPr>
          <w:rFonts w:hint="eastAsia"/>
          <w:sz w:val="24"/>
          <w:lang w:val="en-US" w:eastAsia="zh-CN"/>
        </w:rPr>
        <w:t>7200</w:t>
      </w:r>
      <w:r>
        <w:rPr>
          <w:sz w:val="24"/>
        </w:rPr>
        <w:t>m</w:t>
      </w:r>
      <w:r>
        <w:rPr>
          <w:sz w:val="24"/>
          <w:vertAlign w:val="superscript"/>
        </w:rPr>
        <w:t>2</w:t>
      </w:r>
      <w:r>
        <w:rPr>
          <w:sz w:val="24"/>
        </w:rPr>
        <w:t>；配套建设粪污处理设施等辅助工程及公用工程，项目主要建设内容见表2.1-2。</w:t>
      </w:r>
    </w:p>
    <w:p>
      <w:pPr>
        <w:spacing w:line="520" w:lineRule="exact"/>
        <w:jc w:val="center"/>
        <w:rPr>
          <w:b/>
          <w:sz w:val="24"/>
        </w:rPr>
      </w:pPr>
      <w:r>
        <w:rPr>
          <w:b/>
          <w:sz w:val="24"/>
        </w:rPr>
        <w:t>表2.1-2    项目主要建设内容</w:t>
      </w:r>
    </w:p>
    <w:tbl>
      <w:tblPr>
        <w:tblStyle w:val="1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46"/>
        <w:gridCol w:w="410"/>
        <w:gridCol w:w="1016"/>
        <w:gridCol w:w="621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652" w:type="pct"/>
            <w:noWrap w:val="0"/>
            <w:tcMar>
              <w:top w:w="0" w:type="dxa"/>
              <w:left w:w="28" w:type="dxa"/>
              <w:bottom w:w="0" w:type="dxa"/>
              <w:right w:w="28" w:type="dxa"/>
            </w:tcMar>
            <w:vAlign w:val="center"/>
          </w:tcPr>
          <w:p>
            <w:pPr>
              <w:spacing w:line="360" w:lineRule="exact"/>
              <w:jc w:val="center"/>
              <w:rPr>
                <w:b/>
                <w:color w:val="auto"/>
                <w:szCs w:val="21"/>
              </w:rPr>
            </w:pPr>
            <w:r>
              <w:rPr>
                <w:b/>
                <w:color w:val="auto"/>
                <w:szCs w:val="21"/>
              </w:rPr>
              <w:t>项目组成</w:t>
            </w:r>
          </w:p>
        </w:tc>
        <w:tc>
          <w:tcPr>
            <w:tcW w:w="4347" w:type="pct"/>
            <w:gridSpan w:val="3"/>
            <w:noWrap w:val="0"/>
            <w:tcMar>
              <w:top w:w="0" w:type="dxa"/>
              <w:left w:w="28" w:type="dxa"/>
              <w:bottom w:w="0" w:type="dxa"/>
              <w:right w:w="28" w:type="dxa"/>
            </w:tcMar>
            <w:vAlign w:val="center"/>
          </w:tcPr>
          <w:p>
            <w:pPr>
              <w:spacing w:line="360" w:lineRule="exact"/>
              <w:jc w:val="center"/>
              <w:rPr>
                <w:b/>
                <w:color w:val="auto"/>
                <w:szCs w:val="21"/>
              </w:rPr>
            </w:pPr>
            <w:r>
              <w:rPr>
                <w:b/>
                <w:color w:val="auto"/>
                <w:szCs w:val="21"/>
              </w:rPr>
              <w:t>工程内容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7" w:hRule="atLeast"/>
        </w:trPr>
        <w:tc>
          <w:tcPr>
            <w:tcW w:w="652" w:type="pct"/>
            <w:vMerge w:val="restart"/>
            <w:noWrap w:val="0"/>
            <w:tcMar>
              <w:top w:w="0" w:type="dxa"/>
              <w:left w:w="28" w:type="dxa"/>
              <w:bottom w:w="0" w:type="dxa"/>
              <w:right w:w="28" w:type="dxa"/>
            </w:tcMar>
            <w:vAlign w:val="center"/>
          </w:tcPr>
          <w:p>
            <w:pPr>
              <w:spacing w:line="360" w:lineRule="exact"/>
              <w:jc w:val="center"/>
              <w:rPr>
                <w:color w:val="auto"/>
                <w:szCs w:val="21"/>
              </w:rPr>
            </w:pPr>
            <w:r>
              <w:rPr>
                <w:color w:val="auto"/>
                <w:szCs w:val="21"/>
              </w:rPr>
              <w:t>主体工程</w:t>
            </w:r>
          </w:p>
        </w:tc>
        <w:tc>
          <w:tcPr>
            <w:tcW w:w="811" w:type="pct"/>
            <w:gridSpan w:val="2"/>
            <w:noWrap w:val="0"/>
            <w:tcMar>
              <w:top w:w="0" w:type="dxa"/>
              <w:left w:w="28" w:type="dxa"/>
              <w:bottom w:w="0" w:type="dxa"/>
              <w:right w:w="28" w:type="dxa"/>
            </w:tcMar>
            <w:vAlign w:val="center"/>
          </w:tcPr>
          <w:p>
            <w:pPr>
              <w:jc w:val="center"/>
              <w:rPr>
                <w:color w:val="auto"/>
                <w:szCs w:val="21"/>
              </w:rPr>
            </w:pPr>
            <w:r>
              <w:rPr>
                <w:rFonts w:hint="eastAsia"/>
                <w:color w:val="auto"/>
                <w:szCs w:val="21"/>
              </w:rPr>
              <w:t>育肥</w:t>
            </w:r>
            <w:r>
              <w:rPr>
                <w:color w:val="auto"/>
                <w:szCs w:val="21"/>
              </w:rPr>
              <w:t>舍</w:t>
            </w:r>
          </w:p>
        </w:tc>
        <w:tc>
          <w:tcPr>
            <w:tcW w:w="3536" w:type="pct"/>
            <w:noWrap w:val="0"/>
            <w:tcMar>
              <w:top w:w="0" w:type="dxa"/>
              <w:left w:w="28" w:type="dxa"/>
              <w:bottom w:w="0" w:type="dxa"/>
              <w:right w:w="28" w:type="dxa"/>
            </w:tcMar>
            <w:vAlign w:val="center"/>
          </w:tcPr>
          <w:p>
            <w:pPr>
              <w:kinsoku w:val="0"/>
              <w:overflowPunct w:val="0"/>
              <w:spacing w:line="300" w:lineRule="exact"/>
              <w:jc w:val="left"/>
              <w:rPr>
                <w:color w:val="auto"/>
                <w:szCs w:val="21"/>
              </w:rPr>
            </w:pPr>
            <w:r>
              <w:rPr>
                <w:bCs/>
                <w:color w:val="auto"/>
                <w:szCs w:val="21"/>
              </w:rPr>
              <w:t>新建：</w:t>
            </w:r>
            <w:r>
              <w:rPr>
                <w:rFonts w:hint="eastAsia"/>
                <w:bCs/>
                <w:color w:val="auto"/>
                <w:szCs w:val="21"/>
              </w:rPr>
              <w:t>8</w:t>
            </w:r>
            <w:r>
              <w:rPr>
                <w:bCs/>
                <w:color w:val="auto"/>
                <w:szCs w:val="21"/>
              </w:rPr>
              <w:t>座，规格为</w:t>
            </w:r>
            <w:r>
              <w:rPr>
                <w:rFonts w:hint="eastAsia"/>
                <w:color w:val="auto"/>
                <w:szCs w:val="21"/>
              </w:rPr>
              <w:t>40</w:t>
            </w:r>
            <w:r>
              <w:rPr>
                <w:color w:val="auto"/>
                <w:szCs w:val="21"/>
              </w:rPr>
              <w:t>m×</w:t>
            </w:r>
            <w:r>
              <w:rPr>
                <w:rFonts w:hint="eastAsia"/>
                <w:color w:val="auto"/>
                <w:szCs w:val="21"/>
              </w:rPr>
              <w:t>30</w:t>
            </w:r>
            <w:r>
              <w:rPr>
                <w:color w:val="auto"/>
                <w:szCs w:val="21"/>
              </w:rPr>
              <w:t xml:space="preserve"> m</w:t>
            </w:r>
            <w:r>
              <w:rPr>
                <w:bCs/>
                <w:color w:val="auto"/>
                <w:szCs w:val="21"/>
              </w:rPr>
              <w:t>，</w:t>
            </w:r>
            <w:r>
              <w:rPr>
                <w:color w:val="auto"/>
                <w:szCs w:val="21"/>
              </w:rPr>
              <w:t>总建筑面积</w:t>
            </w:r>
            <w:r>
              <w:rPr>
                <w:rFonts w:hint="eastAsia"/>
                <w:color w:val="auto"/>
                <w:szCs w:val="21"/>
              </w:rPr>
              <w:t>10000</w:t>
            </w:r>
            <w:r>
              <w:rPr>
                <w:color w:val="auto"/>
                <w:szCs w:val="21"/>
              </w:rPr>
              <w:t>m</w:t>
            </w:r>
            <w:r>
              <w:rPr>
                <w:color w:val="auto"/>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652" w:type="pct"/>
            <w:vMerge w:val="restart"/>
            <w:noWrap w:val="0"/>
            <w:tcMar>
              <w:top w:w="0" w:type="dxa"/>
              <w:left w:w="28" w:type="dxa"/>
              <w:bottom w:w="0" w:type="dxa"/>
              <w:right w:w="28" w:type="dxa"/>
            </w:tcMar>
            <w:vAlign w:val="center"/>
          </w:tcPr>
          <w:p>
            <w:pPr>
              <w:spacing w:line="360" w:lineRule="exact"/>
              <w:jc w:val="center"/>
              <w:rPr>
                <w:color w:val="auto"/>
                <w:szCs w:val="21"/>
              </w:rPr>
            </w:pPr>
            <w:r>
              <w:rPr>
                <w:color w:val="auto"/>
                <w:szCs w:val="21"/>
              </w:rPr>
              <w:t>辅助工程</w:t>
            </w:r>
          </w:p>
        </w:tc>
        <w:tc>
          <w:tcPr>
            <w:tcW w:w="811" w:type="pct"/>
            <w:gridSpan w:val="2"/>
            <w:tcBorders>
              <w:bottom w:val="single" w:color="auto" w:sz="4" w:space="0"/>
            </w:tcBorders>
            <w:noWrap w:val="0"/>
            <w:tcMar>
              <w:top w:w="0" w:type="dxa"/>
              <w:left w:w="28" w:type="dxa"/>
              <w:bottom w:w="0" w:type="dxa"/>
              <w:right w:w="28" w:type="dxa"/>
            </w:tcMar>
            <w:vAlign w:val="center"/>
          </w:tcPr>
          <w:p>
            <w:pPr>
              <w:spacing w:line="360" w:lineRule="exact"/>
              <w:jc w:val="center"/>
              <w:rPr>
                <w:rFonts w:hint="eastAsia"/>
                <w:color w:val="auto"/>
                <w:szCs w:val="21"/>
              </w:rPr>
            </w:pPr>
            <w:r>
              <w:rPr>
                <w:color w:val="auto"/>
                <w:szCs w:val="21"/>
              </w:rPr>
              <w:t>宿舍</w:t>
            </w:r>
            <w:r>
              <w:rPr>
                <w:rFonts w:hint="eastAsia"/>
                <w:color w:val="auto"/>
                <w:szCs w:val="21"/>
              </w:rPr>
              <w:t>（食堂）</w:t>
            </w:r>
          </w:p>
        </w:tc>
        <w:tc>
          <w:tcPr>
            <w:tcW w:w="3536" w:type="pct"/>
            <w:tcBorders>
              <w:bottom w:val="single" w:color="auto" w:sz="4" w:space="0"/>
            </w:tcBorders>
            <w:noWrap w:val="0"/>
            <w:tcMar>
              <w:top w:w="0" w:type="dxa"/>
              <w:left w:w="28" w:type="dxa"/>
              <w:bottom w:w="0" w:type="dxa"/>
              <w:right w:w="28" w:type="dxa"/>
            </w:tcMar>
            <w:vAlign w:val="center"/>
          </w:tcPr>
          <w:p>
            <w:pPr>
              <w:spacing w:line="360" w:lineRule="exact"/>
              <w:jc w:val="left"/>
              <w:rPr>
                <w:color w:val="auto"/>
                <w:szCs w:val="21"/>
              </w:rPr>
            </w:pPr>
            <w:r>
              <w:rPr>
                <w:bCs/>
                <w:color w:val="auto"/>
                <w:szCs w:val="21"/>
              </w:rPr>
              <w:t>新建：</w:t>
            </w:r>
            <w:r>
              <w:rPr>
                <w:color w:val="auto"/>
                <w:szCs w:val="21"/>
              </w:rPr>
              <w:t>1栋，建筑面积共</w:t>
            </w:r>
            <w:r>
              <w:rPr>
                <w:rFonts w:hint="eastAsia"/>
                <w:color w:val="auto"/>
                <w:szCs w:val="21"/>
              </w:rPr>
              <w:t>340</w:t>
            </w:r>
            <w:r>
              <w:rPr>
                <w:color w:val="auto"/>
                <w:szCs w:val="21"/>
              </w:rPr>
              <w:t>m</w:t>
            </w:r>
            <w:r>
              <w:rPr>
                <w:color w:val="auto"/>
                <w:szCs w:val="21"/>
                <w:vertAlign w:val="superscript"/>
              </w:rPr>
              <w:t>2</w:t>
            </w:r>
            <w:r>
              <w:rPr>
                <w:color w:val="auto"/>
                <w:szCs w:val="21"/>
              </w:rPr>
              <w:t>，员工冬季取暖采用空调。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0" w:hRule="atLeast"/>
        </w:trPr>
        <w:tc>
          <w:tcPr>
            <w:tcW w:w="652" w:type="pct"/>
            <w:vMerge w:val="continue"/>
            <w:noWrap w:val="0"/>
            <w:tcMar>
              <w:top w:w="0" w:type="dxa"/>
              <w:left w:w="28" w:type="dxa"/>
              <w:bottom w:w="0" w:type="dxa"/>
              <w:right w:w="28" w:type="dxa"/>
            </w:tcMar>
            <w:vAlign w:val="center"/>
          </w:tcPr>
          <w:p>
            <w:pPr>
              <w:spacing w:line="360" w:lineRule="exact"/>
              <w:jc w:val="center"/>
              <w:rPr>
                <w:color w:val="auto"/>
                <w:szCs w:val="21"/>
              </w:rPr>
            </w:pPr>
          </w:p>
        </w:tc>
        <w:tc>
          <w:tcPr>
            <w:tcW w:w="811" w:type="pct"/>
            <w:gridSpan w:val="2"/>
            <w:tcBorders>
              <w:top w:val="single" w:color="auto" w:sz="4" w:space="0"/>
              <w:bottom w:val="single" w:color="auto" w:sz="4" w:space="0"/>
            </w:tcBorders>
            <w:noWrap w:val="0"/>
            <w:tcMar>
              <w:top w:w="0" w:type="dxa"/>
              <w:left w:w="28" w:type="dxa"/>
              <w:bottom w:w="0" w:type="dxa"/>
              <w:right w:w="28" w:type="dxa"/>
            </w:tcMar>
            <w:vAlign w:val="center"/>
          </w:tcPr>
          <w:p>
            <w:pPr>
              <w:spacing w:line="360" w:lineRule="exact"/>
              <w:jc w:val="center"/>
              <w:rPr>
                <w:color w:val="auto"/>
                <w:szCs w:val="21"/>
              </w:rPr>
            </w:pPr>
            <w:r>
              <w:rPr>
                <w:rFonts w:hint="eastAsia"/>
                <w:color w:val="auto"/>
                <w:szCs w:val="21"/>
              </w:rPr>
              <w:t>办公室</w:t>
            </w:r>
          </w:p>
        </w:tc>
        <w:tc>
          <w:tcPr>
            <w:tcW w:w="3536" w:type="pct"/>
            <w:tcBorders>
              <w:top w:val="single" w:color="auto" w:sz="4" w:space="0"/>
              <w:bottom w:val="single" w:color="auto" w:sz="4" w:space="0"/>
            </w:tcBorders>
            <w:noWrap w:val="0"/>
            <w:tcMar>
              <w:top w:w="0" w:type="dxa"/>
              <w:left w:w="28" w:type="dxa"/>
              <w:bottom w:w="0" w:type="dxa"/>
              <w:right w:w="28" w:type="dxa"/>
            </w:tcMar>
            <w:vAlign w:val="center"/>
          </w:tcPr>
          <w:p>
            <w:pPr>
              <w:spacing w:line="360" w:lineRule="exact"/>
              <w:jc w:val="left"/>
              <w:rPr>
                <w:bCs/>
                <w:color w:val="auto"/>
                <w:szCs w:val="21"/>
              </w:rPr>
            </w:pPr>
            <w:r>
              <w:rPr>
                <w:bCs/>
                <w:color w:val="auto"/>
                <w:szCs w:val="21"/>
              </w:rPr>
              <w:t>新建：</w:t>
            </w:r>
            <w:r>
              <w:rPr>
                <w:color w:val="auto"/>
                <w:szCs w:val="21"/>
              </w:rPr>
              <w:t>1栋，建筑面积共</w:t>
            </w:r>
            <w:r>
              <w:rPr>
                <w:rFonts w:hint="eastAsia"/>
                <w:color w:val="auto"/>
                <w:szCs w:val="21"/>
              </w:rPr>
              <w:t>200</w:t>
            </w:r>
            <w:r>
              <w:rPr>
                <w:color w:val="auto"/>
                <w:szCs w:val="21"/>
              </w:rPr>
              <w:t>m</w:t>
            </w:r>
            <w:r>
              <w:rPr>
                <w:color w:val="auto"/>
                <w:szCs w:val="21"/>
                <w:vertAlign w:val="superscript"/>
              </w:rPr>
              <w:t>2</w:t>
            </w:r>
            <w:r>
              <w:rPr>
                <w:color w:val="auto"/>
                <w:szCs w:val="21"/>
              </w:rPr>
              <w:t>，员工冬季取暖采用空调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5" w:hRule="atLeast"/>
        </w:trPr>
        <w:tc>
          <w:tcPr>
            <w:tcW w:w="652" w:type="pct"/>
            <w:vMerge w:val="continue"/>
            <w:noWrap w:val="0"/>
            <w:tcMar>
              <w:top w:w="0" w:type="dxa"/>
              <w:left w:w="28" w:type="dxa"/>
              <w:bottom w:w="0" w:type="dxa"/>
              <w:right w:w="28" w:type="dxa"/>
            </w:tcMar>
            <w:vAlign w:val="center"/>
          </w:tcPr>
          <w:p>
            <w:pPr>
              <w:spacing w:line="360" w:lineRule="exact"/>
              <w:jc w:val="center"/>
              <w:rPr>
                <w:color w:val="auto"/>
                <w:szCs w:val="21"/>
              </w:rPr>
            </w:pPr>
          </w:p>
        </w:tc>
        <w:tc>
          <w:tcPr>
            <w:tcW w:w="811" w:type="pct"/>
            <w:gridSpan w:val="2"/>
            <w:tcBorders>
              <w:top w:val="single" w:color="auto" w:sz="4" w:space="0"/>
            </w:tcBorders>
            <w:noWrap w:val="0"/>
            <w:tcMar>
              <w:top w:w="0" w:type="dxa"/>
              <w:left w:w="28" w:type="dxa"/>
              <w:bottom w:w="0" w:type="dxa"/>
              <w:right w:w="28" w:type="dxa"/>
            </w:tcMar>
            <w:vAlign w:val="center"/>
          </w:tcPr>
          <w:p>
            <w:pPr>
              <w:spacing w:line="360" w:lineRule="exact"/>
              <w:jc w:val="center"/>
              <w:rPr>
                <w:rFonts w:hint="eastAsia"/>
                <w:color w:val="auto"/>
                <w:szCs w:val="21"/>
              </w:rPr>
            </w:pPr>
            <w:r>
              <w:rPr>
                <w:rFonts w:hint="eastAsia"/>
                <w:color w:val="auto"/>
                <w:szCs w:val="21"/>
              </w:rPr>
              <w:t>集中洗澡间</w:t>
            </w:r>
          </w:p>
        </w:tc>
        <w:tc>
          <w:tcPr>
            <w:tcW w:w="3536" w:type="pct"/>
            <w:tcBorders>
              <w:top w:val="single" w:color="auto" w:sz="4" w:space="0"/>
            </w:tcBorders>
            <w:noWrap w:val="0"/>
            <w:tcMar>
              <w:top w:w="0" w:type="dxa"/>
              <w:left w:w="28" w:type="dxa"/>
              <w:bottom w:w="0" w:type="dxa"/>
              <w:right w:w="28" w:type="dxa"/>
            </w:tcMar>
            <w:vAlign w:val="center"/>
          </w:tcPr>
          <w:p>
            <w:pPr>
              <w:spacing w:line="360" w:lineRule="exact"/>
              <w:jc w:val="left"/>
              <w:rPr>
                <w:bCs/>
                <w:color w:val="auto"/>
                <w:szCs w:val="21"/>
              </w:rPr>
            </w:pPr>
            <w:r>
              <w:rPr>
                <w:bCs/>
                <w:color w:val="auto"/>
                <w:szCs w:val="21"/>
              </w:rPr>
              <w:t>新建：1栋，建筑面积共</w:t>
            </w:r>
            <w:r>
              <w:rPr>
                <w:rFonts w:hint="eastAsia"/>
                <w:bCs/>
                <w:color w:val="auto"/>
                <w:szCs w:val="21"/>
              </w:rPr>
              <w:t>30</w:t>
            </w:r>
            <w:r>
              <w:rPr>
                <w:bCs/>
                <w:color w:val="auto"/>
                <w:szCs w:val="21"/>
              </w:rPr>
              <w:t>m</w:t>
            </w:r>
            <w:r>
              <w:rPr>
                <w:bCs/>
                <w:color w:val="auto"/>
                <w:szCs w:val="21"/>
                <w:vertAlign w:val="superscript"/>
              </w:rPr>
              <w:t>2</w:t>
            </w:r>
            <w:r>
              <w:rPr>
                <w:bCs/>
                <w:color w:val="auto"/>
                <w:szCs w:val="21"/>
              </w:rPr>
              <w:t xml:space="preserve">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52" w:type="pct"/>
            <w:vMerge w:val="continue"/>
            <w:noWrap w:val="0"/>
            <w:tcMar>
              <w:top w:w="0" w:type="dxa"/>
              <w:left w:w="28" w:type="dxa"/>
              <w:bottom w:w="0" w:type="dxa"/>
              <w:right w:w="28" w:type="dxa"/>
            </w:tcMar>
            <w:vAlign w:val="center"/>
          </w:tcPr>
          <w:p>
            <w:pPr>
              <w:spacing w:line="360" w:lineRule="exact"/>
              <w:jc w:val="center"/>
              <w:rPr>
                <w:color w:val="auto"/>
                <w:szCs w:val="21"/>
              </w:rPr>
            </w:pPr>
          </w:p>
        </w:tc>
        <w:tc>
          <w:tcPr>
            <w:tcW w:w="811" w:type="pct"/>
            <w:gridSpan w:val="2"/>
            <w:noWrap w:val="0"/>
            <w:tcMar>
              <w:top w:w="0" w:type="dxa"/>
              <w:left w:w="28" w:type="dxa"/>
              <w:bottom w:w="0" w:type="dxa"/>
              <w:right w:w="28" w:type="dxa"/>
            </w:tcMar>
            <w:vAlign w:val="center"/>
          </w:tcPr>
          <w:p>
            <w:pPr>
              <w:spacing w:line="360" w:lineRule="exact"/>
              <w:jc w:val="center"/>
              <w:rPr>
                <w:color w:val="auto"/>
                <w:szCs w:val="21"/>
              </w:rPr>
            </w:pPr>
            <w:r>
              <w:rPr>
                <w:color w:val="auto"/>
                <w:szCs w:val="21"/>
              </w:rPr>
              <w:t>仓库</w:t>
            </w:r>
          </w:p>
        </w:tc>
        <w:tc>
          <w:tcPr>
            <w:tcW w:w="3536" w:type="pct"/>
            <w:noWrap w:val="0"/>
            <w:tcMar>
              <w:top w:w="0" w:type="dxa"/>
              <w:left w:w="28" w:type="dxa"/>
              <w:bottom w:w="0" w:type="dxa"/>
              <w:right w:w="28" w:type="dxa"/>
            </w:tcMar>
            <w:vAlign w:val="center"/>
          </w:tcPr>
          <w:p>
            <w:pPr>
              <w:spacing w:line="360" w:lineRule="exact"/>
              <w:jc w:val="left"/>
              <w:rPr>
                <w:color w:val="auto"/>
                <w:szCs w:val="21"/>
              </w:rPr>
            </w:pPr>
            <w:r>
              <w:rPr>
                <w:bCs/>
                <w:color w:val="auto"/>
                <w:szCs w:val="21"/>
              </w:rPr>
              <w:t>新建：1</w:t>
            </w:r>
            <w:r>
              <w:rPr>
                <w:color w:val="auto"/>
                <w:szCs w:val="21"/>
              </w:rPr>
              <w:t>座，建筑面积共</w:t>
            </w:r>
            <w:r>
              <w:rPr>
                <w:rFonts w:hint="eastAsia"/>
                <w:color w:val="auto"/>
                <w:szCs w:val="21"/>
              </w:rPr>
              <w:t>400</w:t>
            </w:r>
            <w:r>
              <w:rPr>
                <w:color w:val="auto"/>
                <w:szCs w:val="21"/>
              </w:rPr>
              <w:t>m</w:t>
            </w:r>
            <w:r>
              <w:rPr>
                <w:color w:val="auto"/>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0" w:hRule="atLeast"/>
        </w:trPr>
        <w:tc>
          <w:tcPr>
            <w:tcW w:w="652" w:type="pct"/>
            <w:vMerge w:val="continue"/>
            <w:noWrap w:val="0"/>
            <w:tcMar>
              <w:top w:w="0" w:type="dxa"/>
              <w:left w:w="28" w:type="dxa"/>
              <w:bottom w:w="0" w:type="dxa"/>
              <w:right w:w="28" w:type="dxa"/>
            </w:tcMar>
            <w:vAlign w:val="center"/>
          </w:tcPr>
          <w:p>
            <w:pPr>
              <w:spacing w:line="360" w:lineRule="exact"/>
              <w:jc w:val="center"/>
              <w:rPr>
                <w:color w:val="auto"/>
                <w:szCs w:val="21"/>
              </w:rPr>
            </w:pPr>
          </w:p>
        </w:tc>
        <w:tc>
          <w:tcPr>
            <w:tcW w:w="811" w:type="pct"/>
            <w:gridSpan w:val="2"/>
            <w:tcBorders>
              <w:bottom w:val="single" w:color="auto" w:sz="4" w:space="0"/>
            </w:tcBorders>
            <w:noWrap w:val="0"/>
            <w:tcMar>
              <w:top w:w="0" w:type="dxa"/>
              <w:left w:w="28" w:type="dxa"/>
              <w:bottom w:w="0" w:type="dxa"/>
              <w:right w:w="28" w:type="dxa"/>
            </w:tcMar>
            <w:vAlign w:val="center"/>
          </w:tcPr>
          <w:p>
            <w:pPr>
              <w:spacing w:line="360" w:lineRule="exact"/>
              <w:jc w:val="center"/>
              <w:rPr>
                <w:color w:val="auto"/>
                <w:szCs w:val="21"/>
              </w:rPr>
            </w:pPr>
            <w:r>
              <w:rPr>
                <w:color w:val="auto"/>
                <w:szCs w:val="21"/>
              </w:rPr>
              <w:t>门卫室</w:t>
            </w:r>
          </w:p>
        </w:tc>
        <w:tc>
          <w:tcPr>
            <w:tcW w:w="3536" w:type="pct"/>
            <w:tcBorders>
              <w:bottom w:val="single" w:color="auto" w:sz="4" w:space="0"/>
            </w:tcBorders>
            <w:noWrap w:val="0"/>
            <w:tcMar>
              <w:top w:w="0" w:type="dxa"/>
              <w:left w:w="28" w:type="dxa"/>
              <w:bottom w:w="0" w:type="dxa"/>
              <w:right w:w="28" w:type="dxa"/>
            </w:tcMar>
            <w:vAlign w:val="center"/>
          </w:tcPr>
          <w:p>
            <w:pPr>
              <w:spacing w:line="360" w:lineRule="exact"/>
              <w:jc w:val="left"/>
              <w:rPr>
                <w:color w:val="auto"/>
                <w:szCs w:val="21"/>
              </w:rPr>
            </w:pPr>
            <w:r>
              <w:rPr>
                <w:bCs/>
                <w:color w:val="auto"/>
                <w:szCs w:val="21"/>
              </w:rPr>
              <w:t>新建：</w:t>
            </w:r>
            <w:r>
              <w:rPr>
                <w:color w:val="auto"/>
                <w:szCs w:val="21"/>
              </w:rPr>
              <w:t>1座，建筑面积共</w:t>
            </w:r>
            <w:r>
              <w:rPr>
                <w:rFonts w:hint="eastAsia"/>
                <w:color w:val="auto"/>
                <w:szCs w:val="21"/>
              </w:rPr>
              <w:t>30</w:t>
            </w:r>
            <w:r>
              <w:rPr>
                <w:color w:val="auto"/>
                <w:szCs w:val="21"/>
              </w:rPr>
              <w:t>m</w:t>
            </w:r>
            <w:r>
              <w:rPr>
                <w:color w:val="auto"/>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95" w:hRule="atLeast"/>
        </w:trPr>
        <w:tc>
          <w:tcPr>
            <w:tcW w:w="652" w:type="pct"/>
            <w:vMerge w:val="continue"/>
            <w:noWrap w:val="0"/>
            <w:tcMar>
              <w:top w:w="0" w:type="dxa"/>
              <w:left w:w="28" w:type="dxa"/>
              <w:bottom w:w="0" w:type="dxa"/>
              <w:right w:w="28" w:type="dxa"/>
            </w:tcMar>
            <w:vAlign w:val="center"/>
          </w:tcPr>
          <w:p>
            <w:pPr>
              <w:spacing w:line="360" w:lineRule="exact"/>
              <w:jc w:val="center"/>
              <w:rPr>
                <w:color w:val="auto"/>
                <w:szCs w:val="21"/>
              </w:rPr>
            </w:pPr>
          </w:p>
        </w:tc>
        <w:tc>
          <w:tcPr>
            <w:tcW w:w="811" w:type="pct"/>
            <w:gridSpan w:val="2"/>
            <w:tcBorders>
              <w:top w:val="single" w:color="auto" w:sz="4" w:space="0"/>
              <w:bottom w:val="single" w:color="auto" w:sz="4" w:space="0"/>
            </w:tcBorders>
            <w:noWrap w:val="0"/>
            <w:tcMar>
              <w:top w:w="0" w:type="dxa"/>
              <w:left w:w="28" w:type="dxa"/>
              <w:bottom w:w="0" w:type="dxa"/>
              <w:right w:w="28" w:type="dxa"/>
            </w:tcMar>
            <w:vAlign w:val="center"/>
          </w:tcPr>
          <w:p>
            <w:pPr>
              <w:spacing w:line="360" w:lineRule="exact"/>
              <w:jc w:val="center"/>
              <w:rPr>
                <w:rFonts w:hint="eastAsia"/>
                <w:color w:val="auto"/>
                <w:szCs w:val="21"/>
              </w:rPr>
            </w:pPr>
            <w:r>
              <w:rPr>
                <w:rFonts w:hint="eastAsia"/>
                <w:color w:val="auto"/>
                <w:szCs w:val="21"/>
              </w:rPr>
              <w:t>病死猪</w:t>
            </w:r>
            <w:r>
              <w:rPr>
                <w:color w:val="auto"/>
                <w:szCs w:val="21"/>
              </w:rPr>
              <w:t>暂存间</w:t>
            </w:r>
          </w:p>
        </w:tc>
        <w:tc>
          <w:tcPr>
            <w:tcW w:w="3536" w:type="pct"/>
            <w:tcBorders>
              <w:top w:val="single" w:color="auto" w:sz="4" w:space="0"/>
              <w:bottom w:val="single" w:color="auto" w:sz="4" w:space="0"/>
            </w:tcBorders>
            <w:noWrap w:val="0"/>
            <w:tcMar>
              <w:top w:w="0" w:type="dxa"/>
              <w:left w:w="28" w:type="dxa"/>
              <w:bottom w:w="0" w:type="dxa"/>
              <w:right w:w="28" w:type="dxa"/>
            </w:tcMar>
            <w:vAlign w:val="center"/>
          </w:tcPr>
          <w:p>
            <w:pPr>
              <w:spacing w:line="360" w:lineRule="exact"/>
              <w:jc w:val="left"/>
              <w:rPr>
                <w:bCs/>
                <w:color w:val="auto"/>
                <w:szCs w:val="21"/>
              </w:rPr>
            </w:pPr>
            <w:r>
              <w:rPr>
                <w:bCs/>
                <w:color w:val="auto"/>
                <w:szCs w:val="21"/>
              </w:rPr>
              <w:t>新建：1座，建筑面积共</w:t>
            </w:r>
            <w:r>
              <w:rPr>
                <w:rFonts w:hint="eastAsia"/>
                <w:bCs/>
                <w:color w:val="auto"/>
                <w:szCs w:val="21"/>
              </w:rPr>
              <w:t>40</w:t>
            </w:r>
            <w:r>
              <w:rPr>
                <w:bCs/>
                <w:color w:val="auto"/>
                <w:szCs w:val="21"/>
              </w:rPr>
              <w:t>m</w:t>
            </w:r>
            <w:r>
              <w:rPr>
                <w:bCs/>
                <w:color w:val="auto"/>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52" w:type="pct"/>
            <w:vMerge w:val="continue"/>
            <w:noWrap w:val="0"/>
            <w:tcMar>
              <w:top w:w="0" w:type="dxa"/>
              <w:left w:w="28" w:type="dxa"/>
              <w:bottom w:w="0" w:type="dxa"/>
              <w:right w:w="28" w:type="dxa"/>
            </w:tcMar>
            <w:vAlign w:val="center"/>
          </w:tcPr>
          <w:p>
            <w:pPr>
              <w:spacing w:line="360" w:lineRule="exact"/>
              <w:jc w:val="center"/>
              <w:rPr>
                <w:color w:val="auto"/>
                <w:szCs w:val="21"/>
              </w:rPr>
            </w:pPr>
          </w:p>
        </w:tc>
        <w:tc>
          <w:tcPr>
            <w:tcW w:w="811" w:type="pct"/>
            <w:gridSpan w:val="2"/>
            <w:noWrap w:val="0"/>
            <w:tcMar>
              <w:top w:w="0" w:type="dxa"/>
              <w:left w:w="28" w:type="dxa"/>
              <w:bottom w:w="0" w:type="dxa"/>
              <w:right w:w="28" w:type="dxa"/>
            </w:tcMar>
            <w:vAlign w:val="center"/>
          </w:tcPr>
          <w:p>
            <w:pPr>
              <w:spacing w:line="360" w:lineRule="exact"/>
              <w:jc w:val="center"/>
              <w:rPr>
                <w:color w:val="auto"/>
                <w:szCs w:val="21"/>
              </w:rPr>
            </w:pPr>
            <w:r>
              <w:rPr>
                <w:color w:val="auto"/>
                <w:szCs w:val="21"/>
              </w:rPr>
              <w:t>消毒</w:t>
            </w:r>
            <w:r>
              <w:rPr>
                <w:rFonts w:hint="eastAsia"/>
                <w:color w:val="auto"/>
                <w:szCs w:val="21"/>
              </w:rPr>
              <w:t>通道</w:t>
            </w:r>
          </w:p>
        </w:tc>
        <w:tc>
          <w:tcPr>
            <w:tcW w:w="3536" w:type="pct"/>
            <w:noWrap w:val="0"/>
            <w:tcMar>
              <w:top w:w="0" w:type="dxa"/>
              <w:left w:w="28" w:type="dxa"/>
              <w:bottom w:w="0" w:type="dxa"/>
              <w:right w:w="28" w:type="dxa"/>
            </w:tcMar>
            <w:vAlign w:val="center"/>
          </w:tcPr>
          <w:p>
            <w:pPr>
              <w:spacing w:line="360" w:lineRule="exact"/>
              <w:jc w:val="left"/>
              <w:rPr>
                <w:color w:val="auto"/>
                <w:szCs w:val="21"/>
              </w:rPr>
            </w:pPr>
            <w:r>
              <w:rPr>
                <w:bCs/>
                <w:color w:val="auto"/>
                <w:szCs w:val="21"/>
              </w:rPr>
              <w:t>新建：</w:t>
            </w:r>
            <w:r>
              <w:rPr>
                <w:color w:val="auto"/>
                <w:szCs w:val="21"/>
              </w:rPr>
              <w:t>1</w:t>
            </w:r>
            <w:r>
              <w:rPr>
                <w:rFonts w:hint="eastAsia"/>
                <w:color w:val="auto"/>
                <w:szCs w:val="21"/>
              </w:rPr>
              <w:t>个</w:t>
            </w:r>
            <w:r>
              <w:rPr>
                <w:color w:val="auto"/>
                <w:szCs w:val="21"/>
              </w:rPr>
              <w:t>，规格</w:t>
            </w:r>
            <w:r>
              <w:rPr>
                <w:rFonts w:hint="eastAsia"/>
                <w:color w:val="auto"/>
                <w:szCs w:val="21"/>
              </w:rPr>
              <w:t>20</w:t>
            </w:r>
            <w:r>
              <w:rPr>
                <w:color w:val="auto"/>
                <w:szCs w:val="21"/>
              </w:rPr>
              <w:t>m×3m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52" w:type="pct"/>
            <w:vMerge w:val="continue"/>
            <w:noWrap w:val="0"/>
            <w:tcMar>
              <w:top w:w="0" w:type="dxa"/>
              <w:left w:w="28" w:type="dxa"/>
              <w:bottom w:w="0" w:type="dxa"/>
              <w:right w:w="28" w:type="dxa"/>
            </w:tcMar>
            <w:vAlign w:val="center"/>
          </w:tcPr>
          <w:p>
            <w:pPr>
              <w:spacing w:line="360" w:lineRule="exact"/>
              <w:jc w:val="center"/>
              <w:rPr>
                <w:color w:val="auto"/>
                <w:szCs w:val="21"/>
              </w:rPr>
            </w:pPr>
          </w:p>
        </w:tc>
        <w:tc>
          <w:tcPr>
            <w:tcW w:w="811" w:type="pct"/>
            <w:gridSpan w:val="2"/>
            <w:noWrap w:val="0"/>
            <w:tcMar>
              <w:top w:w="0" w:type="dxa"/>
              <w:left w:w="28" w:type="dxa"/>
              <w:bottom w:w="0" w:type="dxa"/>
              <w:right w:w="28" w:type="dxa"/>
            </w:tcMar>
            <w:vAlign w:val="center"/>
          </w:tcPr>
          <w:p>
            <w:pPr>
              <w:spacing w:line="360" w:lineRule="exact"/>
              <w:jc w:val="center"/>
              <w:rPr>
                <w:color w:val="auto"/>
                <w:szCs w:val="21"/>
              </w:rPr>
            </w:pPr>
            <w:r>
              <w:rPr>
                <w:color w:val="auto"/>
                <w:szCs w:val="21"/>
              </w:rPr>
              <w:t>装猪台</w:t>
            </w:r>
          </w:p>
        </w:tc>
        <w:tc>
          <w:tcPr>
            <w:tcW w:w="3536" w:type="pct"/>
            <w:noWrap w:val="0"/>
            <w:tcMar>
              <w:top w:w="0" w:type="dxa"/>
              <w:left w:w="28" w:type="dxa"/>
              <w:bottom w:w="0" w:type="dxa"/>
              <w:right w:w="28" w:type="dxa"/>
            </w:tcMar>
            <w:vAlign w:val="center"/>
          </w:tcPr>
          <w:p>
            <w:pPr>
              <w:spacing w:line="360" w:lineRule="exact"/>
              <w:rPr>
                <w:color w:val="auto"/>
                <w:szCs w:val="21"/>
              </w:rPr>
            </w:pPr>
            <w:r>
              <w:rPr>
                <w:bCs/>
                <w:color w:val="auto"/>
                <w:szCs w:val="21"/>
              </w:rPr>
              <w:t>新建：</w:t>
            </w:r>
            <w:r>
              <w:rPr>
                <w:color w:val="auto"/>
                <w:szCs w:val="21"/>
              </w:rPr>
              <w:t>1个，规格</w:t>
            </w:r>
            <w:r>
              <w:rPr>
                <w:rFonts w:hint="eastAsia"/>
                <w:color w:val="auto"/>
                <w:szCs w:val="21"/>
              </w:rPr>
              <w:t>30</w:t>
            </w:r>
            <w:r>
              <w:rPr>
                <w:color w:val="auto"/>
                <w:szCs w:val="21"/>
              </w:rPr>
              <w:t>m×</w:t>
            </w:r>
            <w:r>
              <w:rPr>
                <w:rFonts w:hint="eastAsia"/>
                <w:color w:val="auto"/>
                <w:szCs w:val="21"/>
              </w:rPr>
              <w:t>8</w:t>
            </w:r>
            <w:r>
              <w:rPr>
                <w:color w:val="auto"/>
                <w:szCs w:val="21"/>
              </w:rPr>
              <w:t>m，建筑面积240m</w:t>
            </w:r>
            <w:r>
              <w:rPr>
                <w:color w:val="auto"/>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52" w:type="pct"/>
            <w:vMerge w:val="continue"/>
            <w:noWrap w:val="0"/>
            <w:tcMar>
              <w:top w:w="0" w:type="dxa"/>
              <w:left w:w="28" w:type="dxa"/>
              <w:bottom w:w="0" w:type="dxa"/>
              <w:right w:w="28" w:type="dxa"/>
            </w:tcMar>
            <w:vAlign w:val="center"/>
          </w:tcPr>
          <w:p>
            <w:pPr>
              <w:spacing w:line="360" w:lineRule="exact"/>
              <w:jc w:val="center"/>
              <w:rPr>
                <w:color w:val="auto"/>
                <w:szCs w:val="21"/>
              </w:rPr>
            </w:pPr>
          </w:p>
        </w:tc>
        <w:tc>
          <w:tcPr>
            <w:tcW w:w="811" w:type="pct"/>
            <w:gridSpan w:val="2"/>
            <w:noWrap w:val="0"/>
            <w:tcMar>
              <w:top w:w="0" w:type="dxa"/>
              <w:left w:w="28" w:type="dxa"/>
              <w:bottom w:w="0" w:type="dxa"/>
              <w:right w:w="28" w:type="dxa"/>
            </w:tcMar>
            <w:vAlign w:val="center"/>
          </w:tcPr>
          <w:p>
            <w:pPr>
              <w:spacing w:line="360" w:lineRule="exact"/>
              <w:jc w:val="center"/>
              <w:rPr>
                <w:color w:val="auto"/>
                <w:szCs w:val="21"/>
              </w:rPr>
            </w:pPr>
            <w:r>
              <w:rPr>
                <w:rFonts w:hint="eastAsia"/>
                <w:color w:val="auto"/>
                <w:szCs w:val="21"/>
              </w:rPr>
              <w:t>固粪处理</w:t>
            </w:r>
            <w:r>
              <w:rPr>
                <w:color w:val="auto"/>
                <w:szCs w:val="21"/>
              </w:rPr>
              <w:t>区</w:t>
            </w:r>
          </w:p>
        </w:tc>
        <w:tc>
          <w:tcPr>
            <w:tcW w:w="3536" w:type="pct"/>
            <w:noWrap w:val="0"/>
            <w:tcMar>
              <w:top w:w="0" w:type="dxa"/>
              <w:left w:w="28" w:type="dxa"/>
              <w:bottom w:w="0" w:type="dxa"/>
              <w:right w:w="28" w:type="dxa"/>
            </w:tcMar>
            <w:vAlign w:val="center"/>
          </w:tcPr>
          <w:p>
            <w:pPr>
              <w:spacing w:line="360" w:lineRule="exact"/>
              <w:jc w:val="left"/>
              <w:rPr>
                <w:color w:val="auto"/>
                <w:szCs w:val="21"/>
              </w:rPr>
            </w:pPr>
            <w:r>
              <w:rPr>
                <w:bCs/>
                <w:color w:val="auto"/>
                <w:szCs w:val="21"/>
              </w:rPr>
              <w:t>新建：</w:t>
            </w:r>
            <w:r>
              <w:rPr>
                <w:color w:val="auto"/>
                <w:szCs w:val="21"/>
              </w:rPr>
              <w:t>1个，规模分别为</w:t>
            </w:r>
            <w:r>
              <w:rPr>
                <w:rFonts w:hint="eastAsia"/>
                <w:color w:val="auto"/>
                <w:szCs w:val="21"/>
              </w:rPr>
              <w:t>30</w:t>
            </w:r>
            <w:r>
              <w:rPr>
                <w:color w:val="auto"/>
                <w:szCs w:val="21"/>
              </w:rPr>
              <w:t>m×</w:t>
            </w:r>
            <w:r>
              <w:rPr>
                <w:rFonts w:hint="eastAsia"/>
                <w:color w:val="auto"/>
                <w:szCs w:val="21"/>
              </w:rPr>
              <w:t>12</w:t>
            </w:r>
            <w:r>
              <w:rPr>
                <w:color w:val="auto"/>
                <w:szCs w:val="21"/>
              </w:rPr>
              <w:t>m，建筑面积</w:t>
            </w:r>
            <w:r>
              <w:rPr>
                <w:rFonts w:hint="eastAsia"/>
                <w:color w:val="auto"/>
                <w:szCs w:val="21"/>
              </w:rPr>
              <w:t>360</w:t>
            </w:r>
            <w:r>
              <w:rPr>
                <w:color w:val="auto"/>
                <w:szCs w:val="21"/>
              </w:rPr>
              <w:t>m</w:t>
            </w:r>
            <w:r>
              <w:rPr>
                <w:color w:val="auto"/>
                <w:szCs w:val="21"/>
                <w:vertAlign w:val="superscript"/>
              </w:rPr>
              <w:t>2</w:t>
            </w:r>
            <w:r>
              <w:rPr>
                <w:rFonts w:hint="eastAsia"/>
                <w:color w:val="auto"/>
                <w:szCs w:val="21"/>
              </w:rPr>
              <w:t>（猪粪及沼渣暂存区）</w:t>
            </w:r>
            <w:r>
              <w:rPr>
                <w:color w:val="auto"/>
                <w:szCs w:val="21"/>
              </w:rPr>
              <w:t>整个区域全部钢框架结构，</w:t>
            </w:r>
            <w:r>
              <w:rPr>
                <w:rFonts w:hint="eastAsia"/>
                <w:color w:val="auto"/>
                <w:szCs w:val="21"/>
              </w:rPr>
              <w:t>顶部</w:t>
            </w:r>
            <w:r>
              <w:rPr>
                <w:color w:val="auto"/>
                <w:szCs w:val="21"/>
              </w:rPr>
              <w:t>设置顶棚</w:t>
            </w:r>
            <w:r>
              <w:rPr>
                <w:rFonts w:hint="eastAsia"/>
                <w:color w:val="auto"/>
                <w:szCs w:val="21"/>
              </w:rPr>
              <w:t>，</w:t>
            </w:r>
            <w:r>
              <w:rPr>
                <w:color w:val="auto"/>
                <w:szCs w:val="21"/>
              </w:rPr>
              <w:t>四周设置围墙。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52" w:type="pct"/>
            <w:vMerge w:val="restart"/>
            <w:noWrap w:val="0"/>
            <w:tcMar>
              <w:top w:w="0" w:type="dxa"/>
              <w:left w:w="28" w:type="dxa"/>
              <w:bottom w:w="0" w:type="dxa"/>
              <w:right w:w="28" w:type="dxa"/>
            </w:tcMar>
            <w:vAlign w:val="center"/>
          </w:tcPr>
          <w:p>
            <w:pPr>
              <w:spacing w:line="360" w:lineRule="exact"/>
              <w:jc w:val="center"/>
              <w:rPr>
                <w:color w:val="auto"/>
                <w:szCs w:val="21"/>
                <w:highlight w:val="none"/>
              </w:rPr>
            </w:pPr>
            <w:r>
              <w:rPr>
                <w:color w:val="auto"/>
                <w:szCs w:val="21"/>
                <w:highlight w:val="none"/>
              </w:rPr>
              <w:t>公用工程</w:t>
            </w:r>
          </w:p>
        </w:tc>
        <w:tc>
          <w:tcPr>
            <w:tcW w:w="811" w:type="pct"/>
            <w:gridSpan w:val="2"/>
            <w:noWrap w:val="0"/>
            <w:tcMar>
              <w:top w:w="0" w:type="dxa"/>
              <w:left w:w="28" w:type="dxa"/>
              <w:bottom w:w="0" w:type="dxa"/>
              <w:right w:w="28" w:type="dxa"/>
            </w:tcMar>
            <w:vAlign w:val="center"/>
          </w:tcPr>
          <w:p>
            <w:pPr>
              <w:spacing w:line="360" w:lineRule="exact"/>
              <w:jc w:val="center"/>
              <w:rPr>
                <w:color w:val="auto"/>
                <w:szCs w:val="21"/>
                <w:highlight w:val="none"/>
              </w:rPr>
            </w:pPr>
            <w:r>
              <w:rPr>
                <w:color w:val="auto"/>
                <w:szCs w:val="21"/>
                <w:highlight w:val="none"/>
              </w:rPr>
              <w:t>给水工程</w:t>
            </w:r>
          </w:p>
        </w:tc>
        <w:tc>
          <w:tcPr>
            <w:tcW w:w="3536" w:type="pct"/>
            <w:noWrap w:val="0"/>
            <w:tcMar>
              <w:top w:w="0" w:type="dxa"/>
              <w:left w:w="28" w:type="dxa"/>
              <w:bottom w:w="0" w:type="dxa"/>
              <w:right w:w="28" w:type="dxa"/>
            </w:tcMar>
            <w:vAlign w:val="center"/>
          </w:tcPr>
          <w:p>
            <w:pPr>
              <w:spacing w:line="360" w:lineRule="exact"/>
              <w:jc w:val="left"/>
              <w:rPr>
                <w:color w:val="auto"/>
                <w:szCs w:val="21"/>
                <w:highlight w:val="none"/>
              </w:rPr>
            </w:pPr>
            <w:r>
              <w:rPr>
                <w:color w:val="auto"/>
                <w:szCs w:val="21"/>
                <w:highlight w:val="none"/>
              </w:rPr>
              <w:t>本项目用水由自备井供给，场区内拟建设1眼自备井，深200m，单井出水约为50m</w:t>
            </w:r>
            <w:r>
              <w:rPr>
                <w:color w:val="auto"/>
                <w:szCs w:val="21"/>
                <w:highlight w:val="none"/>
                <w:vertAlign w:val="superscript"/>
              </w:rPr>
              <w:t>3</w:t>
            </w:r>
            <w:r>
              <w:rPr>
                <w:color w:val="auto"/>
                <w:szCs w:val="21"/>
                <w:highlight w:val="none"/>
              </w:rPr>
              <w:t>/h</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52" w:type="pct"/>
            <w:vMerge w:val="continue"/>
            <w:noWrap w:val="0"/>
            <w:tcMar>
              <w:top w:w="0" w:type="dxa"/>
              <w:left w:w="28" w:type="dxa"/>
              <w:bottom w:w="0" w:type="dxa"/>
              <w:right w:w="28" w:type="dxa"/>
            </w:tcMar>
            <w:vAlign w:val="center"/>
          </w:tcPr>
          <w:p>
            <w:pPr>
              <w:spacing w:line="360" w:lineRule="exact"/>
              <w:jc w:val="center"/>
              <w:rPr>
                <w:color w:val="auto"/>
                <w:szCs w:val="21"/>
              </w:rPr>
            </w:pPr>
          </w:p>
        </w:tc>
        <w:tc>
          <w:tcPr>
            <w:tcW w:w="811" w:type="pct"/>
            <w:gridSpan w:val="2"/>
            <w:noWrap w:val="0"/>
            <w:tcMar>
              <w:top w:w="0" w:type="dxa"/>
              <w:left w:w="28" w:type="dxa"/>
              <w:bottom w:w="0" w:type="dxa"/>
              <w:right w:w="28" w:type="dxa"/>
            </w:tcMar>
            <w:vAlign w:val="center"/>
          </w:tcPr>
          <w:p>
            <w:pPr>
              <w:spacing w:line="360" w:lineRule="exact"/>
              <w:jc w:val="center"/>
              <w:rPr>
                <w:color w:val="auto"/>
                <w:szCs w:val="21"/>
              </w:rPr>
            </w:pPr>
            <w:r>
              <w:rPr>
                <w:color w:val="auto"/>
                <w:szCs w:val="21"/>
              </w:rPr>
              <w:t>排水工程</w:t>
            </w:r>
          </w:p>
        </w:tc>
        <w:tc>
          <w:tcPr>
            <w:tcW w:w="3536" w:type="pct"/>
            <w:noWrap w:val="0"/>
            <w:tcMar>
              <w:top w:w="0" w:type="dxa"/>
              <w:left w:w="28" w:type="dxa"/>
              <w:bottom w:w="0" w:type="dxa"/>
              <w:right w:w="28" w:type="dxa"/>
            </w:tcMar>
            <w:vAlign w:val="center"/>
          </w:tcPr>
          <w:p>
            <w:pPr>
              <w:spacing w:line="360" w:lineRule="exact"/>
              <w:rPr>
                <w:color w:val="auto"/>
                <w:szCs w:val="21"/>
              </w:rPr>
            </w:pPr>
            <w:r>
              <w:rPr>
                <w:color w:val="auto"/>
                <w:szCs w:val="21"/>
              </w:rPr>
              <w:t>本项目排水采用雨污分流，雨水经雨水管道排到厂区外部，</w:t>
            </w:r>
            <w:r>
              <w:rPr>
                <w:rFonts w:hint="eastAsia" w:hAnsi="宋体"/>
                <w:color w:val="auto"/>
                <w:szCs w:val="21"/>
              </w:rPr>
              <w:t>养殖废水和生活污水经场区内黑膜沼气池</w:t>
            </w:r>
            <w:r>
              <w:rPr>
                <w:rFonts w:hAnsi="宋体"/>
                <w:color w:val="auto"/>
                <w:szCs w:val="21"/>
              </w:rPr>
              <w:t>处理</w:t>
            </w:r>
            <w:r>
              <w:rPr>
                <w:rFonts w:hint="eastAsia" w:hAnsi="宋体"/>
                <w:color w:val="auto"/>
                <w:szCs w:val="21"/>
              </w:rPr>
              <w:t>后，生成</w:t>
            </w:r>
            <w:r>
              <w:rPr>
                <w:rFonts w:hAnsi="宋体"/>
                <w:color w:val="auto"/>
                <w:szCs w:val="21"/>
              </w:rPr>
              <w:t>沼液</w:t>
            </w:r>
            <w:r>
              <w:rPr>
                <w:rFonts w:hint="eastAsia" w:hAnsi="宋体"/>
                <w:color w:val="auto"/>
                <w:szCs w:val="21"/>
              </w:rPr>
              <w:t>作为农肥综合利用，不外排。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52" w:type="pct"/>
            <w:vMerge w:val="continue"/>
            <w:noWrap w:val="0"/>
            <w:tcMar>
              <w:top w:w="0" w:type="dxa"/>
              <w:left w:w="28" w:type="dxa"/>
              <w:bottom w:w="0" w:type="dxa"/>
              <w:right w:w="28" w:type="dxa"/>
            </w:tcMar>
            <w:vAlign w:val="center"/>
          </w:tcPr>
          <w:p>
            <w:pPr>
              <w:spacing w:line="360" w:lineRule="exact"/>
              <w:jc w:val="center"/>
              <w:rPr>
                <w:color w:val="auto"/>
                <w:szCs w:val="21"/>
              </w:rPr>
            </w:pPr>
          </w:p>
        </w:tc>
        <w:tc>
          <w:tcPr>
            <w:tcW w:w="811" w:type="pct"/>
            <w:gridSpan w:val="2"/>
            <w:noWrap w:val="0"/>
            <w:tcMar>
              <w:top w:w="0" w:type="dxa"/>
              <w:left w:w="28" w:type="dxa"/>
              <w:bottom w:w="0" w:type="dxa"/>
              <w:right w:w="28" w:type="dxa"/>
            </w:tcMar>
            <w:vAlign w:val="center"/>
          </w:tcPr>
          <w:p>
            <w:pPr>
              <w:spacing w:line="360" w:lineRule="exact"/>
              <w:jc w:val="center"/>
              <w:rPr>
                <w:color w:val="auto"/>
                <w:szCs w:val="21"/>
              </w:rPr>
            </w:pPr>
            <w:r>
              <w:rPr>
                <w:color w:val="auto"/>
                <w:szCs w:val="21"/>
              </w:rPr>
              <w:t>供电系统</w:t>
            </w:r>
          </w:p>
        </w:tc>
        <w:tc>
          <w:tcPr>
            <w:tcW w:w="3536" w:type="pct"/>
            <w:noWrap w:val="0"/>
            <w:tcMar>
              <w:top w:w="0" w:type="dxa"/>
              <w:left w:w="28" w:type="dxa"/>
              <w:bottom w:w="0" w:type="dxa"/>
              <w:right w:w="28" w:type="dxa"/>
            </w:tcMar>
            <w:vAlign w:val="center"/>
          </w:tcPr>
          <w:p>
            <w:pPr>
              <w:spacing w:line="360" w:lineRule="exact"/>
              <w:jc w:val="left"/>
              <w:rPr>
                <w:color w:val="auto"/>
                <w:szCs w:val="21"/>
              </w:rPr>
            </w:pPr>
            <w:r>
              <w:rPr>
                <w:color w:val="auto"/>
                <w:szCs w:val="21"/>
              </w:rPr>
              <w:t>本项目电源由</w:t>
            </w:r>
            <w:r>
              <w:rPr>
                <w:rFonts w:hint="eastAsia"/>
                <w:color w:val="auto"/>
                <w:szCs w:val="21"/>
                <w:lang w:val="en-US" w:eastAsia="zh-CN"/>
              </w:rPr>
              <w:t>汝南埠镇</w:t>
            </w:r>
            <w:r>
              <w:rPr>
                <w:color w:val="auto"/>
                <w:szCs w:val="21"/>
              </w:rPr>
              <w:t>供电所专线供电</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52" w:type="pct"/>
            <w:vMerge w:val="continue"/>
            <w:noWrap w:val="0"/>
            <w:tcMar>
              <w:top w:w="0" w:type="dxa"/>
              <w:left w:w="28" w:type="dxa"/>
              <w:bottom w:w="0" w:type="dxa"/>
              <w:right w:w="28" w:type="dxa"/>
            </w:tcMar>
            <w:vAlign w:val="center"/>
          </w:tcPr>
          <w:p>
            <w:pPr>
              <w:spacing w:line="360" w:lineRule="exact"/>
              <w:jc w:val="center"/>
              <w:rPr>
                <w:b/>
                <w:color w:val="auto"/>
                <w:sz w:val="24"/>
              </w:rPr>
            </w:pPr>
          </w:p>
        </w:tc>
        <w:tc>
          <w:tcPr>
            <w:tcW w:w="811" w:type="pct"/>
            <w:gridSpan w:val="2"/>
            <w:noWrap w:val="0"/>
            <w:tcMar>
              <w:top w:w="0" w:type="dxa"/>
              <w:left w:w="28" w:type="dxa"/>
              <w:bottom w:w="0" w:type="dxa"/>
              <w:right w:w="28" w:type="dxa"/>
            </w:tcMar>
            <w:vAlign w:val="center"/>
          </w:tcPr>
          <w:p>
            <w:pPr>
              <w:spacing w:line="360" w:lineRule="exact"/>
              <w:jc w:val="center"/>
              <w:rPr>
                <w:color w:val="auto"/>
                <w:szCs w:val="21"/>
              </w:rPr>
            </w:pPr>
            <w:r>
              <w:rPr>
                <w:color w:val="auto"/>
                <w:szCs w:val="21"/>
              </w:rPr>
              <w:t>供热工程</w:t>
            </w:r>
          </w:p>
        </w:tc>
        <w:tc>
          <w:tcPr>
            <w:tcW w:w="3536" w:type="pct"/>
            <w:noWrap w:val="0"/>
            <w:tcMar>
              <w:top w:w="0" w:type="dxa"/>
              <w:left w:w="28" w:type="dxa"/>
              <w:bottom w:w="0" w:type="dxa"/>
              <w:right w:w="28" w:type="dxa"/>
            </w:tcMar>
            <w:vAlign w:val="center"/>
          </w:tcPr>
          <w:p>
            <w:pPr>
              <w:spacing w:line="360" w:lineRule="exact"/>
              <w:rPr>
                <w:rFonts w:hint="eastAsia" w:hAnsi="宋体"/>
                <w:color w:val="auto"/>
                <w:szCs w:val="21"/>
              </w:rPr>
            </w:pPr>
            <w:r>
              <w:rPr>
                <w:rFonts w:hint="eastAsia" w:hAnsi="宋体"/>
                <w:color w:val="auto"/>
                <w:szCs w:val="21"/>
              </w:rPr>
              <w:t>养殖舍：猪舍墙体为保温材料，可以减少猪舍热量损失，项目采用热交换系统用于冬季猪舍取暖。</w:t>
            </w:r>
          </w:p>
          <w:p>
            <w:pPr>
              <w:spacing w:line="360" w:lineRule="exact"/>
              <w:jc w:val="left"/>
              <w:rPr>
                <w:color w:val="auto"/>
                <w:szCs w:val="21"/>
              </w:rPr>
            </w:pPr>
            <w:r>
              <w:rPr>
                <w:rFonts w:hint="eastAsia" w:hAnsi="宋体"/>
                <w:color w:val="auto"/>
                <w:szCs w:val="21"/>
              </w:rPr>
              <w:t>办公生活区：本项目人员冬季取暖采用空调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52" w:type="pct"/>
            <w:vMerge w:val="continue"/>
            <w:noWrap w:val="0"/>
            <w:tcMar>
              <w:top w:w="0" w:type="dxa"/>
              <w:left w:w="28" w:type="dxa"/>
              <w:bottom w:w="0" w:type="dxa"/>
              <w:right w:w="28" w:type="dxa"/>
            </w:tcMar>
            <w:vAlign w:val="center"/>
          </w:tcPr>
          <w:p>
            <w:pPr>
              <w:spacing w:line="360" w:lineRule="exact"/>
              <w:jc w:val="center"/>
              <w:rPr>
                <w:b/>
                <w:color w:val="auto"/>
                <w:sz w:val="24"/>
              </w:rPr>
            </w:pPr>
          </w:p>
        </w:tc>
        <w:tc>
          <w:tcPr>
            <w:tcW w:w="811" w:type="pct"/>
            <w:gridSpan w:val="2"/>
            <w:noWrap w:val="0"/>
            <w:tcMar>
              <w:top w:w="0" w:type="dxa"/>
              <w:left w:w="28" w:type="dxa"/>
              <w:bottom w:w="0" w:type="dxa"/>
              <w:right w:w="28" w:type="dxa"/>
            </w:tcMar>
            <w:vAlign w:val="center"/>
          </w:tcPr>
          <w:p>
            <w:pPr>
              <w:spacing w:line="360" w:lineRule="exact"/>
              <w:jc w:val="center"/>
              <w:rPr>
                <w:color w:val="auto"/>
                <w:szCs w:val="21"/>
              </w:rPr>
            </w:pPr>
            <w:r>
              <w:rPr>
                <w:color w:val="auto"/>
                <w:szCs w:val="21"/>
              </w:rPr>
              <w:t>沼气综合利用系统</w:t>
            </w:r>
          </w:p>
        </w:tc>
        <w:tc>
          <w:tcPr>
            <w:tcW w:w="3536" w:type="pct"/>
            <w:noWrap w:val="0"/>
            <w:tcMar>
              <w:top w:w="0" w:type="dxa"/>
              <w:left w:w="28" w:type="dxa"/>
              <w:bottom w:w="0" w:type="dxa"/>
              <w:right w:w="28" w:type="dxa"/>
            </w:tcMar>
            <w:vAlign w:val="center"/>
          </w:tcPr>
          <w:p>
            <w:pPr>
              <w:spacing w:line="360" w:lineRule="exact"/>
              <w:jc w:val="left"/>
              <w:rPr>
                <w:color w:val="auto"/>
                <w:szCs w:val="21"/>
              </w:rPr>
            </w:pPr>
            <w:r>
              <w:rPr>
                <w:rFonts w:hint="eastAsia" w:hAnsi="宋体"/>
                <w:color w:val="auto"/>
                <w:szCs w:val="21"/>
              </w:rPr>
              <w:t>新建：本项目黑膜</w:t>
            </w:r>
            <w:r>
              <w:rPr>
                <w:rFonts w:hAnsi="宋体"/>
                <w:color w:val="auto"/>
                <w:szCs w:val="21"/>
              </w:rPr>
              <w:t>沼气池</w:t>
            </w:r>
            <w:r>
              <w:rPr>
                <w:rFonts w:hint="eastAsia" w:hAnsi="宋体"/>
                <w:color w:val="auto"/>
                <w:szCs w:val="21"/>
              </w:rPr>
              <w:t>产生的沼气经配套的沼气净化装置净化后用于职工食堂用作炊事燃料，</w:t>
            </w:r>
            <w:r>
              <w:rPr>
                <w:rFonts w:hint="eastAsia"/>
                <w:bCs/>
                <w:color w:val="auto"/>
                <w:szCs w:val="21"/>
                <w:lang w:bidi="ar"/>
              </w:rPr>
              <w:t>其余部分经火炬燃烧器燃烧。场区配套沼气净化装置</w:t>
            </w:r>
            <w:r>
              <w:rPr>
                <w:bCs/>
                <w:color w:val="auto"/>
                <w:szCs w:val="21"/>
                <w:lang w:bidi="ar"/>
              </w:rPr>
              <w:t>1</w:t>
            </w:r>
            <w:r>
              <w:rPr>
                <w:rFonts w:hint="eastAsia"/>
                <w:bCs/>
                <w:color w:val="auto"/>
                <w:szCs w:val="21"/>
                <w:lang w:bidi="ar"/>
              </w:rPr>
              <w:t>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10" w:hRule="atLeast"/>
        </w:trPr>
        <w:tc>
          <w:tcPr>
            <w:tcW w:w="652" w:type="pct"/>
            <w:vMerge w:val="continue"/>
            <w:noWrap w:val="0"/>
            <w:tcMar>
              <w:top w:w="0" w:type="dxa"/>
              <w:left w:w="28" w:type="dxa"/>
              <w:bottom w:w="0" w:type="dxa"/>
              <w:right w:w="28" w:type="dxa"/>
            </w:tcMar>
            <w:vAlign w:val="center"/>
          </w:tcPr>
          <w:p>
            <w:pPr>
              <w:spacing w:line="360" w:lineRule="exact"/>
              <w:jc w:val="center"/>
              <w:rPr>
                <w:b/>
                <w:color w:val="auto"/>
                <w:sz w:val="24"/>
                <w:highlight w:val="none"/>
              </w:rPr>
            </w:pPr>
          </w:p>
        </w:tc>
        <w:tc>
          <w:tcPr>
            <w:tcW w:w="811" w:type="pct"/>
            <w:gridSpan w:val="2"/>
            <w:vMerge w:val="restart"/>
            <w:noWrap w:val="0"/>
            <w:tcMar>
              <w:top w:w="0" w:type="dxa"/>
              <w:left w:w="28" w:type="dxa"/>
              <w:bottom w:w="0" w:type="dxa"/>
              <w:right w:w="28" w:type="dxa"/>
            </w:tcMar>
            <w:vAlign w:val="center"/>
          </w:tcPr>
          <w:p>
            <w:pPr>
              <w:spacing w:line="360" w:lineRule="exact"/>
              <w:jc w:val="center"/>
              <w:rPr>
                <w:color w:val="auto"/>
                <w:szCs w:val="21"/>
                <w:highlight w:val="none"/>
              </w:rPr>
            </w:pPr>
            <w:r>
              <w:rPr>
                <w:color w:val="auto"/>
                <w:szCs w:val="21"/>
                <w:highlight w:val="none"/>
              </w:rPr>
              <w:t>沼液利用管网系统</w:t>
            </w:r>
          </w:p>
        </w:tc>
        <w:tc>
          <w:tcPr>
            <w:tcW w:w="3536" w:type="pct"/>
            <w:noWrap w:val="0"/>
            <w:tcMar>
              <w:top w:w="0" w:type="dxa"/>
              <w:left w:w="28" w:type="dxa"/>
              <w:bottom w:w="0" w:type="dxa"/>
              <w:right w:w="28" w:type="dxa"/>
            </w:tcMar>
            <w:vAlign w:val="center"/>
          </w:tcPr>
          <w:p>
            <w:pPr>
              <w:spacing w:line="360" w:lineRule="exact"/>
              <w:jc w:val="left"/>
              <w:rPr>
                <w:color w:val="auto"/>
                <w:szCs w:val="21"/>
                <w:highlight w:val="none"/>
              </w:rPr>
            </w:pPr>
            <w:r>
              <w:rPr>
                <w:color w:val="auto"/>
                <w:szCs w:val="21"/>
                <w:highlight w:val="none"/>
              </w:rPr>
              <w:t>沼液储存池1个，总容积</w:t>
            </w:r>
            <w:r>
              <w:rPr>
                <w:rFonts w:hint="eastAsia"/>
                <w:color w:val="auto"/>
                <w:szCs w:val="21"/>
                <w:highlight w:val="none"/>
              </w:rPr>
              <w:t>6500</w:t>
            </w:r>
            <w:r>
              <w:rPr>
                <w:color w:val="auto"/>
                <w:szCs w:val="21"/>
                <w:highlight w:val="none"/>
              </w:rPr>
              <w:t>m</w:t>
            </w:r>
            <w:r>
              <w:rPr>
                <w:color w:val="auto"/>
                <w:szCs w:val="21"/>
                <w:highlight w:val="none"/>
                <w:vertAlign w:val="superscript"/>
              </w:rPr>
              <w:t>3</w:t>
            </w:r>
            <w:r>
              <w:rPr>
                <w:rFonts w:hint="eastAsia"/>
                <w:color w:val="auto"/>
                <w:szCs w:val="21"/>
                <w:highlight w:val="none"/>
              </w:rPr>
              <w:t>，</w:t>
            </w:r>
            <w:r>
              <w:rPr>
                <w:color w:val="auto"/>
                <w:szCs w:val="21"/>
                <w:highlight w:val="none"/>
              </w:rPr>
              <w:t>沼液由沼液储存池引至农田施肥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52" w:type="pct"/>
            <w:vMerge w:val="continue"/>
            <w:noWrap w:val="0"/>
            <w:tcMar>
              <w:top w:w="0" w:type="dxa"/>
              <w:left w:w="28" w:type="dxa"/>
              <w:bottom w:w="0" w:type="dxa"/>
              <w:right w:w="28" w:type="dxa"/>
            </w:tcMar>
            <w:vAlign w:val="center"/>
          </w:tcPr>
          <w:p>
            <w:pPr>
              <w:spacing w:line="360" w:lineRule="exact"/>
              <w:jc w:val="center"/>
              <w:rPr>
                <w:b/>
                <w:color w:val="auto"/>
                <w:sz w:val="24"/>
                <w:highlight w:val="none"/>
              </w:rPr>
            </w:pPr>
          </w:p>
        </w:tc>
        <w:tc>
          <w:tcPr>
            <w:tcW w:w="811" w:type="pct"/>
            <w:gridSpan w:val="2"/>
            <w:vMerge w:val="continue"/>
            <w:noWrap w:val="0"/>
            <w:tcMar>
              <w:top w:w="0" w:type="dxa"/>
              <w:left w:w="28" w:type="dxa"/>
              <w:bottom w:w="0" w:type="dxa"/>
              <w:right w:w="28" w:type="dxa"/>
            </w:tcMar>
            <w:vAlign w:val="center"/>
          </w:tcPr>
          <w:p>
            <w:pPr>
              <w:spacing w:line="360" w:lineRule="exact"/>
              <w:jc w:val="center"/>
              <w:rPr>
                <w:color w:val="auto"/>
                <w:sz w:val="24"/>
                <w:highlight w:val="none"/>
              </w:rPr>
            </w:pPr>
          </w:p>
        </w:tc>
        <w:tc>
          <w:tcPr>
            <w:tcW w:w="3536" w:type="pct"/>
            <w:noWrap w:val="0"/>
            <w:tcMar>
              <w:top w:w="0" w:type="dxa"/>
              <w:left w:w="28" w:type="dxa"/>
              <w:bottom w:w="0" w:type="dxa"/>
              <w:right w:w="28" w:type="dxa"/>
            </w:tcMar>
            <w:vAlign w:val="center"/>
          </w:tcPr>
          <w:p>
            <w:pPr>
              <w:spacing w:line="360" w:lineRule="exact"/>
              <w:jc w:val="left"/>
              <w:rPr>
                <w:color w:val="auto"/>
                <w:szCs w:val="21"/>
                <w:highlight w:val="none"/>
              </w:rPr>
            </w:pPr>
            <w:r>
              <w:rPr>
                <w:color w:val="auto"/>
                <w:szCs w:val="21"/>
                <w:highlight w:val="none"/>
              </w:rPr>
              <w:t>沼液消纳地5000亩，主要分布于养殖场四周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52" w:type="pct"/>
            <w:vMerge w:val="restart"/>
            <w:noWrap w:val="0"/>
            <w:tcMar>
              <w:top w:w="0" w:type="dxa"/>
              <w:left w:w="28" w:type="dxa"/>
              <w:bottom w:w="0" w:type="dxa"/>
              <w:right w:w="28" w:type="dxa"/>
            </w:tcMar>
            <w:vAlign w:val="center"/>
          </w:tcPr>
          <w:p>
            <w:pPr>
              <w:spacing w:line="360" w:lineRule="exact"/>
              <w:jc w:val="center"/>
              <w:rPr>
                <w:color w:val="auto"/>
                <w:sz w:val="24"/>
                <w:highlight w:val="none"/>
              </w:rPr>
            </w:pPr>
            <w:r>
              <w:rPr>
                <w:color w:val="auto"/>
                <w:sz w:val="24"/>
                <w:highlight w:val="none"/>
              </w:rPr>
              <w:t>环保工程</w:t>
            </w:r>
          </w:p>
        </w:tc>
        <w:tc>
          <w:tcPr>
            <w:tcW w:w="811" w:type="pct"/>
            <w:gridSpan w:val="2"/>
            <w:noWrap w:val="0"/>
            <w:tcMar>
              <w:top w:w="0" w:type="dxa"/>
              <w:left w:w="28" w:type="dxa"/>
              <w:bottom w:w="0" w:type="dxa"/>
              <w:right w:w="28" w:type="dxa"/>
            </w:tcMar>
            <w:vAlign w:val="center"/>
          </w:tcPr>
          <w:p>
            <w:pPr>
              <w:spacing w:line="360" w:lineRule="exact"/>
              <w:jc w:val="center"/>
              <w:rPr>
                <w:color w:val="auto"/>
                <w:szCs w:val="21"/>
                <w:highlight w:val="none"/>
              </w:rPr>
            </w:pPr>
            <w:r>
              <w:rPr>
                <w:color w:val="auto"/>
                <w:szCs w:val="21"/>
                <w:highlight w:val="none"/>
              </w:rPr>
              <w:t>废水处理</w:t>
            </w:r>
          </w:p>
        </w:tc>
        <w:tc>
          <w:tcPr>
            <w:tcW w:w="3536" w:type="pct"/>
            <w:noWrap w:val="0"/>
            <w:tcMar>
              <w:top w:w="0" w:type="dxa"/>
              <w:left w:w="28" w:type="dxa"/>
              <w:bottom w:w="0" w:type="dxa"/>
              <w:right w:w="28" w:type="dxa"/>
            </w:tcMar>
            <w:vAlign w:val="center"/>
          </w:tcPr>
          <w:p>
            <w:pPr>
              <w:spacing w:line="360" w:lineRule="exact"/>
              <w:jc w:val="left"/>
              <w:rPr>
                <w:rFonts w:hint="eastAsia"/>
                <w:color w:val="auto"/>
                <w:szCs w:val="21"/>
                <w:highlight w:val="none"/>
              </w:rPr>
            </w:pPr>
            <w:r>
              <w:rPr>
                <w:bCs/>
                <w:color w:val="auto"/>
                <w:szCs w:val="21"/>
                <w:highlight w:val="none"/>
              </w:rPr>
              <w:t>污水处理系统1套，</w:t>
            </w:r>
            <w:r>
              <w:rPr>
                <w:rFonts w:hint="eastAsia" w:hAnsi="宋体"/>
                <w:color w:val="auto"/>
                <w:szCs w:val="21"/>
                <w:highlight w:val="none"/>
              </w:rPr>
              <w:t>黑膜沼气池1座</w:t>
            </w:r>
            <w:r>
              <w:rPr>
                <w:rFonts w:hAnsi="宋体"/>
                <w:color w:val="auto"/>
                <w:szCs w:val="21"/>
                <w:highlight w:val="none"/>
              </w:rPr>
              <w:t>，</w:t>
            </w:r>
            <w:r>
              <w:rPr>
                <w:rFonts w:hint="eastAsia" w:hAnsi="宋体"/>
                <w:color w:val="auto"/>
                <w:szCs w:val="21"/>
                <w:highlight w:val="none"/>
              </w:rPr>
              <w:t>容积</w:t>
            </w:r>
            <w:r>
              <w:rPr>
                <w:rFonts w:hAnsi="宋体"/>
                <w:color w:val="auto"/>
                <w:szCs w:val="21"/>
                <w:highlight w:val="none"/>
              </w:rPr>
              <w:t>1200</w:t>
            </w:r>
            <w:r>
              <w:rPr>
                <w:color w:val="auto"/>
                <w:szCs w:val="21"/>
                <w:highlight w:val="none"/>
              </w:rPr>
              <w:t>m</w:t>
            </w:r>
            <w:r>
              <w:rPr>
                <w:color w:val="auto"/>
                <w:szCs w:val="21"/>
                <w:highlight w:val="none"/>
                <w:vertAlign w:val="superscript"/>
              </w:rPr>
              <w:t>3</w:t>
            </w:r>
            <w:r>
              <w:rPr>
                <w:rFonts w:hint="eastAsia"/>
                <w:color w:val="auto"/>
                <w:szCs w:val="21"/>
                <w:highlight w:val="none"/>
              </w:rPr>
              <w:t>，</w:t>
            </w:r>
            <w:r>
              <w:rPr>
                <w:color w:val="auto"/>
                <w:szCs w:val="21"/>
                <w:highlight w:val="none"/>
              </w:rPr>
              <w:t>沼液储存池1个，总容积</w:t>
            </w:r>
            <w:r>
              <w:rPr>
                <w:rFonts w:hint="eastAsia"/>
                <w:color w:val="auto"/>
                <w:szCs w:val="21"/>
                <w:highlight w:val="none"/>
              </w:rPr>
              <w:t>6500</w:t>
            </w:r>
            <w:r>
              <w:rPr>
                <w:color w:val="auto"/>
                <w:szCs w:val="21"/>
                <w:highlight w:val="none"/>
              </w:rPr>
              <w:t>m</w:t>
            </w:r>
            <w:r>
              <w:rPr>
                <w:color w:val="auto"/>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52" w:type="pct"/>
            <w:vMerge w:val="continue"/>
            <w:noWrap w:val="0"/>
            <w:tcMar>
              <w:top w:w="0" w:type="dxa"/>
              <w:left w:w="28" w:type="dxa"/>
              <w:bottom w:w="0" w:type="dxa"/>
              <w:right w:w="28" w:type="dxa"/>
            </w:tcMar>
            <w:vAlign w:val="center"/>
          </w:tcPr>
          <w:p>
            <w:pPr>
              <w:spacing w:line="360" w:lineRule="exact"/>
              <w:jc w:val="center"/>
              <w:rPr>
                <w:b/>
                <w:color w:val="auto"/>
                <w:sz w:val="24"/>
              </w:rPr>
            </w:pPr>
          </w:p>
        </w:tc>
        <w:tc>
          <w:tcPr>
            <w:tcW w:w="233" w:type="pct"/>
            <w:vMerge w:val="restart"/>
            <w:noWrap w:val="0"/>
            <w:tcMar>
              <w:top w:w="0" w:type="dxa"/>
              <w:left w:w="28" w:type="dxa"/>
              <w:bottom w:w="0" w:type="dxa"/>
              <w:right w:w="28" w:type="dxa"/>
            </w:tcMar>
            <w:vAlign w:val="center"/>
          </w:tcPr>
          <w:p>
            <w:pPr>
              <w:spacing w:line="360" w:lineRule="exact"/>
              <w:jc w:val="center"/>
              <w:rPr>
                <w:color w:val="auto"/>
                <w:szCs w:val="21"/>
              </w:rPr>
            </w:pPr>
            <w:r>
              <w:rPr>
                <w:color w:val="auto"/>
                <w:szCs w:val="21"/>
              </w:rPr>
              <w:t>固废</w:t>
            </w:r>
          </w:p>
        </w:tc>
        <w:tc>
          <w:tcPr>
            <w:tcW w:w="578" w:type="pct"/>
            <w:noWrap w:val="0"/>
            <w:tcMar>
              <w:top w:w="0" w:type="dxa"/>
              <w:left w:w="28" w:type="dxa"/>
              <w:bottom w:w="0" w:type="dxa"/>
              <w:right w:w="28" w:type="dxa"/>
            </w:tcMar>
            <w:vAlign w:val="center"/>
          </w:tcPr>
          <w:p>
            <w:pPr>
              <w:spacing w:line="360" w:lineRule="exact"/>
              <w:jc w:val="center"/>
              <w:rPr>
                <w:color w:val="auto"/>
                <w:szCs w:val="21"/>
              </w:rPr>
            </w:pPr>
            <w:r>
              <w:rPr>
                <w:color w:val="auto"/>
                <w:szCs w:val="21"/>
              </w:rPr>
              <w:t>医疗废物</w:t>
            </w:r>
          </w:p>
        </w:tc>
        <w:tc>
          <w:tcPr>
            <w:tcW w:w="3536" w:type="pct"/>
            <w:noWrap w:val="0"/>
            <w:tcMar>
              <w:top w:w="0" w:type="dxa"/>
              <w:left w:w="28" w:type="dxa"/>
              <w:bottom w:w="0" w:type="dxa"/>
              <w:right w:w="28" w:type="dxa"/>
            </w:tcMar>
            <w:vAlign w:val="center"/>
          </w:tcPr>
          <w:p>
            <w:pPr>
              <w:spacing w:line="360" w:lineRule="exact"/>
              <w:jc w:val="left"/>
              <w:rPr>
                <w:color w:val="auto"/>
                <w:szCs w:val="21"/>
              </w:rPr>
            </w:pPr>
            <w:r>
              <w:rPr>
                <w:color w:val="auto"/>
                <w:szCs w:val="21"/>
              </w:rPr>
              <w:t>危废暂存</w:t>
            </w:r>
            <w:r>
              <w:rPr>
                <w:rFonts w:hint="eastAsia"/>
                <w:color w:val="auto"/>
                <w:szCs w:val="21"/>
              </w:rPr>
              <w:t>池1</w:t>
            </w:r>
            <w:r>
              <w:rPr>
                <w:color w:val="auto"/>
                <w:szCs w:val="21"/>
              </w:rPr>
              <w:t>个，占地面积</w:t>
            </w:r>
            <w:r>
              <w:rPr>
                <w:rFonts w:hint="eastAsia"/>
                <w:color w:val="auto"/>
                <w:szCs w:val="21"/>
              </w:rPr>
              <w:t>6</w:t>
            </w:r>
            <w:r>
              <w:rPr>
                <w:color w:val="auto"/>
                <w:szCs w:val="21"/>
              </w:rPr>
              <w:t>m</w:t>
            </w:r>
            <w:r>
              <w:rPr>
                <w:color w:val="auto"/>
                <w:szCs w:val="21"/>
                <w:vertAlign w:val="superscript"/>
              </w:rPr>
              <w:t>2</w:t>
            </w:r>
            <w:r>
              <w:rPr>
                <w:color w:val="auto"/>
                <w:szCs w:val="21"/>
              </w:rPr>
              <w:t>，并按照危废贮存的要求设计，危废暂存间符合《危险废物贮存污染控制标准》（GB18597-2001）要求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52" w:type="pct"/>
            <w:vMerge w:val="continue"/>
            <w:noWrap w:val="0"/>
            <w:tcMar>
              <w:top w:w="0" w:type="dxa"/>
              <w:left w:w="28" w:type="dxa"/>
              <w:bottom w:w="0" w:type="dxa"/>
              <w:right w:w="28" w:type="dxa"/>
            </w:tcMar>
            <w:vAlign w:val="center"/>
          </w:tcPr>
          <w:p>
            <w:pPr>
              <w:spacing w:line="360" w:lineRule="exact"/>
              <w:jc w:val="center"/>
              <w:rPr>
                <w:b/>
                <w:color w:val="auto"/>
                <w:sz w:val="24"/>
              </w:rPr>
            </w:pPr>
          </w:p>
        </w:tc>
        <w:tc>
          <w:tcPr>
            <w:tcW w:w="233" w:type="pct"/>
            <w:vMerge w:val="continue"/>
            <w:noWrap w:val="0"/>
            <w:tcMar>
              <w:top w:w="0" w:type="dxa"/>
              <w:left w:w="28" w:type="dxa"/>
              <w:bottom w:w="0" w:type="dxa"/>
              <w:right w:w="28" w:type="dxa"/>
            </w:tcMar>
            <w:vAlign w:val="center"/>
          </w:tcPr>
          <w:p>
            <w:pPr>
              <w:spacing w:line="360" w:lineRule="exact"/>
              <w:jc w:val="center"/>
              <w:rPr>
                <w:color w:val="auto"/>
                <w:szCs w:val="21"/>
              </w:rPr>
            </w:pPr>
          </w:p>
        </w:tc>
        <w:tc>
          <w:tcPr>
            <w:tcW w:w="578" w:type="pct"/>
            <w:noWrap w:val="0"/>
            <w:tcMar>
              <w:top w:w="0" w:type="dxa"/>
              <w:left w:w="28" w:type="dxa"/>
              <w:bottom w:w="0" w:type="dxa"/>
              <w:right w:w="28" w:type="dxa"/>
            </w:tcMar>
            <w:vAlign w:val="center"/>
          </w:tcPr>
          <w:p>
            <w:pPr>
              <w:spacing w:line="360" w:lineRule="exact"/>
              <w:jc w:val="center"/>
              <w:rPr>
                <w:rFonts w:hint="eastAsia"/>
                <w:color w:val="auto"/>
                <w:szCs w:val="21"/>
              </w:rPr>
            </w:pPr>
            <w:r>
              <w:rPr>
                <w:rFonts w:hint="eastAsia"/>
                <w:color w:val="auto"/>
                <w:szCs w:val="21"/>
              </w:rPr>
              <w:t>病死猪</w:t>
            </w:r>
          </w:p>
        </w:tc>
        <w:tc>
          <w:tcPr>
            <w:tcW w:w="3536" w:type="pct"/>
            <w:noWrap w:val="0"/>
            <w:tcMar>
              <w:top w:w="0" w:type="dxa"/>
              <w:left w:w="28" w:type="dxa"/>
              <w:bottom w:w="0" w:type="dxa"/>
              <w:right w:w="28" w:type="dxa"/>
            </w:tcMar>
            <w:vAlign w:val="center"/>
          </w:tcPr>
          <w:p>
            <w:pPr>
              <w:spacing w:line="360" w:lineRule="exact"/>
              <w:rPr>
                <w:color w:val="auto"/>
                <w:szCs w:val="21"/>
              </w:rPr>
            </w:pPr>
            <w:r>
              <w:rPr>
                <w:rFonts w:hint="eastAsia"/>
                <w:color w:val="auto"/>
                <w:szCs w:val="21"/>
              </w:rPr>
              <w:t>病死猪送至正阳县畜禽无害化处理中心处理。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52" w:type="pct"/>
            <w:vMerge w:val="continue"/>
            <w:noWrap w:val="0"/>
            <w:tcMar>
              <w:top w:w="0" w:type="dxa"/>
              <w:left w:w="28" w:type="dxa"/>
              <w:bottom w:w="0" w:type="dxa"/>
              <w:right w:w="28" w:type="dxa"/>
            </w:tcMar>
            <w:vAlign w:val="center"/>
          </w:tcPr>
          <w:p>
            <w:pPr>
              <w:spacing w:line="360" w:lineRule="exact"/>
              <w:jc w:val="center"/>
              <w:rPr>
                <w:b/>
                <w:color w:val="FF0000"/>
                <w:sz w:val="24"/>
              </w:rPr>
            </w:pPr>
          </w:p>
        </w:tc>
        <w:tc>
          <w:tcPr>
            <w:tcW w:w="233" w:type="pct"/>
            <w:vMerge w:val="continue"/>
            <w:noWrap w:val="0"/>
            <w:tcMar>
              <w:top w:w="0" w:type="dxa"/>
              <w:left w:w="28" w:type="dxa"/>
              <w:bottom w:w="0" w:type="dxa"/>
              <w:right w:w="28" w:type="dxa"/>
            </w:tcMar>
            <w:vAlign w:val="center"/>
          </w:tcPr>
          <w:p>
            <w:pPr>
              <w:spacing w:line="360" w:lineRule="exact"/>
              <w:jc w:val="center"/>
              <w:rPr>
                <w:color w:val="FF0000"/>
                <w:szCs w:val="21"/>
              </w:rPr>
            </w:pPr>
          </w:p>
        </w:tc>
        <w:tc>
          <w:tcPr>
            <w:tcW w:w="578" w:type="pct"/>
            <w:noWrap w:val="0"/>
            <w:tcMar>
              <w:top w:w="0" w:type="dxa"/>
              <w:left w:w="28" w:type="dxa"/>
              <w:bottom w:w="0" w:type="dxa"/>
              <w:right w:w="28" w:type="dxa"/>
            </w:tcMar>
            <w:vAlign w:val="center"/>
          </w:tcPr>
          <w:p>
            <w:pPr>
              <w:spacing w:line="360" w:lineRule="exact"/>
              <w:jc w:val="center"/>
              <w:rPr>
                <w:color w:val="FF0000"/>
                <w:szCs w:val="21"/>
              </w:rPr>
            </w:pPr>
            <w:r>
              <w:rPr>
                <w:rFonts w:hint="eastAsia"/>
                <w:color w:val="auto"/>
                <w:szCs w:val="21"/>
              </w:rPr>
              <w:t>猪粪及沼渣</w:t>
            </w:r>
          </w:p>
        </w:tc>
        <w:tc>
          <w:tcPr>
            <w:tcW w:w="3536" w:type="pct"/>
            <w:noWrap w:val="0"/>
            <w:tcMar>
              <w:top w:w="0" w:type="dxa"/>
              <w:left w:w="28" w:type="dxa"/>
              <w:bottom w:w="0" w:type="dxa"/>
              <w:right w:w="28" w:type="dxa"/>
            </w:tcMar>
            <w:vAlign w:val="center"/>
          </w:tcPr>
          <w:p>
            <w:pPr>
              <w:spacing w:line="360" w:lineRule="exact"/>
              <w:rPr>
                <w:rFonts w:hAnsi="宋体"/>
                <w:color w:val="auto"/>
                <w:szCs w:val="21"/>
              </w:rPr>
            </w:pPr>
            <w:r>
              <w:rPr>
                <w:rFonts w:hint="eastAsia" w:hAnsi="宋体"/>
                <w:color w:val="auto"/>
                <w:szCs w:val="21"/>
              </w:rPr>
              <w:t>固粪处理区</w:t>
            </w:r>
            <w:r>
              <w:rPr>
                <w:rFonts w:hAnsi="宋体"/>
                <w:color w:val="auto"/>
                <w:szCs w:val="21"/>
              </w:rPr>
              <w:t>1</w:t>
            </w:r>
            <w:r>
              <w:rPr>
                <w:rFonts w:hint="eastAsia" w:hAnsi="宋体"/>
                <w:color w:val="auto"/>
                <w:szCs w:val="21"/>
              </w:rPr>
              <w:t>座，按</w:t>
            </w:r>
            <w:r>
              <w:rPr>
                <w:rFonts w:hAnsi="宋体"/>
                <w:color w:val="auto"/>
                <w:szCs w:val="21"/>
              </w:rPr>
              <w:t>“</w:t>
            </w:r>
            <w:r>
              <w:rPr>
                <w:rFonts w:hint="eastAsia" w:hAnsi="宋体"/>
                <w:color w:val="auto"/>
                <w:szCs w:val="21"/>
              </w:rPr>
              <w:t>三防</w:t>
            </w:r>
            <w:r>
              <w:rPr>
                <w:rFonts w:hAnsi="宋体"/>
                <w:color w:val="auto"/>
                <w:szCs w:val="21"/>
              </w:rPr>
              <w:t>”</w:t>
            </w:r>
            <w:r>
              <w:rPr>
                <w:rFonts w:hint="eastAsia" w:hAnsi="宋体"/>
                <w:color w:val="auto"/>
                <w:szCs w:val="21"/>
              </w:rPr>
              <w:t>要求设计，设置顶棚，底部防渗，四周有围挡，占地面积</w:t>
            </w:r>
            <w:r>
              <w:rPr>
                <w:rFonts w:hAnsi="宋体"/>
                <w:color w:val="auto"/>
                <w:szCs w:val="21"/>
              </w:rPr>
              <w:t>360m</w:t>
            </w:r>
            <w:r>
              <w:rPr>
                <w:rFonts w:hAnsi="宋体"/>
                <w:color w:val="auto"/>
                <w:szCs w:val="21"/>
                <w:vertAlign w:val="superscript"/>
              </w:rPr>
              <w:t>2</w:t>
            </w:r>
          </w:p>
        </w:tc>
      </w:tr>
    </w:tbl>
    <w:p>
      <w:pPr>
        <w:pStyle w:val="2"/>
        <w:snapToGrid w:val="0"/>
        <w:spacing w:before="0" w:after="0" w:line="520" w:lineRule="exact"/>
        <w:rPr>
          <w:rFonts w:eastAsia="黑体"/>
          <w:b w:val="0"/>
          <w:bCs w:val="0"/>
          <w:sz w:val="24"/>
          <w:szCs w:val="24"/>
        </w:rPr>
      </w:pPr>
      <w:bookmarkStart w:id="184" w:name="_Toc406847399"/>
      <w:bookmarkStart w:id="185" w:name="_Toc311979799"/>
      <w:bookmarkStart w:id="186" w:name="_Toc413166119"/>
      <w:bookmarkStart w:id="187" w:name="_Toc388881900"/>
      <w:bookmarkStart w:id="188" w:name="_Toc23842"/>
      <w:bookmarkStart w:id="189" w:name="_Toc311979913"/>
      <w:bookmarkStart w:id="190" w:name="_Toc407001392"/>
      <w:bookmarkStart w:id="191" w:name="_Toc311979845"/>
      <w:bookmarkStart w:id="192" w:name="_Toc269400661"/>
      <w:r>
        <w:rPr>
          <w:rFonts w:eastAsia="黑体"/>
          <w:b w:val="0"/>
          <w:bCs w:val="0"/>
          <w:sz w:val="24"/>
          <w:szCs w:val="24"/>
        </w:rPr>
        <w:t>2.1.3 项目主要生产设备</w:t>
      </w:r>
      <w:bookmarkEnd w:id="184"/>
      <w:bookmarkEnd w:id="185"/>
      <w:bookmarkEnd w:id="186"/>
      <w:bookmarkEnd w:id="187"/>
      <w:bookmarkEnd w:id="188"/>
      <w:bookmarkEnd w:id="189"/>
      <w:bookmarkEnd w:id="190"/>
      <w:bookmarkEnd w:id="191"/>
      <w:bookmarkEnd w:id="192"/>
    </w:p>
    <w:p>
      <w:pPr>
        <w:pStyle w:val="3"/>
        <w:spacing w:before="0" w:after="0" w:line="520" w:lineRule="exact"/>
        <w:rPr>
          <w:rFonts w:hAnsi="Times New Roman" w:eastAsia="宋体"/>
          <w:sz w:val="24"/>
          <w:szCs w:val="24"/>
        </w:rPr>
      </w:pPr>
      <w:r>
        <w:rPr>
          <w:rFonts w:hAnsi="Times New Roman" w:eastAsia="宋体"/>
          <w:sz w:val="24"/>
          <w:szCs w:val="24"/>
        </w:rPr>
        <w:t>2.1.3.1 养殖设备</w:t>
      </w:r>
    </w:p>
    <w:p>
      <w:pPr>
        <w:spacing w:line="520" w:lineRule="exact"/>
        <w:jc w:val="center"/>
        <w:rPr>
          <w:sz w:val="24"/>
        </w:rPr>
      </w:pPr>
      <w:r>
        <w:rPr>
          <w:sz w:val="24"/>
        </w:rPr>
        <w:t>本项目生产设备主要包括主体工程及辅助工程的设备，详细见表2.1-3。</w:t>
      </w:r>
    </w:p>
    <w:p>
      <w:pPr>
        <w:spacing w:after="72" w:afterLines="30" w:line="500" w:lineRule="exact"/>
        <w:jc w:val="center"/>
        <w:rPr>
          <w:b/>
          <w:sz w:val="24"/>
        </w:rPr>
      </w:pPr>
      <w:r>
        <w:rPr>
          <w:b/>
          <w:sz w:val="24"/>
        </w:rPr>
        <w:t>表2.1-3      项目主要设备一览表</w:t>
      </w:r>
    </w:p>
    <w:tbl>
      <w:tblPr>
        <w:tblStyle w:val="1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500"/>
        <w:gridCol w:w="1171"/>
        <w:gridCol w:w="1251"/>
        <w:gridCol w:w="1253"/>
        <w:gridCol w:w="897"/>
        <w:gridCol w:w="1078"/>
        <w:gridCol w:w="806"/>
        <w:gridCol w:w="9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9" w:hRule="atLeast"/>
          <w:tblHeader/>
        </w:trPr>
        <w:tc>
          <w:tcPr>
            <w:tcW w:w="838" w:type="pct"/>
            <w:vMerge w:val="restart"/>
            <w:noWrap w:val="0"/>
            <w:vAlign w:val="center"/>
          </w:tcPr>
          <w:p>
            <w:pPr>
              <w:pStyle w:val="28"/>
              <w:rPr>
                <w:b/>
                <w:lang w:val="en-US" w:eastAsia="zh-CN"/>
              </w:rPr>
            </w:pPr>
            <w:r>
              <w:rPr>
                <w:b/>
                <w:lang w:val="en-US" w:eastAsia="zh-CN"/>
              </w:rPr>
              <w:t>名称</w:t>
            </w:r>
          </w:p>
        </w:tc>
        <w:tc>
          <w:tcPr>
            <w:tcW w:w="654" w:type="pct"/>
            <w:vMerge w:val="restart"/>
            <w:noWrap w:val="0"/>
            <w:vAlign w:val="center"/>
          </w:tcPr>
          <w:p>
            <w:pPr>
              <w:pStyle w:val="28"/>
              <w:rPr>
                <w:b/>
                <w:lang w:val="en-US" w:eastAsia="zh-CN"/>
              </w:rPr>
            </w:pPr>
            <w:r>
              <w:rPr>
                <w:b/>
                <w:lang w:val="en-US" w:eastAsia="zh-CN"/>
              </w:rPr>
              <w:t>数量（个）</w:t>
            </w:r>
          </w:p>
        </w:tc>
        <w:tc>
          <w:tcPr>
            <w:tcW w:w="1399" w:type="pct"/>
            <w:gridSpan w:val="2"/>
            <w:noWrap w:val="0"/>
            <w:vAlign w:val="center"/>
          </w:tcPr>
          <w:p>
            <w:pPr>
              <w:pStyle w:val="28"/>
              <w:rPr>
                <w:b/>
                <w:lang w:val="en-US" w:eastAsia="zh-CN"/>
              </w:rPr>
            </w:pPr>
            <w:r>
              <w:rPr>
                <w:b/>
                <w:lang w:val="en-US" w:eastAsia="zh-CN"/>
              </w:rPr>
              <w:t>饮水器（个）</w:t>
            </w:r>
          </w:p>
        </w:tc>
        <w:tc>
          <w:tcPr>
            <w:tcW w:w="1103" w:type="pct"/>
            <w:gridSpan w:val="2"/>
            <w:noWrap w:val="0"/>
            <w:vAlign w:val="center"/>
          </w:tcPr>
          <w:p>
            <w:pPr>
              <w:pStyle w:val="28"/>
              <w:rPr>
                <w:b/>
                <w:lang w:val="en-US" w:eastAsia="zh-CN"/>
              </w:rPr>
            </w:pPr>
            <w:r>
              <w:rPr>
                <w:b/>
                <w:lang w:val="en-US" w:eastAsia="zh-CN"/>
              </w:rPr>
              <w:t>风机（套）</w:t>
            </w:r>
          </w:p>
        </w:tc>
        <w:tc>
          <w:tcPr>
            <w:tcW w:w="1004" w:type="pct"/>
            <w:gridSpan w:val="2"/>
            <w:noWrap w:val="0"/>
            <w:vAlign w:val="center"/>
          </w:tcPr>
          <w:p>
            <w:pPr>
              <w:pStyle w:val="28"/>
              <w:rPr>
                <w:b/>
                <w:lang w:val="en-US" w:eastAsia="zh-CN"/>
              </w:rPr>
            </w:pPr>
            <w:r>
              <w:rPr>
                <w:b/>
                <w:lang w:val="en-US" w:eastAsia="zh-CN"/>
              </w:rPr>
              <w:t>饲料罐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72" w:hRule="atLeast"/>
          <w:tblHeader/>
        </w:trPr>
        <w:tc>
          <w:tcPr>
            <w:tcW w:w="838" w:type="pct"/>
            <w:vMerge w:val="continue"/>
            <w:noWrap w:val="0"/>
            <w:vAlign w:val="center"/>
          </w:tcPr>
          <w:p>
            <w:pPr>
              <w:pStyle w:val="28"/>
              <w:rPr>
                <w:b/>
                <w:lang w:val="en-US" w:eastAsia="zh-CN"/>
              </w:rPr>
            </w:pPr>
          </w:p>
        </w:tc>
        <w:tc>
          <w:tcPr>
            <w:tcW w:w="654" w:type="pct"/>
            <w:vMerge w:val="continue"/>
            <w:noWrap w:val="0"/>
            <w:vAlign w:val="center"/>
          </w:tcPr>
          <w:p>
            <w:pPr>
              <w:pStyle w:val="28"/>
              <w:rPr>
                <w:b/>
                <w:lang w:val="en-US" w:eastAsia="zh-CN"/>
              </w:rPr>
            </w:pPr>
          </w:p>
        </w:tc>
        <w:tc>
          <w:tcPr>
            <w:tcW w:w="699" w:type="pct"/>
            <w:noWrap w:val="0"/>
            <w:vAlign w:val="center"/>
          </w:tcPr>
          <w:p>
            <w:pPr>
              <w:pStyle w:val="28"/>
              <w:ind w:left="-105" w:leftChars="-50" w:right="-105" w:rightChars="-50"/>
              <w:rPr>
                <w:b/>
                <w:lang w:val="en-US" w:eastAsia="zh-CN"/>
              </w:rPr>
            </w:pPr>
            <w:r>
              <w:rPr>
                <w:b/>
                <w:lang w:val="en-US" w:eastAsia="zh-CN"/>
              </w:rPr>
              <w:t>个/舍</w:t>
            </w:r>
          </w:p>
        </w:tc>
        <w:tc>
          <w:tcPr>
            <w:tcW w:w="700" w:type="pct"/>
            <w:noWrap w:val="0"/>
            <w:vAlign w:val="center"/>
          </w:tcPr>
          <w:p>
            <w:pPr>
              <w:pStyle w:val="28"/>
              <w:ind w:left="-105" w:leftChars="-50" w:right="-105" w:rightChars="-50"/>
              <w:rPr>
                <w:b/>
                <w:lang w:val="en-US" w:eastAsia="zh-CN"/>
              </w:rPr>
            </w:pPr>
            <w:r>
              <w:rPr>
                <w:b/>
                <w:lang w:val="en-US" w:eastAsia="zh-CN"/>
              </w:rPr>
              <w:t>总数量</w:t>
            </w:r>
          </w:p>
        </w:tc>
        <w:tc>
          <w:tcPr>
            <w:tcW w:w="501" w:type="pct"/>
            <w:noWrap w:val="0"/>
            <w:vAlign w:val="center"/>
          </w:tcPr>
          <w:p>
            <w:pPr>
              <w:pStyle w:val="28"/>
              <w:ind w:left="-105" w:leftChars="-50" w:right="-105" w:rightChars="-50"/>
              <w:rPr>
                <w:b/>
                <w:lang w:val="en-US" w:eastAsia="zh-CN"/>
              </w:rPr>
            </w:pPr>
            <w:r>
              <w:rPr>
                <w:b/>
                <w:lang w:val="en-US" w:eastAsia="zh-CN"/>
              </w:rPr>
              <w:t>套/舍</w:t>
            </w:r>
          </w:p>
        </w:tc>
        <w:tc>
          <w:tcPr>
            <w:tcW w:w="602" w:type="pct"/>
            <w:noWrap w:val="0"/>
            <w:vAlign w:val="center"/>
          </w:tcPr>
          <w:p>
            <w:pPr>
              <w:pStyle w:val="28"/>
              <w:ind w:left="-105" w:leftChars="-50" w:right="-105" w:rightChars="-50"/>
              <w:rPr>
                <w:b/>
                <w:lang w:val="en-US" w:eastAsia="zh-CN"/>
              </w:rPr>
            </w:pPr>
            <w:r>
              <w:rPr>
                <w:b/>
                <w:lang w:val="en-US" w:eastAsia="zh-CN"/>
              </w:rPr>
              <w:t>总数量</w:t>
            </w:r>
          </w:p>
        </w:tc>
        <w:tc>
          <w:tcPr>
            <w:tcW w:w="450" w:type="pct"/>
            <w:noWrap w:val="0"/>
            <w:vAlign w:val="center"/>
          </w:tcPr>
          <w:p>
            <w:pPr>
              <w:pStyle w:val="28"/>
              <w:ind w:left="-105" w:leftChars="-50" w:right="-105" w:rightChars="-50"/>
              <w:rPr>
                <w:b/>
                <w:lang w:val="en-US" w:eastAsia="zh-CN"/>
              </w:rPr>
            </w:pPr>
            <w:r>
              <w:rPr>
                <w:b/>
                <w:lang w:val="en-US" w:eastAsia="zh-CN"/>
              </w:rPr>
              <w:t>个/舍</w:t>
            </w:r>
          </w:p>
        </w:tc>
        <w:tc>
          <w:tcPr>
            <w:tcW w:w="554" w:type="pct"/>
            <w:noWrap w:val="0"/>
            <w:vAlign w:val="center"/>
          </w:tcPr>
          <w:p>
            <w:pPr>
              <w:pStyle w:val="28"/>
              <w:ind w:left="-105" w:leftChars="-50" w:right="-105" w:rightChars="-50"/>
              <w:rPr>
                <w:b/>
                <w:lang w:val="en-US" w:eastAsia="zh-CN"/>
              </w:rPr>
            </w:pPr>
            <w:r>
              <w:rPr>
                <w:b/>
                <w:lang w:val="en-US" w:eastAsia="zh-CN"/>
              </w:rPr>
              <w:t>总数量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9" w:hRule="atLeast"/>
        </w:trPr>
        <w:tc>
          <w:tcPr>
            <w:tcW w:w="838" w:type="pct"/>
            <w:noWrap w:val="0"/>
            <w:vAlign w:val="center"/>
          </w:tcPr>
          <w:p>
            <w:pPr>
              <w:pStyle w:val="28"/>
              <w:rPr>
                <w:highlight w:val="none"/>
                <w:lang w:val="en-US" w:eastAsia="zh-CN"/>
              </w:rPr>
            </w:pPr>
            <w:r>
              <w:rPr>
                <w:rFonts w:hint="eastAsia"/>
                <w:highlight w:val="none"/>
                <w:lang w:val="en-US" w:eastAsia="zh-CN"/>
              </w:rPr>
              <w:t>育肥</w:t>
            </w:r>
            <w:r>
              <w:rPr>
                <w:highlight w:val="none"/>
                <w:lang w:val="en-US" w:eastAsia="zh-CN"/>
              </w:rPr>
              <w:t>舍</w:t>
            </w:r>
          </w:p>
        </w:tc>
        <w:tc>
          <w:tcPr>
            <w:tcW w:w="654" w:type="pct"/>
            <w:noWrap w:val="0"/>
            <w:vAlign w:val="center"/>
          </w:tcPr>
          <w:p>
            <w:pPr>
              <w:pStyle w:val="28"/>
              <w:rPr>
                <w:rFonts w:hint="default"/>
                <w:highlight w:val="none"/>
                <w:lang w:val="en-US" w:eastAsia="zh-CN"/>
              </w:rPr>
            </w:pPr>
            <w:r>
              <w:rPr>
                <w:rFonts w:hint="eastAsia"/>
                <w:highlight w:val="none"/>
                <w:lang w:val="en-US" w:eastAsia="zh-CN"/>
              </w:rPr>
              <w:t>10</w:t>
            </w:r>
          </w:p>
        </w:tc>
        <w:tc>
          <w:tcPr>
            <w:tcW w:w="699" w:type="pct"/>
            <w:noWrap w:val="0"/>
            <w:vAlign w:val="center"/>
          </w:tcPr>
          <w:p>
            <w:pPr>
              <w:jc w:val="center"/>
              <w:rPr>
                <w:rFonts w:hint="eastAsia" w:eastAsia="宋体"/>
                <w:szCs w:val="21"/>
                <w:highlight w:val="none"/>
                <w:lang w:eastAsia="zh-CN"/>
              </w:rPr>
            </w:pPr>
            <w:r>
              <w:rPr>
                <w:rFonts w:hint="eastAsia"/>
                <w:szCs w:val="21"/>
                <w:highlight w:val="none"/>
              </w:rPr>
              <w:t>1</w:t>
            </w:r>
            <w:r>
              <w:rPr>
                <w:rFonts w:hint="eastAsia"/>
                <w:szCs w:val="21"/>
                <w:highlight w:val="none"/>
                <w:lang w:val="en-US" w:eastAsia="zh-CN"/>
              </w:rPr>
              <w:t>2</w:t>
            </w:r>
          </w:p>
        </w:tc>
        <w:tc>
          <w:tcPr>
            <w:tcW w:w="700" w:type="pct"/>
            <w:noWrap w:val="0"/>
            <w:vAlign w:val="center"/>
          </w:tcPr>
          <w:p>
            <w:pPr>
              <w:jc w:val="center"/>
              <w:rPr>
                <w:rFonts w:hint="default" w:eastAsia="宋体"/>
                <w:szCs w:val="21"/>
                <w:highlight w:val="none"/>
                <w:lang w:val="en-US" w:eastAsia="zh-CN"/>
              </w:rPr>
            </w:pPr>
            <w:r>
              <w:rPr>
                <w:rFonts w:hint="eastAsia"/>
                <w:szCs w:val="21"/>
                <w:highlight w:val="none"/>
                <w:lang w:val="en-US" w:eastAsia="zh-CN"/>
              </w:rPr>
              <w:t>120</w:t>
            </w:r>
          </w:p>
        </w:tc>
        <w:tc>
          <w:tcPr>
            <w:tcW w:w="501" w:type="pct"/>
            <w:noWrap w:val="0"/>
            <w:vAlign w:val="center"/>
          </w:tcPr>
          <w:p>
            <w:pPr>
              <w:jc w:val="center"/>
              <w:rPr>
                <w:rFonts w:hint="default" w:eastAsia="宋体"/>
                <w:szCs w:val="21"/>
                <w:highlight w:val="none"/>
                <w:lang w:val="en-US" w:eastAsia="zh-CN"/>
              </w:rPr>
            </w:pPr>
            <w:r>
              <w:rPr>
                <w:rFonts w:hint="eastAsia" w:eastAsia="宋体"/>
                <w:szCs w:val="21"/>
                <w:highlight w:val="none"/>
                <w:lang w:val="en-US" w:eastAsia="zh-CN"/>
              </w:rPr>
              <w:t>8</w:t>
            </w:r>
          </w:p>
        </w:tc>
        <w:tc>
          <w:tcPr>
            <w:tcW w:w="602" w:type="pct"/>
            <w:noWrap w:val="0"/>
            <w:vAlign w:val="center"/>
          </w:tcPr>
          <w:p>
            <w:pPr>
              <w:jc w:val="center"/>
              <w:rPr>
                <w:rFonts w:hint="default" w:eastAsia="宋体"/>
                <w:szCs w:val="21"/>
                <w:highlight w:val="none"/>
                <w:lang w:val="en-US" w:eastAsia="zh-CN"/>
              </w:rPr>
            </w:pPr>
            <w:r>
              <w:rPr>
                <w:rFonts w:hint="eastAsia"/>
                <w:szCs w:val="21"/>
                <w:highlight w:val="none"/>
                <w:lang w:val="en-US" w:eastAsia="zh-CN"/>
              </w:rPr>
              <w:t>80</w:t>
            </w:r>
          </w:p>
        </w:tc>
        <w:tc>
          <w:tcPr>
            <w:tcW w:w="450" w:type="pct"/>
            <w:noWrap w:val="0"/>
            <w:vAlign w:val="center"/>
          </w:tcPr>
          <w:p>
            <w:pPr>
              <w:pStyle w:val="28"/>
              <w:rPr>
                <w:rFonts w:hint="eastAsia"/>
                <w:highlight w:val="none"/>
                <w:lang w:val="en-US" w:eastAsia="zh-CN"/>
              </w:rPr>
            </w:pPr>
            <w:r>
              <w:rPr>
                <w:rFonts w:hint="eastAsia"/>
                <w:highlight w:val="none"/>
                <w:lang w:val="en-US" w:eastAsia="zh-CN"/>
              </w:rPr>
              <w:t>1</w:t>
            </w:r>
          </w:p>
        </w:tc>
        <w:tc>
          <w:tcPr>
            <w:tcW w:w="554" w:type="pct"/>
            <w:noWrap w:val="0"/>
            <w:vAlign w:val="center"/>
          </w:tcPr>
          <w:p>
            <w:pPr>
              <w:jc w:val="center"/>
              <w:rPr>
                <w:rFonts w:hint="default" w:eastAsia="宋体"/>
                <w:szCs w:val="21"/>
                <w:highlight w:val="none"/>
                <w:lang w:val="en-US" w:eastAsia="zh-CN"/>
              </w:rPr>
            </w:pPr>
            <w:r>
              <w:rPr>
                <w:rFonts w:hint="eastAsia"/>
                <w:szCs w:val="21"/>
                <w:highlight w:val="none"/>
                <w:lang w:val="en-US" w:eastAsia="zh-CN"/>
              </w:rPr>
              <w:t>10</w:t>
            </w:r>
          </w:p>
        </w:tc>
      </w:tr>
    </w:tbl>
    <w:p>
      <w:pPr>
        <w:pStyle w:val="3"/>
        <w:spacing w:before="0" w:after="0" w:line="520" w:lineRule="exact"/>
        <w:rPr>
          <w:rFonts w:hint="eastAsia" w:hAnsi="Times New Roman" w:eastAsia="宋体"/>
          <w:sz w:val="24"/>
          <w:szCs w:val="24"/>
        </w:rPr>
      </w:pPr>
      <w:r>
        <w:rPr>
          <w:rFonts w:hint="eastAsia" w:hAnsi="Times New Roman" w:eastAsia="宋体"/>
          <w:sz w:val="24"/>
          <w:szCs w:val="24"/>
        </w:rPr>
        <w:t>2.1.3.2 治污</w:t>
      </w:r>
      <w:r>
        <w:rPr>
          <w:rFonts w:hAnsi="Times New Roman" w:eastAsia="宋体"/>
          <w:sz w:val="24"/>
          <w:szCs w:val="24"/>
        </w:rPr>
        <w:t>设备</w:t>
      </w:r>
    </w:p>
    <w:p>
      <w:pPr>
        <w:pStyle w:val="25"/>
        <w:spacing w:line="520" w:lineRule="exact"/>
        <w:ind w:firstLine="480"/>
        <w:rPr>
          <w:rFonts w:hAnsi="宋体"/>
        </w:rPr>
      </w:pPr>
      <w:r>
        <w:rPr>
          <w:rFonts w:hAnsi="宋体"/>
        </w:rPr>
        <w:t>项目拟在场内设置1套</w:t>
      </w:r>
      <w:r>
        <w:rPr>
          <w:rFonts w:hint="eastAsia" w:hAnsi="宋体"/>
        </w:rPr>
        <w:t>污水</w:t>
      </w:r>
      <w:r>
        <w:rPr>
          <w:rFonts w:hAnsi="宋体"/>
        </w:rPr>
        <w:t>处理系统，用于处理猪尿</w:t>
      </w:r>
      <w:r>
        <w:rPr>
          <w:rFonts w:hint="eastAsia" w:hAnsi="宋体"/>
        </w:rPr>
        <w:t>、</w:t>
      </w:r>
      <w:r>
        <w:rPr>
          <w:rFonts w:hAnsi="宋体"/>
        </w:rPr>
        <w:t>猪舍冲洗水</w:t>
      </w:r>
      <w:r>
        <w:rPr>
          <w:rFonts w:hint="eastAsia" w:hAnsi="宋体"/>
        </w:rPr>
        <w:t>及</w:t>
      </w:r>
      <w:r>
        <w:rPr>
          <w:rFonts w:hAnsi="宋体"/>
        </w:rPr>
        <w:t>生活废水等。项目治污设备见表2.1-4。</w:t>
      </w:r>
    </w:p>
    <w:p>
      <w:pPr>
        <w:spacing w:after="72" w:afterLines="30" w:line="500" w:lineRule="exact"/>
        <w:jc w:val="center"/>
        <w:rPr>
          <w:rFonts w:hAnsi="宋体"/>
          <w:b/>
          <w:sz w:val="24"/>
        </w:rPr>
      </w:pPr>
      <w:r>
        <w:rPr>
          <w:rFonts w:hAnsi="宋体"/>
          <w:b/>
          <w:sz w:val="24"/>
        </w:rPr>
        <w:t>表</w:t>
      </w:r>
      <w:r>
        <w:rPr>
          <w:b/>
          <w:sz w:val="24"/>
        </w:rPr>
        <w:t>2.1-4</w:t>
      </w:r>
      <w:r>
        <w:rPr>
          <w:rFonts w:hint="eastAsia"/>
          <w:b/>
          <w:sz w:val="24"/>
        </w:rPr>
        <w:t xml:space="preserve">      </w:t>
      </w:r>
      <w:r>
        <w:rPr>
          <w:rFonts w:hAnsi="宋体"/>
          <w:b/>
          <w:sz w:val="24"/>
        </w:rPr>
        <w:t>项目治污设备一览表</w:t>
      </w:r>
    </w:p>
    <w:tbl>
      <w:tblPr>
        <w:tblStyle w:val="17"/>
        <w:tblW w:w="5000" w:type="pct"/>
        <w:jc w:val="center"/>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autofit"/>
        <w:tblCellMar>
          <w:top w:w="0" w:type="dxa"/>
          <w:left w:w="108" w:type="dxa"/>
          <w:bottom w:w="0" w:type="dxa"/>
          <w:right w:w="108" w:type="dxa"/>
        </w:tblCellMar>
      </w:tblPr>
      <w:tblGrid>
        <w:gridCol w:w="687"/>
        <w:gridCol w:w="2319"/>
        <w:gridCol w:w="868"/>
        <w:gridCol w:w="927"/>
        <w:gridCol w:w="414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tblHeader/>
          <w:jc w:val="center"/>
        </w:trPr>
        <w:tc>
          <w:tcPr>
            <w:tcW w:w="384" w:type="pct"/>
            <w:noWrap w:val="0"/>
            <w:vAlign w:val="center"/>
          </w:tcPr>
          <w:p>
            <w:pPr>
              <w:jc w:val="center"/>
              <w:rPr>
                <w:rFonts w:ascii="宋体" w:hAnsi="宋体"/>
                <w:b/>
                <w:szCs w:val="21"/>
              </w:rPr>
            </w:pPr>
            <w:r>
              <w:rPr>
                <w:rFonts w:hint="eastAsia" w:ascii="宋体" w:hAnsi="宋体"/>
                <w:b/>
                <w:szCs w:val="21"/>
              </w:rPr>
              <w:t>序号</w:t>
            </w:r>
          </w:p>
        </w:tc>
        <w:tc>
          <w:tcPr>
            <w:tcW w:w="1296" w:type="pct"/>
            <w:noWrap w:val="0"/>
            <w:vAlign w:val="center"/>
          </w:tcPr>
          <w:p>
            <w:pPr>
              <w:autoSpaceDN w:val="0"/>
              <w:jc w:val="center"/>
              <w:textAlignment w:val="center"/>
              <w:rPr>
                <w:rFonts w:ascii="宋体" w:hAnsi="宋体"/>
                <w:b/>
                <w:szCs w:val="21"/>
              </w:rPr>
            </w:pPr>
            <w:r>
              <w:rPr>
                <w:rFonts w:hint="eastAsia" w:ascii="宋体" w:hAnsi="宋体"/>
                <w:b/>
                <w:szCs w:val="21"/>
              </w:rPr>
              <w:t>名称</w:t>
            </w:r>
          </w:p>
        </w:tc>
        <w:tc>
          <w:tcPr>
            <w:tcW w:w="485" w:type="pct"/>
            <w:noWrap w:val="0"/>
            <w:vAlign w:val="center"/>
          </w:tcPr>
          <w:p>
            <w:pPr>
              <w:autoSpaceDN w:val="0"/>
              <w:jc w:val="center"/>
              <w:textAlignment w:val="center"/>
              <w:rPr>
                <w:rFonts w:ascii="宋体" w:hAnsi="宋体"/>
                <w:b/>
                <w:szCs w:val="21"/>
              </w:rPr>
            </w:pPr>
            <w:r>
              <w:rPr>
                <w:rFonts w:hint="eastAsia" w:ascii="宋体" w:hAnsi="宋体"/>
                <w:b/>
                <w:szCs w:val="21"/>
              </w:rPr>
              <w:t>单位</w:t>
            </w:r>
          </w:p>
        </w:tc>
        <w:tc>
          <w:tcPr>
            <w:tcW w:w="518" w:type="pct"/>
            <w:noWrap w:val="0"/>
            <w:vAlign w:val="center"/>
          </w:tcPr>
          <w:p>
            <w:pPr>
              <w:autoSpaceDN w:val="0"/>
              <w:jc w:val="center"/>
              <w:textAlignment w:val="center"/>
              <w:rPr>
                <w:rFonts w:ascii="宋体" w:hAnsi="宋体"/>
                <w:b/>
                <w:szCs w:val="21"/>
              </w:rPr>
            </w:pPr>
            <w:r>
              <w:rPr>
                <w:rFonts w:hint="eastAsia" w:ascii="宋体" w:hAnsi="宋体"/>
                <w:b/>
                <w:szCs w:val="21"/>
              </w:rPr>
              <w:t>数量</w:t>
            </w:r>
          </w:p>
        </w:tc>
        <w:tc>
          <w:tcPr>
            <w:tcW w:w="2317" w:type="pct"/>
            <w:noWrap w:val="0"/>
            <w:vAlign w:val="center"/>
          </w:tcPr>
          <w:p>
            <w:pPr>
              <w:autoSpaceDN w:val="0"/>
              <w:jc w:val="center"/>
              <w:textAlignment w:val="center"/>
              <w:rPr>
                <w:rFonts w:ascii="宋体" w:hAnsi="宋体"/>
                <w:b/>
                <w:szCs w:val="21"/>
              </w:rPr>
            </w:pPr>
            <w:r>
              <w:rPr>
                <w:rFonts w:ascii="宋体" w:hAnsi="宋体"/>
                <w:b/>
                <w:szCs w:val="21"/>
              </w:rPr>
              <w:t>备注</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4" w:type="pct"/>
            <w:noWrap w:val="0"/>
            <w:vAlign w:val="center"/>
          </w:tcPr>
          <w:p>
            <w:pPr>
              <w:jc w:val="center"/>
              <w:rPr>
                <w:rFonts w:ascii="宋体" w:hAnsi="宋体"/>
                <w:szCs w:val="21"/>
              </w:rPr>
            </w:pPr>
            <w:r>
              <w:rPr>
                <w:rFonts w:hint="eastAsia" w:ascii="宋体" w:hAnsi="宋体"/>
                <w:szCs w:val="21"/>
              </w:rPr>
              <w:t>一</w:t>
            </w:r>
          </w:p>
        </w:tc>
        <w:tc>
          <w:tcPr>
            <w:tcW w:w="4616" w:type="pct"/>
            <w:gridSpan w:val="4"/>
            <w:noWrap w:val="0"/>
            <w:vAlign w:val="center"/>
          </w:tcPr>
          <w:p>
            <w:pPr>
              <w:autoSpaceDN w:val="0"/>
              <w:jc w:val="center"/>
              <w:textAlignment w:val="center"/>
              <w:rPr>
                <w:rFonts w:hint="eastAsia" w:ascii="宋体" w:hAnsi="宋体"/>
                <w:szCs w:val="21"/>
              </w:rPr>
            </w:pPr>
            <w:r>
              <w:rPr>
                <w:rFonts w:ascii="宋体" w:hAnsi="宋体"/>
                <w:b/>
                <w:szCs w:val="21"/>
              </w:rPr>
              <w:t>粪尿收集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4" w:type="pct"/>
            <w:noWrap w:val="0"/>
            <w:vAlign w:val="center"/>
          </w:tcPr>
          <w:p>
            <w:pPr>
              <w:jc w:val="center"/>
              <w:rPr>
                <w:rFonts w:ascii="宋体" w:hAnsi="宋体"/>
                <w:szCs w:val="21"/>
              </w:rPr>
            </w:pPr>
            <w:r>
              <w:rPr>
                <w:rFonts w:ascii="宋体" w:hAnsi="宋体"/>
                <w:szCs w:val="21"/>
              </w:rPr>
              <w:t>1</w:t>
            </w:r>
          </w:p>
        </w:tc>
        <w:tc>
          <w:tcPr>
            <w:tcW w:w="1296" w:type="pct"/>
            <w:noWrap w:val="0"/>
            <w:vAlign w:val="center"/>
          </w:tcPr>
          <w:p>
            <w:pPr>
              <w:autoSpaceDN w:val="0"/>
              <w:jc w:val="center"/>
              <w:textAlignment w:val="center"/>
              <w:rPr>
                <w:rFonts w:ascii="宋体" w:hAnsi="宋体"/>
                <w:szCs w:val="21"/>
                <w:highlight w:val="none"/>
              </w:rPr>
            </w:pPr>
            <w:r>
              <w:rPr>
                <w:rFonts w:ascii="宋体" w:hAnsi="宋体"/>
                <w:szCs w:val="21"/>
                <w:highlight w:val="none"/>
              </w:rPr>
              <w:t>猪舍漏粪板</w:t>
            </w:r>
          </w:p>
        </w:tc>
        <w:tc>
          <w:tcPr>
            <w:tcW w:w="485" w:type="pct"/>
            <w:noWrap w:val="0"/>
            <w:vAlign w:val="center"/>
          </w:tcPr>
          <w:p>
            <w:pPr>
              <w:autoSpaceDN w:val="0"/>
              <w:jc w:val="center"/>
              <w:textAlignment w:val="center"/>
              <w:rPr>
                <w:rFonts w:ascii="宋体" w:hAnsi="宋体"/>
                <w:szCs w:val="21"/>
                <w:highlight w:val="none"/>
              </w:rPr>
            </w:pPr>
            <w:r>
              <w:rPr>
                <w:rFonts w:ascii="宋体" w:hAnsi="宋体"/>
                <w:szCs w:val="21"/>
                <w:highlight w:val="none"/>
              </w:rPr>
              <w:t>个</w:t>
            </w:r>
          </w:p>
        </w:tc>
        <w:tc>
          <w:tcPr>
            <w:tcW w:w="518" w:type="pct"/>
            <w:noWrap w:val="0"/>
            <w:vAlign w:val="center"/>
          </w:tcPr>
          <w:p>
            <w:pPr>
              <w:autoSpaceDN w:val="0"/>
              <w:jc w:val="center"/>
              <w:textAlignment w:val="center"/>
              <w:rPr>
                <w:szCs w:val="21"/>
                <w:highlight w:val="none"/>
              </w:rPr>
            </w:pPr>
            <w:r>
              <w:rPr>
                <w:rFonts w:hint="eastAsia"/>
                <w:szCs w:val="21"/>
                <w:highlight w:val="none"/>
              </w:rPr>
              <w:t>16</w:t>
            </w:r>
          </w:p>
        </w:tc>
        <w:tc>
          <w:tcPr>
            <w:tcW w:w="2317" w:type="pct"/>
            <w:noWrap w:val="0"/>
            <w:vAlign w:val="center"/>
          </w:tcPr>
          <w:p>
            <w:pPr>
              <w:autoSpaceDN w:val="0"/>
              <w:jc w:val="center"/>
              <w:textAlignment w:val="center"/>
              <w:rPr>
                <w:rFonts w:ascii="宋体" w:hAnsi="宋体"/>
                <w:szCs w:val="21"/>
                <w:highlight w:val="none"/>
              </w:rPr>
            </w:pPr>
            <w:r>
              <w:rPr>
                <w:rFonts w:hint="eastAsia" w:ascii="宋体" w:hAnsi="宋体"/>
                <w:szCs w:val="21"/>
                <w:highlight w:val="none"/>
              </w:rPr>
              <w:t>干清粪专用漏粪板</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4" w:type="pct"/>
            <w:noWrap w:val="0"/>
            <w:vAlign w:val="center"/>
          </w:tcPr>
          <w:p>
            <w:pPr>
              <w:jc w:val="center"/>
              <w:rPr>
                <w:rFonts w:ascii="宋体" w:hAnsi="宋体"/>
                <w:b/>
                <w:szCs w:val="21"/>
              </w:rPr>
            </w:pPr>
            <w:r>
              <w:rPr>
                <w:rFonts w:hint="eastAsia" w:ascii="宋体" w:hAnsi="宋体"/>
                <w:b/>
                <w:szCs w:val="21"/>
              </w:rPr>
              <w:t>二</w:t>
            </w:r>
          </w:p>
        </w:tc>
        <w:tc>
          <w:tcPr>
            <w:tcW w:w="4616" w:type="pct"/>
            <w:gridSpan w:val="4"/>
            <w:noWrap w:val="0"/>
            <w:vAlign w:val="center"/>
          </w:tcPr>
          <w:p>
            <w:pPr>
              <w:autoSpaceDN w:val="0"/>
              <w:jc w:val="center"/>
              <w:textAlignment w:val="center"/>
              <w:rPr>
                <w:rFonts w:hint="eastAsia" w:ascii="宋体" w:hAnsi="宋体"/>
                <w:b/>
                <w:szCs w:val="21"/>
                <w:highlight w:val="none"/>
              </w:rPr>
            </w:pPr>
            <w:r>
              <w:rPr>
                <w:rFonts w:ascii="宋体" w:hAnsi="宋体"/>
                <w:b/>
                <w:szCs w:val="21"/>
                <w:highlight w:val="none"/>
              </w:rPr>
              <w:t>污水处理</w:t>
            </w:r>
            <w:r>
              <w:rPr>
                <w:rFonts w:hint="eastAsia" w:ascii="宋体" w:hAnsi="宋体"/>
                <w:b/>
                <w:szCs w:val="21"/>
                <w:highlight w:val="none"/>
              </w:rPr>
              <w:t>工程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4" w:type="pct"/>
            <w:noWrap w:val="0"/>
            <w:vAlign w:val="center"/>
          </w:tcPr>
          <w:p>
            <w:pPr>
              <w:jc w:val="center"/>
              <w:rPr>
                <w:szCs w:val="21"/>
              </w:rPr>
            </w:pPr>
            <w:r>
              <w:rPr>
                <w:szCs w:val="21"/>
              </w:rPr>
              <w:t>1</w:t>
            </w:r>
          </w:p>
        </w:tc>
        <w:tc>
          <w:tcPr>
            <w:tcW w:w="1296" w:type="pct"/>
            <w:noWrap w:val="0"/>
            <w:vAlign w:val="center"/>
          </w:tcPr>
          <w:p>
            <w:pPr>
              <w:autoSpaceDN w:val="0"/>
              <w:jc w:val="center"/>
              <w:textAlignment w:val="center"/>
              <w:rPr>
                <w:szCs w:val="21"/>
                <w:highlight w:val="none"/>
              </w:rPr>
            </w:pPr>
            <w:r>
              <w:rPr>
                <w:szCs w:val="21"/>
                <w:highlight w:val="none"/>
              </w:rPr>
              <w:t>收集池</w:t>
            </w:r>
          </w:p>
        </w:tc>
        <w:tc>
          <w:tcPr>
            <w:tcW w:w="485" w:type="pct"/>
            <w:noWrap w:val="0"/>
            <w:vAlign w:val="center"/>
          </w:tcPr>
          <w:p>
            <w:pPr>
              <w:autoSpaceDN w:val="0"/>
              <w:jc w:val="center"/>
              <w:textAlignment w:val="center"/>
              <w:rPr>
                <w:szCs w:val="21"/>
                <w:highlight w:val="none"/>
              </w:rPr>
            </w:pPr>
            <w:r>
              <w:rPr>
                <w:szCs w:val="21"/>
                <w:highlight w:val="none"/>
              </w:rPr>
              <w:t>个</w:t>
            </w:r>
          </w:p>
        </w:tc>
        <w:tc>
          <w:tcPr>
            <w:tcW w:w="518" w:type="pct"/>
            <w:noWrap w:val="0"/>
            <w:vAlign w:val="center"/>
          </w:tcPr>
          <w:p>
            <w:pPr>
              <w:autoSpaceDN w:val="0"/>
              <w:jc w:val="center"/>
              <w:textAlignment w:val="center"/>
              <w:rPr>
                <w:szCs w:val="21"/>
                <w:highlight w:val="none"/>
              </w:rPr>
            </w:pPr>
            <w:r>
              <w:rPr>
                <w:szCs w:val="21"/>
                <w:highlight w:val="none"/>
              </w:rPr>
              <w:t>1</w:t>
            </w:r>
          </w:p>
        </w:tc>
        <w:tc>
          <w:tcPr>
            <w:tcW w:w="2317" w:type="pct"/>
            <w:noWrap w:val="0"/>
            <w:vAlign w:val="center"/>
          </w:tcPr>
          <w:p>
            <w:pPr>
              <w:autoSpaceDN w:val="0"/>
              <w:jc w:val="center"/>
              <w:textAlignment w:val="center"/>
              <w:rPr>
                <w:szCs w:val="21"/>
                <w:highlight w:val="none"/>
              </w:rPr>
            </w:pPr>
            <w:r>
              <w:rPr>
                <w:szCs w:val="21"/>
                <w:highlight w:val="none"/>
              </w:rPr>
              <w:t>容积</w:t>
            </w:r>
            <w:r>
              <w:rPr>
                <w:rFonts w:hint="eastAsia"/>
                <w:szCs w:val="21"/>
                <w:highlight w:val="none"/>
              </w:rPr>
              <w:t>314</w:t>
            </w:r>
            <w:r>
              <w:rPr>
                <w:szCs w:val="21"/>
                <w:highlight w:val="none"/>
              </w:rPr>
              <w:t>m</w:t>
            </w:r>
            <w:r>
              <w:rPr>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4" w:type="pct"/>
            <w:noWrap w:val="0"/>
            <w:vAlign w:val="center"/>
          </w:tcPr>
          <w:p>
            <w:pPr>
              <w:jc w:val="center"/>
              <w:rPr>
                <w:szCs w:val="21"/>
              </w:rPr>
            </w:pPr>
            <w:r>
              <w:rPr>
                <w:szCs w:val="21"/>
              </w:rPr>
              <w:t>2</w:t>
            </w:r>
          </w:p>
        </w:tc>
        <w:tc>
          <w:tcPr>
            <w:tcW w:w="1296" w:type="pct"/>
            <w:noWrap w:val="0"/>
            <w:vAlign w:val="center"/>
          </w:tcPr>
          <w:p>
            <w:pPr>
              <w:autoSpaceDN w:val="0"/>
              <w:jc w:val="center"/>
              <w:textAlignment w:val="center"/>
              <w:rPr>
                <w:szCs w:val="21"/>
                <w:highlight w:val="none"/>
              </w:rPr>
            </w:pPr>
            <w:r>
              <w:rPr>
                <w:szCs w:val="21"/>
                <w:highlight w:val="none"/>
              </w:rPr>
              <w:t>固液分离机</w:t>
            </w:r>
          </w:p>
        </w:tc>
        <w:tc>
          <w:tcPr>
            <w:tcW w:w="485" w:type="pct"/>
            <w:noWrap w:val="0"/>
            <w:vAlign w:val="center"/>
          </w:tcPr>
          <w:p>
            <w:pPr>
              <w:autoSpaceDN w:val="0"/>
              <w:jc w:val="center"/>
              <w:textAlignment w:val="center"/>
              <w:rPr>
                <w:szCs w:val="21"/>
                <w:highlight w:val="none"/>
              </w:rPr>
            </w:pPr>
            <w:r>
              <w:rPr>
                <w:szCs w:val="21"/>
                <w:highlight w:val="none"/>
              </w:rPr>
              <w:t>台</w:t>
            </w:r>
          </w:p>
        </w:tc>
        <w:tc>
          <w:tcPr>
            <w:tcW w:w="518" w:type="pct"/>
            <w:noWrap w:val="0"/>
            <w:vAlign w:val="center"/>
          </w:tcPr>
          <w:p>
            <w:pPr>
              <w:autoSpaceDN w:val="0"/>
              <w:jc w:val="center"/>
              <w:textAlignment w:val="center"/>
              <w:rPr>
                <w:szCs w:val="21"/>
                <w:highlight w:val="none"/>
              </w:rPr>
            </w:pPr>
            <w:r>
              <w:rPr>
                <w:szCs w:val="21"/>
                <w:highlight w:val="none"/>
              </w:rPr>
              <w:t>1</w:t>
            </w:r>
          </w:p>
        </w:tc>
        <w:tc>
          <w:tcPr>
            <w:tcW w:w="2317" w:type="pct"/>
            <w:noWrap w:val="0"/>
            <w:vAlign w:val="center"/>
          </w:tcPr>
          <w:p>
            <w:pPr>
              <w:autoSpaceDN w:val="0"/>
              <w:jc w:val="center"/>
              <w:textAlignment w:val="center"/>
              <w:rPr>
                <w:rFonts w:hint="eastAsia"/>
                <w:szCs w:val="21"/>
                <w:highlight w:val="none"/>
              </w:rPr>
            </w:pPr>
            <w:r>
              <w:rPr>
                <w:rFonts w:hint="eastAsia"/>
                <w:szCs w:val="21"/>
                <w:highlight w:val="none"/>
              </w:rPr>
              <w:t>螺旋式</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4" w:type="pct"/>
            <w:noWrap w:val="0"/>
            <w:vAlign w:val="center"/>
          </w:tcPr>
          <w:p>
            <w:pPr>
              <w:jc w:val="center"/>
              <w:rPr>
                <w:szCs w:val="21"/>
              </w:rPr>
            </w:pPr>
            <w:r>
              <w:rPr>
                <w:szCs w:val="21"/>
              </w:rPr>
              <w:t>3</w:t>
            </w:r>
          </w:p>
        </w:tc>
        <w:tc>
          <w:tcPr>
            <w:tcW w:w="1296" w:type="pct"/>
            <w:noWrap w:val="0"/>
            <w:vAlign w:val="center"/>
          </w:tcPr>
          <w:p>
            <w:pPr>
              <w:autoSpaceDN w:val="0"/>
              <w:jc w:val="center"/>
              <w:textAlignment w:val="center"/>
              <w:rPr>
                <w:szCs w:val="21"/>
                <w:highlight w:val="none"/>
              </w:rPr>
            </w:pPr>
            <w:r>
              <w:rPr>
                <w:rFonts w:hint="eastAsia"/>
                <w:szCs w:val="21"/>
                <w:highlight w:val="none"/>
              </w:rPr>
              <w:t>黑膜</w:t>
            </w:r>
            <w:r>
              <w:rPr>
                <w:szCs w:val="21"/>
                <w:highlight w:val="none"/>
              </w:rPr>
              <w:t>沼气池</w:t>
            </w:r>
          </w:p>
        </w:tc>
        <w:tc>
          <w:tcPr>
            <w:tcW w:w="485" w:type="pct"/>
            <w:noWrap w:val="0"/>
            <w:vAlign w:val="center"/>
          </w:tcPr>
          <w:p>
            <w:pPr>
              <w:autoSpaceDN w:val="0"/>
              <w:jc w:val="center"/>
              <w:textAlignment w:val="center"/>
              <w:rPr>
                <w:szCs w:val="21"/>
                <w:highlight w:val="none"/>
              </w:rPr>
            </w:pPr>
            <w:r>
              <w:rPr>
                <w:szCs w:val="21"/>
                <w:highlight w:val="none"/>
              </w:rPr>
              <w:t>个</w:t>
            </w:r>
          </w:p>
        </w:tc>
        <w:tc>
          <w:tcPr>
            <w:tcW w:w="518" w:type="pct"/>
            <w:noWrap w:val="0"/>
            <w:vAlign w:val="center"/>
          </w:tcPr>
          <w:p>
            <w:pPr>
              <w:autoSpaceDN w:val="0"/>
              <w:jc w:val="center"/>
              <w:textAlignment w:val="center"/>
              <w:rPr>
                <w:szCs w:val="21"/>
                <w:highlight w:val="none"/>
              </w:rPr>
            </w:pPr>
            <w:r>
              <w:rPr>
                <w:szCs w:val="21"/>
                <w:highlight w:val="none"/>
              </w:rPr>
              <w:t>1</w:t>
            </w:r>
          </w:p>
        </w:tc>
        <w:tc>
          <w:tcPr>
            <w:tcW w:w="2317" w:type="pct"/>
            <w:noWrap w:val="0"/>
            <w:vAlign w:val="center"/>
          </w:tcPr>
          <w:p>
            <w:pPr>
              <w:autoSpaceDN w:val="0"/>
              <w:jc w:val="center"/>
              <w:textAlignment w:val="center"/>
              <w:rPr>
                <w:szCs w:val="21"/>
                <w:highlight w:val="none"/>
              </w:rPr>
            </w:pPr>
            <w:r>
              <w:rPr>
                <w:szCs w:val="21"/>
                <w:highlight w:val="none"/>
              </w:rPr>
              <w:t>容积为1200m</w:t>
            </w:r>
            <w:r>
              <w:rPr>
                <w:szCs w:val="21"/>
                <w:highlight w:val="none"/>
                <w:vertAlign w:val="superscript"/>
              </w:rPr>
              <w:t>3</w:t>
            </w:r>
            <w:r>
              <w:rPr>
                <w:szCs w:val="21"/>
                <w:highlight w:val="none"/>
              </w:rPr>
              <w:t xml:space="preserve"> </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4" w:type="pct"/>
            <w:noWrap w:val="0"/>
            <w:vAlign w:val="center"/>
          </w:tcPr>
          <w:p>
            <w:pPr>
              <w:jc w:val="center"/>
              <w:rPr>
                <w:rFonts w:hint="eastAsia"/>
                <w:szCs w:val="21"/>
              </w:rPr>
            </w:pPr>
            <w:r>
              <w:rPr>
                <w:rFonts w:hint="eastAsia"/>
                <w:szCs w:val="21"/>
              </w:rPr>
              <w:t>4</w:t>
            </w:r>
          </w:p>
        </w:tc>
        <w:tc>
          <w:tcPr>
            <w:tcW w:w="1296" w:type="pct"/>
            <w:noWrap w:val="0"/>
            <w:vAlign w:val="center"/>
          </w:tcPr>
          <w:p>
            <w:pPr>
              <w:autoSpaceDN w:val="0"/>
              <w:jc w:val="center"/>
              <w:textAlignment w:val="center"/>
              <w:rPr>
                <w:szCs w:val="21"/>
                <w:highlight w:val="none"/>
              </w:rPr>
            </w:pPr>
            <w:r>
              <w:rPr>
                <w:rFonts w:hint="eastAsia"/>
                <w:szCs w:val="21"/>
                <w:highlight w:val="none"/>
              </w:rPr>
              <w:t>沼液储存池</w:t>
            </w:r>
          </w:p>
        </w:tc>
        <w:tc>
          <w:tcPr>
            <w:tcW w:w="485" w:type="pct"/>
            <w:noWrap w:val="0"/>
            <w:vAlign w:val="center"/>
          </w:tcPr>
          <w:p>
            <w:pPr>
              <w:autoSpaceDN w:val="0"/>
              <w:jc w:val="center"/>
              <w:textAlignment w:val="center"/>
              <w:rPr>
                <w:rFonts w:hint="eastAsia"/>
                <w:szCs w:val="21"/>
                <w:highlight w:val="none"/>
              </w:rPr>
            </w:pPr>
            <w:r>
              <w:rPr>
                <w:rFonts w:hint="eastAsia"/>
                <w:szCs w:val="21"/>
                <w:highlight w:val="none"/>
              </w:rPr>
              <w:t>个</w:t>
            </w:r>
          </w:p>
        </w:tc>
        <w:tc>
          <w:tcPr>
            <w:tcW w:w="518" w:type="pct"/>
            <w:noWrap w:val="0"/>
            <w:vAlign w:val="center"/>
          </w:tcPr>
          <w:p>
            <w:pPr>
              <w:autoSpaceDN w:val="0"/>
              <w:jc w:val="center"/>
              <w:textAlignment w:val="center"/>
              <w:rPr>
                <w:rFonts w:hint="eastAsia"/>
                <w:szCs w:val="21"/>
                <w:highlight w:val="none"/>
              </w:rPr>
            </w:pPr>
            <w:r>
              <w:rPr>
                <w:rFonts w:hint="eastAsia"/>
                <w:szCs w:val="21"/>
                <w:highlight w:val="none"/>
              </w:rPr>
              <w:t>1</w:t>
            </w:r>
          </w:p>
        </w:tc>
        <w:tc>
          <w:tcPr>
            <w:tcW w:w="2317" w:type="pct"/>
            <w:noWrap w:val="0"/>
            <w:vAlign w:val="center"/>
          </w:tcPr>
          <w:p>
            <w:pPr>
              <w:autoSpaceDN w:val="0"/>
              <w:jc w:val="center"/>
              <w:textAlignment w:val="center"/>
              <w:rPr>
                <w:szCs w:val="21"/>
                <w:highlight w:val="none"/>
              </w:rPr>
            </w:pPr>
            <w:r>
              <w:rPr>
                <w:szCs w:val="21"/>
                <w:highlight w:val="none"/>
              </w:rPr>
              <w:t>容积为</w:t>
            </w:r>
            <w:r>
              <w:rPr>
                <w:rFonts w:hint="eastAsia"/>
                <w:szCs w:val="21"/>
                <w:highlight w:val="none"/>
              </w:rPr>
              <w:t>65</w:t>
            </w:r>
            <w:r>
              <w:rPr>
                <w:szCs w:val="21"/>
                <w:highlight w:val="none"/>
              </w:rPr>
              <w:t>00m</w:t>
            </w:r>
            <w:r>
              <w:rPr>
                <w:szCs w:val="21"/>
                <w:highlight w:val="none"/>
                <w:vertAlign w:val="superscript"/>
              </w:rPr>
              <w:t>3</w:t>
            </w:r>
            <w:r>
              <w:rPr>
                <w:szCs w:val="21"/>
                <w:highlight w:val="none"/>
              </w:rPr>
              <w:t xml:space="preserve"> </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4" w:type="pct"/>
            <w:noWrap w:val="0"/>
            <w:vAlign w:val="center"/>
          </w:tcPr>
          <w:p>
            <w:pPr>
              <w:jc w:val="center"/>
              <w:rPr>
                <w:rFonts w:ascii="宋体" w:hAnsi="宋体"/>
                <w:b/>
                <w:szCs w:val="21"/>
              </w:rPr>
            </w:pPr>
            <w:r>
              <w:rPr>
                <w:rFonts w:hint="eastAsia" w:ascii="宋体" w:hAnsi="宋体"/>
                <w:b/>
                <w:szCs w:val="21"/>
              </w:rPr>
              <w:t>三</w:t>
            </w:r>
          </w:p>
        </w:tc>
        <w:tc>
          <w:tcPr>
            <w:tcW w:w="4616" w:type="pct"/>
            <w:gridSpan w:val="4"/>
            <w:noWrap w:val="0"/>
            <w:vAlign w:val="center"/>
          </w:tcPr>
          <w:p>
            <w:pPr>
              <w:autoSpaceDN w:val="0"/>
              <w:jc w:val="center"/>
              <w:textAlignment w:val="center"/>
              <w:rPr>
                <w:rFonts w:ascii="宋体" w:hAnsi="宋体"/>
                <w:b/>
                <w:szCs w:val="21"/>
              </w:rPr>
            </w:pPr>
            <w:r>
              <w:rPr>
                <w:rFonts w:ascii="宋体" w:hAnsi="宋体"/>
                <w:b/>
                <w:szCs w:val="21"/>
              </w:rPr>
              <w:t>沼气工程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4" w:type="pct"/>
            <w:noWrap w:val="0"/>
            <w:vAlign w:val="center"/>
          </w:tcPr>
          <w:p>
            <w:pPr>
              <w:jc w:val="center"/>
              <w:rPr>
                <w:szCs w:val="21"/>
              </w:rPr>
            </w:pPr>
            <w:r>
              <w:rPr>
                <w:szCs w:val="21"/>
              </w:rPr>
              <w:t>1</w:t>
            </w:r>
          </w:p>
        </w:tc>
        <w:tc>
          <w:tcPr>
            <w:tcW w:w="1296" w:type="pct"/>
            <w:noWrap w:val="0"/>
            <w:vAlign w:val="center"/>
          </w:tcPr>
          <w:p>
            <w:pPr>
              <w:autoSpaceDN w:val="0"/>
              <w:jc w:val="center"/>
              <w:textAlignment w:val="center"/>
              <w:rPr>
                <w:szCs w:val="21"/>
              </w:rPr>
            </w:pPr>
            <w:r>
              <w:rPr>
                <w:szCs w:val="21"/>
              </w:rPr>
              <w:t>沼气脱硫器</w:t>
            </w:r>
          </w:p>
        </w:tc>
        <w:tc>
          <w:tcPr>
            <w:tcW w:w="485" w:type="pct"/>
            <w:noWrap w:val="0"/>
            <w:vAlign w:val="top"/>
          </w:tcPr>
          <w:p>
            <w:pPr>
              <w:jc w:val="center"/>
              <w:rPr>
                <w:szCs w:val="21"/>
              </w:rPr>
            </w:pPr>
            <w:r>
              <w:rPr>
                <w:szCs w:val="21"/>
              </w:rPr>
              <w:t>台</w:t>
            </w:r>
          </w:p>
        </w:tc>
        <w:tc>
          <w:tcPr>
            <w:tcW w:w="518" w:type="pct"/>
            <w:noWrap w:val="0"/>
            <w:vAlign w:val="center"/>
          </w:tcPr>
          <w:p>
            <w:pPr>
              <w:autoSpaceDN w:val="0"/>
              <w:jc w:val="center"/>
              <w:textAlignment w:val="center"/>
              <w:rPr>
                <w:szCs w:val="21"/>
              </w:rPr>
            </w:pPr>
            <w:r>
              <w:rPr>
                <w:szCs w:val="21"/>
              </w:rPr>
              <w:t>1</w:t>
            </w:r>
          </w:p>
        </w:tc>
        <w:tc>
          <w:tcPr>
            <w:tcW w:w="2317" w:type="pct"/>
            <w:noWrap w:val="0"/>
            <w:vAlign w:val="center"/>
          </w:tcPr>
          <w:p>
            <w:pPr>
              <w:autoSpaceDN w:val="0"/>
              <w:jc w:val="center"/>
              <w:textAlignment w:val="center"/>
              <w:rPr>
                <w:rFonts w:hint="eastAsia"/>
                <w:szCs w:val="21"/>
              </w:rPr>
            </w:pPr>
            <w:r>
              <w:rPr>
                <w:rFonts w:hint="eastAsia"/>
                <w:szCs w:val="21"/>
              </w:rPr>
              <w:t>干法脱硫</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4" w:type="pct"/>
            <w:noWrap w:val="0"/>
            <w:vAlign w:val="center"/>
          </w:tcPr>
          <w:p>
            <w:pPr>
              <w:jc w:val="center"/>
              <w:rPr>
                <w:szCs w:val="21"/>
              </w:rPr>
            </w:pPr>
            <w:r>
              <w:rPr>
                <w:szCs w:val="21"/>
              </w:rPr>
              <w:t>2</w:t>
            </w:r>
          </w:p>
        </w:tc>
        <w:tc>
          <w:tcPr>
            <w:tcW w:w="1296" w:type="pct"/>
            <w:noWrap w:val="0"/>
            <w:vAlign w:val="center"/>
          </w:tcPr>
          <w:p>
            <w:pPr>
              <w:autoSpaceDN w:val="0"/>
              <w:jc w:val="center"/>
              <w:textAlignment w:val="center"/>
              <w:rPr>
                <w:szCs w:val="21"/>
              </w:rPr>
            </w:pPr>
            <w:r>
              <w:rPr>
                <w:szCs w:val="21"/>
              </w:rPr>
              <w:t>沼气除水器</w:t>
            </w:r>
          </w:p>
        </w:tc>
        <w:tc>
          <w:tcPr>
            <w:tcW w:w="485" w:type="pct"/>
            <w:noWrap w:val="0"/>
            <w:vAlign w:val="top"/>
          </w:tcPr>
          <w:p>
            <w:pPr>
              <w:jc w:val="center"/>
              <w:rPr>
                <w:szCs w:val="21"/>
              </w:rPr>
            </w:pPr>
            <w:r>
              <w:rPr>
                <w:szCs w:val="21"/>
              </w:rPr>
              <w:t>台</w:t>
            </w:r>
          </w:p>
        </w:tc>
        <w:tc>
          <w:tcPr>
            <w:tcW w:w="518" w:type="pct"/>
            <w:noWrap w:val="0"/>
            <w:vAlign w:val="center"/>
          </w:tcPr>
          <w:p>
            <w:pPr>
              <w:autoSpaceDN w:val="0"/>
              <w:jc w:val="center"/>
              <w:textAlignment w:val="center"/>
              <w:rPr>
                <w:szCs w:val="21"/>
              </w:rPr>
            </w:pPr>
            <w:r>
              <w:rPr>
                <w:szCs w:val="21"/>
              </w:rPr>
              <w:t>1</w:t>
            </w:r>
          </w:p>
        </w:tc>
        <w:tc>
          <w:tcPr>
            <w:tcW w:w="2317" w:type="pct"/>
            <w:noWrap w:val="0"/>
            <w:vAlign w:val="center"/>
          </w:tcPr>
          <w:p>
            <w:pPr>
              <w:autoSpaceDN w:val="0"/>
              <w:jc w:val="center"/>
              <w:textAlignment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4" w:type="pct"/>
            <w:noWrap w:val="0"/>
            <w:vAlign w:val="center"/>
          </w:tcPr>
          <w:p>
            <w:pPr>
              <w:jc w:val="center"/>
              <w:rPr>
                <w:szCs w:val="21"/>
              </w:rPr>
            </w:pPr>
            <w:r>
              <w:rPr>
                <w:szCs w:val="21"/>
              </w:rPr>
              <w:t>3</w:t>
            </w:r>
          </w:p>
        </w:tc>
        <w:tc>
          <w:tcPr>
            <w:tcW w:w="1296" w:type="pct"/>
            <w:noWrap w:val="0"/>
            <w:vAlign w:val="center"/>
          </w:tcPr>
          <w:p>
            <w:pPr>
              <w:autoSpaceDN w:val="0"/>
              <w:jc w:val="center"/>
              <w:textAlignment w:val="center"/>
              <w:rPr>
                <w:szCs w:val="21"/>
              </w:rPr>
            </w:pPr>
            <w:r>
              <w:rPr>
                <w:szCs w:val="21"/>
              </w:rPr>
              <w:t>阻火器</w:t>
            </w:r>
          </w:p>
        </w:tc>
        <w:tc>
          <w:tcPr>
            <w:tcW w:w="485" w:type="pct"/>
            <w:noWrap w:val="0"/>
            <w:vAlign w:val="top"/>
          </w:tcPr>
          <w:p>
            <w:pPr>
              <w:jc w:val="center"/>
              <w:rPr>
                <w:szCs w:val="21"/>
              </w:rPr>
            </w:pPr>
            <w:r>
              <w:rPr>
                <w:szCs w:val="21"/>
              </w:rPr>
              <w:t>台</w:t>
            </w:r>
          </w:p>
        </w:tc>
        <w:tc>
          <w:tcPr>
            <w:tcW w:w="518" w:type="pct"/>
            <w:noWrap w:val="0"/>
            <w:vAlign w:val="center"/>
          </w:tcPr>
          <w:p>
            <w:pPr>
              <w:autoSpaceDN w:val="0"/>
              <w:jc w:val="center"/>
              <w:textAlignment w:val="center"/>
              <w:rPr>
                <w:szCs w:val="21"/>
              </w:rPr>
            </w:pPr>
            <w:r>
              <w:rPr>
                <w:szCs w:val="21"/>
              </w:rPr>
              <w:t>1</w:t>
            </w:r>
          </w:p>
        </w:tc>
        <w:tc>
          <w:tcPr>
            <w:tcW w:w="2317" w:type="pct"/>
            <w:noWrap w:val="0"/>
            <w:vAlign w:val="center"/>
          </w:tcPr>
          <w:p>
            <w:pPr>
              <w:autoSpaceDN w:val="0"/>
              <w:jc w:val="center"/>
              <w:textAlignment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4" w:type="pct"/>
            <w:noWrap w:val="0"/>
            <w:vAlign w:val="center"/>
          </w:tcPr>
          <w:p>
            <w:pPr>
              <w:jc w:val="center"/>
              <w:rPr>
                <w:szCs w:val="21"/>
              </w:rPr>
            </w:pPr>
            <w:r>
              <w:rPr>
                <w:szCs w:val="21"/>
              </w:rPr>
              <w:t>4</w:t>
            </w:r>
          </w:p>
        </w:tc>
        <w:tc>
          <w:tcPr>
            <w:tcW w:w="1296" w:type="pct"/>
            <w:noWrap w:val="0"/>
            <w:vAlign w:val="center"/>
          </w:tcPr>
          <w:p>
            <w:pPr>
              <w:autoSpaceDN w:val="0"/>
              <w:jc w:val="center"/>
              <w:textAlignment w:val="center"/>
              <w:rPr>
                <w:szCs w:val="21"/>
              </w:rPr>
            </w:pPr>
            <w:r>
              <w:rPr>
                <w:rFonts w:hint="eastAsia"/>
                <w:szCs w:val="21"/>
              </w:rPr>
              <w:t>沼气火炬燃烧器</w:t>
            </w:r>
          </w:p>
        </w:tc>
        <w:tc>
          <w:tcPr>
            <w:tcW w:w="485" w:type="pct"/>
            <w:noWrap w:val="0"/>
            <w:vAlign w:val="top"/>
          </w:tcPr>
          <w:p>
            <w:pPr>
              <w:jc w:val="center"/>
              <w:rPr>
                <w:szCs w:val="21"/>
              </w:rPr>
            </w:pPr>
            <w:r>
              <w:rPr>
                <w:szCs w:val="21"/>
              </w:rPr>
              <w:t>台</w:t>
            </w:r>
          </w:p>
        </w:tc>
        <w:tc>
          <w:tcPr>
            <w:tcW w:w="518" w:type="pct"/>
            <w:noWrap w:val="0"/>
            <w:vAlign w:val="center"/>
          </w:tcPr>
          <w:p>
            <w:pPr>
              <w:autoSpaceDN w:val="0"/>
              <w:jc w:val="center"/>
              <w:textAlignment w:val="center"/>
              <w:rPr>
                <w:rFonts w:hint="eastAsia"/>
                <w:szCs w:val="21"/>
              </w:rPr>
            </w:pPr>
            <w:r>
              <w:rPr>
                <w:rFonts w:hint="eastAsia"/>
                <w:szCs w:val="21"/>
              </w:rPr>
              <w:t>1</w:t>
            </w:r>
          </w:p>
        </w:tc>
        <w:tc>
          <w:tcPr>
            <w:tcW w:w="2317" w:type="pct"/>
            <w:noWrap w:val="0"/>
            <w:vAlign w:val="center"/>
          </w:tcPr>
          <w:p>
            <w:pPr>
              <w:autoSpaceDN w:val="0"/>
              <w:jc w:val="center"/>
              <w:textAlignment w:val="center"/>
              <w:rPr>
                <w:rFonts w:hint="eastAsia"/>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4" w:type="pct"/>
            <w:noWrap w:val="0"/>
            <w:vAlign w:val="center"/>
          </w:tcPr>
          <w:p>
            <w:pPr>
              <w:jc w:val="center"/>
              <w:rPr>
                <w:rFonts w:hint="eastAsia"/>
                <w:b/>
                <w:szCs w:val="21"/>
              </w:rPr>
            </w:pPr>
            <w:r>
              <w:rPr>
                <w:rFonts w:hint="eastAsia"/>
                <w:b/>
                <w:szCs w:val="21"/>
              </w:rPr>
              <w:t>四</w:t>
            </w:r>
          </w:p>
        </w:tc>
        <w:tc>
          <w:tcPr>
            <w:tcW w:w="4616" w:type="pct"/>
            <w:gridSpan w:val="4"/>
            <w:noWrap w:val="0"/>
            <w:vAlign w:val="center"/>
          </w:tcPr>
          <w:p>
            <w:pPr>
              <w:autoSpaceDN w:val="0"/>
              <w:jc w:val="center"/>
              <w:textAlignment w:val="center"/>
              <w:rPr>
                <w:szCs w:val="21"/>
              </w:rPr>
            </w:pPr>
            <w:r>
              <w:rPr>
                <w:rFonts w:hint="eastAsia" w:ascii="宋体" w:hAnsi="宋体"/>
                <w:b/>
                <w:szCs w:val="21"/>
              </w:rPr>
              <w:t>有机肥发酵</w:t>
            </w:r>
            <w:r>
              <w:rPr>
                <w:rFonts w:ascii="宋体" w:hAnsi="宋体"/>
                <w:b/>
                <w:szCs w:val="21"/>
              </w:rPr>
              <w:t>工程</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232" w:hRule="atLeast"/>
          <w:jc w:val="center"/>
        </w:trPr>
        <w:tc>
          <w:tcPr>
            <w:tcW w:w="384" w:type="pct"/>
            <w:noWrap w:val="0"/>
            <w:vAlign w:val="center"/>
          </w:tcPr>
          <w:p>
            <w:pPr>
              <w:spacing w:before="48" w:beforeLines="20" w:after="24" w:afterLines="10" w:line="420" w:lineRule="exact"/>
              <w:jc w:val="center"/>
              <w:rPr>
                <w:szCs w:val="21"/>
              </w:rPr>
            </w:pPr>
            <w:r>
              <w:rPr>
                <w:bCs/>
                <w:szCs w:val="21"/>
              </w:rPr>
              <w:t>1</w:t>
            </w:r>
          </w:p>
        </w:tc>
        <w:tc>
          <w:tcPr>
            <w:tcW w:w="1296" w:type="pct"/>
            <w:noWrap w:val="0"/>
            <w:vAlign w:val="center"/>
          </w:tcPr>
          <w:p>
            <w:pPr>
              <w:spacing w:before="48" w:beforeLines="20" w:after="24" w:afterLines="10" w:line="420" w:lineRule="exact"/>
              <w:jc w:val="center"/>
              <w:rPr>
                <w:szCs w:val="21"/>
              </w:rPr>
            </w:pPr>
            <w:r>
              <w:rPr>
                <w:bCs/>
                <w:szCs w:val="21"/>
              </w:rPr>
              <w:t>铲车翻堆机</w:t>
            </w:r>
          </w:p>
        </w:tc>
        <w:tc>
          <w:tcPr>
            <w:tcW w:w="485" w:type="pct"/>
            <w:noWrap w:val="0"/>
            <w:vAlign w:val="center"/>
          </w:tcPr>
          <w:p>
            <w:pPr>
              <w:spacing w:before="48" w:beforeLines="20" w:after="24" w:afterLines="10" w:line="420" w:lineRule="exact"/>
              <w:jc w:val="center"/>
              <w:rPr>
                <w:szCs w:val="21"/>
              </w:rPr>
            </w:pPr>
            <w:r>
              <w:rPr>
                <w:bCs/>
                <w:szCs w:val="21"/>
              </w:rPr>
              <w:t>台</w:t>
            </w:r>
          </w:p>
        </w:tc>
        <w:tc>
          <w:tcPr>
            <w:tcW w:w="518" w:type="pct"/>
            <w:noWrap w:val="0"/>
            <w:vAlign w:val="center"/>
          </w:tcPr>
          <w:p>
            <w:pPr>
              <w:spacing w:before="48" w:beforeLines="20" w:after="24" w:afterLines="10" w:line="420" w:lineRule="exact"/>
              <w:jc w:val="center"/>
              <w:rPr>
                <w:szCs w:val="21"/>
              </w:rPr>
            </w:pPr>
            <w:r>
              <w:rPr>
                <w:bCs/>
                <w:szCs w:val="21"/>
              </w:rPr>
              <w:t>1</w:t>
            </w:r>
          </w:p>
        </w:tc>
        <w:tc>
          <w:tcPr>
            <w:tcW w:w="2317" w:type="pct"/>
            <w:noWrap w:val="0"/>
            <w:vAlign w:val="center"/>
          </w:tcPr>
          <w:p>
            <w:pPr>
              <w:jc w:val="center"/>
              <w:rPr>
                <w:b/>
                <w:szCs w:val="21"/>
                <w:u w:val="single"/>
              </w:rPr>
            </w:pPr>
            <w:r>
              <w:rPr>
                <w:b/>
                <w:szCs w:val="21"/>
                <w:u w:val="single"/>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4" w:type="pct"/>
            <w:noWrap w:val="0"/>
            <w:vAlign w:val="center"/>
          </w:tcPr>
          <w:p>
            <w:pPr>
              <w:jc w:val="center"/>
              <w:rPr>
                <w:rFonts w:hint="eastAsia"/>
                <w:b/>
                <w:szCs w:val="21"/>
              </w:rPr>
            </w:pPr>
            <w:r>
              <w:rPr>
                <w:rFonts w:hint="eastAsia"/>
                <w:b/>
                <w:szCs w:val="21"/>
              </w:rPr>
              <w:t>五</w:t>
            </w:r>
          </w:p>
        </w:tc>
        <w:tc>
          <w:tcPr>
            <w:tcW w:w="4616" w:type="pct"/>
            <w:gridSpan w:val="4"/>
            <w:noWrap w:val="0"/>
            <w:vAlign w:val="center"/>
          </w:tcPr>
          <w:p>
            <w:pPr>
              <w:autoSpaceDN w:val="0"/>
              <w:jc w:val="center"/>
              <w:textAlignment w:val="center"/>
              <w:rPr>
                <w:szCs w:val="21"/>
              </w:rPr>
            </w:pPr>
            <w:r>
              <w:rPr>
                <w:rFonts w:hint="eastAsia"/>
                <w:b/>
                <w:szCs w:val="21"/>
              </w:rPr>
              <w:t>食堂</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CellMar>
            <w:top w:w="0" w:type="dxa"/>
            <w:left w:w="108" w:type="dxa"/>
            <w:bottom w:w="0" w:type="dxa"/>
            <w:right w:w="108" w:type="dxa"/>
          </w:tblCellMar>
        </w:tblPrEx>
        <w:trPr>
          <w:trHeight w:val="340" w:hRule="atLeast"/>
          <w:jc w:val="center"/>
        </w:trPr>
        <w:tc>
          <w:tcPr>
            <w:tcW w:w="384" w:type="pct"/>
            <w:noWrap w:val="0"/>
            <w:vAlign w:val="center"/>
          </w:tcPr>
          <w:p>
            <w:pPr>
              <w:jc w:val="center"/>
              <w:rPr>
                <w:rFonts w:hint="eastAsia"/>
                <w:szCs w:val="21"/>
              </w:rPr>
            </w:pPr>
            <w:r>
              <w:rPr>
                <w:rFonts w:hint="eastAsia"/>
                <w:szCs w:val="21"/>
              </w:rPr>
              <w:t>1</w:t>
            </w:r>
          </w:p>
        </w:tc>
        <w:tc>
          <w:tcPr>
            <w:tcW w:w="1296" w:type="pct"/>
            <w:noWrap w:val="0"/>
            <w:vAlign w:val="center"/>
          </w:tcPr>
          <w:p>
            <w:pPr>
              <w:autoSpaceDN w:val="0"/>
              <w:jc w:val="center"/>
              <w:textAlignment w:val="center"/>
              <w:rPr>
                <w:szCs w:val="21"/>
              </w:rPr>
            </w:pPr>
            <w:r>
              <w:rPr>
                <w:rFonts w:hint="eastAsia" w:hAnsi="宋体"/>
                <w:bCs/>
                <w:szCs w:val="21"/>
              </w:rPr>
              <w:t>食堂油烟净化器</w:t>
            </w:r>
          </w:p>
        </w:tc>
        <w:tc>
          <w:tcPr>
            <w:tcW w:w="485" w:type="pct"/>
            <w:noWrap w:val="0"/>
            <w:vAlign w:val="top"/>
          </w:tcPr>
          <w:p>
            <w:pPr>
              <w:jc w:val="center"/>
              <w:rPr>
                <w:szCs w:val="21"/>
              </w:rPr>
            </w:pPr>
            <w:r>
              <w:rPr>
                <w:szCs w:val="21"/>
              </w:rPr>
              <w:t>台</w:t>
            </w:r>
          </w:p>
        </w:tc>
        <w:tc>
          <w:tcPr>
            <w:tcW w:w="518" w:type="pct"/>
            <w:noWrap w:val="0"/>
            <w:vAlign w:val="center"/>
          </w:tcPr>
          <w:p>
            <w:pPr>
              <w:autoSpaceDN w:val="0"/>
              <w:jc w:val="center"/>
              <w:textAlignment w:val="center"/>
              <w:rPr>
                <w:szCs w:val="21"/>
              </w:rPr>
            </w:pPr>
            <w:r>
              <w:rPr>
                <w:rFonts w:hint="eastAsia"/>
                <w:szCs w:val="21"/>
              </w:rPr>
              <w:t>1</w:t>
            </w:r>
          </w:p>
        </w:tc>
        <w:tc>
          <w:tcPr>
            <w:tcW w:w="2317" w:type="pct"/>
            <w:noWrap w:val="0"/>
            <w:vAlign w:val="center"/>
          </w:tcPr>
          <w:p>
            <w:pPr>
              <w:autoSpaceDN w:val="0"/>
              <w:jc w:val="center"/>
              <w:textAlignment w:val="center"/>
              <w:rPr>
                <w:szCs w:val="21"/>
              </w:rPr>
            </w:pPr>
            <w:r>
              <w:rPr>
                <w:rFonts w:hint="eastAsia" w:hAnsi="宋体"/>
                <w:bCs/>
                <w:szCs w:val="21"/>
              </w:rPr>
              <w:t>用于净化食堂油烟</w:t>
            </w:r>
          </w:p>
        </w:tc>
      </w:tr>
    </w:tbl>
    <w:p>
      <w:pPr>
        <w:pStyle w:val="2"/>
        <w:snapToGrid w:val="0"/>
        <w:spacing w:before="0" w:after="0" w:line="520" w:lineRule="exact"/>
        <w:rPr>
          <w:rFonts w:eastAsia="黑体"/>
          <w:b w:val="0"/>
          <w:bCs w:val="0"/>
          <w:sz w:val="24"/>
          <w:szCs w:val="24"/>
        </w:rPr>
      </w:pPr>
      <w:bookmarkStart w:id="193" w:name="_Toc311979842"/>
      <w:bookmarkStart w:id="194" w:name="_Toc311979910"/>
      <w:bookmarkStart w:id="195" w:name="_Toc311979796"/>
      <w:bookmarkStart w:id="196" w:name="_Toc388881898"/>
      <w:bookmarkStart w:id="197" w:name="_Toc407001390"/>
      <w:bookmarkStart w:id="198" w:name="_Toc406847397"/>
      <w:bookmarkStart w:id="199" w:name="_Toc18756"/>
      <w:bookmarkStart w:id="200" w:name="_Toc413166117"/>
      <w:r>
        <w:rPr>
          <w:rFonts w:eastAsia="黑体"/>
          <w:b w:val="0"/>
          <w:bCs w:val="0"/>
          <w:sz w:val="24"/>
          <w:szCs w:val="24"/>
        </w:rPr>
        <w:t>2.1.4 项目</w:t>
      </w:r>
      <w:bookmarkEnd w:id="193"/>
      <w:bookmarkEnd w:id="194"/>
      <w:bookmarkEnd w:id="195"/>
      <w:bookmarkEnd w:id="196"/>
      <w:r>
        <w:rPr>
          <w:rFonts w:eastAsia="黑体"/>
          <w:b w:val="0"/>
          <w:bCs w:val="0"/>
          <w:sz w:val="24"/>
          <w:szCs w:val="24"/>
        </w:rPr>
        <w:t>主要产品方案、养殖规模</w:t>
      </w:r>
      <w:bookmarkEnd w:id="197"/>
      <w:bookmarkEnd w:id="198"/>
      <w:bookmarkEnd w:id="199"/>
      <w:bookmarkEnd w:id="200"/>
    </w:p>
    <w:p>
      <w:pPr>
        <w:pStyle w:val="25"/>
        <w:spacing w:line="520" w:lineRule="exact"/>
        <w:ind w:firstLine="480"/>
      </w:pPr>
      <w:r>
        <w:t>本项目</w:t>
      </w:r>
      <w:r>
        <w:rPr>
          <w:rFonts w:hint="eastAsia"/>
        </w:rPr>
        <w:t>主要为育肥猪</w:t>
      </w:r>
      <w:r>
        <w:t>。规划建设规模为：</w:t>
      </w:r>
      <w:r>
        <w:rPr>
          <w:rFonts w:hint="eastAsia"/>
          <w:bCs/>
          <w:lang w:eastAsia="zh-CN"/>
        </w:rPr>
        <w:t>年出栏生猪1.2万头</w:t>
      </w:r>
      <w:r>
        <w:t>。项目产品方案及养殖规模见表2.1-5。</w:t>
      </w:r>
    </w:p>
    <w:p>
      <w:pPr>
        <w:spacing w:line="500" w:lineRule="exact"/>
        <w:jc w:val="center"/>
        <w:rPr>
          <w:b/>
          <w:sz w:val="24"/>
        </w:rPr>
      </w:pPr>
      <w:r>
        <w:rPr>
          <w:b/>
          <w:sz w:val="24"/>
        </w:rPr>
        <w:t xml:space="preserve">表2.1-5     </w:t>
      </w:r>
      <w:r>
        <w:rPr>
          <w:rFonts w:hint="eastAsia"/>
          <w:b/>
          <w:sz w:val="24"/>
          <w:lang w:val="en-US" w:eastAsia="zh-CN"/>
        </w:rPr>
        <w:t xml:space="preserve">  </w:t>
      </w:r>
      <w:r>
        <w:rPr>
          <w:b/>
          <w:sz w:val="24"/>
        </w:rPr>
        <w:t>项目养殖规模一览表</w:t>
      </w:r>
    </w:p>
    <w:tbl>
      <w:tblPr>
        <w:tblStyle w:val="1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57" w:type="dxa"/>
          <w:left w:w="108" w:type="dxa"/>
          <w:bottom w:w="57" w:type="dxa"/>
          <w:right w:w="108" w:type="dxa"/>
        </w:tblCellMar>
      </w:tblPr>
      <w:tblGrid>
        <w:gridCol w:w="1810"/>
        <w:gridCol w:w="2793"/>
        <w:gridCol w:w="2111"/>
        <w:gridCol w:w="223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1011" w:type="pct"/>
            <w:noWrap/>
            <w:vAlign w:val="center"/>
          </w:tcPr>
          <w:p>
            <w:pPr>
              <w:widowControl/>
              <w:adjustRightInd w:val="0"/>
              <w:snapToGrid w:val="0"/>
              <w:jc w:val="center"/>
              <w:textAlignment w:val="center"/>
              <w:rPr>
                <w:b/>
                <w:kern w:val="0"/>
                <w:szCs w:val="21"/>
              </w:rPr>
            </w:pPr>
            <w:r>
              <w:rPr>
                <w:b/>
                <w:kern w:val="0"/>
                <w:szCs w:val="21"/>
              </w:rPr>
              <w:t>猪舍类型</w:t>
            </w:r>
          </w:p>
        </w:tc>
        <w:tc>
          <w:tcPr>
            <w:tcW w:w="1560" w:type="pct"/>
            <w:noWrap/>
            <w:vAlign w:val="center"/>
          </w:tcPr>
          <w:p>
            <w:pPr>
              <w:widowControl/>
              <w:adjustRightInd w:val="0"/>
              <w:snapToGrid w:val="0"/>
              <w:jc w:val="center"/>
              <w:textAlignment w:val="center"/>
              <w:rPr>
                <w:b/>
                <w:kern w:val="0"/>
                <w:szCs w:val="21"/>
              </w:rPr>
            </w:pPr>
            <w:r>
              <w:rPr>
                <w:b/>
                <w:kern w:val="0"/>
                <w:szCs w:val="21"/>
              </w:rPr>
              <w:t>单元数（舍）</w:t>
            </w:r>
          </w:p>
        </w:tc>
        <w:tc>
          <w:tcPr>
            <w:tcW w:w="1179" w:type="pct"/>
            <w:noWrap w:val="0"/>
            <w:vAlign w:val="center"/>
          </w:tcPr>
          <w:p>
            <w:pPr>
              <w:widowControl/>
              <w:adjustRightInd w:val="0"/>
              <w:snapToGrid w:val="0"/>
              <w:jc w:val="center"/>
              <w:textAlignment w:val="center"/>
              <w:rPr>
                <w:b/>
                <w:kern w:val="0"/>
                <w:szCs w:val="21"/>
              </w:rPr>
            </w:pPr>
            <w:r>
              <w:rPr>
                <w:b/>
                <w:kern w:val="0"/>
                <w:szCs w:val="21"/>
              </w:rPr>
              <w:t>存栏数（头）</w:t>
            </w:r>
          </w:p>
        </w:tc>
        <w:tc>
          <w:tcPr>
            <w:tcW w:w="1248" w:type="pct"/>
            <w:noWrap w:val="0"/>
            <w:vAlign w:val="center"/>
          </w:tcPr>
          <w:p>
            <w:pPr>
              <w:widowControl/>
              <w:adjustRightInd w:val="0"/>
              <w:snapToGrid w:val="0"/>
              <w:jc w:val="center"/>
              <w:textAlignment w:val="center"/>
              <w:rPr>
                <w:b/>
                <w:kern w:val="0"/>
                <w:szCs w:val="21"/>
              </w:rPr>
            </w:pPr>
            <w:r>
              <w:rPr>
                <w:b/>
                <w:kern w:val="0"/>
                <w:szCs w:val="21"/>
              </w:rPr>
              <w:t>养殖规模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270" w:hRule="atLeast"/>
          <w:jc w:val="center"/>
        </w:trPr>
        <w:tc>
          <w:tcPr>
            <w:tcW w:w="1011" w:type="pct"/>
            <w:noWrap/>
            <w:vAlign w:val="center"/>
          </w:tcPr>
          <w:p>
            <w:pPr>
              <w:jc w:val="center"/>
              <w:rPr>
                <w:szCs w:val="21"/>
              </w:rPr>
            </w:pPr>
            <w:r>
              <w:rPr>
                <w:rFonts w:hAnsi="宋体"/>
                <w:szCs w:val="21"/>
              </w:rPr>
              <w:t>育肥舍</w:t>
            </w:r>
          </w:p>
        </w:tc>
        <w:tc>
          <w:tcPr>
            <w:tcW w:w="1560" w:type="pct"/>
            <w:noWrap/>
            <w:vAlign w:val="center"/>
          </w:tcPr>
          <w:p>
            <w:pPr>
              <w:jc w:val="center"/>
              <w:rPr>
                <w:rFonts w:hint="default" w:eastAsia="宋体"/>
                <w:sz w:val="22"/>
                <w:szCs w:val="22"/>
                <w:highlight w:val="none"/>
                <w:lang w:val="en-US" w:eastAsia="zh-CN"/>
              </w:rPr>
            </w:pPr>
            <w:r>
              <w:rPr>
                <w:rFonts w:hint="eastAsia"/>
                <w:sz w:val="22"/>
                <w:szCs w:val="22"/>
                <w:highlight w:val="none"/>
                <w:lang w:val="en-US" w:eastAsia="zh-CN"/>
              </w:rPr>
              <w:t>10</w:t>
            </w:r>
          </w:p>
        </w:tc>
        <w:tc>
          <w:tcPr>
            <w:tcW w:w="1179" w:type="pct"/>
            <w:noWrap w:val="0"/>
            <w:vAlign w:val="center"/>
          </w:tcPr>
          <w:p>
            <w:pPr>
              <w:widowControl/>
              <w:adjustRightInd w:val="0"/>
              <w:snapToGrid w:val="0"/>
              <w:jc w:val="center"/>
              <w:textAlignment w:val="center"/>
              <w:rPr>
                <w:kern w:val="0"/>
                <w:szCs w:val="21"/>
                <w:highlight w:val="none"/>
              </w:rPr>
            </w:pPr>
            <w:r>
              <w:rPr>
                <w:rFonts w:hint="eastAsia"/>
                <w:kern w:val="0"/>
                <w:szCs w:val="21"/>
                <w:highlight w:val="none"/>
                <w:lang w:val="en-US" w:eastAsia="zh-CN"/>
              </w:rPr>
              <w:t>4</w:t>
            </w:r>
            <w:r>
              <w:rPr>
                <w:rFonts w:hint="eastAsia"/>
                <w:kern w:val="0"/>
                <w:szCs w:val="21"/>
                <w:highlight w:val="none"/>
              </w:rPr>
              <w:t>200</w:t>
            </w:r>
          </w:p>
        </w:tc>
        <w:tc>
          <w:tcPr>
            <w:tcW w:w="1248" w:type="pct"/>
            <w:noWrap w:val="0"/>
            <w:vAlign w:val="center"/>
          </w:tcPr>
          <w:p>
            <w:pPr>
              <w:widowControl/>
              <w:adjustRightInd w:val="0"/>
              <w:snapToGrid w:val="0"/>
              <w:jc w:val="center"/>
              <w:textAlignment w:val="center"/>
              <w:rPr>
                <w:rFonts w:hint="eastAsia" w:eastAsia="宋体"/>
                <w:kern w:val="0"/>
                <w:szCs w:val="21"/>
                <w:lang w:eastAsia="zh-CN"/>
              </w:rPr>
            </w:pPr>
            <w:r>
              <w:rPr>
                <w:rFonts w:hint="eastAsia"/>
                <w:kern w:val="0"/>
                <w:szCs w:val="21"/>
                <w:lang w:eastAsia="zh-CN"/>
              </w:rPr>
              <w:t>年出栏生猪1.2万头</w:t>
            </w:r>
          </w:p>
        </w:tc>
      </w:tr>
    </w:tbl>
    <w:p>
      <w:pPr>
        <w:pStyle w:val="2"/>
        <w:snapToGrid w:val="0"/>
        <w:spacing w:before="0" w:after="0" w:line="520" w:lineRule="exact"/>
        <w:rPr>
          <w:rFonts w:eastAsia="黑体"/>
          <w:b w:val="0"/>
          <w:bCs w:val="0"/>
          <w:sz w:val="24"/>
          <w:szCs w:val="24"/>
        </w:rPr>
      </w:pPr>
      <w:bookmarkStart w:id="201" w:name="_Toc16625"/>
      <w:bookmarkStart w:id="202" w:name="_Toc269400662"/>
      <w:r>
        <w:rPr>
          <w:rFonts w:eastAsia="黑体"/>
          <w:b w:val="0"/>
          <w:bCs w:val="0"/>
          <w:sz w:val="24"/>
          <w:szCs w:val="24"/>
        </w:rPr>
        <w:t>2.1.5 主要原辅材料及动力消耗</w:t>
      </w:r>
      <w:bookmarkEnd w:id="201"/>
    </w:p>
    <w:p>
      <w:pPr>
        <w:adjustRightInd w:val="0"/>
        <w:snapToGrid w:val="0"/>
        <w:spacing w:line="520" w:lineRule="exact"/>
        <w:ind w:firstLine="480" w:firstLineChars="200"/>
        <w:rPr>
          <w:sz w:val="24"/>
          <w:szCs w:val="22"/>
        </w:rPr>
      </w:pPr>
      <w:r>
        <w:rPr>
          <w:sz w:val="24"/>
          <w:szCs w:val="22"/>
        </w:rPr>
        <w:t>（1）仔猪来源</w:t>
      </w:r>
    </w:p>
    <w:p>
      <w:pPr>
        <w:adjustRightInd w:val="0"/>
        <w:snapToGrid w:val="0"/>
        <w:spacing w:line="520" w:lineRule="exact"/>
        <w:ind w:firstLine="480" w:firstLineChars="200"/>
        <w:rPr>
          <w:rFonts w:hint="eastAsia"/>
          <w:sz w:val="24"/>
          <w:szCs w:val="22"/>
        </w:rPr>
      </w:pPr>
      <w:r>
        <w:rPr>
          <w:sz w:val="24"/>
          <w:szCs w:val="22"/>
        </w:rPr>
        <w:t>本项目建成后规模为</w:t>
      </w:r>
      <w:r>
        <w:rPr>
          <w:rFonts w:hint="eastAsia"/>
          <w:sz w:val="24"/>
          <w:szCs w:val="22"/>
          <w:lang w:eastAsia="zh-CN"/>
        </w:rPr>
        <w:t>年出栏生猪1.2万头</w:t>
      </w:r>
      <w:r>
        <w:rPr>
          <w:sz w:val="24"/>
          <w:szCs w:val="22"/>
        </w:rPr>
        <w:t>，</w:t>
      </w:r>
      <w:r>
        <w:rPr>
          <w:rFonts w:hint="eastAsia"/>
          <w:sz w:val="24"/>
          <w:szCs w:val="22"/>
        </w:rPr>
        <w:t>仔猪由当地大型养殖场统一配送（如牧原），直接进入育肥阶段，批次猪同进同出。</w:t>
      </w:r>
    </w:p>
    <w:p>
      <w:pPr>
        <w:pStyle w:val="29"/>
        <w:rPr>
          <w:bCs/>
        </w:rPr>
      </w:pPr>
      <w:r>
        <w:rPr>
          <w:bCs/>
        </w:rPr>
        <w:t>（2）饲料来源及储存方式</w:t>
      </w:r>
    </w:p>
    <w:p>
      <w:pPr>
        <w:spacing w:line="520" w:lineRule="exact"/>
        <w:ind w:firstLine="470" w:firstLineChars="196"/>
        <w:rPr>
          <w:rFonts w:hint="eastAsia" w:hAnsi="宋体"/>
          <w:sz w:val="24"/>
        </w:rPr>
      </w:pPr>
      <w:r>
        <w:rPr>
          <w:sz w:val="24"/>
        </w:rPr>
        <w:t>本项目饲料</w:t>
      </w:r>
      <w:r>
        <w:rPr>
          <w:rFonts w:hint="eastAsia"/>
          <w:sz w:val="24"/>
        </w:rPr>
        <w:t>均外购</w:t>
      </w:r>
      <w:r>
        <w:rPr>
          <w:sz w:val="24"/>
        </w:rPr>
        <w:t>，本项目场区内不设饲料制作车间，饲料运送至场区后</w:t>
      </w:r>
      <w:r>
        <w:rPr>
          <w:rFonts w:hint="eastAsia"/>
          <w:sz w:val="24"/>
        </w:rPr>
        <w:t>（厂区内设中转料塔和料塔）</w:t>
      </w:r>
      <w:r>
        <w:rPr>
          <w:sz w:val="24"/>
        </w:rPr>
        <w:t>，采用全自动配送上料系统和限位猪槽，机械化操作，定时定量供应饲料，保证生猪饮食需求。</w:t>
      </w:r>
    </w:p>
    <w:p>
      <w:pPr>
        <w:pStyle w:val="25"/>
        <w:spacing w:line="520" w:lineRule="exact"/>
        <w:ind w:firstLine="480"/>
        <w:rPr>
          <w:rFonts w:hint="eastAsia"/>
        </w:rPr>
      </w:pPr>
      <w:r>
        <w:t>项目饲料用量见表2.1-6。</w:t>
      </w:r>
    </w:p>
    <w:p>
      <w:pPr>
        <w:spacing w:after="72" w:afterLines="30" w:line="520" w:lineRule="exact"/>
        <w:jc w:val="center"/>
        <w:rPr>
          <w:b/>
          <w:sz w:val="24"/>
        </w:rPr>
      </w:pPr>
      <w:r>
        <w:rPr>
          <w:b/>
          <w:sz w:val="24"/>
        </w:rPr>
        <w:t xml:space="preserve">表2.1-6 </w:t>
      </w:r>
      <w:r>
        <w:rPr>
          <w:rFonts w:hint="eastAsia"/>
          <w:b/>
          <w:sz w:val="24"/>
          <w:lang w:val="en-US" w:eastAsia="zh-CN"/>
        </w:rPr>
        <w:t xml:space="preserve">  </w:t>
      </w:r>
      <w:r>
        <w:rPr>
          <w:b/>
          <w:sz w:val="24"/>
        </w:rPr>
        <w:t xml:space="preserve">  项目饲料用量一览表</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57" w:type="dxa"/>
          <w:left w:w="108" w:type="dxa"/>
          <w:bottom w:w="57" w:type="dxa"/>
          <w:right w:w="108" w:type="dxa"/>
        </w:tblCellMar>
      </w:tblPr>
      <w:tblGrid>
        <w:gridCol w:w="1841"/>
        <w:gridCol w:w="1921"/>
        <w:gridCol w:w="1798"/>
        <w:gridCol w:w="1831"/>
        <w:gridCol w:w="155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97" w:hRule="atLeast"/>
          <w:tblHeader/>
          <w:jc w:val="center"/>
        </w:trPr>
        <w:tc>
          <w:tcPr>
            <w:tcW w:w="1841" w:type="dxa"/>
            <w:noWrap w:val="0"/>
            <w:vAlign w:val="center"/>
          </w:tcPr>
          <w:p>
            <w:pPr>
              <w:jc w:val="center"/>
              <w:rPr>
                <w:b/>
                <w:szCs w:val="21"/>
              </w:rPr>
            </w:pPr>
            <w:r>
              <w:rPr>
                <w:b/>
                <w:szCs w:val="21"/>
              </w:rPr>
              <w:t>猪只类型</w:t>
            </w:r>
          </w:p>
        </w:tc>
        <w:tc>
          <w:tcPr>
            <w:tcW w:w="1921" w:type="dxa"/>
            <w:noWrap w:val="0"/>
            <w:vAlign w:val="center"/>
          </w:tcPr>
          <w:p>
            <w:pPr>
              <w:jc w:val="center"/>
              <w:rPr>
                <w:b/>
                <w:szCs w:val="21"/>
              </w:rPr>
            </w:pPr>
            <w:r>
              <w:rPr>
                <w:b/>
                <w:szCs w:val="21"/>
              </w:rPr>
              <w:t>存栏规模（头）</w:t>
            </w:r>
          </w:p>
        </w:tc>
        <w:tc>
          <w:tcPr>
            <w:tcW w:w="1798" w:type="dxa"/>
            <w:noWrap w:val="0"/>
            <w:vAlign w:val="center"/>
          </w:tcPr>
          <w:p>
            <w:pPr>
              <w:jc w:val="center"/>
              <w:rPr>
                <w:b/>
                <w:szCs w:val="21"/>
              </w:rPr>
            </w:pPr>
            <w:r>
              <w:rPr>
                <w:b/>
                <w:szCs w:val="21"/>
              </w:rPr>
              <w:t>消耗定额</w:t>
            </w:r>
          </w:p>
          <w:p>
            <w:pPr>
              <w:jc w:val="center"/>
              <w:rPr>
                <w:b/>
                <w:szCs w:val="21"/>
              </w:rPr>
            </w:pPr>
            <w:r>
              <w:rPr>
                <w:b/>
                <w:szCs w:val="21"/>
              </w:rPr>
              <w:t>（kg/d·头）</w:t>
            </w:r>
          </w:p>
        </w:tc>
        <w:tc>
          <w:tcPr>
            <w:tcW w:w="1831" w:type="dxa"/>
            <w:noWrap w:val="0"/>
            <w:vAlign w:val="center"/>
          </w:tcPr>
          <w:p>
            <w:pPr>
              <w:jc w:val="center"/>
              <w:rPr>
                <w:b/>
                <w:szCs w:val="21"/>
              </w:rPr>
            </w:pPr>
            <w:r>
              <w:rPr>
                <w:b/>
                <w:szCs w:val="21"/>
              </w:rPr>
              <w:t>日消耗量（t/d）</w:t>
            </w:r>
          </w:p>
        </w:tc>
        <w:tc>
          <w:tcPr>
            <w:tcW w:w="1557" w:type="dxa"/>
            <w:noWrap w:val="0"/>
            <w:vAlign w:val="center"/>
          </w:tcPr>
          <w:p>
            <w:pPr>
              <w:jc w:val="center"/>
              <w:rPr>
                <w:b/>
                <w:szCs w:val="21"/>
              </w:rPr>
            </w:pPr>
            <w:r>
              <w:rPr>
                <w:b/>
                <w:szCs w:val="21"/>
              </w:rPr>
              <w:t>年消耗量（t/a）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210" w:hRule="atLeast"/>
          <w:jc w:val="center"/>
        </w:trPr>
        <w:tc>
          <w:tcPr>
            <w:tcW w:w="1841" w:type="dxa"/>
            <w:noWrap w:val="0"/>
            <w:vAlign w:val="center"/>
          </w:tcPr>
          <w:p>
            <w:pPr>
              <w:jc w:val="center"/>
              <w:rPr>
                <w:szCs w:val="21"/>
              </w:rPr>
            </w:pPr>
            <w:r>
              <w:rPr>
                <w:rFonts w:hint="eastAsia"/>
                <w:szCs w:val="21"/>
              </w:rPr>
              <w:t>育肥</w:t>
            </w:r>
            <w:r>
              <w:rPr>
                <w:szCs w:val="21"/>
              </w:rPr>
              <w:t>猪</w:t>
            </w:r>
          </w:p>
        </w:tc>
        <w:tc>
          <w:tcPr>
            <w:tcW w:w="1921" w:type="dxa"/>
            <w:noWrap w:val="0"/>
            <w:vAlign w:val="center"/>
          </w:tcPr>
          <w:p>
            <w:pPr>
              <w:widowControl/>
              <w:adjustRightInd w:val="0"/>
              <w:snapToGrid w:val="0"/>
              <w:jc w:val="center"/>
              <w:textAlignment w:val="center"/>
              <w:rPr>
                <w:rFonts w:hint="default" w:eastAsia="宋体"/>
                <w:kern w:val="0"/>
                <w:szCs w:val="21"/>
                <w:lang w:val="en-US" w:eastAsia="zh-CN"/>
              </w:rPr>
            </w:pPr>
            <w:r>
              <w:rPr>
                <w:rFonts w:hint="eastAsia"/>
                <w:kern w:val="0"/>
                <w:szCs w:val="21"/>
                <w:lang w:val="en-US" w:eastAsia="zh-CN"/>
              </w:rPr>
              <w:t>4200</w:t>
            </w:r>
          </w:p>
        </w:tc>
        <w:tc>
          <w:tcPr>
            <w:tcW w:w="1798" w:type="dxa"/>
            <w:noWrap w:val="0"/>
            <w:vAlign w:val="center"/>
          </w:tcPr>
          <w:p>
            <w:pPr>
              <w:jc w:val="center"/>
              <w:rPr>
                <w:szCs w:val="21"/>
              </w:rPr>
            </w:pPr>
            <w:r>
              <w:rPr>
                <w:szCs w:val="21"/>
              </w:rPr>
              <w:t>2.0</w:t>
            </w:r>
          </w:p>
        </w:tc>
        <w:tc>
          <w:tcPr>
            <w:tcW w:w="1831" w:type="dxa"/>
            <w:noWrap w:val="0"/>
            <w:vAlign w:val="center"/>
          </w:tcPr>
          <w:p>
            <w:pPr>
              <w:widowControl/>
              <w:jc w:val="center"/>
              <w:textAlignment w:val="center"/>
              <w:rPr>
                <w:rFonts w:hint="default" w:eastAsia="宋体"/>
                <w:szCs w:val="21"/>
                <w:lang w:val="en-US" w:eastAsia="zh-CN"/>
              </w:rPr>
            </w:pPr>
            <w:r>
              <w:rPr>
                <w:rFonts w:hint="eastAsia"/>
                <w:szCs w:val="21"/>
                <w:lang w:val="en-US" w:eastAsia="zh-CN"/>
              </w:rPr>
              <w:t>8.4</w:t>
            </w:r>
          </w:p>
        </w:tc>
        <w:tc>
          <w:tcPr>
            <w:tcW w:w="1557" w:type="dxa"/>
            <w:noWrap w:val="0"/>
            <w:vAlign w:val="center"/>
          </w:tcPr>
          <w:p>
            <w:pPr>
              <w:widowControl/>
              <w:jc w:val="center"/>
              <w:textAlignment w:val="center"/>
              <w:rPr>
                <w:rFonts w:hint="default" w:eastAsia="宋体"/>
                <w:szCs w:val="21"/>
                <w:lang w:val="en-US" w:eastAsia="zh-CN"/>
              </w:rPr>
            </w:pPr>
            <w:r>
              <w:rPr>
                <w:rFonts w:hint="eastAsia"/>
                <w:szCs w:val="21"/>
                <w:lang w:val="en-US" w:eastAsia="zh-CN"/>
              </w:rPr>
              <w:t>3066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59" w:hRule="atLeast"/>
          <w:jc w:val="center"/>
        </w:trPr>
        <w:tc>
          <w:tcPr>
            <w:tcW w:w="5560" w:type="dxa"/>
            <w:gridSpan w:val="3"/>
            <w:noWrap w:val="0"/>
            <w:vAlign w:val="center"/>
          </w:tcPr>
          <w:p>
            <w:pPr>
              <w:jc w:val="center"/>
              <w:rPr>
                <w:szCs w:val="21"/>
              </w:rPr>
            </w:pPr>
            <w:r>
              <w:rPr>
                <w:szCs w:val="21"/>
              </w:rPr>
              <w:t>合计</w:t>
            </w:r>
          </w:p>
        </w:tc>
        <w:tc>
          <w:tcPr>
            <w:tcW w:w="1831" w:type="dxa"/>
            <w:noWrap w:val="0"/>
            <w:vAlign w:val="center"/>
          </w:tcPr>
          <w:p>
            <w:pPr>
              <w:widowControl/>
              <w:jc w:val="center"/>
              <w:textAlignment w:val="center"/>
              <w:rPr>
                <w:rFonts w:hint="default" w:eastAsia="宋体"/>
                <w:szCs w:val="21"/>
                <w:lang w:val="en-US" w:eastAsia="zh-CN"/>
              </w:rPr>
            </w:pPr>
            <w:r>
              <w:rPr>
                <w:rFonts w:hint="eastAsia"/>
                <w:szCs w:val="21"/>
                <w:lang w:val="en-US" w:eastAsia="zh-CN"/>
              </w:rPr>
              <w:t>8.4</w:t>
            </w:r>
          </w:p>
        </w:tc>
        <w:tc>
          <w:tcPr>
            <w:tcW w:w="1557" w:type="dxa"/>
            <w:noWrap w:val="0"/>
            <w:vAlign w:val="center"/>
          </w:tcPr>
          <w:p>
            <w:pPr>
              <w:widowControl/>
              <w:jc w:val="center"/>
              <w:rPr>
                <w:rFonts w:hint="default" w:eastAsia="宋体"/>
                <w:kern w:val="0"/>
                <w:szCs w:val="21"/>
                <w:lang w:val="en-US" w:eastAsia="zh-CN"/>
              </w:rPr>
            </w:pPr>
            <w:r>
              <w:rPr>
                <w:rFonts w:hint="eastAsia"/>
                <w:kern w:val="0"/>
                <w:szCs w:val="21"/>
                <w:lang w:val="en-US" w:eastAsia="zh-CN"/>
              </w:rPr>
              <w:t>3066</w:t>
            </w:r>
          </w:p>
        </w:tc>
      </w:tr>
    </w:tbl>
    <w:p>
      <w:pPr>
        <w:pStyle w:val="25"/>
        <w:spacing w:line="520" w:lineRule="exact"/>
        <w:ind w:firstLine="480"/>
        <w:rPr>
          <w:highlight w:val="none"/>
        </w:rPr>
      </w:pPr>
      <w:r>
        <w:rPr>
          <w:highlight w:val="none"/>
        </w:rPr>
        <w:t>（3）辅助材料消耗</w:t>
      </w:r>
    </w:p>
    <w:p>
      <w:pPr>
        <w:pStyle w:val="25"/>
        <w:spacing w:line="520" w:lineRule="exact"/>
        <w:ind w:firstLine="480"/>
      </w:pPr>
      <w:r>
        <w:rPr>
          <w:highlight w:val="none"/>
        </w:rPr>
        <w:t>项目辅助材料主要包括植物除臭剂、脱硫剂、消毒药品及防疫药品。其中</w:t>
      </w:r>
      <w:r>
        <w:rPr>
          <w:rFonts w:hint="eastAsia"/>
          <w:highlight w:val="none"/>
        </w:rPr>
        <w:t>植物</w:t>
      </w:r>
      <w:r>
        <w:rPr>
          <w:highlight w:val="none"/>
        </w:rPr>
        <w:t>除臭剂喷洒在猪舍、沼气工程、</w:t>
      </w:r>
      <w:r>
        <w:rPr>
          <w:rFonts w:hint="eastAsia"/>
          <w:highlight w:val="none"/>
        </w:rPr>
        <w:t>固粪处理区</w:t>
      </w:r>
      <w:r>
        <w:rPr>
          <w:highlight w:val="none"/>
        </w:rPr>
        <w:t>和沼液暂存池等区域，用来抑制恶臭的产生，</w:t>
      </w:r>
      <w:r>
        <w:rPr>
          <w:rFonts w:hint="eastAsia"/>
          <w:highlight w:val="none"/>
        </w:rPr>
        <w:t>植物</w:t>
      </w:r>
      <w:r>
        <w:rPr>
          <w:highlight w:val="none"/>
        </w:rPr>
        <w:t>除臭剂1kg可喷洒500m</w:t>
      </w:r>
      <w:r>
        <w:rPr>
          <w:highlight w:val="none"/>
          <w:vertAlign w:val="superscript"/>
        </w:rPr>
        <w:t>2</w:t>
      </w:r>
      <w:r>
        <w:rPr>
          <w:highlight w:val="none"/>
        </w:rPr>
        <w:t>，项目</w:t>
      </w:r>
      <w:r>
        <w:rPr>
          <w:rFonts w:hint="eastAsia"/>
          <w:highlight w:val="none"/>
        </w:rPr>
        <w:t>植物</w:t>
      </w:r>
      <w:r>
        <w:rPr>
          <w:highlight w:val="none"/>
        </w:rPr>
        <w:t>除臭剂总用量为约0.</w:t>
      </w:r>
      <w:r>
        <w:rPr>
          <w:rFonts w:hint="eastAsia"/>
          <w:highlight w:val="none"/>
        </w:rPr>
        <w:t>0</w:t>
      </w:r>
      <w:r>
        <w:rPr>
          <w:highlight w:val="none"/>
        </w:rPr>
        <w:t>3t/a</w:t>
      </w:r>
      <w:r>
        <w:rPr>
          <w:bCs/>
          <w:highlight w:val="none"/>
        </w:rPr>
        <w:t>；脱硫剂为氧化铁，用来对沼气净化脱硫，项目脱硫剂总用量为</w:t>
      </w:r>
      <w:r>
        <w:rPr>
          <w:rFonts w:hint="eastAsia"/>
          <w:bCs/>
          <w:highlight w:val="none"/>
          <w:lang w:eastAsia="zh-CN"/>
        </w:rPr>
        <w:t>0.043</w:t>
      </w:r>
      <w:r>
        <w:rPr>
          <w:bCs/>
          <w:highlight w:val="none"/>
        </w:rPr>
        <w:t>t/a；消毒剂主要用于</w:t>
      </w:r>
      <w:r>
        <w:rPr>
          <w:bCs/>
        </w:rPr>
        <w:t>公司日常对人员、猪舍及进出场区的车辆消毒，总用量约为</w:t>
      </w:r>
      <w:r>
        <w:rPr>
          <w:rFonts w:hint="eastAsia"/>
          <w:bCs/>
        </w:rPr>
        <w:t>0.4</w:t>
      </w:r>
      <w:r>
        <w:rPr>
          <w:bCs/>
        </w:rPr>
        <w:t>t/a；项目防疫药品的种类为伪狂犬疫苗、猪瘟疫苗、口蹄疫疫苗、蓝耳病疫苗4种，本项目年共需防疫药品约</w:t>
      </w:r>
      <w:r>
        <w:rPr>
          <w:rFonts w:hint="eastAsia"/>
          <w:bCs/>
          <w:lang w:eastAsia="zh-CN"/>
        </w:rPr>
        <w:t>0.021</w:t>
      </w:r>
      <w:r>
        <w:rPr>
          <w:bCs/>
        </w:rPr>
        <w:t>t/a。</w:t>
      </w:r>
    </w:p>
    <w:p>
      <w:pPr>
        <w:pStyle w:val="25"/>
        <w:spacing w:line="520" w:lineRule="exact"/>
        <w:ind w:firstLine="480"/>
      </w:pPr>
      <w:r>
        <w:t>（4）项目主要辅助材料及资源能源消耗汇总</w:t>
      </w:r>
    </w:p>
    <w:p>
      <w:pPr>
        <w:pStyle w:val="25"/>
        <w:spacing w:line="520" w:lineRule="exact"/>
        <w:ind w:firstLine="480"/>
      </w:pPr>
      <w:r>
        <w:t>项目建成后，主要辅助材料及资源能源消耗汇总见下表2.1-7。</w:t>
      </w:r>
    </w:p>
    <w:p>
      <w:pPr>
        <w:spacing w:after="72" w:afterLines="30" w:line="520" w:lineRule="exact"/>
        <w:jc w:val="center"/>
        <w:rPr>
          <w:b/>
          <w:sz w:val="24"/>
        </w:rPr>
      </w:pPr>
      <w:r>
        <w:rPr>
          <w:b/>
          <w:sz w:val="24"/>
        </w:rPr>
        <w:t>表2.1-7   项目主要辅助材料及资源能源消耗一览表</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57" w:type="dxa"/>
          <w:left w:w="108" w:type="dxa"/>
          <w:bottom w:w="57" w:type="dxa"/>
          <w:right w:w="108" w:type="dxa"/>
        </w:tblCellMar>
      </w:tblPr>
      <w:tblGrid>
        <w:gridCol w:w="2314"/>
        <w:gridCol w:w="1500"/>
        <w:gridCol w:w="2000"/>
        <w:gridCol w:w="31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97" w:hRule="atLeast"/>
          <w:tblHeader/>
          <w:jc w:val="center"/>
        </w:trPr>
        <w:tc>
          <w:tcPr>
            <w:tcW w:w="2314" w:type="dxa"/>
            <w:noWrap w:val="0"/>
            <w:vAlign w:val="center"/>
          </w:tcPr>
          <w:p>
            <w:pPr>
              <w:jc w:val="center"/>
              <w:rPr>
                <w:b/>
                <w:szCs w:val="21"/>
              </w:rPr>
            </w:pPr>
            <w:r>
              <w:rPr>
                <w:b/>
                <w:szCs w:val="21"/>
              </w:rPr>
              <w:t>资源能源名称</w:t>
            </w:r>
          </w:p>
        </w:tc>
        <w:tc>
          <w:tcPr>
            <w:tcW w:w="1500" w:type="dxa"/>
            <w:noWrap w:val="0"/>
            <w:vAlign w:val="center"/>
          </w:tcPr>
          <w:p>
            <w:pPr>
              <w:jc w:val="center"/>
              <w:rPr>
                <w:b/>
                <w:szCs w:val="21"/>
              </w:rPr>
            </w:pPr>
            <w:r>
              <w:rPr>
                <w:b/>
                <w:szCs w:val="21"/>
              </w:rPr>
              <w:t>单位</w:t>
            </w:r>
          </w:p>
        </w:tc>
        <w:tc>
          <w:tcPr>
            <w:tcW w:w="2000" w:type="dxa"/>
            <w:noWrap w:val="0"/>
            <w:vAlign w:val="center"/>
          </w:tcPr>
          <w:p>
            <w:pPr>
              <w:jc w:val="center"/>
              <w:rPr>
                <w:b/>
                <w:szCs w:val="21"/>
              </w:rPr>
            </w:pPr>
            <w:r>
              <w:rPr>
                <w:b/>
                <w:szCs w:val="21"/>
              </w:rPr>
              <w:t>数量</w:t>
            </w:r>
          </w:p>
        </w:tc>
        <w:tc>
          <w:tcPr>
            <w:tcW w:w="3132" w:type="dxa"/>
            <w:noWrap w:val="0"/>
            <w:vAlign w:val="top"/>
          </w:tcPr>
          <w:p>
            <w:pPr>
              <w:jc w:val="center"/>
              <w:rPr>
                <w:b/>
                <w:szCs w:val="21"/>
              </w:rPr>
            </w:pPr>
            <w:r>
              <w:rPr>
                <w:b/>
                <w:szCs w:val="21"/>
              </w:rPr>
              <w:t>储存方式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264" w:hRule="atLeast"/>
          <w:jc w:val="center"/>
        </w:trPr>
        <w:tc>
          <w:tcPr>
            <w:tcW w:w="2314" w:type="dxa"/>
            <w:noWrap w:val="0"/>
            <w:vAlign w:val="center"/>
          </w:tcPr>
          <w:p>
            <w:pPr>
              <w:jc w:val="center"/>
              <w:rPr>
                <w:szCs w:val="21"/>
              </w:rPr>
            </w:pPr>
            <w:r>
              <w:rPr>
                <w:szCs w:val="21"/>
              </w:rPr>
              <w:t>电</w:t>
            </w:r>
          </w:p>
        </w:tc>
        <w:tc>
          <w:tcPr>
            <w:tcW w:w="1500" w:type="dxa"/>
            <w:noWrap w:val="0"/>
            <w:vAlign w:val="center"/>
          </w:tcPr>
          <w:p>
            <w:pPr>
              <w:jc w:val="center"/>
              <w:rPr>
                <w:szCs w:val="21"/>
              </w:rPr>
            </w:pPr>
            <w:r>
              <w:rPr>
                <w:szCs w:val="21"/>
              </w:rPr>
              <w:t>万度/年</w:t>
            </w:r>
          </w:p>
        </w:tc>
        <w:tc>
          <w:tcPr>
            <w:tcW w:w="2000" w:type="dxa"/>
            <w:noWrap w:val="0"/>
            <w:vAlign w:val="center"/>
          </w:tcPr>
          <w:p>
            <w:pPr>
              <w:jc w:val="center"/>
              <w:rPr>
                <w:color w:val="auto"/>
                <w:szCs w:val="21"/>
                <w:highlight w:val="none"/>
              </w:rPr>
            </w:pPr>
            <w:r>
              <w:rPr>
                <w:rFonts w:hint="eastAsia"/>
                <w:color w:val="auto"/>
                <w:kern w:val="0"/>
                <w:szCs w:val="21"/>
                <w:highlight w:val="none"/>
                <w:lang w:bidi="ar"/>
              </w:rPr>
              <w:t>30</w:t>
            </w:r>
          </w:p>
        </w:tc>
        <w:tc>
          <w:tcPr>
            <w:tcW w:w="3132" w:type="dxa"/>
            <w:noWrap w:val="0"/>
            <w:vAlign w:val="top"/>
          </w:tcPr>
          <w:p>
            <w:pPr>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173" w:hRule="atLeast"/>
          <w:jc w:val="center"/>
        </w:trPr>
        <w:tc>
          <w:tcPr>
            <w:tcW w:w="2314" w:type="dxa"/>
            <w:noWrap w:val="0"/>
            <w:vAlign w:val="center"/>
          </w:tcPr>
          <w:p>
            <w:pPr>
              <w:jc w:val="center"/>
              <w:rPr>
                <w:szCs w:val="21"/>
              </w:rPr>
            </w:pPr>
            <w:r>
              <w:rPr>
                <w:szCs w:val="21"/>
              </w:rPr>
              <w:t>水</w:t>
            </w:r>
          </w:p>
        </w:tc>
        <w:tc>
          <w:tcPr>
            <w:tcW w:w="1500" w:type="dxa"/>
            <w:noWrap w:val="0"/>
            <w:vAlign w:val="center"/>
          </w:tcPr>
          <w:p>
            <w:pPr>
              <w:jc w:val="center"/>
              <w:rPr>
                <w:szCs w:val="21"/>
              </w:rPr>
            </w:pPr>
            <w:r>
              <w:rPr>
                <w:szCs w:val="21"/>
              </w:rPr>
              <w:t>t/a</w:t>
            </w:r>
          </w:p>
        </w:tc>
        <w:tc>
          <w:tcPr>
            <w:tcW w:w="2000" w:type="dxa"/>
            <w:noWrap w:val="0"/>
            <w:vAlign w:val="center"/>
          </w:tcPr>
          <w:p>
            <w:pPr>
              <w:jc w:val="center"/>
              <w:rPr>
                <w:rFonts w:hint="eastAsia" w:eastAsia="宋体"/>
                <w:color w:val="auto"/>
                <w:szCs w:val="21"/>
                <w:highlight w:val="none"/>
                <w:lang w:eastAsia="zh-CN"/>
              </w:rPr>
            </w:pPr>
            <w:r>
              <w:rPr>
                <w:rFonts w:hint="eastAsia"/>
                <w:color w:val="auto"/>
                <w:szCs w:val="21"/>
                <w:highlight w:val="none"/>
                <w:lang w:eastAsia="zh-CN"/>
              </w:rPr>
              <w:t>14201.4</w:t>
            </w:r>
          </w:p>
        </w:tc>
        <w:tc>
          <w:tcPr>
            <w:tcW w:w="3132" w:type="dxa"/>
            <w:noWrap w:val="0"/>
            <w:vAlign w:val="top"/>
          </w:tcPr>
          <w:p>
            <w:pPr>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97" w:hRule="atLeast"/>
          <w:jc w:val="center"/>
        </w:trPr>
        <w:tc>
          <w:tcPr>
            <w:tcW w:w="2314" w:type="dxa"/>
            <w:noWrap w:val="0"/>
            <w:vAlign w:val="center"/>
          </w:tcPr>
          <w:p>
            <w:pPr>
              <w:jc w:val="center"/>
              <w:rPr>
                <w:szCs w:val="21"/>
              </w:rPr>
            </w:pPr>
            <w:r>
              <w:rPr>
                <w:szCs w:val="21"/>
              </w:rPr>
              <w:t>植物除臭剂</w:t>
            </w:r>
          </w:p>
        </w:tc>
        <w:tc>
          <w:tcPr>
            <w:tcW w:w="1500" w:type="dxa"/>
            <w:noWrap w:val="0"/>
            <w:vAlign w:val="center"/>
          </w:tcPr>
          <w:p>
            <w:pPr>
              <w:jc w:val="center"/>
              <w:rPr>
                <w:szCs w:val="21"/>
              </w:rPr>
            </w:pPr>
            <w:r>
              <w:rPr>
                <w:szCs w:val="21"/>
              </w:rPr>
              <w:t>t/a</w:t>
            </w:r>
          </w:p>
        </w:tc>
        <w:tc>
          <w:tcPr>
            <w:tcW w:w="2000" w:type="dxa"/>
            <w:noWrap w:val="0"/>
            <w:vAlign w:val="center"/>
          </w:tcPr>
          <w:p>
            <w:pPr>
              <w:jc w:val="center"/>
              <w:rPr>
                <w:color w:val="auto"/>
                <w:szCs w:val="21"/>
                <w:highlight w:val="none"/>
              </w:rPr>
            </w:pPr>
            <w:r>
              <w:rPr>
                <w:color w:val="auto"/>
                <w:szCs w:val="21"/>
                <w:highlight w:val="none"/>
              </w:rPr>
              <w:t>0.</w:t>
            </w:r>
            <w:r>
              <w:rPr>
                <w:rFonts w:hint="eastAsia"/>
                <w:color w:val="auto"/>
                <w:szCs w:val="21"/>
                <w:highlight w:val="none"/>
              </w:rPr>
              <w:t>0</w:t>
            </w:r>
            <w:r>
              <w:rPr>
                <w:color w:val="auto"/>
                <w:szCs w:val="21"/>
                <w:highlight w:val="none"/>
              </w:rPr>
              <w:t>3</w:t>
            </w:r>
          </w:p>
        </w:tc>
        <w:tc>
          <w:tcPr>
            <w:tcW w:w="3132" w:type="dxa"/>
            <w:noWrap w:val="0"/>
            <w:vAlign w:val="top"/>
          </w:tcPr>
          <w:p>
            <w:pPr>
              <w:jc w:val="center"/>
              <w:rPr>
                <w:szCs w:val="21"/>
              </w:rPr>
            </w:pPr>
            <w:r>
              <w:rPr>
                <w:rFonts w:hint="eastAsia"/>
                <w:szCs w:val="21"/>
              </w:rPr>
              <w:t>主要为丝兰、银杏叶、茶多酚、葡萄籽、樟科植物、桉叶油、松油等多种植物提取物，储存于项目仓库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97" w:hRule="atLeast"/>
          <w:jc w:val="center"/>
        </w:trPr>
        <w:tc>
          <w:tcPr>
            <w:tcW w:w="2314" w:type="dxa"/>
            <w:noWrap w:val="0"/>
            <w:vAlign w:val="center"/>
          </w:tcPr>
          <w:p>
            <w:pPr>
              <w:jc w:val="center"/>
              <w:rPr>
                <w:szCs w:val="21"/>
              </w:rPr>
            </w:pPr>
            <w:r>
              <w:rPr>
                <w:szCs w:val="21"/>
              </w:rPr>
              <w:t>脱硫剂</w:t>
            </w:r>
          </w:p>
        </w:tc>
        <w:tc>
          <w:tcPr>
            <w:tcW w:w="1500" w:type="dxa"/>
            <w:noWrap w:val="0"/>
            <w:vAlign w:val="center"/>
          </w:tcPr>
          <w:p>
            <w:pPr>
              <w:jc w:val="center"/>
              <w:rPr>
                <w:szCs w:val="21"/>
              </w:rPr>
            </w:pPr>
            <w:r>
              <w:rPr>
                <w:szCs w:val="21"/>
              </w:rPr>
              <w:t>t/a</w:t>
            </w:r>
          </w:p>
        </w:tc>
        <w:tc>
          <w:tcPr>
            <w:tcW w:w="2000" w:type="dxa"/>
            <w:noWrap w:val="0"/>
            <w:vAlign w:val="center"/>
          </w:tcPr>
          <w:p>
            <w:pPr>
              <w:jc w:val="center"/>
              <w:rPr>
                <w:rFonts w:hint="eastAsia" w:eastAsia="宋体"/>
                <w:color w:val="auto"/>
                <w:szCs w:val="21"/>
                <w:highlight w:val="none"/>
                <w:lang w:eastAsia="zh-CN"/>
              </w:rPr>
            </w:pPr>
            <w:r>
              <w:rPr>
                <w:rFonts w:hint="eastAsia"/>
                <w:color w:val="auto"/>
                <w:szCs w:val="21"/>
                <w:highlight w:val="none"/>
                <w:lang w:eastAsia="zh-CN"/>
              </w:rPr>
              <w:t>0.043</w:t>
            </w:r>
          </w:p>
        </w:tc>
        <w:tc>
          <w:tcPr>
            <w:tcW w:w="3132" w:type="dxa"/>
            <w:noWrap w:val="0"/>
            <w:vAlign w:val="top"/>
          </w:tcPr>
          <w:p>
            <w:pPr>
              <w:jc w:val="center"/>
              <w:rPr>
                <w:szCs w:val="21"/>
              </w:rPr>
            </w:pPr>
            <w:r>
              <w:rPr>
                <w:szCs w:val="21"/>
              </w:rPr>
              <w:t>需要时由负责项目环保工程的施工单位安装，不在厂内暂存。</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414" w:hRule="atLeast"/>
          <w:jc w:val="center"/>
        </w:trPr>
        <w:tc>
          <w:tcPr>
            <w:tcW w:w="2314" w:type="dxa"/>
            <w:noWrap w:val="0"/>
            <w:vAlign w:val="center"/>
          </w:tcPr>
          <w:p>
            <w:pPr>
              <w:jc w:val="center"/>
              <w:rPr>
                <w:szCs w:val="21"/>
              </w:rPr>
            </w:pPr>
            <w:r>
              <w:rPr>
                <w:szCs w:val="21"/>
              </w:rPr>
              <w:t>消毒剂</w:t>
            </w:r>
          </w:p>
        </w:tc>
        <w:tc>
          <w:tcPr>
            <w:tcW w:w="1500" w:type="dxa"/>
            <w:noWrap w:val="0"/>
            <w:vAlign w:val="center"/>
          </w:tcPr>
          <w:p>
            <w:pPr>
              <w:jc w:val="center"/>
              <w:rPr>
                <w:szCs w:val="21"/>
              </w:rPr>
            </w:pPr>
            <w:r>
              <w:rPr>
                <w:szCs w:val="21"/>
              </w:rPr>
              <w:t>t/a</w:t>
            </w:r>
          </w:p>
        </w:tc>
        <w:tc>
          <w:tcPr>
            <w:tcW w:w="2000" w:type="dxa"/>
            <w:noWrap w:val="0"/>
            <w:vAlign w:val="center"/>
          </w:tcPr>
          <w:p>
            <w:pPr>
              <w:jc w:val="center"/>
              <w:rPr>
                <w:color w:val="auto"/>
                <w:szCs w:val="21"/>
                <w:highlight w:val="none"/>
              </w:rPr>
            </w:pPr>
            <w:r>
              <w:rPr>
                <w:rFonts w:hint="eastAsia"/>
                <w:color w:val="auto"/>
                <w:szCs w:val="21"/>
                <w:highlight w:val="none"/>
              </w:rPr>
              <w:t>0.4</w:t>
            </w:r>
          </w:p>
        </w:tc>
        <w:tc>
          <w:tcPr>
            <w:tcW w:w="3132" w:type="dxa"/>
            <w:noWrap w:val="0"/>
            <w:vAlign w:val="top"/>
          </w:tcPr>
          <w:p>
            <w:pPr>
              <w:jc w:val="center"/>
              <w:rPr>
                <w:szCs w:val="21"/>
              </w:rPr>
            </w:pPr>
            <w:r>
              <w:rPr>
                <w:szCs w:val="21"/>
              </w:rPr>
              <w:t>储存于项目仓库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97" w:hRule="atLeast"/>
          <w:jc w:val="center"/>
        </w:trPr>
        <w:tc>
          <w:tcPr>
            <w:tcW w:w="2314" w:type="dxa"/>
            <w:noWrap w:val="0"/>
            <w:vAlign w:val="center"/>
          </w:tcPr>
          <w:p>
            <w:pPr>
              <w:jc w:val="center"/>
              <w:rPr>
                <w:szCs w:val="21"/>
              </w:rPr>
            </w:pPr>
            <w:r>
              <w:rPr>
                <w:szCs w:val="21"/>
              </w:rPr>
              <w:t>防疫药品</w:t>
            </w:r>
          </w:p>
        </w:tc>
        <w:tc>
          <w:tcPr>
            <w:tcW w:w="1500" w:type="dxa"/>
            <w:noWrap w:val="0"/>
            <w:vAlign w:val="center"/>
          </w:tcPr>
          <w:p>
            <w:pPr>
              <w:jc w:val="center"/>
              <w:rPr>
                <w:szCs w:val="21"/>
              </w:rPr>
            </w:pPr>
            <w:r>
              <w:rPr>
                <w:szCs w:val="21"/>
              </w:rPr>
              <w:t>t/a</w:t>
            </w:r>
          </w:p>
        </w:tc>
        <w:tc>
          <w:tcPr>
            <w:tcW w:w="2000" w:type="dxa"/>
            <w:noWrap w:val="0"/>
            <w:vAlign w:val="center"/>
          </w:tcPr>
          <w:p>
            <w:pPr>
              <w:jc w:val="center"/>
              <w:rPr>
                <w:rFonts w:hint="eastAsia" w:eastAsia="宋体"/>
                <w:color w:val="auto"/>
                <w:szCs w:val="21"/>
                <w:highlight w:val="none"/>
                <w:lang w:eastAsia="zh-CN"/>
              </w:rPr>
            </w:pPr>
            <w:r>
              <w:rPr>
                <w:rFonts w:hint="eastAsia"/>
                <w:color w:val="auto"/>
                <w:szCs w:val="21"/>
                <w:highlight w:val="none"/>
                <w:lang w:eastAsia="zh-CN"/>
              </w:rPr>
              <w:t>0.021</w:t>
            </w:r>
          </w:p>
        </w:tc>
        <w:tc>
          <w:tcPr>
            <w:tcW w:w="3132" w:type="dxa"/>
            <w:noWrap w:val="0"/>
            <w:vAlign w:val="top"/>
          </w:tcPr>
          <w:p>
            <w:pPr>
              <w:jc w:val="center"/>
              <w:rPr>
                <w:szCs w:val="21"/>
              </w:rPr>
            </w:pPr>
            <w:r>
              <w:rPr>
                <w:szCs w:val="21"/>
              </w:rPr>
              <w:t>储存于专门设置的仓库中的疫苗专用冰柜</w:t>
            </w:r>
          </w:p>
        </w:tc>
      </w:tr>
      <w:bookmarkEnd w:id="202"/>
    </w:tbl>
    <w:p>
      <w:pPr>
        <w:pStyle w:val="2"/>
        <w:snapToGrid w:val="0"/>
        <w:spacing w:before="0" w:after="0" w:line="520" w:lineRule="exact"/>
        <w:rPr>
          <w:rFonts w:eastAsia="黑体"/>
          <w:b w:val="0"/>
          <w:bCs w:val="0"/>
          <w:sz w:val="24"/>
          <w:szCs w:val="24"/>
        </w:rPr>
      </w:pPr>
      <w:bookmarkStart w:id="203" w:name="_Toc20766"/>
      <w:r>
        <w:rPr>
          <w:rFonts w:eastAsia="黑体"/>
          <w:b w:val="0"/>
          <w:bCs w:val="0"/>
          <w:sz w:val="24"/>
          <w:szCs w:val="24"/>
        </w:rPr>
        <w:t>2.1.6配套工程</w:t>
      </w:r>
      <w:bookmarkEnd w:id="203"/>
    </w:p>
    <w:p>
      <w:pPr>
        <w:pStyle w:val="3"/>
        <w:spacing w:before="0" w:after="0" w:line="520" w:lineRule="exact"/>
        <w:rPr>
          <w:rFonts w:hAnsi="Times New Roman" w:eastAsia="宋体"/>
          <w:sz w:val="24"/>
          <w:szCs w:val="24"/>
          <w:highlight w:val="none"/>
        </w:rPr>
      </w:pPr>
      <w:r>
        <w:rPr>
          <w:rFonts w:hAnsi="Times New Roman" w:eastAsia="宋体"/>
          <w:sz w:val="24"/>
          <w:szCs w:val="24"/>
          <w:highlight w:val="none"/>
        </w:rPr>
        <w:t>2.1.6.1项目用水情况</w:t>
      </w:r>
    </w:p>
    <w:p>
      <w:pPr>
        <w:spacing w:line="520" w:lineRule="exact"/>
        <w:ind w:firstLine="480" w:firstLineChars="200"/>
        <w:rPr>
          <w:sz w:val="24"/>
          <w:highlight w:val="none"/>
        </w:rPr>
      </w:pPr>
      <w:r>
        <w:rPr>
          <w:sz w:val="24"/>
          <w:highlight w:val="none"/>
        </w:rPr>
        <w:t>项目完成后全场总用水量为</w:t>
      </w:r>
      <w:r>
        <w:rPr>
          <w:rFonts w:hint="eastAsia"/>
          <w:sz w:val="24"/>
          <w:highlight w:val="none"/>
          <w:lang w:eastAsia="zh-CN"/>
        </w:rPr>
        <w:t>14201.4</w:t>
      </w:r>
      <w:r>
        <w:rPr>
          <w:sz w:val="24"/>
          <w:highlight w:val="none"/>
        </w:rPr>
        <w:t>m</w:t>
      </w:r>
      <w:r>
        <w:rPr>
          <w:sz w:val="24"/>
          <w:highlight w:val="none"/>
          <w:vertAlign w:val="superscript"/>
        </w:rPr>
        <w:t>3</w:t>
      </w:r>
      <w:r>
        <w:rPr>
          <w:sz w:val="24"/>
          <w:highlight w:val="none"/>
        </w:rPr>
        <w:t>/a，主要为生活、猪只饮用水、猪舍冲洗水、降温用水等。项目用水由场区自备井供应，本项目拟建1眼供水井，井深200m，单井出水量约为50m</w:t>
      </w:r>
      <w:r>
        <w:rPr>
          <w:sz w:val="24"/>
          <w:highlight w:val="none"/>
          <w:vertAlign w:val="superscript"/>
        </w:rPr>
        <w:t>3</w:t>
      </w:r>
      <w:r>
        <w:rPr>
          <w:sz w:val="24"/>
          <w:highlight w:val="none"/>
        </w:rPr>
        <w:t>/h，则年出水规模为438000m</w:t>
      </w:r>
      <w:r>
        <w:rPr>
          <w:sz w:val="24"/>
          <w:highlight w:val="none"/>
          <w:vertAlign w:val="superscript"/>
        </w:rPr>
        <w:t>3</w:t>
      </w:r>
      <w:r>
        <w:rPr>
          <w:sz w:val="24"/>
          <w:highlight w:val="none"/>
        </w:rPr>
        <w:t>，可满足项目用水需求。</w:t>
      </w:r>
    </w:p>
    <w:p>
      <w:pPr>
        <w:spacing w:line="520" w:lineRule="exact"/>
        <w:ind w:firstLine="480" w:firstLineChars="200"/>
        <w:rPr>
          <w:rFonts w:hint="eastAsia"/>
          <w:sz w:val="24"/>
        </w:rPr>
      </w:pPr>
      <w:r>
        <w:rPr>
          <w:sz w:val="24"/>
        </w:rPr>
        <w:t>本项目猪舍采用漏缝板养殖模式</w:t>
      </w:r>
      <w:r>
        <w:rPr>
          <w:rFonts w:hint="eastAsia"/>
          <w:sz w:val="24"/>
        </w:rPr>
        <w:t>，</w:t>
      </w:r>
      <w:r>
        <w:rPr>
          <w:sz w:val="24"/>
        </w:rPr>
        <w:t>养殖过程中</w:t>
      </w:r>
      <w:r>
        <w:rPr>
          <w:rFonts w:hint="eastAsia"/>
          <w:sz w:val="24"/>
        </w:rPr>
        <w:t>拟</w:t>
      </w:r>
      <w:r>
        <w:rPr>
          <w:sz w:val="24"/>
        </w:rPr>
        <w:t>采用改进的限位式饮水器</w:t>
      </w:r>
      <w:r>
        <w:rPr>
          <w:rFonts w:hint="eastAsia"/>
          <w:sz w:val="24"/>
        </w:rPr>
        <w:t>，</w:t>
      </w:r>
      <w:r>
        <w:rPr>
          <w:sz w:val="24"/>
        </w:rPr>
        <w:t>经实践验证，对比传统的挤压式饮水器可减少60%左右的饮用水用量。此外，</w:t>
      </w:r>
      <w:r>
        <w:rPr>
          <w:rFonts w:hint="eastAsia"/>
          <w:sz w:val="24"/>
        </w:rPr>
        <w:t>养殖场</w:t>
      </w:r>
      <w:r>
        <w:rPr>
          <w:sz w:val="24"/>
        </w:rPr>
        <w:t>还采取电脑控制单元降温用水，</w:t>
      </w:r>
      <w:r>
        <w:rPr>
          <w:rFonts w:hint="eastAsia"/>
          <w:sz w:val="24"/>
        </w:rPr>
        <w:t>类比同类养殖场</w:t>
      </w:r>
      <w:r>
        <w:rPr>
          <w:sz w:val="24"/>
        </w:rPr>
        <w:t>统计数据：通过电脑控制，降温用水量比传统方式减少了大约71%的用水量</w:t>
      </w:r>
      <w:r>
        <w:rPr>
          <w:rFonts w:hint="eastAsia"/>
          <w:sz w:val="24"/>
        </w:rPr>
        <w:t>。</w:t>
      </w:r>
      <w:r>
        <w:rPr>
          <w:sz w:val="24"/>
        </w:rPr>
        <w:t>猪舍</w:t>
      </w:r>
      <w:r>
        <w:rPr>
          <w:rFonts w:hint="eastAsia"/>
          <w:sz w:val="24"/>
        </w:rPr>
        <w:t>冲洗</w:t>
      </w:r>
      <w:r>
        <w:rPr>
          <w:sz w:val="24"/>
        </w:rPr>
        <w:t>只在猪只转栏时进行冲洗，冲洗采用高压水枪冲洗</w:t>
      </w:r>
      <w:r>
        <w:rPr>
          <w:rFonts w:hint="eastAsia"/>
          <w:sz w:val="24"/>
        </w:rPr>
        <w:t>，</w:t>
      </w:r>
      <w:r>
        <w:rPr>
          <w:sz w:val="24"/>
        </w:rPr>
        <w:t>有效的减少冲洗水的用量，</w:t>
      </w:r>
      <w:r>
        <w:rPr>
          <w:rFonts w:hint="eastAsia"/>
          <w:sz w:val="24"/>
        </w:rPr>
        <w:t>本项目</w:t>
      </w:r>
      <w:r>
        <w:rPr>
          <w:sz w:val="24"/>
        </w:rPr>
        <w:t>运营过程</w:t>
      </w:r>
      <w:r>
        <w:rPr>
          <w:rFonts w:hint="eastAsia"/>
          <w:sz w:val="24"/>
        </w:rPr>
        <w:t>中</w:t>
      </w:r>
      <w:r>
        <w:rPr>
          <w:sz w:val="24"/>
        </w:rPr>
        <w:t>用水</w:t>
      </w:r>
      <w:r>
        <w:rPr>
          <w:rFonts w:hint="eastAsia"/>
          <w:sz w:val="24"/>
        </w:rPr>
        <w:t>情况</w:t>
      </w:r>
      <w:r>
        <w:rPr>
          <w:sz w:val="24"/>
        </w:rPr>
        <w:t>具体见下文：</w:t>
      </w:r>
    </w:p>
    <w:p>
      <w:pPr>
        <w:spacing w:line="520" w:lineRule="exact"/>
        <w:ind w:firstLine="480" w:firstLineChars="200"/>
        <w:rPr>
          <w:sz w:val="24"/>
        </w:rPr>
      </w:pPr>
      <w:r>
        <w:rPr>
          <w:sz w:val="24"/>
        </w:rPr>
        <w:t>1．猪只饮用及猪舍冲洗水</w:t>
      </w:r>
    </w:p>
    <w:p>
      <w:pPr>
        <w:pStyle w:val="25"/>
        <w:spacing w:line="520" w:lineRule="exact"/>
        <w:ind w:firstLine="480"/>
      </w:pPr>
      <w:r>
        <w:t>本项目投入运营后育肥猪存栏</w:t>
      </w:r>
      <w:r>
        <w:rPr>
          <w:rFonts w:hint="eastAsia"/>
          <w:lang w:val="en-US" w:eastAsia="zh-CN"/>
        </w:rPr>
        <w:t>4</w:t>
      </w:r>
      <w:r>
        <w:rPr>
          <w:rFonts w:hint="eastAsia"/>
        </w:rPr>
        <w:t>200</w:t>
      </w:r>
      <w:r>
        <w:t>头，</w:t>
      </w:r>
      <w:r>
        <w:rPr>
          <w:bCs/>
        </w:rPr>
        <w:t>猪的饮水量以及</w:t>
      </w:r>
      <w:r>
        <w:rPr>
          <w:rFonts w:hint="eastAsia"/>
          <w:bCs/>
        </w:rPr>
        <w:t>猪舍</w:t>
      </w:r>
      <w:r>
        <w:rPr>
          <w:bCs/>
        </w:rPr>
        <w:t>冲洗水排放量</w:t>
      </w:r>
      <w:r>
        <w:rPr>
          <w:rFonts w:hint="eastAsia" w:hAnsi="宋体"/>
          <w:lang w:val="en-US" w:eastAsia="zh-CN"/>
        </w:rPr>
        <w:t>类比</w:t>
      </w:r>
      <w:r>
        <w:rPr>
          <w:rFonts w:hAnsi="宋体"/>
        </w:rPr>
        <w:t>其他已投入运营的</w:t>
      </w:r>
      <w:r>
        <w:rPr>
          <w:rFonts w:hint="eastAsia" w:hAnsi="宋体"/>
        </w:rPr>
        <w:t>生猪</w:t>
      </w:r>
      <w:r>
        <w:rPr>
          <w:rFonts w:hAnsi="宋体"/>
        </w:rPr>
        <w:t>养猪场的实际运营情况</w:t>
      </w:r>
      <w:r>
        <w:rPr>
          <w:rFonts w:hint="eastAsia" w:hAnsi="宋体"/>
        </w:rPr>
        <w:t>统计</w:t>
      </w:r>
      <w:r>
        <w:rPr>
          <w:rFonts w:hAnsi="宋体"/>
        </w:rPr>
        <w:t>确定</w:t>
      </w:r>
      <w:r>
        <w:rPr>
          <w:rFonts w:hint="eastAsia" w:hAnsi="宋体"/>
        </w:rPr>
        <w:t>，</w:t>
      </w:r>
      <w:r>
        <w:rPr>
          <w:rFonts w:hAnsi="宋体"/>
        </w:rPr>
        <w:t>具体</w:t>
      </w:r>
      <w:r>
        <w:t>见表2.1-8。</w:t>
      </w:r>
    </w:p>
    <w:p>
      <w:pPr>
        <w:spacing w:after="72" w:afterLines="30" w:line="520" w:lineRule="exact"/>
        <w:jc w:val="center"/>
        <w:rPr>
          <w:b/>
          <w:sz w:val="24"/>
        </w:rPr>
      </w:pPr>
      <w:r>
        <w:rPr>
          <w:b/>
          <w:sz w:val="24"/>
        </w:rPr>
        <w:t>表2.1-8       工程</w:t>
      </w:r>
      <w:r>
        <w:rPr>
          <w:rFonts w:hint="eastAsia"/>
          <w:b/>
          <w:sz w:val="24"/>
        </w:rPr>
        <w:t>猪只</w:t>
      </w:r>
      <w:r>
        <w:rPr>
          <w:b/>
          <w:sz w:val="24"/>
        </w:rPr>
        <w:t>饮水参数表</w:t>
      </w:r>
    </w:p>
    <w:tbl>
      <w:tblPr>
        <w:tblStyle w:val="17"/>
        <w:tblW w:w="5000" w:type="pct"/>
        <w:jc w:val="center"/>
        <w:tblLayout w:type="autofit"/>
        <w:tblCellMar>
          <w:top w:w="0" w:type="dxa"/>
          <w:left w:w="108" w:type="dxa"/>
          <w:bottom w:w="0" w:type="dxa"/>
          <w:right w:w="108" w:type="dxa"/>
        </w:tblCellMar>
      </w:tblPr>
      <w:tblGrid>
        <w:gridCol w:w="1158"/>
        <w:gridCol w:w="707"/>
        <w:gridCol w:w="993"/>
        <w:gridCol w:w="1139"/>
        <w:gridCol w:w="1700"/>
        <w:gridCol w:w="1628"/>
        <w:gridCol w:w="1463"/>
      </w:tblGrid>
      <w:tr>
        <w:tblPrEx>
          <w:tblCellMar>
            <w:top w:w="0" w:type="dxa"/>
            <w:left w:w="108" w:type="dxa"/>
            <w:bottom w:w="0" w:type="dxa"/>
            <w:right w:w="108" w:type="dxa"/>
          </w:tblCellMar>
        </w:tblPrEx>
        <w:trPr>
          <w:cantSplit/>
          <w:trHeight w:val="454" w:hRule="atLeast"/>
          <w:jc w:val="center"/>
        </w:trPr>
        <w:tc>
          <w:tcPr>
            <w:tcW w:w="659" w:type="pct"/>
            <w:vMerge w:val="restart"/>
            <w:tcBorders>
              <w:top w:val="single" w:color="auto" w:sz="12" w:space="0"/>
              <w:left w:val="single" w:color="auto" w:sz="12" w:space="0"/>
              <w:bottom w:val="single" w:color="auto" w:sz="4" w:space="0"/>
              <w:right w:val="single" w:color="auto" w:sz="4" w:space="0"/>
            </w:tcBorders>
            <w:noWrap w:val="0"/>
            <w:tcMar>
              <w:top w:w="0" w:type="dxa"/>
              <w:left w:w="28" w:type="dxa"/>
              <w:bottom w:w="0" w:type="dxa"/>
              <w:right w:w="28" w:type="dxa"/>
            </w:tcMar>
            <w:vAlign w:val="center"/>
          </w:tcPr>
          <w:p>
            <w:pPr>
              <w:widowControl/>
              <w:snapToGrid w:val="0"/>
              <w:ind w:left="-14" w:leftChars="-51" w:right="-109" w:rightChars="-52" w:hanging="93" w:hangingChars="44"/>
              <w:jc w:val="center"/>
              <w:rPr>
                <w:b/>
                <w:iCs/>
                <w:kern w:val="0"/>
                <w:szCs w:val="21"/>
              </w:rPr>
            </w:pPr>
            <w:r>
              <w:rPr>
                <w:b/>
                <w:iCs/>
                <w:kern w:val="0"/>
                <w:szCs w:val="21"/>
              </w:rPr>
              <w:t>用水</w:t>
            </w:r>
          </w:p>
          <w:p>
            <w:pPr>
              <w:widowControl/>
              <w:snapToGrid w:val="0"/>
              <w:ind w:left="-14" w:leftChars="-51" w:right="-109" w:rightChars="-52" w:hanging="93" w:hangingChars="44"/>
              <w:jc w:val="center"/>
              <w:rPr>
                <w:b/>
                <w:iCs/>
                <w:kern w:val="0"/>
                <w:szCs w:val="21"/>
              </w:rPr>
            </w:pPr>
            <w:r>
              <w:rPr>
                <w:b/>
                <w:iCs/>
                <w:kern w:val="0"/>
                <w:szCs w:val="21"/>
              </w:rPr>
              <w:t>性质</w:t>
            </w:r>
          </w:p>
        </w:tc>
        <w:tc>
          <w:tcPr>
            <w:tcW w:w="967" w:type="pct"/>
            <w:gridSpan w:val="2"/>
            <w:tcBorders>
              <w:top w:val="single" w:color="auto" w:sz="12"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widowControl/>
              <w:snapToGrid w:val="0"/>
              <w:ind w:left="-14" w:leftChars="-51" w:right="-109" w:rightChars="-52" w:hanging="93" w:hangingChars="44"/>
              <w:jc w:val="center"/>
              <w:rPr>
                <w:b/>
                <w:iCs/>
                <w:kern w:val="0"/>
                <w:szCs w:val="21"/>
              </w:rPr>
            </w:pPr>
            <w:r>
              <w:rPr>
                <w:b/>
                <w:iCs/>
                <w:kern w:val="0"/>
                <w:szCs w:val="21"/>
              </w:rPr>
              <w:t>饮水量</w:t>
            </w:r>
            <w:r>
              <w:rPr>
                <w:b/>
                <w:iCs/>
                <w:szCs w:val="21"/>
              </w:rPr>
              <w:t>（L/头·d）</w:t>
            </w:r>
          </w:p>
        </w:tc>
        <w:tc>
          <w:tcPr>
            <w:tcW w:w="648" w:type="pct"/>
            <w:vMerge w:val="restart"/>
            <w:tcBorders>
              <w:top w:val="single" w:color="auto" w:sz="12"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widowControl/>
              <w:snapToGrid w:val="0"/>
              <w:ind w:left="-14" w:leftChars="-51" w:right="-109" w:rightChars="-52" w:hanging="93" w:hangingChars="44"/>
              <w:jc w:val="center"/>
              <w:rPr>
                <w:b/>
                <w:iCs/>
                <w:kern w:val="0"/>
                <w:szCs w:val="21"/>
              </w:rPr>
            </w:pPr>
            <w:r>
              <w:rPr>
                <w:b/>
                <w:iCs/>
                <w:kern w:val="0"/>
                <w:szCs w:val="21"/>
              </w:rPr>
              <w:t>用水单位</w:t>
            </w:r>
          </w:p>
          <w:p>
            <w:pPr>
              <w:snapToGrid w:val="0"/>
              <w:ind w:left="-14" w:leftChars="-51" w:right="-109" w:rightChars="-52" w:hanging="93" w:hangingChars="44"/>
              <w:jc w:val="center"/>
              <w:rPr>
                <w:b/>
                <w:iCs/>
                <w:kern w:val="0"/>
                <w:szCs w:val="21"/>
              </w:rPr>
            </w:pPr>
            <w:r>
              <w:rPr>
                <w:b/>
                <w:iCs/>
                <w:szCs w:val="21"/>
              </w:rPr>
              <w:t>（头）</w:t>
            </w:r>
          </w:p>
        </w:tc>
        <w:tc>
          <w:tcPr>
            <w:tcW w:w="2725" w:type="pct"/>
            <w:gridSpan w:val="3"/>
            <w:tcBorders>
              <w:top w:val="single" w:color="auto" w:sz="12" w:space="0"/>
              <w:left w:val="single" w:color="auto" w:sz="4" w:space="0"/>
              <w:bottom w:val="nil"/>
              <w:right w:val="single" w:color="auto" w:sz="12" w:space="0"/>
            </w:tcBorders>
            <w:noWrap w:val="0"/>
            <w:tcMar>
              <w:top w:w="0" w:type="dxa"/>
              <w:left w:w="28" w:type="dxa"/>
              <w:bottom w:w="0" w:type="dxa"/>
              <w:right w:w="28" w:type="dxa"/>
            </w:tcMar>
            <w:vAlign w:val="center"/>
          </w:tcPr>
          <w:p>
            <w:pPr>
              <w:widowControl/>
              <w:snapToGrid w:val="0"/>
              <w:ind w:right="-109" w:rightChars="-52"/>
              <w:jc w:val="center"/>
              <w:rPr>
                <w:b/>
                <w:iCs/>
                <w:kern w:val="0"/>
                <w:szCs w:val="21"/>
              </w:rPr>
            </w:pPr>
            <w:r>
              <w:rPr>
                <w:b/>
                <w:iCs/>
                <w:kern w:val="0"/>
                <w:szCs w:val="21"/>
              </w:rPr>
              <w:t>饮水总量</w:t>
            </w:r>
          </w:p>
        </w:tc>
      </w:tr>
      <w:tr>
        <w:tblPrEx>
          <w:tblCellMar>
            <w:top w:w="0" w:type="dxa"/>
            <w:left w:w="108" w:type="dxa"/>
            <w:bottom w:w="0" w:type="dxa"/>
            <w:right w:w="108" w:type="dxa"/>
          </w:tblCellMar>
        </w:tblPrEx>
        <w:trPr>
          <w:cantSplit/>
          <w:trHeight w:val="454" w:hRule="atLeast"/>
          <w:jc w:val="center"/>
        </w:trPr>
        <w:tc>
          <w:tcPr>
            <w:tcW w:w="659" w:type="pct"/>
            <w:vMerge w:val="continue"/>
            <w:tcBorders>
              <w:top w:val="single" w:color="auto" w:sz="12" w:space="0"/>
              <w:left w:val="single" w:color="auto" w:sz="12" w:space="0"/>
              <w:bottom w:val="single" w:color="auto" w:sz="4" w:space="0"/>
              <w:right w:val="single" w:color="auto" w:sz="4" w:space="0"/>
            </w:tcBorders>
            <w:noWrap w:val="0"/>
            <w:tcMar>
              <w:top w:w="0" w:type="dxa"/>
              <w:left w:w="28" w:type="dxa"/>
              <w:bottom w:w="0" w:type="dxa"/>
              <w:right w:w="28" w:type="dxa"/>
            </w:tcMar>
            <w:vAlign w:val="center"/>
          </w:tcPr>
          <w:p>
            <w:pPr>
              <w:widowControl/>
              <w:jc w:val="left"/>
              <w:rPr>
                <w:b/>
                <w:iCs/>
                <w:kern w:val="0"/>
                <w:szCs w:val="21"/>
              </w:rPr>
            </w:pPr>
          </w:p>
        </w:tc>
        <w:tc>
          <w:tcPr>
            <w:tcW w:w="402" w:type="pct"/>
            <w:tcBorders>
              <w:top w:val="single" w:color="auto" w:sz="4"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widowControl/>
              <w:snapToGrid w:val="0"/>
              <w:ind w:left="-14" w:leftChars="-51" w:right="-109" w:rightChars="-52" w:hanging="93" w:hangingChars="44"/>
              <w:jc w:val="center"/>
              <w:rPr>
                <w:b/>
                <w:iCs/>
                <w:kern w:val="0"/>
                <w:szCs w:val="21"/>
              </w:rPr>
            </w:pPr>
            <w:r>
              <w:rPr>
                <w:b/>
                <w:iCs/>
                <w:kern w:val="0"/>
                <w:szCs w:val="21"/>
              </w:rPr>
              <w:t>夏季</w:t>
            </w:r>
          </w:p>
        </w:tc>
        <w:tc>
          <w:tcPr>
            <w:tcW w:w="564" w:type="pct"/>
            <w:tcBorders>
              <w:top w:val="single" w:color="auto" w:sz="4"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widowControl/>
              <w:snapToGrid w:val="0"/>
              <w:ind w:left="-14" w:leftChars="-51" w:right="-109" w:rightChars="-52" w:hanging="93" w:hangingChars="44"/>
              <w:jc w:val="center"/>
              <w:rPr>
                <w:b/>
                <w:iCs/>
                <w:kern w:val="0"/>
                <w:szCs w:val="21"/>
              </w:rPr>
            </w:pPr>
            <w:r>
              <w:rPr>
                <w:b/>
                <w:iCs/>
                <w:kern w:val="0"/>
                <w:szCs w:val="21"/>
              </w:rPr>
              <w:t>其他季节</w:t>
            </w:r>
          </w:p>
        </w:tc>
        <w:tc>
          <w:tcPr>
            <w:tcW w:w="648" w:type="pct"/>
            <w:vMerge w:val="continue"/>
            <w:tcBorders>
              <w:top w:val="single" w:color="auto" w:sz="12"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widowControl/>
              <w:jc w:val="left"/>
              <w:rPr>
                <w:b/>
                <w:iCs/>
                <w:kern w:val="0"/>
                <w:szCs w:val="21"/>
              </w:rPr>
            </w:pPr>
          </w:p>
        </w:tc>
        <w:tc>
          <w:tcPr>
            <w:tcW w:w="967" w:type="pct"/>
            <w:tcBorders>
              <w:top w:val="single" w:color="auto" w:sz="4" w:space="0"/>
              <w:left w:val="single" w:color="auto" w:sz="4" w:space="0"/>
              <w:right w:val="single" w:color="auto" w:sz="4" w:space="0"/>
            </w:tcBorders>
            <w:noWrap w:val="0"/>
            <w:tcMar>
              <w:top w:w="0" w:type="dxa"/>
              <w:left w:w="28" w:type="dxa"/>
              <w:bottom w:w="0" w:type="dxa"/>
              <w:right w:w="28" w:type="dxa"/>
            </w:tcMar>
            <w:vAlign w:val="center"/>
          </w:tcPr>
          <w:p>
            <w:pPr>
              <w:widowControl/>
              <w:snapToGrid w:val="0"/>
              <w:ind w:left="-14" w:leftChars="-51" w:right="-109" w:rightChars="-52" w:hanging="93" w:hangingChars="44"/>
              <w:jc w:val="center"/>
              <w:rPr>
                <w:b/>
                <w:iCs/>
                <w:szCs w:val="21"/>
              </w:rPr>
            </w:pPr>
            <w:r>
              <w:rPr>
                <w:b/>
                <w:iCs/>
                <w:szCs w:val="21"/>
              </w:rPr>
              <w:t>夏季122d</w:t>
            </w:r>
          </w:p>
          <w:p>
            <w:pPr>
              <w:widowControl/>
              <w:snapToGrid w:val="0"/>
              <w:ind w:left="-14" w:leftChars="-51" w:right="-109" w:rightChars="-52" w:hanging="93" w:hangingChars="44"/>
              <w:jc w:val="center"/>
              <w:rPr>
                <w:b/>
                <w:iCs/>
                <w:szCs w:val="21"/>
              </w:rPr>
            </w:pPr>
            <w:r>
              <w:rPr>
                <w:b/>
                <w:iCs/>
                <w:kern w:val="0"/>
                <w:szCs w:val="21"/>
              </w:rPr>
              <w:t>（m</w:t>
            </w:r>
            <w:r>
              <w:rPr>
                <w:b/>
                <w:iCs/>
                <w:kern w:val="0"/>
                <w:szCs w:val="21"/>
                <w:vertAlign w:val="superscript"/>
              </w:rPr>
              <w:t>3</w:t>
            </w:r>
            <w:r>
              <w:rPr>
                <w:b/>
                <w:iCs/>
                <w:kern w:val="0"/>
                <w:szCs w:val="21"/>
              </w:rPr>
              <w:t>/d）</w:t>
            </w:r>
          </w:p>
        </w:tc>
        <w:tc>
          <w:tcPr>
            <w:tcW w:w="926" w:type="pct"/>
            <w:tcBorders>
              <w:top w:val="single" w:color="auto" w:sz="4"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widowControl/>
              <w:snapToGrid w:val="0"/>
              <w:ind w:left="-14" w:leftChars="-51" w:right="-109" w:rightChars="-52" w:hanging="93" w:hangingChars="44"/>
              <w:jc w:val="center"/>
              <w:rPr>
                <w:b/>
                <w:iCs/>
                <w:szCs w:val="21"/>
              </w:rPr>
            </w:pPr>
            <w:r>
              <w:rPr>
                <w:b/>
                <w:iCs/>
                <w:szCs w:val="21"/>
              </w:rPr>
              <w:t>其他季节243d</w:t>
            </w:r>
          </w:p>
          <w:p>
            <w:pPr>
              <w:widowControl/>
              <w:snapToGrid w:val="0"/>
              <w:ind w:left="-14" w:leftChars="-51" w:right="-109" w:rightChars="-52" w:hanging="93" w:hangingChars="44"/>
              <w:jc w:val="center"/>
              <w:rPr>
                <w:b/>
                <w:iCs/>
                <w:szCs w:val="21"/>
              </w:rPr>
            </w:pPr>
            <w:r>
              <w:rPr>
                <w:b/>
                <w:iCs/>
                <w:kern w:val="0"/>
                <w:szCs w:val="21"/>
              </w:rPr>
              <w:t>（m</w:t>
            </w:r>
            <w:r>
              <w:rPr>
                <w:b/>
                <w:iCs/>
                <w:kern w:val="0"/>
                <w:szCs w:val="21"/>
                <w:vertAlign w:val="superscript"/>
              </w:rPr>
              <w:t>3</w:t>
            </w:r>
            <w:r>
              <w:rPr>
                <w:b/>
                <w:iCs/>
                <w:kern w:val="0"/>
                <w:szCs w:val="21"/>
              </w:rPr>
              <w:t>/d）</w:t>
            </w:r>
          </w:p>
        </w:tc>
        <w:tc>
          <w:tcPr>
            <w:tcW w:w="831" w:type="pct"/>
            <w:tcBorders>
              <w:top w:val="single" w:color="auto" w:sz="4" w:space="0"/>
              <w:left w:val="single" w:color="auto" w:sz="4" w:space="0"/>
              <w:bottom w:val="single" w:color="auto" w:sz="4" w:space="0"/>
              <w:right w:val="single" w:color="auto" w:sz="12" w:space="0"/>
            </w:tcBorders>
            <w:noWrap w:val="0"/>
            <w:tcMar>
              <w:top w:w="0" w:type="dxa"/>
              <w:left w:w="28" w:type="dxa"/>
              <w:bottom w:w="0" w:type="dxa"/>
              <w:right w:w="28" w:type="dxa"/>
            </w:tcMar>
            <w:vAlign w:val="center"/>
          </w:tcPr>
          <w:p>
            <w:pPr>
              <w:widowControl/>
              <w:snapToGrid w:val="0"/>
              <w:ind w:right="-109" w:rightChars="-52"/>
              <w:jc w:val="center"/>
              <w:rPr>
                <w:b/>
                <w:iCs/>
                <w:kern w:val="0"/>
                <w:szCs w:val="21"/>
              </w:rPr>
            </w:pPr>
            <w:r>
              <w:rPr>
                <w:rFonts w:hint="eastAsia"/>
                <w:b/>
                <w:iCs/>
                <w:kern w:val="0"/>
                <w:szCs w:val="21"/>
              </w:rPr>
              <w:t>合</w:t>
            </w:r>
            <w:r>
              <w:rPr>
                <w:b/>
                <w:iCs/>
                <w:kern w:val="0"/>
                <w:szCs w:val="21"/>
              </w:rPr>
              <w:t>计</w:t>
            </w:r>
          </w:p>
          <w:p>
            <w:pPr>
              <w:widowControl/>
              <w:snapToGrid w:val="0"/>
              <w:ind w:right="-109" w:rightChars="-52"/>
              <w:jc w:val="center"/>
              <w:rPr>
                <w:b/>
                <w:iCs/>
                <w:kern w:val="0"/>
                <w:szCs w:val="21"/>
              </w:rPr>
            </w:pPr>
            <w:r>
              <w:rPr>
                <w:b/>
                <w:iCs/>
                <w:kern w:val="0"/>
                <w:szCs w:val="21"/>
              </w:rPr>
              <w:t>（m</w:t>
            </w:r>
            <w:r>
              <w:rPr>
                <w:b/>
                <w:iCs/>
                <w:kern w:val="0"/>
                <w:szCs w:val="21"/>
                <w:vertAlign w:val="superscript"/>
              </w:rPr>
              <w:t>3</w:t>
            </w:r>
            <w:r>
              <w:rPr>
                <w:b/>
                <w:iCs/>
                <w:kern w:val="0"/>
                <w:szCs w:val="21"/>
              </w:rPr>
              <w:t>/a）</w:t>
            </w:r>
          </w:p>
        </w:tc>
      </w:tr>
      <w:tr>
        <w:tblPrEx>
          <w:tblCellMar>
            <w:top w:w="0" w:type="dxa"/>
            <w:left w:w="108" w:type="dxa"/>
            <w:bottom w:w="0" w:type="dxa"/>
            <w:right w:w="108" w:type="dxa"/>
          </w:tblCellMar>
        </w:tblPrEx>
        <w:trPr>
          <w:cantSplit/>
          <w:trHeight w:val="454" w:hRule="atLeast"/>
          <w:jc w:val="center"/>
        </w:trPr>
        <w:tc>
          <w:tcPr>
            <w:tcW w:w="659" w:type="pct"/>
            <w:tcBorders>
              <w:top w:val="single" w:color="auto" w:sz="4" w:space="0"/>
              <w:left w:val="single" w:color="auto" w:sz="12" w:space="0"/>
              <w:bottom w:val="single" w:color="auto" w:sz="4" w:space="0"/>
              <w:right w:val="single" w:color="auto" w:sz="4" w:space="0"/>
            </w:tcBorders>
            <w:noWrap w:val="0"/>
            <w:tcMar>
              <w:top w:w="0" w:type="dxa"/>
              <w:left w:w="28" w:type="dxa"/>
              <w:bottom w:w="0" w:type="dxa"/>
              <w:right w:w="28" w:type="dxa"/>
            </w:tcMar>
            <w:vAlign w:val="center"/>
          </w:tcPr>
          <w:p>
            <w:pPr>
              <w:widowControl/>
              <w:snapToGrid w:val="0"/>
              <w:ind w:left="-15" w:leftChars="-51" w:right="-109" w:rightChars="-52" w:hanging="92" w:hangingChars="44"/>
              <w:jc w:val="center"/>
              <w:rPr>
                <w:iCs/>
                <w:kern w:val="0"/>
                <w:szCs w:val="21"/>
              </w:rPr>
            </w:pPr>
            <w:r>
              <w:rPr>
                <w:rFonts w:hint="eastAsia"/>
                <w:iCs/>
                <w:kern w:val="0"/>
                <w:szCs w:val="21"/>
              </w:rPr>
              <w:t>育肥猪</w:t>
            </w:r>
          </w:p>
        </w:tc>
        <w:tc>
          <w:tcPr>
            <w:tcW w:w="402" w:type="pct"/>
            <w:tcBorders>
              <w:top w:val="single" w:color="auto" w:sz="4"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jc w:val="center"/>
              <w:rPr>
                <w:iCs/>
                <w:szCs w:val="21"/>
              </w:rPr>
            </w:pPr>
            <w:r>
              <w:rPr>
                <w:rFonts w:hint="eastAsia"/>
                <w:iCs/>
                <w:szCs w:val="21"/>
              </w:rPr>
              <w:t>11.0</w:t>
            </w:r>
          </w:p>
        </w:tc>
        <w:tc>
          <w:tcPr>
            <w:tcW w:w="564" w:type="pct"/>
            <w:tcBorders>
              <w:top w:val="single" w:color="auto" w:sz="4"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jc w:val="center"/>
              <w:rPr>
                <w:iCs/>
                <w:szCs w:val="21"/>
              </w:rPr>
            </w:pPr>
            <w:r>
              <w:rPr>
                <w:rFonts w:hint="eastAsia"/>
                <w:iCs/>
                <w:szCs w:val="21"/>
              </w:rPr>
              <w:t>6.5</w:t>
            </w:r>
          </w:p>
        </w:tc>
        <w:tc>
          <w:tcPr>
            <w:tcW w:w="648" w:type="pct"/>
            <w:tcBorders>
              <w:top w:val="single" w:color="auto" w:sz="4"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jc w:val="center"/>
              <w:rPr>
                <w:iCs/>
                <w:szCs w:val="21"/>
              </w:rPr>
            </w:pPr>
            <w:r>
              <w:rPr>
                <w:rFonts w:hint="eastAsia"/>
                <w:iCs/>
                <w:szCs w:val="21"/>
                <w:lang w:val="en-US" w:eastAsia="zh-CN"/>
              </w:rPr>
              <w:t>4</w:t>
            </w:r>
            <w:r>
              <w:rPr>
                <w:rFonts w:hint="eastAsia"/>
                <w:iCs/>
                <w:szCs w:val="21"/>
              </w:rPr>
              <w:t>200</w:t>
            </w:r>
          </w:p>
        </w:tc>
        <w:tc>
          <w:tcPr>
            <w:tcW w:w="967" w:type="pct"/>
            <w:tcBorders>
              <w:top w:val="single" w:color="auto" w:sz="4"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widowControl/>
              <w:jc w:val="center"/>
              <w:textAlignment w:val="center"/>
              <w:rPr>
                <w:rFonts w:hint="default" w:eastAsia="宋体"/>
                <w:iCs/>
                <w:szCs w:val="21"/>
                <w:lang w:val="en-US" w:eastAsia="zh-CN"/>
              </w:rPr>
            </w:pPr>
            <w:r>
              <w:rPr>
                <w:rFonts w:hint="eastAsia"/>
                <w:iCs/>
                <w:szCs w:val="21"/>
                <w:lang w:val="en-US" w:eastAsia="zh-CN"/>
              </w:rPr>
              <w:t>46.2</w:t>
            </w:r>
          </w:p>
        </w:tc>
        <w:tc>
          <w:tcPr>
            <w:tcW w:w="926" w:type="pct"/>
            <w:tcBorders>
              <w:top w:val="single" w:color="auto" w:sz="4"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widowControl/>
              <w:jc w:val="center"/>
              <w:textAlignment w:val="center"/>
              <w:rPr>
                <w:rFonts w:hint="default" w:eastAsia="宋体"/>
                <w:iCs/>
                <w:szCs w:val="21"/>
                <w:lang w:val="en-US" w:eastAsia="zh-CN"/>
              </w:rPr>
            </w:pPr>
            <w:r>
              <w:rPr>
                <w:rFonts w:hint="eastAsia"/>
                <w:iCs/>
                <w:szCs w:val="21"/>
                <w:lang w:val="en-US" w:eastAsia="zh-CN"/>
              </w:rPr>
              <w:t>27.3</w:t>
            </w:r>
          </w:p>
        </w:tc>
        <w:tc>
          <w:tcPr>
            <w:tcW w:w="831" w:type="pct"/>
            <w:tcBorders>
              <w:top w:val="single" w:color="auto" w:sz="4" w:space="0"/>
              <w:left w:val="single" w:color="auto" w:sz="4" w:space="0"/>
              <w:bottom w:val="single" w:color="auto" w:sz="4" w:space="0"/>
              <w:right w:val="single" w:color="auto" w:sz="12" w:space="0"/>
            </w:tcBorders>
            <w:noWrap w:val="0"/>
            <w:tcMar>
              <w:top w:w="0" w:type="dxa"/>
              <w:left w:w="28" w:type="dxa"/>
              <w:bottom w:w="0" w:type="dxa"/>
              <w:right w:w="28" w:type="dxa"/>
            </w:tcMar>
            <w:vAlign w:val="center"/>
          </w:tcPr>
          <w:p>
            <w:pPr>
              <w:widowControl/>
              <w:jc w:val="center"/>
              <w:textAlignment w:val="center"/>
              <w:rPr>
                <w:rFonts w:hint="default" w:eastAsia="宋体"/>
                <w:iCs/>
                <w:szCs w:val="21"/>
                <w:lang w:val="en-US" w:eastAsia="zh-CN"/>
              </w:rPr>
            </w:pPr>
            <w:r>
              <w:rPr>
                <w:rFonts w:hint="eastAsia"/>
                <w:iCs/>
                <w:szCs w:val="21"/>
                <w:lang w:val="en-US" w:eastAsia="zh-CN"/>
              </w:rPr>
              <w:t>12270.3</w:t>
            </w:r>
          </w:p>
        </w:tc>
      </w:tr>
    </w:tbl>
    <w:p>
      <w:pPr>
        <w:spacing w:after="72" w:afterLines="30" w:line="500" w:lineRule="exact"/>
        <w:jc w:val="center"/>
        <w:rPr>
          <w:b/>
          <w:sz w:val="24"/>
        </w:rPr>
      </w:pPr>
      <w:r>
        <w:rPr>
          <w:b/>
          <w:sz w:val="24"/>
        </w:rPr>
        <w:t>表2.1-9     猪舍冲洗水</w:t>
      </w:r>
      <w:r>
        <w:rPr>
          <w:rFonts w:hint="eastAsia"/>
          <w:b/>
          <w:sz w:val="24"/>
        </w:rPr>
        <w:t>用水</w:t>
      </w:r>
      <w:r>
        <w:rPr>
          <w:b/>
          <w:sz w:val="24"/>
        </w:rPr>
        <w:t>一览表</w:t>
      </w:r>
    </w:p>
    <w:tbl>
      <w:tblPr>
        <w:tblStyle w:val="1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87"/>
        <w:gridCol w:w="2601"/>
        <w:gridCol w:w="3853"/>
        <w:gridCol w:w="91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89" w:hRule="atLeast"/>
          <w:jc w:val="center"/>
        </w:trPr>
        <w:tc>
          <w:tcPr>
            <w:tcW w:w="2309" w:type="pct"/>
            <w:gridSpan w:val="2"/>
            <w:noWrap w:val="0"/>
            <w:tcMar>
              <w:top w:w="0" w:type="dxa"/>
              <w:left w:w="0" w:type="dxa"/>
              <w:bottom w:w="0" w:type="dxa"/>
              <w:right w:w="0" w:type="dxa"/>
            </w:tcMar>
            <w:vAlign w:val="center"/>
          </w:tcPr>
          <w:p>
            <w:pPr>
              <w:keepNext w:val="0"/>
              <w:keepLines w:val="0"/>
              <w:pageBreakBefore w:val="0"/>
              <w:kinsoku/>
              <w:wordWrap/>
              <w:overflowPunct/>
              <w:topLinePunct w:val="0"/>
              <w:autoSpaceDE/>
              <w:autoSpaceDN/>
              <w:bidi w:val="0"/>
              <w:spacing w:line="240" w:lineRule="auto"/>
              <w:jc w:val="center"/>
              <w:textAlignment w:val="auto"/>
              <w:rPr>
                <w:b/>
                <w:bCs/>
                <w:iCs/>
                <w:szCs w:val="21"/>
              </w:rPr>
            </w:pPr>
            <w:r>
              <w:rPr>
                <w:b/>
                <w:bCs/>
                <w:iCs/>
              </w:rPr>
              <w:t>种类</w:t>
            </w:r>
          </w:p>
        </w:tc>
        <w:tc>
          <w:tcPr>
            <w:tcW w:w="2176" w:type="pct"/>
            <w:noWrap w:val="0"/>
            <w:tcMar>
              <w:top w:w="0" w:type="dxa"/>
              <w:left w:w="0" w:type="dxa"/>
              <w:bottom w:w="0" w:type="dxa"/>
              <w:right w:w="0" w:type="dxa"/>
            </w:tcMar>
            <w:vAlign w:val="center"/>
          </w:tcPr>
          <w:p>
            <w:pPr>
              <w:keepNext w:val="0"/>
              <w:keepLines w:val="0"/>
              <w:pageBreakBefore w:val="0"/>
              <w:kinsoku/>
              <w:wordWrap/>
              <w:overflowPunct/>
              <w:topLinePunct w:val="0"/>
              <w:autoSpaceDE/>
              <w:autoSpaceDN/>
              <w:bidi w:val="0"/>
              <w:spacing w:line="240" w:lineRule="auto"/>
              <w:jc w:val="center"/>
              <w:textAlignment w:val="auto"/>
              <w:rPr>
                <w:rFonts w:hint="eastAsia"/>
                <w:b/>
                <w:bCs/>
                <w:iCs/>
                <w:szCs w:val="21"/>
              </w:rPr>
            </w:pPr>
            <w:r>
              <w:rPr>
                <w:rFonts w:hint="eastAsia"/>
                <w:b/>
                <w:bCs/>
                <w:iCs/>
                <w:szCs w:val="21"/>
              </w:rPr>
              <w:t>育肥舍</w:t>
            </w:r>
          </w:p>
        </w:tc>
        <w:tc>
          <w:tcPr>
            <w:tcW w:w="514" w:type="pct"/>
            <w:noWrap w:val="0"/>
            <w:vAlign w:val="center"/>
          </w:tcPr>
          <w:p>
            <w:pPr>
              <w:keepNext w:val="0"/>
              <w:keepLines w:val="0"/>
              <w:pageBreakBefore w:val="0"/>
              <w:kinsoku/>
              <w:wordWrap/>
              <w:overflowPunct/>
              <w:topLinePunct w:val="0"/>
              <w:autoSpaceDE/>
              <w:autoSpaceDN/>
              <w:bidi w:val="0"/>
              <w:spacing w:line="240" w:lineRule="auto"/>
              <w:jc w:val="center"/>
              <w:textAlignment w:val="auto"/>
              <w:rPr>
                <w:b/>
                <w:bCs/>
                <w:iCs/>
                <w:szCs w:val="21"/>
              </w:rPr>
            </w:pPr>
            <w:r>
              <w:rPr>
                <w:b/>
                <w:bCs/>
                <w:iCs/>
              </w:rPr>
              <w:t>合计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08" w:hRule="atLeast"/>
          <w:jc w:val="center"/>
        </w:trPr>
        <w:tc>
          <w:tcPr>
            <w:tcW w:w="2309" w:type="pct"/>
            <w:gridSpan w:val="2"/>
            <w:noWrap w:val="0"/>
            <w:tcMar>
              <w:top w:w="0" w:type="dxa"/>
              <w:left w:w="0" w:type="dxa"/>
              <w:bottom w:w="0" w:type="dxa"/>
              <w:right w:w="0" w:type="dxa"/>
            </w:tcMar>
            <w:vAlign w:val="center"/>
          </w:tcPr>
          <w:p>
            <w:pPr>
              <w:keepNext w:val="0"/>
              <w:keepLines w:val="0"/>
              <w:pageBreakBefore w:val="0"/>
              <w:kinsoku/>
              <w:wordWrap/>
              <w:overflowPunct/>
              <w:topLinePunct w:val="0"/>
              <w:autoSpaceDE/>
              <w:autoSpaceDN/>
              <w:bidi w:val="0"/>
              <w:spacing w:line="240" w:lineRule="auto"/>
              <w:jc w:val="center"/>
              <w:textAlignment w:val="auto"/>
              <w:rPr>
                <w:iCs/>
                <w:szCs w:val="21"/>
              </w:rPr>
            </w:pPr>
            <w:r>
              <w:rPr>
                <w:iCs/>
              </w:rPr>
              <w:t>猪舍（</w:t>
            </w:r>
            <w:r>
              <w:rPr>
                <w:rFonts w:hint="eastAsia"/>
                <w:iCs/>
              </w:rPr>
              <w:t>单元</w:t>
            </w:r>
            <w:r>
              <w:rPr>
                <w:iCs/>
              </w:rPr>
              <w:t>）</w:t>
            </w:r>
          </w:p>
        </w:tc>
        <w:tc>
          <w:tcPr>
            <w:tcW w:w="2176" w:type="pct"/>
            <w:noWrap w:val="0"/>
            <w:tcMar>
              <w:top w:w="0" w:type="dxa"/>
              <w:left w:w="0" w:type="dxa"/>
              <w:bottom w:w="0" w:type="dxa"/>
              <w:right w:w="0" w:type="dxa"/>
            </w:tcMar>
            <w:vAlign w:val="center"/>
          </w:tcPr>
          <w:p>
            <w:pPr>
              <w:keepNext w:val="0"/>
              <w:keepLines w:val="0"/>
              <w:pageBreakBefore w:val="0"/>
              <w:kinsoku/>
              <w:wordWrap/>
              <w:overflowPunct/>
              <w:topLinePunct w:val="0"/>
              <w:autoSpaceDE/>
              <w:autoSpaceDN/>
              <w:bidi w:val="0"/>
              <w:spacing w:line="240" w:lineRule="auto"/>
              <w:jc w:val="center"/>
              <w:textAlignment w:val="auto"/>
              <w:rPr>
                <w:rFonts w:hint="default" w:eastAsia="宋体"/>
                <w:iCs/>
                <w:szCs w:val="21"/>
                <w:lang w:val="en-US" w:eastAsia="zh-CN"/>
              </w:rPr>
            </w:pPr>
            <w:r>
              <w:rPr>
                <w:rFonts w:hint="eastAsia"/>
                <w:iCs/>
                <w:szCs w:val="21"/>
                <w:lang w:val="en-US" w:eastAsia="zh-CN"/>
              </w:rPr>
              <w:t>10</w:t>
            </w:r>
          </w:p>
        </w:tc>
        <w:tc>
          <w:tcPr>
            <w:tcW w:w="514" w:type="pct"/>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hint="eastAsia"/>
                <w:bCs/>
                <w:iCs/>
                <w:szCs w:val="21"/>
              </w:rPr>
            </w:pPr>
            <w:r>
              <w:rPr>
                <w:rFonts w:hint="eastAsia"/>
                <w:bCs/>
                <w:i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09" w:type="pct"/>
            <w:gridSpan w:val="2"/>
            <w:noWrap w:val="0"/>
            <w:tcMar>
              <w:top w:w="0" w:type="dxa"/>
              <w:left w:w="0" w:type="dxa"/>
              <w:bottom w:w="0" w:type="dxa"/>
              <w:right w:w="0" w:type="dxa"/>
            </w:tcMar>
            <w:vAlign w:val="center"/>
          </w:tcPr>
          <w:p>
            <w:pPr>
              <w:keepNext w:val="0"/>
              <w:keepLines w:val="0"/>
              <w:pageBreakBefore w:val="0"/>
              <w:kinsoku/>
              <w:wordWrap/>
              <w:overflowPunct/>
              <w:topLinePunct w:val="0"/>
              <w:autoSpaceDE/>
              <w:autoSpaceDN/>
              <w:bidi w:val="0"/>
              <w:spacing w:line="240" w:lineRule="auto"/>
              <w:jc w:val="center"/>
              <w:textAlignment w:val="auto"/>
              <w:rPr>
                <w:iCs/>
                <w:szCs w:val="21"/>
              </w:rPr>
            </w:pPr>
            <w:r>
              <w:rPr>
                <w:iCs/>
              </w:rPr>
              <w:t>存栏数（头）</w:t>
            </w:r>
          </w:p>
        </w:tc>
        <w:tc>
          <w:tcPr>
            <w:tcW w:w="2176" w:type="pct"/>
            <w:noWrap w:val="0"/>
            <w:tcMar>
              <w:top w:w="0" w:type="dxa"/>
              <w:left w:w="0" w:type="dxa"/>
              <w:bottom w:w="0" w:type="dxa"/>
              <w:right w:w="0" w:type="dxa"/>
            </w:tcMar>
            <w:vAlign w:val="center"/>
          </w:tcPr>
          <w:p>
            <w:pPr>
              <w:keepNext w:val="0"/>
              <w:keepLines w:val="0"/>
              <w:pageBreakBefore w:val="0"/>
              <w:kinsoku/>
              <w:wordWrap/>
              <w:overflowPunct/>
              <w:topLinePunct w:val="0"/>
              <w:autoSpaceDE/>
              <w:autoSpaceDN/>
              <w:bidi w:val="0"/>
              <w:spacing w:line="240" w:lineRule="auto"/>
              <w:jc w:val="center"/>
              <w:textAlignment w:val="auto"/>
              <w:rPr>
                <w:iCs/>
                <w:szCs w:val="21"/>
              </w:rPr>
            </w:pPr>
            <w:r>
              <w:rPr>
                <w:rFonts w:hint="eastAsia"/>
                <w:iCs/>
                <w:szCs w:val="21"/>
                <w:lang w:val="en-US" w:eastAsia="zh-CN"/>
              </w:rPr>
              <w:t>4</w:t>
            </w:r>
            <w:r>
              <w:rPr>
                <w:rFonts w:hint="eastAsia"/>
                <w:iCs/>
                <w:szCs w:val="21"/>
              </w:rPr>
              <w:t>200</w:t>
            </w:r>
          </w:p>
        </w:tc>
        <w:tc>
          <w:tcPr>
            <w:tcW w:w="514" w:type="pct"/>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hint="eastAsia"/>
                <w:iCs/>
                <w:szCs w:val="21"/>
              </w:rPr>
            </w:pPr>
            <w:r>
              <w:rPr>
                <w:rFonts w:hint="eastAsia"/>
                <w:i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09" w:type="pct"/>
            <w:gridSpan w:val="2"/>
            <w:noWrap w:val="0"/>
            <w:tcMar>
              <w:top w:w="0" w:type="dxa"/>
              <w:left w:w="0" w:type="dxa"/>
              <w:bottom w:w="0" w:type="dxa"/>
              <w:right w:w="0" w:type="dxa"/>
            </w:tcMar>
            <w:vAlign w:val="center"/>
          </w:tcPr>
          <w:p>
            <w:pPr>
              <w:keepNext w:val="0"/>
              <w:keepLines w:val="0"/>
              <w:pageBreakBefore w:val="0"/>
              <w:kinsoku/>
              <w:wordWrap/>
              <w:overflowPunct/>
              <w:topLinePunct w:val="0"/>
              <w:autoSpaceDE/>
              <w:autoSpaceDN/>
              <w:bidi w:val="0"/>
              <w:spacing w:line="240" w:lineRule="auto"/>
              <w:jc w:val="center"/>
              <w:textAlignment w:val="auto"/>
              <w:rPr>
                <w:iCs/>
                <w:szCs w:val="21"/>
              </w:rPr>
            </w:pPr>
            <w:r>
              <w:rPr>
                <w:iCs/>
              </w:rPr>
              <w:t>清圈周期（d）</w:t>
            </w:r>
          </w:p>
        </w:tc>
        <w:tc>
          <w:tcPr>
            <w:tcW w:w="2176" w:type="pct"/>
            <w:noWrap w:val="0"/>
            <w:tcMar>
              <w:top w:w="0" w:type="dxa"/>
              <w:left w:w="0" w:type="dxa"/>
              <w:bottom w:w="0" w:type="dxa"/>
              <w:right w:w="0" w:type="dxa"/>
            </w:tcMar>
            <w:vAlign w:val="center"/>
          </w:tcPr>
          <w:p>
            <w:pPr>
              <w:keepNext w:val="0"/>
              <w:keepLines w:val="0"/>
              <w:pageBreakBefore w:val="0"/>
              <w:kinsoku/>
              <w:wordWrap/>
              <w:overflowPunct/>
              <w:topLinePunct w:val="0"/>
              <w:autoSpaceDE/>
              <w:autoSpaceDN/>
              <w:bidi w:val="0"/>
              <w:spacing w:line="240" w:lineRule="auto"/>
              <w:jc w:val="center"/>
              <w:textAlignment w:val="auto"/>
              <w:rPr>
                <w:rFonts w:hint="eastAsia"/>
                <w:iCs/>
                <w:szCs w:val="21"/>
              </w:rPr>
            </w:pPr>
            <w:r>
              <w:rPr>
                <w:rFonts w:hint="eastAsia"/>
                <w:iCs/>
                <w:szCs w:val="21"/>
              </w:rPr>
              <w:t>117</w:t>
            </w:r>
          </w:p>
        </w:tc>
        <w:tc>
          <w:tcPr>
            <w:tcW w:w="514" w:type="pct"/>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hint="eastAsia"/>
                <w:iCs/>
                <w:szCs w:val="21"/>
              </w:rPr>
            </w:pPr>
            <w:r>
              <w:rPr>
                <w:rFonts w:hint="eastAsia"/>
                <w:i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09" w:type="pct"/>
            <w:gridSpan w:val="2"/>
            <w:noWrap w:val="0"/>
            <w:tcMar>
              <w:top w:w="0" w:type="dxa"/>
              <w:left w:w="0" w:type="dxa"/>
              <w:bottom w:w="0" w:type="dxa"/>
              <w:right w:w="0" w:type="dxa"/>
            </w:tcMar>
            <w:vAlign w:val="center"/>
          </w:tcPr>
          <w:p>
            <w:pPr>
              <w:keepNext w:val="0"/>
              <w:keepLines w:val="0"/>
              <w:pageBreakBefore w:val="0"/>
              <w:kinsoku/>
              <w:wordWrap/>
              <w:overflowPunct/>
              <w:topLinePunct w:val="0"/>
              <w:autoSpaceDE/>
              <w:autoSpaceDN/>
              <w:bidi w:val="0"/>
              <w:spacing w:line="240" w:lineRule="auto"/>
              <w:jc w:val="center"/>
              <w:textAlignment w:val="auto"/>
              <w:rPr>
                <w:iCs/>
                <w:szCs w:val="21"/>
              </w:rPr>
            </w:pPr>
            <w:r>
              <w:rPr>
                <w:iCs/>
              </w:rPr>
              <w:t>清圈次数（次/a）</w:t>
            </w:r>
          </w:p>
        </w:tc>
        <w:tc>
          <w:tcPr>
            <w:tcW w:w="2176" w:type="pct"/>
            <w:noWrap w:val="0"/>
            <w:tcMar>
              <w:top w:w="0" w:type="dxa"/>
              <w:left w:w="0" w:type="dxa"/>
              <w:bottom w:w="0" w:type="dxa"/>
              <w:right w:w="0" w:type="dxa"/>
            </w:tcMar>
            <w:vAlign w:val="center"/>
          </w:tcPr>
          <w:p>
            <w:pPr>
              <w:keepNext w:val="0"/>
              <w:keepLines w:val="0"/>
              <w:pageBreakBefore w:val="0"/>
              <w:kinsoku/>
              <w:wordWrap/>
              <w:overflowPunct/>
              <w:topLinePunct w:val="0"/>
              <w:autoSpaceDE/>
              <w:autoSpaceDN/>
              <w:bidi w:val="0"/>
              <w:spacing w:line="240" w:lineRule="auto"/>
              <w:jc w:val="center"/>
              <w:textAlignment w:val="auto"/>
              <w:rPr>
                <w:rFonts w:hint="eastAsia"/>
                <w:iCs/>
                <w:szCs w:val="21"/>
              </w:rPr>
            </w:pPr>
            <w:r>
              <w:rPr>
                <w:rFonts w:hint="eastAsia"/>
                <w:iCs/>
                <w:szCs w:val="21"/>
              </w:rPr>
              <w:t>3</w:t>
            </w:r>
          </w:p>
        </w:tc>
        <w:tc>
          <w:tcPr>
            <w:tcW w:w="514" w:type="pct"/>
            <w:noWrap w:val="0"/>
            <w:vAlign w:val="center"/>
          </w:tcPr>
          <w:p>
            <w:pPr>
              <w:keepNext w:val="0"/>
              <w:keepLines w:val="0"/>
              <w:pageBreakBefore w:val="0"/>
              <w:kinsoku/>
              <w:wordWrap/>
              <w:overflowPunct/>
              <w:topLinePunct w:val="0"/>
              <w:autoSpaceDE/>
              <w:autoSpaceDN/>
              <w:bidi w:val="0"/>
              <w:spacing w:line="240" w:lineRule="auto"/>
              <w:jc w:val="center"/>
              <w:textAlignment w:val="auto"/>
              <w:rPr>
                <w:iCs/>
                <w:szCs w:val="21"/>
              </w:rPr>
            </w:pPr>
            <w:r>
              <w:rPr>
                <w:rFonts w:hint="eastAsia"/>
                <w:i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40" w:type="pct"/>
            <w:vMerge w:val="restart"/>
            <w:noWrap w:val="0"/>
            <w:tcMar>
              <w:top w:w="0" w:type="dxa"/>
              <w:left w:w="0" w:type="dxa"/>
              <w:bottom w:w="0" w:type="dxa"/>
              <w:right w:w="0" w:type="dxa"/>
            </w:tcMar>
            <w:vAlign w:val="center"/>
          </w:tcPr>
          <w:p>
            <w:pPr>
              <w:keepNext w:val="0"/>
              <w:keepLines w:val="0"/>
              <w:pageBreakBefore w:val="0"/>
              <w:kinsoku/>
              <w:wordWrap/>
              <w:overflowPunct/>
              <w:topLinePunct w:val="0"/>
              <w:autoSpaceDE/>
              <w:autoSpaceDN/>
              <w:bidi w:val="0"/>
              <w:spacing w:line="240" w:lineRule="auto"/>
              <w:jc w:val="center"/>
              <w:textAlignment w:val="auto"/>
              <w:rPr>
                <w:iCs/>
                <w:szCs w:val="21"/>
              </w:rPr>
            </w:pPr>
            <w:r>
              <w:rPr>
                <w:iCs/>
              </w:rPr>
              <w:t>猪舍冲洗水</w:t>
            </w:r>
          </w:p>
        </w:tc>
        <w:tc>
          <w:tcPr>
            <w:tcW w:w="1468" w:type="pct"/>
            <w:noWrap w:val="0"/>
            <w:vAlign w:val="center"/>
          </w:tcPr>
          <w:p>
            <w:pPr>
              <w:keepNext w:val="0"/>
              <w:keepLines w:val="0"/>
              <w:pageBreakBefore w:val="0"/>
              <w:kinsoku/>
              <w:wordWrap/>
              <w:overflowPunct/>
              <w:topLinePunct w:val="0"/>
              <w:autoSpaceDE/>
              <w:autoSpaceDN/>
              <w:bidi w:val="0"/>
              <w:spacing w:line="240" w:lineRule="auto"/>
              <w:jc w:val="center"/>
              <w:textAlignment w:val="auto"/>
              <w:rPr>
                <w:iCs/>
                <w:szCs w:val="21"/>
              </w:rPr>
            </w:pPr>
            <w:r>
              <w:rPr>
                <w:iCs/>
              </w:rPr>
              <w:t>（m</w:t>
            </w:r>
            <w:r>
              <w:rPr>
                <w:iCs/>
                <w:vertAlign w:val="superscript"/>
              </w:rPr>
              <w:t>3</w:t>
            </w:r>
            <w:r>
              <w:rPr>
                <w:iCs/>
              </w:rPr>
              <w:t>/次·</w:t>
            </w:r>
            <w:r>
              <w:rPr>
                <w:rFonts w:hint="eastAsia"/>
                <w:iCs/>
              </w:rPr>
              <w:t>单元</w:t>
            </w:r>
            <w:r>
              <w:rPr>
                <w:iCs/>
              </w:rPr>
              <w:t>）</w:t>
            </w:r>
          </w:p>
        </w:tc>
        <w:tc>
          <w:tcPr>
            <w:tcW w:w="2176" w:type="pct"/>
            <w:noWrap w:val="0"/>
            <w:tcMar>
              <w:top w:w="0" w:type="dxa"/>
              <w:left w:w="0" w:type="dxa"/>
              <w:bottom w:w="0" w:type="dxa"/>
              <w:right w:w="0" w:type="dxa"/>
            </w:tcMar>
            <w:vAlign w:val="center"/>
          </w:tcPr>
          <w:p>
            <w:pPr>
              <w:keepNext w:val="0"/>
              <w:keepLines w:val="0"/>
              <w:pageBreakBefore w:val="0"/>
              <w:kinsoku/>
              <w:wordWrap/>
              <w:overflowPunct/>
              <w:topLinePunct w:val="0"/>
              <w:autoSpaceDE/>
              <w:autoSpaceDN/>
              <w:bidi w:val="0"/>
              <w:spacing w:line="240" w:lineRule="auto"/>
              <w:jc w:val="center"/>
              <w:textAlignment w:val="auto"/>
              <w:rPr>
                <w:iCs/>
                <w:szCs w:val="21"/>
              </w:rPr>
            </w:pPr>
            <w:r>
              <w:rPr>
                <w:rFonts w:hint="eastAsia"/>
                <w:iCs/>
                <w:szCs w:val="21"/>
              </w:rPr>
              <w:t>19.77</w:t>
            </w:r>
          </w:p>
        </w:tc>
        <w:tc>
          <w:tcPr>
            <w:tcW w:w="514" w:type="pct"/>
            <w:noWrap w:val="0"/>
            <w:vAlign w:val="center"/>
          </w:tcPr>
          <w:p>
            <w:pPr>
              <w:keepNext w:val="0"/>
              <w:keepLines w:val="0"/>
              <w:pageBreakBefore w:val="0"/>
              <w:kinsoku/>
              <w:wordWrap/>
              <w:overflowPunct/>
              <w:topLinePunct w:val="0"/>
              <w:autoSpaceDE/>
              <w:autoSpaceDN/>
              <w:bidi w:val="0"/>
              <w:spacing w:line="240" w:lineRule="auto"/>
              <w:jc w:val="center"/>
              <w:textAlignment w:val="auto"/>
              <w:rPr>
                <w:iCs/>
                <w:szCs w:val="21"/>
              </w:rPr>
            </w:pPr>
            <w:r>
              <w:rPr>
                <w:rFonts w:hint="eastAsia"/>
                <w:i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40" w:type="pct"/>
            <w:vMerge w:val="continue"/>
            <w:noWrap w:val="0"/>
            <w:vAlign w:val="center"/>
          </w:tcPr>
          <w:p>
            <w:pPr>
              <w:keepNext w:val="0"/>
              <w:keepLines w:val="0"/>
              <w:pageBreakBefore w:val="0"/>
              <w:widowControl/>
              <w:kinsoku/>
              <w:wordWrap/>
              <w:overflowPunct/>
              <w:topLinePunct w:val="0"/>
              <w:autoSpaceDE/>
              <w:autoSpaceDN/>
              <w:bidi w:val="0"/>
              <w:spacing w:line="240" w:lineRule="auto"/>
              <w:jc w:val="center"/>
              <w:textAlignment w:val="auto"/>
              <w:rPr>
                <w:iCs/>
                <w:szCs w:val="21"/>
              </w:rPr>
            </w:pPr>
          </w:p>
        </w:tc>
        <w:tc>
          <w:tcPr>
            <w:tcW w:w="1468" w:type="pct"/>
            <w:noWrap w:val="0"/>
            <w:vAlign w:val="center"/>
          </w:tcPr>
          <w:p>
            <w:pPr>
              <w:keepNext w:val="0"/>
              <w:keepLines w:val="0"/>
              <w:pageBreakBefore w:val="0"/>
              <w:kinsoku/>
              <w:wordWrap/>
              <w:overflowPunct/>
              <w:topLinePunct w:val="0"/>
              <w:autoSpaceDE/>
              <w:autoSpaceDN/>
              <w:bidi w:val="0"/>
              <w:spacing w:line="240" w:lineRule="auto"/>
              <w:jc w:val="center"/>
              <w:textAlignment w:val="auto"/>
              <w:rPr>
                <w:iCs/>
                <w:szCs w:val="21"/>
              </w:rPr>
            </w:pPr>
            <w:r>
              <w:rPr>
                <w:iCs/>
              </w:rPr>
              <w:t>总用水量（m</w:t>
            </w:r>
            <w:r>
              <w:rPr>
                <w:iCs/>
                <w:vertAlign w:val="superscript"/>
              </w:rPr>
              <w:t>3</w:t>
            </w:r>
            <w:r>
              <w:rPr>
                <w:iCs/>
              </w:rPr>
              <w:t>/a）</w:t>
            </w:r>
          </w:p>
        </w:tc>
        <w:tc>
          <w:tcPr>
            <w:tcW w:w="2176" w:type="pct"/>
            <w:noWrap w:val="0"/>
            <w:tcMar>
              <w:top w:w="0" w:type="dxa"/>
              <w:left w:w="0" w:type="dxa"/>
              <w:bottom w:w="0" w:type="dxa"/>
              <w:right w:w="0" w:type="dxa"/>
            </w:tcMar>
            <w:vAlign w:val="center"/>
          </w:tcPr>
          <w:p>
            <w:pPr>
              <w:keepNext w:val="0"/>
              <w:keepLines w:val="0"/>
              <w:pageBreakBefore w:val="0"/>
              <w:kinsoku/>
              <w:wordWrap/>
              <w:overflowPunct/>
              <w:topLinePunct w:val="0"/>
              <w:autoSpaceDE/>
              <w:autoSpaceDN/>
              <w:bidi w:val="0"/>
              <w:spacing w:line="240" w:lineRule="auto"/>
              <w:jc w:val="center"/>
              <w:textAlignment w:val="auto"/>
              <w:rPr>
                <w:rFonts w:hint="eastAsia" w:eastAsia="宋体"/>
                <w:iCs/>
                <w:szCs w:val="21"/>
                <w:lang w:eastAsia="zh-CN"/>
              </w:rPr>
            </w:pPr>
            <w:r>
              <w:rPr>
                <w:rFonts w:hint="eastAsia"/>
                <w:iCs/>
                <w:szCs w:val="21"/>
                <w:lang w:eastAsia="zh-CN"/>
              </w:rPr>
              <w:t>593.1</w:t>
            </w:r>
          </w:p>
        </w:tc>
        <w:tc>
          <w:tcPr>
            <w:tcW w:w="514" w:type="pct"/>
            <w:noWrap w:val="0"/>
            <w:vAlign w:val="center"/>
          </w:tcPr>
          <w:p>
            <w:pPr>
              <w:keepNext w:val="0"/>
              <w:keepLines w:val="0"/>
              <w:pageBreakBefore w:val="0"/>
              <w:kinsoku/>
              <w:wordWrap/>
              <w:overflowPunct/>
              <w:topLinePunct w:val="0"/>
              <w:autoSpaceDE/>
              <w:autoSpaceDN/>
              <w:bidi w:val="0"/>
              <w:spacing w:line="240" w:lineRule="auto"/>
              <w:jc w:val="center"/>
              <w:textAlignment w:val="auto"/>
              <w:rPr>
                <w:rFonts w:hint="eastAsia" w:eastAsia="宋体"/>
                <w:iCs/>
                <w:szCs w:val="21"/>
                <w:lang w:eastAsia="zh-CN"/>
              </w:rPr>
            </w:pPr>
            <w:r>
              <w:rPr>
                <w:rFonts w:hint="eastAsia"/>
                <w:iCs/>
                <w:szCs w:val="21"/>
                <w:lang w:eastAsia="zh-CN"/>
              </w:rPr>
              <w:t>593.1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5000" w:type="pct"/>
            <w:gridSpan w:val="4"/>
            <w:noWrap w:val="0"/>
            <w:tcMar>
              <w:top w:w="0" w:type="dxa"/>
              <w:left w:w="0" w:type="dxa"/>
              <w:bottom w:w="0" w:type="dxa"/>
              <w:right w:w="0" w:type="dxa"/>
            </w:tcMar>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iCs/>
                <w:szCs w:val="21"/>
              </w:rPr>
            </w:pPr>
            <w:r>
              <w:rPr>
                <w:bCs/>
                <w:iCs/>
              </w:rPr>
              <w:t>备注：养殖过程中不用水冲洗，只在猪舍转（出）栏时，对猪舍进行消毒时使用水清洗。</w:t>
            </w:r>
          </w:p>
        </w:tc>
      </w:tr>
    </w:tbl>
    <w:p>
      <w:pPr>
        <w:pStyle w:val="25"/>
        <w:spacing w:line="520" w:lineRule="exact"/>
        <w:ind w:firstLine="480"/>
      </w:pPr>
      <w:r>
        <w:t>2、猪舍降温用水</w:t>
      </w:r>
    </w:p>
    <w:p>
      <w:pPr>
        <w:adjustRightInd w:val="0"/>
        <w:snapToGrid w:val="0"/>
        <w:spacing w:line="520" w:lineRule="exact"/>
        <w:ind w:firstLine="480" w:firstLineChars="200"/>
        <w:rPr>
          <w:rFonts w:hint="eastAsia"/>
          <w:sz w:val="24"/>
          <w:szCs w:val="22"/>
        </w:rPr>
      </w:pPr>
      <w:r>
        <w:rPr>
          <w:rFonts w:hint="eastAsia"/>
          <w:sz w:val="24"/>
          <w:szCs w:val="22"/>
        </w:rPr>
        <w:t>根据建设单位提供的资料，降温水由电脑控制喷雾时间，喷雾不形成径流，降温过程不产生废水。一般在夏季最热的两个月，除去温度较低的状况，本项目降温喷淋时间按60天计，喷淋情况为：1.5m</w:t>
      </w:r>
      <w:r>
        <w:rPr>
          <w:rFonts w:hint="eastAsia"/>
          <w:sz w:val="24"/>
          <w:szCs w:val="22"/>
          <w:vertAlign w:val="superscript"/>
        </w:rPr>
        <w:t>3</w:t>
      </w:r>
      <w:r>
        <w:rPr>
          <w:rFonts w:hint="eastAsia"/>
          <w:sz w:val="24"/>
          <w:szCs w:val="22"/>
        </w:rPr>
        <w:t>/（栋·d），则降温喷淋用水量为</w:t>
      </w:r>
      <w:r>
        <w:rPr>
          <w:rFonts w:hint="eastAsia"/>
          <w:sz w:val="24"/>
          <w:szCs w:val="22"/>
          <w:lang w:val="en-US" w:eastAsia="zh-CN"/>
        </w:rPr>
        <w:t>900</w:t>
      </w:r>
      <w:r>
        <w:rPr>
          <w:rFonts w:hint="eastAsia"/>
          <w:sz w:val="24"/>
          <w:szCs w:val="22"/>
        </w:rPr>
        <w:t>m</w:t>
      </w:r>
      <w:r>
        <w:rPr>
          <w:rFonts w:hint="eastAsia"/>
          <w:sz w:val="24"/>
          <w:szCs w:val="22"/>
          <w:vertAlign w:val="superscript"/>
        </w:rPr>
        <w:t>3</w:t>
      </w:r>
      <w:r>
        <w:rPr>
          <w:rFonts w:hint="eastAsia"/>
          <w:sz w:val="24"/>
          <w:szCs w:val="22"/>
        </w:rPr>
        <w:t>/60天，1</w:t>
      </w:r>
      <w:r>
        <w:rPr>
          <w:rFonts w:hint="eastAsia"/>
          <w:sz w:val="24"/>
          <w:szCs w:val="22"/>
          <w:lang w:val="en-US" w:eastAsia="zh-CN"/>
        </w:rPr>
        <w:t>5</w:t>
      </w:r>
      <w:r>
        <w:rPr>
          <w:rFonts w:hint="eastAsia"/>
          <w:sz w:val="24"/>
          <w:szCs w:val="22"/>
        </w:rPr>
        <w:t>m</w:t>
      </w:r>
      <w:r>
        <w:rPr>
          <w:rFonts w:hint="eastAsia"/>
          <w:sz w:val="24"/>
          <w:szCs w:val="22"/>
          <w:vertAlign w:val="superscript"/>
        </w:rPr>
        <w:t>3</w:t>
      </w:r>
      <w:r>
        <w:rPr>
          <w:rFonts w:hint="eastAsia"/>
          <w:sz w:val="24"/>
          <w:szCs w:val="22"/>
        </w:rPr>
        <w:t>/d。</w:t>
      </w:r>
    </w:p>
    <w:p>
      <w:pPr>
        <w:pStyle w:val="25"/>
        <w:spacing w:line="520" w:lineRule="exact"/>
        <w:ind w:firstLine="480"/>
      </w:pPr>
      <w:r>
        <w:t>3、员工生活用水</w:t>
      </w:r>
    </w:p>
    <w:p>
      <w:pPr>
        <w:pStyle w:val="25"/>
        <w:spacing w:line="520" w:lineRule="exact"/>
        <w:ind w:firstLine="480"/>
      </w:pPr>
      <w:r>
        <w:t>项目设有员工食堂和宿舍，员工生活污水经内部管道引至</w:t>
      </w:r>
      <w:r>
        <w:rPr>
          <w:rFonts w:hint="eastAsia"/>
        </w:rPr>
        <w:t>沼气</w:t>
      </w:r>
      <w:r>
        <w:t>工程处理，废水主要污染物为</w:t>
      </w:r>
      <w:r>
        <w:rPr>
          <w:bCs/>
        </w:rPr>
        <w:t>COD、BOD</w:t>
      </w:r>
      <w:r>
        <w:rPr>
          <w:bCs/>
          <w:vertAlign w:val="subscript"/>
        </w:rPr>
        <w:t>5</w:t>
      </w:r>
      <w:r>
        <w:rPr>
          <w:bCs/>
        </w:rPr>
        <w:t>、氨氮、动植物油等。</w:t>
      </w:r>
      <w:r>
        <w:t>本项目员工人数为</w:t>
      </w:r>
      <w:r>
        <w:rPr>
          <w:rFonts w:hint="eastAsia"/>
        </w:rPr>
        <w:t>10</w:t>
      </w:r>
      <w:r>
        <w:t>人，年工作365天，用水量按120L/d·人，则生活用水量为</w:t>
      </w:r>
      <w:r>
        <w:rPr>
          <w:rFonts w:hint="eastAsia"/>
        </w:rPr>
        <w:t>1.2</w:t>
      </w:r>
      <w:r>
        <w:t>m</w:t>
      </w:r>
      <w:r>
        <w:rPr>
          <w:vertAlign w:val="superscript"/>
        </w:rPr>
        <w:t>3</w:t>
      </w:r>
      <w:r>
        <w:t>/d、</w:t>
      </w:r>
      <w:r>
        <w:rPr>
          <w:rFonts w:hint="eastAsia"/>
        </w:rPr>
        <w:t>438</w:t>
      </w:r>
      <w:r>
        <w:t>m</w:t>
      </w:r>
      <w:r>
        <w:rPr>
          <w:vertAlign w:val="superscript"/>
        </w:rPr>
        <w:t>3</w:t>
      </w:r>
      <w:r>
        <w:t>/a。生活污水产生量按用水量的80%计算，则生活污水产生量为</w:t>
      </w:r>
      <w:r>
        <w:rPr>
          <w:rFonts w:hint="eastAsia"/>
        </w:rPr>
        <w:t>0.96</w:t>
      </w:r>
      <w:r>
        <w:t>m</w:t>
      </w:r>
      <w:r>
        <w:rPr>
          <w:vertAlign w:val="superscript"/>
        </w:rPr>
        <w:t>3</w:t>
      </w:r>
      <w:r>
        <w:t>/d、</w:t>
      </w:r>
      <w:r>
        <w:rPr>
          <w:rFonts w:hint="eastAsia"/>
        </w:rPr>
        <w:t>350.4</w:t>
      </w:r>
      <w:r>
        <w:t>m</w:t>
      </w:r>
      <w:r>
        <w:rPr>
          <w:vertAlign w:val="superscript"/>
        </w:rPr>
        <w:t>3</w:t>
      </w:r>
      <w:r>
        <w:t>/a。</w:t>
      </w:r>
    </w:p>
    <w:p>
      <w:pPr>
        <w:spacing w:line="520" w:lineRule="exact"/>
        <w:ind w:firstLine="480" w:firstLineChars="200"/>
        <w:rPr>
          <w:sz w:val="24"/>
        </w:rPr>
      </w:pPr>
      <w:r>
        <w:rPr>
          <w:sz w:val="24"/>
        </w:rPr>
        <w:t>项目新鲜用水消耗量一览表见表2.1-10。</w:t>
      </w:r>
    </w:p>
    <w:p>
      <w:pPr>
        <w:spacing w:line="520" w:lineRule="exact"/>
        <w:ind w:firstLine="482" w:firstLineChars="200"/>
        <w:jc w:val="center"/>
        <w:rPr>
          <w:b/>
          <w:sz w:val="24"/>
        </w:rPr>
      </w:pPr>
      <w:r>
        <w:rPr>
          <w:b/>
          <w:sz w:val="24"/>
        </w:rPr>
        <w:t>表2.1-10     项目新鲜水消耗量一览表</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89"/>
        <w:gridCol w:w="3581"/>
        <w:gridCol w:w="1789"/>
        <w:gridCol w:w="178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789" w:type="dxa"/>
            <w:noWrap w:val="0"/>
            <w:vAlign w:val="center"/>
          </w:tcPr>
          <w:p>
            <w:pPr>
              <w:jc w:val="center"/>
              <w:rPr>
                <w:b/>
                <w:szCs w:val="21"/>
              </w:rPr>
            </w:pPr>
            <w:r>
              <w:rPr>
                <w:b/>
                <w:szCs w:val="21"/>
              </w:rPr>
              <w:t>序号</w:t>
            </w:r>
          </w:p>
        </w:tc>
        <w:tc>
          <w:tcPr>
            <w:tcW w:w="3581" w:type="dxa"/>
            <w:noWrap w:val="0"/>
            <w:vAlign w:val="center"/>
          </w:tcPr>
          <w:p>
            <w:pPr>
              <w:jc w:val="center"/>
              <w:rPr>
                <w:b/>
                <w:szCs w:val="21"/>
              </w:rPr>
            </w:pPr>
            <w:r>
              <w:rPr>
                <w:b/>
                <w:szCs w:val="21"/>
              </w:rPr>
              <w:t>项目名称</w:t>
            </w:r>
          </w:p>
        </w:tc>
        <w:tc>
          <w:tcPr>
            <w:tcW w:w="1789" w:type="dxa"/>
            <w:noWrap w:val="0"/>
            <w:vAlign w:val="center"/>
          </w:tcPr>
          <w:p>
            <w:pPr>
              <w:jc w:val="center"/>
              <w:rPr>
                <w:b/>
                <w:szCs w:val="21"/>
              </w:rPr>
            </w:pPr>
            <w:r>
              <w:rPr>
                <w:b/>
                <w:szCs w:val="21"/>
              </w:rPr>
              <w:t>单位</w:t>
            </w:r>
          </w:p>
        </w:tc>
        <w:tc>
          <w:tcPr>
            <w:tcW w:w="1789" w:type="dxa"/>
            <w:noWrap w:val="0"/>
            <w:vAlign w:val="center"/>
          </w:tcPr>
          <w:p>
            <w:pPr>
              <w:jc w:val="center"/>
              <w:rPr>
                <w:b/>
                <w:szCs w:val="21"/>
              </w:rPr>
            </w:pPr>
            <w:r>
              <w:rPr>
                <w:b/>
                <w:szCs w:val="21"/>
              </w:rPr>
              <w:t>年消耗量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89" w:type="dxa"/>
            <w:noWrap w:val="0"/>
            <w:vAlign w:val="center"/>
          </w:tcPr>
          <w:p>
            <w:pPr>
              <w:jc w:val="center"/>
              <w:rPr>
                <w:szCs w:val="21"/>
              </w:rPr>
            </w:pPr>
            <w:r>
              <w:rPr>
                <w:szCs w:val="21"/>
              </w:rPr>
              <w:t>1</w:t>
            </w:r>
          </w:p>
        </w:tc>
        <w:tc>
          <w:tcPr>
            <w:tcW w:w="3581" w:type="dxa"/>
            <w:noWrap w:val="0"/>
            <w:vAlign w:val="center"/>
          </w:tcPr>
          <w:p>
            <w:pPr>
              <w:jc w:val="center"/>
              <w:rPr>
                <w:szCs w:val="21"/>
              </w:rPr>
            </w:pPr>
            <w:r>
              <w:rPr>
                <w:szCs w:val="21"/>
              </w:rPr>
              <w:t>猪只饮用水</w:t>
            </w:r>
          </w:p>
        </w:tc>
        <w:tc>
          <w:tcPr>
            <w:tcW w:w="1789" w:type="dxa"/>
            <w:noWrap w:val="0"/>
            <w:vAlign w:val="center"/>
          </w:tcPr>
          <w:p>
            <w:pPr>
              <w:jc w:val="center"/>
              <w:rPr>
                <w:szCs w:val="21"/>
              </w:rPr>
            </w:pPr>
            <w:r>
              <w:rPr>
                <w:kern w:val="0"/>
                <w:szCs w:val="21"/>
              </w:rPr>
              <w:t>m</w:t>
            </w:r>
            <w:r>
              <w:rPr>
                <w:kern w:val="0"/>
                <w:szCs w:val="21"/>
                <w:vertAlign w:val="superscript"/>
              </w:rPr>
              <w:t>3</w:t>
            </w:r>
          </w:p>
        </w:tc>
        <w:tc>
          <w:tcPr>
            <w:tcW w:w="1789" w:type="dxa"/>
            <w:noWrap w:val="0"/>
            <w:vAlign w:val="center"/>
          </w:tcPr>
          <w:p>
            <w:pPr>
              <w:jc w:val="center"/>
              <w:rPr>
                <w:rFonts w:hint="eastAsia" w:eastAsia="宋体"/>
                <w:iCs/>
                <w:szCs w:val="21"/>
                <w:lang w:eastAsia="zh-CN"/>
              </w:rPr>
            </w:pPr>
            <w:r>
              <w:rPr>
                <w:rFonts w:hint="eastAsia"/>
                <w:iCs/>
                <w:szCs w:val="21"/>
                <w:lang w:eastAsia="zh-CN"/>
              </w:rPr>
              <w:t>12270.3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89" w:type="dxa"/>
            <w:noWrap w:val="0"/>
            <w:vAlign w:val="center"/>
          </w:tcPr>
          <w:p>
            <w:pPr>
              <w:jc w:val="center"/>
              <w:rPr>
                <w:szCs w:val="21"/>
              </w:rPr>
            </w:pPr>
            <w:r>
              <w:rPr>
                <w:szCs w:val="21"/>
              </w:rPr>
              <w:t>2</w:t>
            </w:r>
          </w:p>
        </w:tc>
        <w:tc>
          <w:tcPr>
            <w:tcW w:w="3581" w:type="dxa"/>
            <w:noWrap w:val="0"/>
            <w:vAlign w:val="center"/>
          </w:tcPr>
          <w:p>
            <w:pPr>
              <w:jc w:val="center"/>
              <w:rPr>
                <w:b/>
                <w:szCs w:val="21"/>
              </w:rPr>
            </w:pPr>
            <w:r>
              <w:rPr>
                <w:bCs/>
                <w:szCs w:val="21"/>
              </w:rPr>
              <w:t>猪舍冲洗水</w:t>
            </w:r>
          </w:p>
        </w:tc>
        <w:tc>
          <w:tcPr>
            <w:tcW w:w="1789" w:type="dxa"/>
            <w:noWrap w:val="0"/>
            <w:vAlign w:val="center"/>
          </w:tcPr>
          <w:p>
            <w:pPr>
              <w:jc w:val="center"/>
              <w:rPr>
                <w:szCs w:val="21"/>
              </w:rPr>
            </w:pPr>
            <w:r>
              <w:rPr>
                <w:kern w:val="0"/>
                <w:szCs w:val="21"/>
              </w:rPr>
              <w:t>m</w:t>
            </w:r>
            <w:r>
              <w:rPr>
                <w:kern w:val="0"/>
                <w:szCs w:val="21"/>
                <w:vertAlign w:val="superscript"/>
              </w:rPr>
              <w:t>3</w:t>
            </w:r>
          </w:p>
        </w:tc>
        <w:tc>
          <w:tcPr>
            <w:tcW w:w="1789" w:type="dxa"/>
            <w:noWrap w:val="0"/>
            <w:vAlign w:val="center"/>
          </w:tcPr>
          <w:p>
            <w:pPr>
              <w:jc w:val="center"/>
              <w:rPr>
                <w:rFonts w:hint="eastAsia" w:eastAsia="宋体"/>
                <w:iCs/>
                <w:szCs w:val="21"/>
                <w:lang w:eastAsia="zh-CN"/>
              </w:rPr>
            </w:pPr>
            <w:r>
              <w:rPr>
                <w:rFonts w:hint="eastAsia"/>
                <w:iCs/>
                <w:szCs w:val="21"/>
                <w:lang w:eastAsia="zh-CN"/>
              </w:rPr>
              <w:t>593.1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89" w:type="dxa"/>
            <w:noWrap w:val="0"/>
            <w:vAlign w:val="center"/>
          </w:tcPr>
          <w:p>
            <w:pPr>
              <w:jc w:val="center"/>
              <w:rPr>
                <w:szCs w:val="21"/>
              </w:rPr>
            </w:pPr>
            <w:r>
              <w:rPr>
                <w:szCs w:val="21"/>
              </w:rPr>
              <w:t>3</w:t>
            </w:r>
          </w:p>
        </w:tc>
        <w:tc>
          <w:tcPr>
            <w:tcW w:w="3581" w:type="dxa"/>
            <w:noWrap w:val="0"/>
            <w:vAlign w:val="center"/>
          </w:tcPr>
          <w:p>
            <w:pPr>
              <w:jc w:val="center"/>
              <w:rPr>
                <w:szCs w:val="21"/>
              </w:rPr>
            </w:pPr>
            <w:r>
              <w:rPr>
                <w:szCs w:val="21"/>
              </w:rPr>
              <w:t>职工生活用水</w:t>
            </w:r>
          </w:p>
        </w:tc>
        <w:tc>
          <w:tcPr>
            <w:tcW w:w="1789" w:type="dxa"/>
            <w:noWrap w:val="0"/>
            <w:vAlign w:val="center"/>
          </w:tcPr>
          <w:p>
            <w:pPr>
              <w:jc w:val="center"/>
              <w:rPr>
                <w:szCs w:val="21"/>
              </w:rPr>
            </w:pPr>
            <w:r>
              <w:rPr>
                <w:kern w:val="0"/>
                <w:szCs w:val="21"/>
              </w:rPr>
              <w:t>m</w:t>
            </w:r>
            <w:r>
              <w:rPr>
                <w:kern w:val="0"/>
                <w:szCs w:val="21"/>
                <w:vertAlign w:val="superscript"/>
              </w:rPr>
              <w:t>3</w:t>
            </w:r>
          </w:p>
        </w:tc>
        <w:tc>
          <w:tcPr>
            <w:tcW w:w="1789" w:type="dxa"/>
            <w:noWrap w:val="0"/>
            <w:vAlign w:val="center"/>
          </w:tcPr>
          <w:p>
            <w:pPr>
              <w:jc w:val="center"/>
              <w:rPr>
                <w:iCs/>
                <w:szCs w:val="21"/>
              </w:rPr>
            </w:pPr>
            <w:r>
              <w:rPr>
                <w:rFonts w:hint="eastAsia"/>
                <w:iCs/>
                <w:szCs w:val="21"/>
              </w:rPr>
              <w:t>438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89" w:type="dxa"/>
            <w:noWrap w:val="0"/>
            <w:vAlign w:val="center"/>
          </w:tcPr>
          <w:p>
            <w:pPr>
              <w:jc w:val="center"/>
              <w:rPr>
                <w:szCs w:val="21"/>
              </w:rPr>
            </w:pPr>
            <w:r>
              <w:rPr>
                <w:szCs w:val="21"/>
              </w:rPr>
              <w:t>4</w:t>
            </w:r>
          </w:p>
        </w:tc>
        <w:tc>
          <w:tcPr>
            <w:tcW w:w="3581" w:type="dxa"/>
            <w:noWrap w:val="0"/>
            <w:vAlign w:val="center"/>
          </w:tcPr>
          <w:p>
            <w:pPr>
              <w:jc w:val="center"/>
              <w:rPr>
                <w:szCs w:val="21"/>
              </w:rPr>
            </w:pPr>
            <w:r>
              <w:rPr>
                <w:szCs w:val="21"/>
              </w:rPr>
              <w:t>猪舍降温用水</w:t>
            </w:r>
          </w:p>
        </w:tc>
        <w:tc>
          <w:tcPr>
            <w:tcW w:w="1789" w:type="dxa"/>
            <w:noWrap w:val="0"/>
            <w:vAlign w:val="center"/>
          </w:tcPr>
          <w:p>
            <w:pPr>
              <w:jc w:val="center"/>
              <w:rPr>
                <w:kern w:val="0"/>
                <w:szCs w:val="21"/>
              </w:rPr>
            </w:pPr>
            <w:r>
              <w:rPr>
                <w:kern w:val="0"/>
                <w:szCs w:val="21"/>
              </w:rPr>
              <w:t>m</w:t>
            </w:r>
            <w:r>
              <w:rPr>
                <w:kern w:val="0"/>
                <w:szCs w:val="21"/>
                <w:vertAlign w:val="superscript"/>
              </w:rPr>
              <w:t>3</w:t>
            </w:r>
          </w:p>
        </w:tc>
        <w:tc>
          <w:tcPr>
            <w:tcW w:w="1789" w:type="dxa"/>
            <w:noWrap w:val="0"/>
            <w:vAlign w:val="center"/>
          </w:tcPr>
          <w:p>
            <w:pPr>
              <w:jc w:val="center"/>
              <w:rPr>
                <w:rFonts w:hint="default" w:eastAsia="宋体"/>
                <w:iCs/>
                <w:szCs w:val="21"/>
                <w:lang w:val="en-US" w:eastAsia="zh-CN"/>
              </w:rPr>
            </w:pPr>
            <w:r>
              <w:rPr>
                <w:rFonts w:hint="eastAsia"/>
                <w:iCs/>
                <w:szCs w:val="21"/>
                <w:lang w:val="en-US" w:eastAsia="zh-CN"/>
              </w:rPr>
              <w:t>900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89" w:type="dxa"/>
            <w:noWrap w:val="0"/>
            <w:vAlign w:val="center"/>
          </w:tcPr>
          <w:p>
            <w:pPr>
              <w:jc w:val="center"/>
              <w:rPr>
                <w:rFonts w:hint="eastAsia"/>
                <w:bCs/>
                <w:szCs w:val="21"/>
              </w:rPr>
            </w:pPr>
            <w:r>
              <w:rPr>
                <w:rFonts w:hint="eastAsia"/>
                <w:bCs/>
                <w:szCs w:val="21"/>
              </w:rPr>
              <w:t>5</w:t>
            </w:r>
          </w:p>
        </w:tc>
        <w:tc>
          <w:tcPr>
            <w:tcW w:w="3581" w:type="dxa"/>
            <w:noWrap w:val="0"/>
            <w:vAlign w:val="center"/>
          </w:tcPr>
          <w:p>
            <w:pPr>
              <w:jc w:val="center"/>
              <w:rPr>
                <w:bCs/>
                <w:szCs w:val="21"/>
              </w:rPr>
            </w:pPr>
            <w:r>
              <w:rPr>
                <w:bCs/>
                <w:szCs w:val="21"/>
              </w:rPr>
              <w:t>合计</w:t>
            </w:r>
          </w:p>
        </w:tc>
        <w:tc>
          <w:tcPr>
            <w:tcW w:w="1789" w:type="dxa"/>
            <w:noWrap w:val="0"/>
            <w:vAlign w:val="center"/>
          </w:tcPr>
          <w:p>
            <w:pPr>
              <w:jc w:val="center"/>
              <w:rPr>
                <w:bCs/>
                <w:szCs w:val="21"/>
              </w:rPr>
            </w:pPr>
            <w:r>
              <w:rPr>
                <w:bCs/>
                <w:kern w:val="0"/>
                <w:szCs w:val="21"/>
              </w:rPr>
              <w:t>m</w:t>
            </w:r>
            <w:r>
              <w:rPr>
                <w:bCs/>
                <w:kern w:val="0"/>
                <w:szCs w:val="21"/>
                <w:vertAlign w:val="superscript"/>
              </w:rPr>
              <w:t>3</w:t>
            </w:r>
          </w:p>
        </w:tc>
        <w:tc>
          <w:tcPr>
            <w:tcW w:w="1789" w:type="dxa"/>
            <w:noWrap w:val="0"/>
            <w:vAlign w:val="center"/>
          </w:tcPr>
          <w:p>
            <w:pPr>
              <w:widowControl/>
              <w:jc w:val="center"/>
              <w:textAlignment w:val="center"/>
              <w:rPr>
                <w:rFonts w:hint="eastAsia" w:eastAsia="宋体"/>
                <w:bCs/>
                <w:szCs w:val="21"/>
                <w:lang w:eastAsia="zh-CN"/>
              </w:rPr>
            </w:pPr>
            <w:r>
              <w:rPr>
                <w:rFonts w:hint="eastAsia"/>
                <w:bCs/>
                <w:szCs w:val="21"/>
                <w:lang w:eastAsia="zh-CN"/>
              </w:rPr>
              <w:t>14201.4</w:t>
            </w:r>
          </w:p>
        </w:tc>
      </w:tr>
    </w:tbl>
    <w:p>
      <w:pPr>
        <w:spacing w:line="520" w:lineRule="exact"/>
        <w:rPr>
          <w:b/>
          <w:sz w:val="24"/>
        </w:rPr>
      </w:pPr>
      <w:r>
        <w:rPr>
          <w:b/>
          <w:sz w:val="24"/>
        </w:rPr>
        <w:t>2.1.6.2项目排水情况</w:t>
      </w:r>
    </w:p>
    <w:p>
      <w:pPr>
        <w:spacing w:line="520" w:lineRule="exact"/>
        <w:ind w:firstLine="480" w:firstLineChars="200"/>
        <w:rPr>
          <w:rFonts w:hint="eastAsia" w:hAnsi="宋体"/>
          <w:bCs/>
          <w:sz w:val="24"/>
          <w:highlight w:val="none"/>
        </w:rPr>
      </w:pPr>
      <w:r>
        <w:rPr>
          <w:rFonts w:hint="eastAsia" w:hAnsi="宋体"/>
          <w:bCs/>
          <w:sz w:val="24"/>
          <w:highlight w:val="none"/>
        </w:rPr>
        <w:t>项目运营期废水来源主要为猪只尿液、猪舍冲洗水、生活污水等。</w:t>
      </w:r>
    </w:p>
    <w:p>
      <w:pPr>
        <w:spacing w:line="520" w:lineRule="exact"/>
        <w:ind w:firstLine="480" w:firstLineChars="200"/>
        <w:rPr>
          <w:rFonts w:hint="eastAsia" w:hAnsi="宋体"/>
          <w:bCs/>
          <w:sz w:val="24"/>
          <w:highlight w:val="none"/>
        </w:rPr>
      </w:pPr>
      <w:r>
        <w:rPr>
          <w:rFonts w:hint="eastAsia" w:hAnsi="宋体"/>
          <w:bCs/>
          <w:sz w:val="24"/>
          <w:highlight w:val="none"/>
        </w:rPr>
        <w:t>项目排水实行雨污分流制，雨水采用雨水管道，污水采用污水管道。</w:t>
      </w:r>
    </w:p>
    <w:p>
      <w:pPr>
        <w:spacing w:line="520" w:lineRule="exact"/>
        <w:ind w:firstLine="480" w:firstLineChars="200"/>
        <w:rPr>
          <w:rFonts w:hint="eastAsia" w:hAnsi="宋体"/>
          <w:bCs/>
          <w:sz w:val="24"/>
        </w:rPr>
      </w:pPr>
      <w:r>
        <w:rPr>
          <w:rFonts w:hint="eastAsia" w:hAnsi="宋体"/>
          <w:bCs/>
          <w:sz w:val="24"/>
          <w:highlight w:val="none"/>
        </w:rPr>
        <w:t>污水管网：项目猪舍采用漏缝地板饲养，漏缝地板下设贮存池，粪尿在贮存池中贮存后由管道送至治污区，通过固液分离机对粪污进行干湿分离，猪粪用于生产有机肥基料，废水进入黑膜沼气池处理，经处理后进入</w:t>
      </w:r>
      <w:r>
        <w:rPr>
          <w:rFonts w:hint="eastAsia" w:hAnsi="宋体"/>
          <w:bCs/>
          <w:sz w:val="24"/>
        </w:rPr>
        <w:t>沼液暂存池，待施肥季节肥田。</w:t>
      </w:r>
    </w:p>
    <w:p>
      <w:pPr>
        <w:pStyle w:val="25"/>
        <w:spacing w:line="520" w:lineRule="exact"/>
        <w:ind w:firstLine="480"/>
      </w:pPr>
      <w:r>
        <w:t>本项目投入运营后育肥猪存栏</w:t>
      </w:r>
      <w:r>
        <w:rPr>
          <w:rFonts w:hint="eastAsia"/>
          <w:lang w:val="en-US" w:eastAsia="zh-CN"/>
        </w:rPr>
        <w:t>42</w:t>
      </w:r>
      <w:r>
        <w:rPr>
          <w:rFonts w:hint="eastAsia"/>
        </w:rPr>
        <w:t>00</w:t>
      </w:r>
      <w:r>
        <w:t>头，猪的尿液产生量根据《畜禽养殖污染防治最佳可行技术指南》（征求意见稿），猪尿排泄量计算公式为：Yu=0.205+0.438W（kg）</w:t>
      </w:r>
    </w:p>
    <w:p>
      <w:pPr>
        <w:pStyle w:val="25"/>
        <w:spacing w:line="520" w:lineRule="exact"/>
        <w:ind w:firstLine="480"/>
      </w:pPr>
      <w:r>
        <w:t>式中</w:t>
      </w:r>
      <w:r>
        <w:rPr>
          <w:rFonts w:hint="eastAsia"/>
        </w:rPr>
        <w:t>：</w:t>
      </w:r>
      <w:r>
        <w:t>Yu为猪尿排泄量，W为猪的饮水量。</w:t>
      </w:r>
    </w:p>
    <w:p>
      <w:pPr>
        <w:pStyle w:val="25"/>
        <w:spacing w:line="520" w:lineRule="exact"/>
        <w:ind w:firstLine="480"/>
        <w:rPr>
          <w:rFonts w:hint="eastAsia"/>
        </w:rPr>
      </w:pPr>
      <w:r>
        <w:rPr>
          <w:rFonts w:hint="eastAsia"/>
        </w:rPr>
        <w:t>经计算后</w:t>
      </w:r>
      <w:r>
        <w:t>：</w:t>
      </w:r>
      <w:r>
        <w:rPr>
          <w:szCs w:val="21"/>
        </w:rPr>
        <w:t>育肥猪排尿量夏季5.02L/d·头，非夏季3.05L/d·头，</w:t>
      </w:r>
      <w:r>
        <w:t>猪尿排放参数见表2.1-11。</w:t>
      </w:r>
    </w:p>
    <w:p>
      <w:pPr>
        <w:spacing w:after="72" w:afterLines="30" w:line="520" w:lineRule="exact"/>
        <w:jc w:val="center"/>
        <w:rPr>
          <w:b/>
          <w:sz w:val="24"/>
        </w:rPr>
      </w:pPr>
      <w:r>
        <w:rPr>
          <w:bCs/>
          <w:sz w:val="24"/>
        </w:rPr>
        <w:t>表2.1-11    猪尿排放参数一览表</w:t>
      </w:r>
    </w:p>
    <w:tbl>
      <w:tblPr>
        <w:tblStyle w:val="1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634"/>
        <w:gridCol w:w="872"/>
        <w:gridCol w:w="1260"/>
        <w:gridCol w:w="1090"/>
        <w:gridCol w:w="1169"/>
        <w:gridCol w:w="1713"/>
        <w:gridCol w:w="12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13" w:type="pct"/>
            <w:vMerge w:val="restart"/>
            <w:noWrap w:val="0"/>
            <w:vAlign w:val="center"/>
          </w:tcPr>
          <w:p>
            <w:pPr>
              <w:widowControl/>
              <w:snapToGrid w:val="0"/>
              <w:ind w:left="-15" w:leftChars="-51" w:right="-109" w:rightChars="-52" w:hanging="92" w:hangingChars="44"/>
              <w:jc w:val="center"/>
              <w:rPr>
                <w:bCs/>
                <w:iCs/>
                <w:kern w:val="0"/>
                <w:szCs w:val="21"/>
              </w:rPr>
            </w:pPr>
            <w:r>
              <w:rPr>
                <w:bCs/>
                <w:iCs/>
                <w:kern w:val="0"/>
                <w:szCs w:val="21"/>
              </w:rPr>
              <w:t>用水</w:t>
            </w:r>
          </w:p>
          <w:p>
            <w:pPr>
              <w:widowControl/>
              <w:snapToGrid w:val="0"/>
              <w:ind w:left="-15" w:leftChars="-51" w:right="-109" w:rightChars="-52" w:hanging="92" w:hangingChars="44"/>
              <w:jc w:val="center"/>
              <w:rPr>
                <w:bCs/>
                <w:iCs/>
                <w:kern w:val="0"/>
                <w:szCs w:val="21"/>
              </w:rPr>
            </w:pPr>
            <w:r>
              <w:rPr>
                <w:bCs/>
                <w:iCs/>
                <w:kern w:val="0"/>
                <w:szCs w:val="21"/>
              </w:rPr>
              <w:t>性质</w:t>
            </w:r>
          </w:p>
        </w:tc>
        <w:tc>
          <w:tcPr>
            <w:tcW w:w="1191" w:type="pct"/>
            <w:gridSpan w:val="2"/>
            <w:noWrap w:val="0"/>
            <w:vAlign w:val="center"/>
          </w:tcPr>
          <w:p>
            <w:pPr>
              <w:widowControl/>
              <w:snapToGrid w:val="0"/>
              <w:ind w:left="-15" w:leftChars="-51" w:right="-109" w:rightChars="-52" w:hanging="92" w:hangingChars="44"/>
              <w:jc w:val="center"/>
              <w:rPr>
                <w:bCs/>
                <w:iCs/>
                <w:kern w:val="0"/>
                <w:szCs w:val="21"/>
              </w:rPr>
            </w:pPr>
            <w:r>
              <w:rPr>
                <w:bCs/>
                <w:iCs/>
                <w:kern w:val="0"/>
                <w:szCs w:val="21"/>
              </w:rPr>
              <w:t>排尿量</w:t>
            </w:r>
            <w:r>
              <w:rPr>
                <w:bCs/>
                <w:iCs/>
                <w:szCs w:val="21"/>
              </w:rPr>
              <w:t>（L/头·d）</w:t>
            </w:r>
          </w:p>
        </w:tc>
        <w:tc>
          <w:tcPr>
            <w:tcW w:w="609" w:type="pct"/>
            <w:vMerge w:val="restart"/>
            <w:noWrap w:val="0"/>
            <w:vAlign w:val="center"/>
          </w:tcPr>
          <w:p>
            <w:pPr>
              <w:widowControl/>
              <w:snapToGrid w:val="0"/>
              <w:ind w:left="-15" w:leftChars="-51" w:right="-109" w:rightChars="-52" w:hanging="92" w:hangingChars="44"/>
              <w:jc w:val="center"/>
              <w:rPr>
                <w:bCs/>
                <w:iCs/>
                <w:kern w:val="0"/>
                <w:szCs w:val="21"/>
              </w:rPr>
            </w:pPr>
            <w:r>
              <w:rPr>
                <w:bCs/>
                <w:iCs/>
                <w:kern w:val="0"/>
                <w:szCs w:val="21"/>
              </w:rPr>
              <w:t>排尿单位</w:t>
            </w:r>
          </w:p>
          <w:p>
            <w:pPr>
              <w:snapToGrid w:val="0"/>
              <w:ind w:left="-15" w:leftChars="-51" w:right="-109" w:rightChars="-52" w:hanging="92" w:hangingChars="44"/>
              <w:jc w:val="center"/>
              <w:rPr>
                <w:bCs/>
                <w:iCs/>
                <w:kern w:val="0"/>
                <w:szCs w:val="21"/>
              </w:rPr>
            </w:pPr>
            <w:r>
              <w:rPr>
                <w:bCs/>
                <w:iCs/>
                <w:szCs w:val="21"/>
              </w:rPr>
              <w:t>（头）</w:t>
            </w:r>
          </w:p>
        </w:tc>
        <w:tc>
          <w:tcPr>
            <w:tcW w:w="2286" w:type="pct"/>
            <w:gridSpan w:val="3"/>
            <w:noWrap w:val="0"/>
            <w:vAlign w:val="center"/>
          </w:tcPr>
          <w:p>
            <w:pPr>
              <w:widowControl/>
              <w:snapToGrid w:val="0"/>
              <w:ind w:right="-109" w:rightChars="-52"/>
              <w:jc w:val="center"/>
              <w:rPr>
                <w:bCs/>
                <w:iCs/>
                <w:kern w:val="0"/>
                <w:szCs w:val="21"/>
              </w:rPr>
            </w:pPr>
            <w:r>
              <w:rPr>
                <w:bCs/>
                <w:iCs/>
                <w:kern w:val="0"/>
                <w:szCs w:val="21"/>
              </w:rPr>
              <w:t>排尿总量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13" w:type="pct"/>
            <w:vMerge w:val="continue"/>
            <w:noWrap w:val="0"/>
            <w:vAlign w:val="center"/>
          </w:tcPr>
          <w:p>
            <w:pPr>
              <w:widowControl/>
              <w:snapToGrid w:val="0"/>
              <w:ind w:left="-15" w:leftChars="-51" w:right="-109" w:rightChars="-52" w:hanging="92" w:hangingChars="44"/>
              <w:jc w:val="center"/>
              <w:rPr>
                <w:bCs/>
                <w:iCs/>
                <w:kern w:val="0"/>
                <w:szCs w:val="21"/>
              </w:rPr>
            </w:pPr>
          </w:p>
        </w:tc>
        <w:tc>
          <w:tcPr>
            <w:tcW w:w="487" w:type="pct"/>
            <w:noWrap w:val="0"/>
            <w:vAlign w:val="center"/>
          </w:tcPr>
          <w:p>
            <w:pPr>
              <w:widowControl/>
              <w:snapToGrid w:val="0"/>
              <w:ind w:left="-15" w:leftChars="-51" w:right="-109" w:rightChars="-52" w:hanging="92" w:hangingChars="44"/>
              <w:jc w:val="center"/>
              <w:rPr>
                <w:bCs/>
                <w:iCs/>
                <w:kern w:val="0"/>
                <w:szCs w:val="21"/>
              </w:rPr>
            </w:pPr>
            <w:r>
              <w:rPr>
                <w:bCs/>
                <w:iCs/>
                <w:kern w:val="0"/>
                <w:szCs w:val="21"/>
              </w:rPr>
              <w:t>夏季</w:t>
            </w:r>
          </w:p>
        </w:tc>
        <w:tc>
          <w:tcPr>
            <w:tcW w:w="704" w:type="pct"/>
            <w:noWrap w:val="0"/>
            <w:vAlign w:val="center"/>
          </w:tcPr>
          <w:p>
            <w:pPr>
              <w:widowControl/>
              <w:snapToGrid w:val="0"/>
              <w:ind w:left="-15" w:leftChars="-51" w:right="-109" w:rightChars="-52" w:hanging="92" w:hangingChars="44"/>
              <w:jc w:val="center"/>
              <w:rPr>
                <w:bCs/>
                <w:iCs/>
                <w:kern w:val="0"/>
                <w:szCs w:val="21"/>
              </w:rPr>
            </w:pPr>
            <w:r>
              <w:rPr>
                <w:bCs/>
                <w:iCs/>
                <w:kern w:val="0"/>
                <w:szCs w:val="21"/>
              </w:rPr>
              <w:t>其他季节</w:t>
            </w:r>
          </w:p>
        </w:tc>
        <w:tc>
          <w:tcPr>
            <w:tcW w:w="609" w:type="pct"/>
            <w:vMerge w:val="continue"/>
            <w:noWrap w:val="0"/>
            <w:vAlign w:val="center"/>
          </w:tcPr>
          <w:p>
            <w:pPr>
              <w:widowControl/>
              <w:snapToGrid w:val="0"/>
              <w:ind w:left="-15" w:leftChars="-51" w:right="-109" w:rightChars="-52" w:hanging="92" w:hangingChars="44"/>
              <w:jc w:val="center"/>
              <w:rPr>
                <w:bCs/>
                <w:iCs/>
                <w:kern w:val="0"/>
                <w:szCs w:val="21"/>
              </w:rPr>
            </w:pPr>
          </w:p>
        </w:tc>
        <w:tc>
          <w:tcPr>
            <w:tcW w:w="653" w:type="pct"/>
            <w:noWrap w:val="0"/>
            <w:vAlign w:val="center"/>
          </w:tcPr>
          <w:p>
            <w:pPr>
              <w:widowControl/>
              <w:snapToGrid w:val="0"/>
              <w:ind w:left="-15" w:leftChars="-51" w:right="-109" w:rightChars="-52" w:hanging="92" w:hangingChars="44"/>
              <w:jc w:val="center"/>
              <w:rPr>
                <w:bCs/>
                <w:iCs/>
                <w:szCs w:val="21"/>
              </w:rPr>
            </w:pPr>
            <w:r>
              <w:rPr>
                <w:bCs/>
                <w:iCs/>
                <w:szCs w:val="21"/>
              </w:rPr>
              <w:t>夏季122d</w:t>
            </w:r>
          </w:p>
          <w:p>
            <w:pPr>
              <w:widowControl/>
              <w:snapToGrid w:val="0"/>
              <w:ind w:left="-15" w:leftChars="-51" w:right="-109" w:rightChars="-52" w:hanging="92" w:hangingChars="44"/>
              <w:jc w:val="center"/>
              <w:rPr>
                <w:bCs/>
                <w:iCs/>
                <w:szCs w:val="21"/>
              </w:rPr>
            </w:pPr>
            <w:r>
              <w:rPr>
                <w:bCs/>
                <w:iCs/>
                <w:kern w:val="0"/>
                <w:szCs w:val="21"/>
              </w:rPr>
              <w:t>（m</w:t>
            </w:r>
            <w:r>
              <w:rPr>
                <w:bCs/>
                <w:iCs/>
                <w:kern w:val="0"/>
                <w:szCs w:val="21"/>
                <w:vertAlign w:val="superscript"/>
              </w:rPr>
              <w:t>3</w:t>
            </w:r>
            <w:r>
              <w:rPr>
                <w:bCs/>
                <w:iCs/>
                <w:kern w:val="0"/>
                <w:szCs w:val="21"/>
              </w:rPr>
              <w:t>/d）</w:t>
            </w:r>
          </w:p>
        </w:tc>
        <w:tc>
          <w:tcPr>
            <w:tcW w:w="957" w:type="pct"/>
            <w:noWrap w:val="0"/>
            <w:vAlign w:val="center"/>
          </w:tcPr>
          <w:p>
            <w:pPr>
              <w:widowControl/>
              <w:snapToGrid w:val="0"/>
              <w:ind w:left="-15" w:leftChars="-51" w:right="-109" w:rightChars="-52" w:hanging="92" w:hangingChars="44"/>
              <w:jc w:val="center"/>
              <w:rPr>
                <w:bCs/>
                <w:iCs/>
                <w:szCs w:val="21"/>
              </w:rPr>
            </w:pPr>
            <w:r>
              <w:rPr>
                <w:bCs/>
                <w:iCs/>
                <w:szCs w:val="21"/>
              </w:rPr>
              <w:t>其他季节243d</w:t>
            </w:r>
          </w:p>
          <w:p>
            <w:pPr>
              <w:widowControl/>
              <w:snapToGrid w:val="0"/>
              <w:ind w:left="-15" w:leftChars="-51" w:right="-109" w:rightChars="-52" w:hanging="92" w:hangingChars="44"/>
              <w:jc w:val="center"/>
              <w:rPr>
                <w:bCs/>
                <w:iCs/>
                <w:szCs w:val="21"/>
              </w:rPr>
            </w:pPr>
            <w:r>
              <w:rPr>
                <w:bCs/>
                <w:iCs/>
                <w:kern w:val="0"/>
                <w:szCs w:val="21"/>
              </w:rPr>
              <w:t>（m</w:t>
            </w:r>
            <w:r>
              <w:rPr>
                <w:bCs/>
                <w:iCs/>
                <w:kern w:val="0"/>
                <w:szCs w:val="21"/>
                <w:vertAlign w:val="superscript"/>
              </w:rPr>
              <w:t>3</w:t>
            </w:r>
            <w:r>
              <w:rPr>
                <w:bCs/>
                <w:iCs/>
                <w:kern w:val="0"/>
                <w:szCs w:val="21"/>
              </w:rPr>
              <w:t>/d）</w:t>
            </w:r>
          </w:p>
        </w:tc>
        <w:tc>
          <w:tcPr>
            <w:tcW w:w="676" w:type="pct"/>
            <w:noWrap w:val="0"/>
            <w:vAlign w:val="center"/>
          </w:tcPr>
          <w:p>
            <w:pPr>
              <w:widowControl/>
              <w:snapToGrid w:val="0"/>
              <w:ind w:right="-109" w:rightChars="-52"/>
              <w:jc w:val="center"/>
              <w:rPr>
                <w:bCs/>
                <w:iCs/>
                <w:kern w:val="0"/>
                <w:szCs w:val="21"/>
              </w:rPr>
            </w:pPr>
            <w:r>
              <w:rPr>
                <w:bCs/>
                <w:iCs/>
                <w:kern w:val="0"/>
                <w:szCs w:val="21"/>
              </w:rPr>
              <w:t>（m</w:t>
            </w:r>
            <w:r>
              <w:rPr>
                <w:bCs/>
                <w:iCs/>
                <w:kern w:val="0"/>
                <w:szCs w:val="21"/>
                <w:vertAlign w:val="superscript"/>
              </w:rPr>
              <w:t>3</w:t>
            </w:r>
            <w:r>
              <w:rPr>
                <w:bCs/>
                <w:iCs/>
                <w:kern w:val="0"/>
                <w:szCs w:val="21"/>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913" w:type="pct"/>
            <w:noWrap w:val="0"/>
            <w:vAlign w:val="center"/>
          </w:tcPr>
          <w:p>
            <w:pPr>
              <w:widowControl/>
              <w:jc w:val="center"/>
              <w:rPr>
                <w:bCs/>
                <w:iCs/>
                <w:szCs w:val="21"/>
              </w:rPr>
            </w:pPr>
            <w:r>
              <w:rPr>
                <w:bCs/>
                <w:iCs/>
                <w:szCs w:val="21"/>
              </w:rPr>
              <w:t>育肥猪</w:t>
            </w:r>
          </w:p>
        </w:tc>
        <w:tc>
          <w:tcPr>
            <w:tcW w:w="487" w:type="pct"/>
            <w:noWrap w:val="0"/>
            <w:vAlign w:val="center"/>
          </w:tcPr>
          <w:p>
            <w:pPr>
              <w:jc w:val="center"/>
              <w:rPr>
                <w:bCs/>
                <w:iCs/>
                <w:szCs w:val="21"/>
              </w:rPr>
            </w:pPr>
            <w:r>
              <w:rPr>
                <w:bCs/>
                <w:iCs/>
                <w:szCs w:val="21"/>
              </w:rPr>
              <w:t>5.02</w:t>
            </w:r>
          </w:p>
        </w:tc>
        <w:tc>
          <w:tcPr>
            <w:tcW w:w="704" w:type="pct"/>
            <w:noWrap w:val="0"/>
            <w:vAlign w:val="center"/>
          </w:tcPr>
          <w:p>
            <w:pPr>
              <w:jc w:val="center"/>
              <w:rPr>
                <w:bCs/>
                <w:iCs/>
                <w:szCs w:val="21"/>
              </w:rPr>
            </w:pPr>
            <w:r>
              <w:rPr>
                <w:bCs/>
                <w:iCs/>
                <w:szCs w:val="21"/>
              </w:rPr>
              <w:t>3.05</w:t>
            </w:r>
          </w:p>
        </w:tc>
        <w:tc>
          <w:tcPr>
            <w:tcW w:w="609" w:type="pct"/>
            <w:noWrap w:val="0"/>
            <w:vAlign w:val="center"/>
          </w:tcPr>
          <w:p>
            <w:pPr>
              <w:jc w:val="center"/>
              <w:rPr>
                <w:bCs/>
                <w:szCs w:val="21"/>
              </w:rPr>
            </w:pPr>
            <w:r>
              <w:rPr>
                <w:rFonts w:hint="eastAsia"/>
                <w:bCs/>
                <w:szCs w:val="21"/>
                <w:lang w:val="en-US" w:eastAsia="zh-CN"/>
              </w:rPr>
              <w:t>4</w:t>
            </w:r>
            <w:r>
              <w:rPr>
                <w:rFonts w:hint="eastAsia"/>
                <w:bCs/>
                <w:szCs w:val="21"/>
              </w:rPr>
              <w:t>200</w:t>
            </w:r>
          </w:p>
        </w:tc>
        <w:tc>
          <w:tcPr>
            <w:tcW w:w="653" w:type="pct"/>
            <w:noWrap w:val="0"/>
            <w:vAlign w:val="center"/>
          </w:tcPr>
          <w:p>
            <w:pPr>
              <w:widowControl/>
              <w:jc w:val="center"/>
              <w:textAlignment w:val="center"/>
              <w:rPr>
                <w:rFonts w:hint="default" w:eastAsia="宋体"/>
                <w:bCs/>
                <w:iCs/>
                <w:szCs w:val="21"/>
                <w:lang w:val="en-US" w:eastAsia="zh-CN"/>
              </w:rPr>
            </w:pPr>
            <w:r>
              <w:rPr>
                <w:rFonts w:hint="eastAsia"/>
                <w:bCs/>
                <w:iCs/>
                <w:szCs w:val="21"/>
                <w:lang w:val="en-US" w:eastAsia="zh-CN"/>
              </w:rPr>
              <w:t>21.084</w:t>
            </w:r>
          </w:p>
        </w:tc>
        <w:tc>
          <w:tcPr>
            <w:tcW w:w="957" w:type="pct"/>
            <w:noWrap w:val="0"/>
            <w:vAlign w:val="center"/>
          </w:tcPr>
          <w:p>
            <w:pPr>
              <w:widowControl/>
              <w:jc w:val="center"/>
              <w:textAlignment w:val="center"/>
              <w:rPr>
                <w:rFonts w:hint="default" w:eastAsia="宋体"/>
                <w:bCs/>
                <w:iCs/>
                <w:szCs w:val="21"/>
                <w:lang w:val="en-US" w:eastAsia="zh-CN"/>
              </w:rPr>
            </w:pPr>
            <w:r>
              <w:rPr>
                <w:rFonts w:hint="eastAsia"/>
                <w:bCs/>
                <w:iCs/>
                <w:szCs w:val="21"/>
                <w:lang w:val="en-US" w:eastAsia="zh-CN"/>
              </w:rPr>
              <w:t>12.81</w:t>
            </w:r>
          </w:p>
        </w:tc>
        <w:tc>
          <w:tcPr>
            <w:tcW w:w="676" w:type="pct"/>
            <w:noWrap w:val="0"/>
            <w:vAlign w:val="center"/>
          </w:tcPr>
          <w:p>
            <w:pPr>
              <w:widowControl/>
              <w:jc w:val="center"/>
              <w:textAlignment w:val="center"/>
              <w:rPr>
                <w:rFonts w:hint="default" w:eastAsia="宋体"/>
                <w:bCs/>
                <w:iCs/>
                <w:szCs w:val="21"/>
                <w:lang w:val="en-US" w:eastAsia="zh-CN"/>
              </w:rPr>
            </w:pPr>
            <w:r>
              <w:rPr>
                <w:rFonts w:hint="eastAsia"/>
                <w:bCs/>
                <w:iCs/>
                <w:szCs w:val="21"/>
                <w:lang w:val="en-US" w:eastAsia="zh-CN"/>
              </w:rPr>
              <w:t>5685.078</w:t>
            </w:r>
          </w:p>
        </w:tc>
      </w:tr>
    </w:tbl>
    <w:p>
      <w:pPr>
        <w:pStyle w:val="25"/>
        <w:spacing w:line="520" w:lineRule="exact"/>
        <w:ind w:firstLine="556" w:firstLineChars="232"/>
      </w:pPr>
      <w:r>
        <w:t>经计算，本项目用排水状况见表2.1-12、2.1-13。</w:t>
      </w:r>
    </w:p>
    <w:p>
      <w:pPr>
        <w:kinsoku w:val="0"/>
        <w:overflowPunct w:val="0"/>
        <w:spacing w:line="500" w:lineRule="exact"/>
        <w:ind w:firstLine="482"/>
        <w:jc w:val="center"/>
        <w:outlineLvl w:val="6"/>
        <w:rPr>
          <w:b/>
          <w:sz w:val="24"/>
        </w:rPr>
      </w:pPr>
      <w:bookmarkStart w:id="204" w:name="_Ref377413095"/>
    </w:p>
    <w:p>
      <w:pPr>
        <w:kinsoku w:val="0"/>
        <w:overflowPunct w:val="0"/>
        <w:spacing w:line="500" w:lineRule="exact"/>
        <w:ind w:firstLine="482"/>
        <w:jc w:val="center"/>
        <w:outlineLvl w:val="6"/>
        <w:rPr>
          <w:b/>
          <w:sz w:val="24"/>
          <w:szCs w:val="22"/>
        </w:rPr>
      </w:pPr>
      <w:r>
        <w:rPr>
          <w:b/>
          <w:sz w:val="24"/>
        </w:rPr>
        <w:t>表2.1-12    项目用排水一览表</w:t>
      </w:r>
      <w:bookmarkEnd w:id="204"/>
      <w:r>
        <w:rPr>
          <w:b/>
          <w:sz w:val="24"/>
        </w:rPr>
        <w:t>（夏季122天）</w:t>
      </w:r>
    </w:p>
    <w:tbl>
      <w:tblPr>
        <w:tblStyle w:val="1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57" w:type="dxa"/>
          <w:left w:w="108" w:type="dxa"/>
          <w:bottom w:w="57" w:type="dxa"/>
          <w:right w:w="108" w:type="dxa"/>
        </w:tblCellMar>
      </w:tblPr>
      <w:tblGrid>
        <w:gridCol w:w="927"/>
        <w:gridCol w:w="855"/>
        <w:gridCol w:w="945"/>
        <w:gridCol w:w="1200"/>
        <w:gridCol w:w="1252"/>
        <w:gridCol w:w="1344"/>
        <w:gridCol w:w="1259"/>
        <w:gridCol w:w="11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40" w:hRule="atLeast"/>
          <w:tblHeader/>
          <w:jc w:val="center"/>
        </w:trPr>
        <w:tc>
          <w:tcPr>
            <w:tcW w:w="995" w:type="pct"/>
            <w:gridSpan w:val="2"/>
            <w:noWrap w:val="0"/>
            <w:vAlign w:val="center"/>
          </w:tcPr>
          <w:p>
            <w:pPr>
              <w:adjustRightInd w:val="0"/>
              <w:snapToGrid w:val="0"/>
              <w:jc w:val="center"/>
              <w:rPr>
                <w:b/>
                <w:szCs w:val="21"/>
              </w:rPr>
            </w:pPr>
            <w:r>
              <w:rPr>
                <w:b/>
                <w:szCs w:val="21"/>
              </w:rPr>
              <w:t>名称</w:t>
            </w:r>
          </w:p>
        </w:tc>
        <w:tc>
          <w:tcPr>
            <w:tcW w:w="528" w:type="pct"/>
            <w:noWrap w:val="0"/>
            <w:vAlign w:val="center"/>
          </w:tcPr>
          <w:p>
            <w:pPr>
              <w:adjustRightInd w:val="0"/>
              <w:snapToGrid w:val="0"/>
              <w:jc w:val="center"/>
              <w:rPr>
                <w:b/>
                <w:szCs w:val="21"/>
              </w:rPr>
            </w:pPr>
            <w:r>
              <w:rPr>
                <w:b/>
                <w:szCs w:val="21"/>
              </w:rPr>
              <w:t>规模（头）</w:t>
            </w:r>
          </w:p>
        </w:tc>
        <w:tc>
          <w:tcPr>
            <w:tcW w:w="670" w:type="pct"/>
            <w:noWrap w:val="0"/>
            <w:vAlign w:val="center"/>
          </w:tcPr>
          <w:p>
            <w:pPr>
              <w:adjustRightInd w:val="0"/>
              <w:snapToGrid w:val="0"/>
              <w:jc w:val="center"/>
              <w:rPr>
                <w:b/>
                <w:szCs w:val="21"/>
              </w:rPr>
            </w:pPr>
            <w:r>
              <w:rPr>
                <w:b/>
                <w:szCs w:val="21"/>
              </w:rPr>
              <w:t>用水定额</w:t>
            </w:r>
          </w:p>
        </w:tc>
        <w:tc>
          <w:tcPr>
            <w:tcW w:w="699" w:type="pct"/>
            <w:noWrap w:val="0"/>
            <w:vAlign w:val="center"/>
          </w:tcPr>
          <w:p>
            <w:pPr>
              <w:adjustRightInd w:val="0"/>
              <w:snapToGrid w:val="0"/>
              <w:jc w:val="center"/>
              <w:rPr>
                <w:b/>
                <w:szCs w:val="21"/>
              </w:rPr>
            </w:pPr>
            <w:r>
              <w:rPr>
                <w:rFonts w:hint="eastAsia"/>
                <w:b/>
                <w:szCs w:val="21"/>
              </w:rPr>
              <w:t>日均</w:t>
            </w:r>
            <w:r>
              <w:rPr>
                <w:b/>
                <w:szCs w:val="21"/>
              </w:rPr>
              <w:t>用水量</w:t>
            </w:r>
            <w:r>
              <w:rPr>
                <w:rFonts w:hint="eastAsia"/>
                <w:b/>
                <w:szCs w:val="21"/>
              </w:rPr>
              <w:t>（m</w:t>
            </w:r>
            <w:r>
              <w:rPr>
                <w:rFonts w:hint="eastAsia"/>
                <w:b/>
                <w:szCs w:val="21"/>
                <w:vertAlign w:val="superscript"/>
              </w:rPr>
              <w:t>3</w:t>
            </w:r>
            <w:r>
              <w:rPr>
                <w:rFonts w:hint="eastAsia"/>
                <w:b/>
                <w:szCs w:val="21"/>
              </w:rPr>
              <w:t>/d）</w:t>
            </w:r>
          </w:p>
        </w:tc>
        <w:tc>
          <w:tcPr>
            <w:tcW w:w="751" w:type="pct"/>
            <w:noWrap w:val="0"/>
            <w:vAlign w:val="center"/>
          </w:tcPr>
          <w:p>
            <w:pPr>
              <w:adjustRightInd w:val="0"/>
              <w:snapToGrid w:val="0"/>
              <w:jc w:val="center"/>
              <w:rPr>
                <w:rFonts w:hint="eastAsia"/>
                <w:b/>
                <w:szCs w:val="21"/>
              </w:rPr>
            </w:pPr>
            <w:r>
              <w:rPr>
                <w:b/>
                <w:szCs w:val="21"/>
              </w:rPr>
              <w:t>用水量</w:t>
            </w:r>
          </w:p>
          <w:p>
            <w:pPr>
              <w:adjustRightInd w:val="0"/>
              <w:snapToGrid w:val="0"/>
              <w:jc w:val="center"/>
              <w:rPr>
                <w:b/>
                <w:szCs w:val="21"/>
              </w:rPr>
            </w:pPr>
            <w:r>
              <w:rPr>
                <w:b/>
                <w:szCs w:val="21"/>
              </w:rPr>
              <w:t>m</w:t>
            </w:r>
            <w:r>
              <w:rPr>
                <w:b/>
                <w:szCs w:val="21"/>
                <w:vertAlign w:val="superscript"/>
              </w:rPr>
              <w:t>3</w:t>
            </w:r>
            <w:r>
              <w:rPr>
                <w:b/>
                <w:szCs w:val="21"/>
              </w:rPr>
              <w:t>/（122d）</w:t>
            </w:r>
          </w:p>
        </w:tc>
        <w:tc>
          <w:tcPr>
            <w:tcW w:w="703" w:type="pct"/>
            <w:noWrap w:val="0"/>
            <w:vAlign w:val="center"/>
          </w:tcPr>
          <w:p>
            <w:pPr>
              <w:adjustRightInd w:val="0"/>
              <w:snapToGrid w:val="0"/>
              <w:jc w:val="center"/>
              <w:rPr>
                <w:rFonts w:hint="eastAsia"/>
                <w:b/>
                <w:szCs w:val="21"/>
              </w:rPr>
            </w:pPr>
            <w:r>
              <w:rPr>
                <w:rFonts w:hint="eastAsia"/>
                <w:b/>
                <w:szCs w:val="21"/>
              </w:rPr>
              <w:t>日均</w:t>
            </w:r>
            <w:r>
              <w:rPr>
                <w:b/>
                <w:szCs w:val="21"/>
              </w:rPr>
              <w:t>排水量</w:t>
            </w:r>
          </w:p>
          <w:p>
            <w:pPr>
              <w:adjustRightInd w:val="0"/>
              <w:snapToGrid w:val="0"/>
              <w:jc w:val="center"/>
              <w:rPr>
                <w:b/>
                <w:szCs w:val="21"/>
              </w:rPr>
            </w:pPr>
            <w:r>
              <w:rPr>
                <w:rFonts w:hint="eastAsia"/>
                <w:b/>
                <w:szCs w:val="21"/>
              </w:rPr>
              <w:t>（m</w:t>
            </w:r>
            <w:r>
              <w:rPr>
                <w:rFonts w:hint="eastAsia"/>
                <w:b/>
                <w:szCs w:val="21"/>
                <w:vertAlign w:val="superscript"/>
              </w:rPr>
              <w:t>3</w:t>
            </w:r>
            <w:r>
              <w:rPr>
                <w:rFonts w:hint="eastAsia"/>
                <w:b/>
                <w:szCs w:val="21"/>
              </w:rPr>
              <w:t>/d）</w:t>
            </w:r>
          </w:p>
        </w:tc>
        <w:tc>
          <w:tcPr>
            <w:tcW w:w="651" w:type="pct"/>
            <w:noWrap w:val="0"/>
            <w:vAlign w:val="center"/>
          </w:tcPr>
          <w:p>
            <w:pPr>
              <w:adjustRightInd w:val="0"/>
              <w:snapToGrid w:val="0"/>
              <w:jc w:val="center"/>
              <w:rPr>
                <w:rFonts w:hint="eastAsia"/>
                <w:b/>
                <w:szCs w:val="21"/>
              </w:rPr>
            </w:pPr>
            <w:r>
              <w:rPr>
                <w:b/>
                <w:szCs w:val="21"/>
              </w:rPr>
              <w:t>排水量</w:t>
            </w:r>
          </w:p>
          <w:p>
            <w:pPr>
              <w:adjustRightInd w:val="0"/>
              <w:snapToGrid w:val="0"/>
              <w:jc w:val="center"/>
              <w:rPr>
                <w:b/>
                <w:szCs w:val="21"/>
              </w:rPr>
            </w:pPr>
            <w:r>
              <w:rPr>
                <w:b/>
                <w:szCs w:val="21"/>
              </w:rPr>
              <w:t>m</w:t>
            </w:r>
            <w:r>
              <w:rPr>
                <w:b/>
                <w:szCs w:val="21"/>
                <w:vertAlign w:val="superscript"/>
              </w:rPr>
              <w:t>3</w:t>
            </w:r>
            <w:r>
              <w:rPr>
                <w:b/>
                <w:szCs w:val="21"/>
              </w:rPr>
              <w:t>/（122d）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598" w:hRule="atLeast"/>
          <w:jc w:val="center"/>
        </w:trPr>
        <w:tc>
          <w:tcPr>
            <w:tcW w:w="517" w:type="pct"/>
            <w:noWrap w:val="0"/>
            <w:vAlign w:val="center"/>
          </w:tcPr>
          <w:p>
            <w:pPr>
              <w:adjustRightInd w:val="0"/>
              <w:snapToGrid w:val="0"/>
              <w:jc w:val="center"/>
              <w:rPr>
                <w:szCs w:val="21"/>
              </w:rPr>
            </w:pPr>
            <w:r>
              <w:rPr>
                <w:szCs w:val="21"/>
              </w:rPr>
              <w:t>猪舍冲洗水</w:t>
            </w:r>
          </w:p>
        </w:tc>
        <w:tc>
          <w:tcPr>
            <w:tcW w:w="477" w:type="pct"/>
            <w:noWrap w:val="0"/>
            <w:vAlign w:val="center"/>
          </w:tcPr>
          <w:p>
            <w:pPr>
              <w:adjustRightInd w:val="0"/>
              <w:snapToGrid w:val="0"/>
              <w:jc w:val="center"/>
              <w:rPr>
                <w:szCs w:val="21"/>
              </w:rPr>
            </w:pPr>
            <w:r>
              <w:rPr>
                <w:szCs w:val="21"/>
              </w:rPr>
              <w:t>育肥猪舍</w:t>
            </w:r>
          </w:p>
        </w:tc>
        <w:tc>
          <w:tcPr>
            <w:tcW w:w="528" w:type="pct"/>
            <w:noWrap w:val="0"/>
            <w:vAlign w:val="center"/>
          </w:tcPr>
          <w:p>
            <w:pPr>
              <w:adjustRightInd w:val="0"/>
              <w:snapToGrid w:val="0"/>
              <w:jc w:val="center"/>
              <w:rPr>
                <w:szCs w:val="21"/>
              </w:rPr>
            </w:pPr>
            <w:r>
              <w:rPr>
                <w:rFonts w:hint="eastAsia"/>
                <w:bCs/>
                <w:szCs w:val="21"/>
                <w:lang w:val="en-US" w:eastAsia="zh-CN"/>
              </w:rPr>
              <w:t>4</w:t>
            </w:r>
            <w:r>
              <w:rPr>
                <w:rFonts w:hint="eastAsia"/>
                <w:bCs/>
                <w:szCs w:val="21"/>
              </w:rPr>
              <w:t>200</w:t>
            </w:r>
          </w:p>
        </w:tc>
        <w:tc>
          <w:tcPr>
            <w:tcW w:w="670" w:type="pct"/>
            <w:noWrap w:val="0"/>
            <w:vAlign w:val="center"/>
          </w:tcPr>
          <w:p>
            <w:pPr>
              <w:adjustRightInd w:val="0"/>
              <w:snapToGrid w:val="0"/>
              <w:jc w:val="center"/>
              <w:rPr>
                <w:szCs w:val="21"/>
              </w:rPr>
            </w:pPr>
            <w:r>
              <w:rPr>
                <w:szCs w:val="21"/>
              </w:rPr>
              <w:t>0.25L/头·d</w:t>
            </w:r>
          </w:p>
        </w:tc>
        <w:tc>
          <w:tcPr>
            <w:tcW w:w="699" w:type="pct"/>
            <w:noWrap w:val="0"/>
            <w:vAlign w:val="center"/>
          </w:tcPr>
          <w:p>
            <w:pPr>
              <w:adjustRightInd w:val="0"/>
              <w:snapToGrid w:val="0"/>
              <w:jc w:val="center"/>
              <w:rPr>
                <w:rFonts w:hint="default" w:eastAsia="宋体"/>
                <w:szCs w:val="21"/>
                <w:lang w:val="en-US" w:eastAsia="zh-CN"/>
              </w:rPr>
            </w:pPr>
            <w:r>
              <w:rPr>
                <w:rFonts w:hint="eastAsia"/>
                <w:szCs w:val="21"/>
                <w:lang w:val="en-US" w:eastAsia="zh-CN"/>
              </w:rPr>
              <w:t>1.05</w:t>
            </w:r>
          </w:p>
        </w:tc>
        <w:tc>
          <w:tcPr>
            <w:tcW w:w="751" w:type="pct"/>
            <w:noWrap w:val="0"/>
            <w:vAlign w:val="center"/>
          </w:tcPr>
          <w:p>
            <w:pPr>
              <w:adjustRightInd w:val="0"/>
              <w:snapToGrid w:val="0"/>
              <w:jc w:val="center"/>
              <w:rPr>
                <w:rFonts w:hint="default" w:eastAsia="宋体"/>
                <w:szCs w:val="21"/>
                <w:lang w:val="en-US" w:eastAsia="zh-CN"/>
              </w:rPr>
            </w:pPr>
            <w:r>
              <w:rPr>
                <w:rFonts w:hint="eastAsia"/>
                <w:szCs w:val="21"/>
                <w:lang w:val="en-US" w:eastAsia="zh-CN"/>
              </w:rPr>
              <w:t>128.1</w:t>
            </w:r>
          </w:p>
        </w:tc>
        <w:tc>
          <w:tcPr>
            <w:tcW w:w="703" w:type="pct"/>
            <w:noWrap w:val="0"/>
            <w:vAlign w:val="center"/>
          </w:tcPr>
          <w:p>
            <w:pPr>
              <w:adjustRightInd w:val="0"/>
              <w:snapToGrid w:val="0"/>
              <w:jc w:val="center"/>
              <w:rPr>
                <w:szCs w:val="21"/>
              </w:rPr>
            </w:pPr>
            <w:r>
              <w:rPr>
                <w:rFonts w:hint="eastAsia"/>
                <w:szCs w:val="21"/>
              </w:rPr>
              <w:t>1.17</w:t>
            </w:r>
          </w:p>
        </w:tc>
        <w:tc>
          <w:tcPr>
            <w:tcW w:w="651" w:type="pct"/>
            <w:noWrap w:val="0"/>
            <w:vAlign w:val="center"/>
          </w:tcPr>
          <w:p>
            <w:pPr>
              <w:adjustRightInd w:val="0"/>
              <w:snapToGrid w:val="0"/>
              <w:jc w:val="center"/>
              <w:rPr>
                <w:szCs w:val="21"/>
              </w:rPr>
            </w:pPr>
            <w:r>
              <w:rPr>
                <w:rFonts w:hint="eastAsia"/>
                <w:szCs w:val="21"/>
              </w:rPr>
              <w:t>142.74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40" w:hRule="atLeast"/>
          <w:jc w:val="center"/>
        </w:trPr>
        <w:tc>
          <w:tcPr>
            <w:tcW w:w="517" w:type="pct"/>
            <w:noWrap w:val="0"/>
            <w:vAlign w:val="center"/>
          </w:tcPr>
          <w:p>
            <w:pPr>
              <w:adjustRightInd w:val="0"/>
              <w:snapToGrid w:val="0"/>
              <w:jc w:val="center"/>
              <w:rPr>
                <w:szCs w:val="21"/>
              </w:rPr>
            </w:pPr>
            <w:r>
              <w:rPr>
                <w:szCs w:val="21"/>
              </w:rPr>
              <w:t>猪饮用水</w:t>
            </w:r>
          </w:p>
        </w:tc>
        <w:tc>
          <w:tcPr>
            <w:tcW w:w="477" w:type="pct"/>
            <w:noWrap w:val="0"/>
            <w:vAlign w:val="center"/>
          </w:tcPr>
          <w:p>
            <w:pPr>
              <w:adjustRightInd w:val="0"/>
              <w:snapToGrid w:val="0"/>
              <w:jc w:val="center"/>
              <w:rPr>
                <w:szCs w:val="21"/>
              </w:rPr>
            </w:pPr>
            <w:r>
              <w:rPr>
                <w:szCs w:val="21"/>
              </w:rPr>
              <w:t>育肥猪</w:t>
            </w:r>
          </w:p>
        </w:tc>
        <w:tc>
          <w:tcPr>
            <w:tcW w:w="528" w:type="pct"/>
            <w:noWrap w:val="0"/>
            <w:vAlign w:val="center"/>
          </w:tcPr>
          <w:p>
            <w:pPr>
              <w:adjustRightInd w:val="0"/>
              <w:snapToGrid w:val="0"/>
              <w:jc w:val="center"/>
              <w:rPr>
                <w:szCs w:val="21"/>
              </w:rPr>
            </w:pPr>
            <w:r>
              <w:rPr>
                <w:rFonts w:hint="eastAsia"/>
                <w:bCs/>
                <w:szCs w:val="21"/>
                <w:lang w:val="en-US" w:eastAsia="zh-CN"/>
              </w:rPr>
              <w:t>4</w:t>
            </w:r>
            <w:r>
              <w:rPr>
                <w:rFonts w:hint="eastAsia"/>
                <w:bCs/>
                <w:szCs w:val="21"/>
              </w:rPr>
              <w:t>200</w:t>
            </w:r>
          </w:p>
        </w:tc>
        <w:tc>
          <w:tcPr>
            <w:tcW w:w="670" w:type="pct"/>
            <w:noWrap w:val="0"/>
            <w:vAlign w:val="center"/>
          </w:tcPr>
          <w:p>
            <w:pPr>
              <w:adjustRightInd w:val="0"/>
              <w:snapToGrid w:val="0"/>
              <w:jc w:val="center"/>
              <w:rPr>
                <w:szCs w:val="21"/>
              </w:rPr>
            </w:pPr>
            <w:r>
              <w:rPr>
                <w:szCs w:val="21"/>
              </w:rPr>
              <w:t>11.0L/头·天</w:t>
            </w:r>
          </w:p>
        </w:tc>
        <w:tc>
          <w:tcPr>
            <w:tcW w:w="699" w:type="pct"/>
            <w:noWrap w:val="0"/>
            <w:vAlign w:val="center"/>
          </w:tcPr>
          <w:p>
            <w:pPr>
              <w:adjustRightInd w:val="0"/>
              <w:snapToGrid w:val="0"/>
              <w:jc w:val="center"/>
              <w:rPr>
                <w:rFonts w:hint="default" w:eastAsia="宋体"/>
                <w:iCs/>
                <w:szCs w:val="21"/>
                <w:lang w:val="en-US" w:eastAsia="zh-CN"/>
              </w:rPr>
            </w:pPr>
            <w:r>
              <w:rPr>
                <w:rFonts w:hint="eastAsia"/>
                <w:iCs/>
                <w:szCs w:val="21"/>
                <w:lang w:val="en-US" w:eastAsia="zh-CN"/>
              </w:rPr>
              <w:t>46.2</w:t>
            </w:r>
          </w:p>
        </w:tc>
        <w:tc>
          <w:tcPr>
            <w:tcW w:w="751" w:type="pct"/>
            <w:noWrap w:val="0"/>
            <w:vAlign w:val="center"/>
          </w:tcPr>
          <w:p>
            <w:pPr>
              <w:adjustRightInd w:val="0"/>
              <w:snapToGrid w:val="0"/>
              <w:jc w:val="center"/>
              <w:rPr>
                <w:rFonts w:hint="default" w:eastAsia="宋体"/>
                <w:szCs w:val="21"/>
                <w:lang w:val="en-US" w:eastAsia="zh-CN"/>
              </w:rPr>
            </w:pPr>
            <w:r>
              <w:rPr>
                <w:rFonts w:hint="eastAsia"/>
                <w:szCs w:val="21"/>
                <w:lang w:val="en-US" w:eastAsia="zh-CN"/>
              </w:rPr>
              <w:t>5636.4</w:t>
            </w:r>
          </w:p>
        </w:tc>
        <w:tc>
          <w:tcPr>
            <w:tcW w:w="703" w:type="pct"/>
            <w:noWrap w:val="0"/>
            <w:vAlign w:val="center"/>
          </w:tcPr>
          <w:p>
            <w:pPr>
              <w:adjustRightInd w:val="0"/>
              <w:snapToGrid w:val="0"/>
              <w:jc w:val="center"/>
              <w:rPr>
                <w:rFonts w:hint="default" w:eastAsia="宋体"/>
                <w:szCs w:val="21"/>
                <w:lang w:val="en-US" w:eastAsia="zh-CN"/>
              </w:rPr>
            </w:pPr>
            <w:r>
              <w:rPr>
                <w:rFonts w:hint="eastAsia"/>
                <w:szCs w:val="21"/>
                <w:lang w:val="en-US" w:eastAsia="zh-CN"/>
              </w:rPr>
              <w:t>21.05</w:t>
            </w:r>
          </w:p>
        </w:tc>
        <w:tc>
          <w:tcPr>
            <w:tcW w:w="651" w:type="pct"/>
            <w:noWrap w:val="0"/>
            <w:vAlign w:val="center"/>
          </w:tcPr>
          <w:p>
            <w:pPr>
              <w:adjustRightInd w:val="0"/>
              <w:snapToGrid w:val="0"/>
              <w:jc w:val="center"/>
              <w:rPr>
                <w:rFonts w:hint="default" w:eastAsia="宋体"/>
                <w:szCs w:val="21"/>
                <w:lang w:val="en-US" w:eastAsia="zh-CN"/>
              </w:rPr>
            </w:pPr>
            <w:r>
              <w:rPr>
                <w:rFonts w:hint="eastAsia"/>
                <w:szCs w:val="21"/>
                <w:lang w:val="en-US" w:eastAsia="zh-CN"/>
              </w:rPr>
              <w:t>2568.56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40" w:hRule="atLeast"/>
          <w:jc w:val="center"/>
        </w:trPr>
        <w:tc>
          <w:tcPr>
            <w:tcW w:w="995" w:type="pct"/>
            <w:gridSpan w:val="2"/>
            <w:noWrap w:val="0"/>
            <w:vAlign w:val="center"/>
          </w:tcPr>
          <w:p>
            <w:pPr>
              <w:adjustRightInd w:val="0"/>
              <w:snapToGrid w:val="0"/>
              <w:jc w:val="center"/>
              <w:rPr>
                <w:rFonts w:hint="eastAsia"/>
                <w:szCs w:val="21"/>
              </w:rPr>
            </w:pPr>
            <w:r>
              <w:rPr>
                <w:szCs w:val="21"/>
              </w:rPr>
              <w:t>猪舍降温</w:t>
            </w:r>
          </w:p>
          <w:p>
            <w:pPr>
              <w:adjustRightInd w:val="0"/>
              <w:snapToGrid w:val="0"/>
              <w:jc w:val="center"/>
              <w:rPr>
                <w:szCs w:val="21"/>
              </w:rPr>
            </w:pPr>
            <w:r>
              <w:rPr>
                <w:szCs w:val="21"/>
              </w:rPr>
              <w:t xml:space="preserve">（喷雾 </w:t>
            </w:r>
            <w:r>
              <w:rPr>
                <w:rFonts w:hint="eastAsia"/>
                <w:szCs w:val="21"/>
              </w:rPr>
              <w:t>，2个月</w:t>
            </w:r>
            <w:r>
              <w:rPr>
                <w:szCs w:val="21"/>
              </w:rPr>
              <w:t>）</w:t>
            </w:r>
          </w:p>
        </w:tc>
        <w:tc>
          <w:tcPr>
            <w:tcW w:w="528" w:type="pct"/>
            <w:noWrap w:val="0"/>
            <w:vAlign w:val="center"/>
          </w:tcPr>
          <w:p>
            <w:pPr>
              <w:adjustRightInd w:val="0"/>
              <w:snapToGrid w:val="0"/>
              <w:jc w:val="center"/>
              <w:rPr>
                <w:szCs w:val="21"/>
              </w:rPr>
            </w:pPr>
            <w:r>
              <w:rPr>
                <w:rFonts w:hint="eastAsia"/>
                <w:szCs w:val="21"/>
                <w:lang w:val="en-US" w:eastAsia="zh-CN"/>
              </w:rPr>
              <w:t>10</w:t>
            </w:r>
            <w:r>
              <w:rPr>
                <w:szCs w:val="21"/>
              </w:rPr>
              <w:t>舍</w:t>
            </w:r>
          </w:p>
        </w:tc>
        <w:tc>
          <w:tcPr>
            <w:tcW w:w="670" w:type="pct"/>
            <w:noWrap w:val="0"/>
            <w:vAlign w:val="center"/>
          </w:tcPr>
          <w:p>
            <w:pPr>
              <w:adjustRightInd w:val="0"/>
              <w:snapToGrid w:val="0"/>
              <w:jc w:val="center"/>
              <w:rPr>
                <w:szCs w:val="21"/>
              </w:rPr>
            </w:pPr>
            <w:r>
              <w:rPr>
                <w:rFonts w:hint="eastAsia"/>
                <w:szCs w:val="21"/>
              </w:rPr>
              <w:t>1.5</w:t>
            </w:r>
            <w:r>
              <w:rPr>
                <w:szCs w:val="21"/>
              </w:rPr>
              <w:t xml:space="preserve"> m</w:t>
            </w:r>
            <w:r>
              <w:rPr>
                <w:szCs w:val="21"/>
                <w:vertAlign w:val="superscript"/>
              </w:rPr>
              <w:t>3</w:t>
            </w:r>
            <w:r>
              <w:rPr>
                <w:szCs w:val="21"/>
              </w:rPr>
              <w:t>/单元·d</w:t>
            </w:r>
          </w:p>
        </w:tc>
        <w:tc>
          <w:tcPr>
            <w:tcW w:w="699" w:type="pct"/>
            <w:noWrap w:val="0"/>
            <w:vAlign w:val="center"/>
          </w:tcPr>
          <w:p>
            <w:pPr>
              <w:adjustRightInd w:val="0"/>
              <w:snapToGrid w:val="0"/>
              <w:jc w:val="center"/>
              <w:rPr>
                <w:rFonts w:hint="eastAsia" w:eastAsia="宋体"/>
                <w:szCs w:val="21"/>
                <w:lang w:eastAsia="zh-CN"/>
              </w:rPr>
            </w:pPr>
            <w:r>
              <w:rPr>
                <w:rFonts w:hint="eastAsia"/>
                <w:szCs w:val="21"/>
              </w:rPr>
              <w:t>1</w:t>
            </w:r>
            <w:r>
              <w:rPr>
                <w:rFonts w:hint="eastAsia"/>
                <w:szCs w:val="21"/>
                <w:lang w:val="en-US" w:eastAsia="zh-CN"/>
              </w:rPr>
              <w:t>5</w:t>
            </w:r>
          </w:p>
        </w:tc>
        <w:tc>
          <w:tcPr>
            <w:tcW w:w="751" w:type="pct"/>
            <w:noWrap w:val="0"/>
            <w:vAlign w:val="center"/>
          </w:tcPr>
          <w:p>
            <w:pPr>
              <w:adjustRightInd w:val="0"/>
              <w:snapToGrid w:val="0"/>
              <w:jc w:val="center"/>
              <w:rPr>
                <w:rFonts w:hint="default" w:eastAsia="宋体"/>
                <w:szCs w:val="21"/>
                <w:lang w:val="en-US" w:eastAsia="zh-CN"/>
              </w:rPr>
            </w:pPr>
            <w:r>
              <w:rPr>
                <w:rFonts w:hint="eastAsia"/>
                <w:szCs w:val="21"/>
                <w:lang w:val="en-US" w:eastAsia="zh-CN"/>
              </w:rPr>
              <w:t>900</w:t>
            </w:r>
          </w:p>
        </w:tc>
        <w:tc>
          <w:tcPr>
            <w:tcW w:w="703" w:type="pct"/>
            <w:noWrap w:val="0"/>
            <w:vAlign w:val="center"/>
          </w:tcPr>
          <w:p>
            <w:pPr>
              <w:adjustRightInd w:val="0"/>
              <w:snapToGrid w:val="0"/>
              <w:jc w:val="center"/>
              <w:rPr>
                <w:szCs w:val="21"/>
              </w:rPr>
            </w:pPr>
            <w:r>
              <w:rPr>
                <w:szCs w:val="21"/>
              </w:rPr>
              <w:t>0</w:t>
            </w:r>
          </w:p>
        </w:tc>
        <w:tc>
          <w:tcPr>
            <w:tcW w:w="651" w:type="pct"/>
            <w:noWrap w:val="0"/>
            <w:vAlign w:val="center"/>
          </w:tcPr>
          <w:p>
            <w:pPr>
              <w:adjustRightInd w:val="0"/>
              <w:snapToGrid w:val="0"/>
              <w:jc w:val="center"/>
              <w:rPr>
                <w:rFonts w:ascii="宋体" w:hAnsi="宋体" w:cs="宋体"/>
                <w:szCs w:val="21"/>
              </w:rPr>
            </w:pPr>
            <w:r>
              <w:rPr>
                <w:rFonts w:hint="eastAsia"/>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255" w:hRule="atLeast"/>
          <w:jc w:val="center"/>
        </w:trPr>
        <w:tc>
          <w:tcPr>
            <w:tcW w:w="995" w:type="pct"/>
            <w:gridSpan w:val="2"/>
            <w:noWrap w:val="0"/>
            <w:vAlign w:val="center"/>
          </w:tcPr>
          <w:p>
            <w:pPr>
              <w:adjustRightInd w:val="0"/>
              <w:snapToGrid w:val="0"/>
              <w:jc w:val="center"/>
              <w:rPr>
                <w:rFonts w:hint="eastAsia"/>
                <w:szCs w:val="21"/>
              </w:rPr>
            </w:pPr>
            <w:r>
              <w:rPr>
                <w:szCs w:val="21"/>
              </w:rPr>
              <w:t>职工生活</w:t>
            </w:r>
          </w:p>
        </w:tc>
        <w:tc>
          <w:tcPr>
            <w:tcW w:w="528" w:type="pct"/>
            <w:noWrap w:val="0"/>
            <w:vAlign w:val="center"/>
          </w:tcPr>
          <w:p>
            <w:pPr>
              <w:adjustRightInd w:val="0"/>
              <w:snapToGrid w:val="0"/>
              <w:jc w:val="center"/>
              <w:rPr>
                <w:szCs w:val="21"/>
              </w:rPr>
            </w:pPr>
            <w:r>
              <w:rPr>
                <w:rFonts w:hint="eastAsia"/>
                <w:szCs w:val="21"/>
              </w:rPr>
              <w:t>10</w:t>
            </w:r>
            <w:r>
              <w:rPr>
                <w:szCs w:val="21"/>
              </w:rPr>
              <w:t>人</w:t>
            </w:r>
          </w:p>
        </w:tc>
        <w:tc>
          <w:tcPr>
            <w:tcW w:w="670" w:type="pct"/>
            <w:noWrap w:val="0"/>
            <w:vAlign w:val="center"/>
          </w:tcPr>
          <w:p>
            <w:pPr>
              <w:adjustRightInd w:val="0"/>
              <w:snapToGrid w:val="0"/>
              <w:jc w:val="center"/>
              <w:rPr>
                <w:szCs w:val="21"/>
              </w:rPr>
            </w:pPr>
            <w:r>
              <w:rPr>
                <w:szCs w:val="21"/>
              </w:rPr>
              <w:t>120L/d·人</w:t>
            </w:r>
          </w:p>
        </w:tc>
        <w:tc>
          <w:tcPr>
            <w:tcW w:w="699" w:type="pct"/>
            <w:noWrap w:val="0"/>
            <w:vAlign w:val="center"/>
          </w:tcPr>
          <w:p>
            <w:pPr>
              <w:adjustRightInd w:val="0"/>
              <w:snapToGrid w:val="0"/>
              <w:jc w:val="center"/>
              <w:rPr>
                <w:szCs w:val="21"/>
              </w:rPr>
            </w:pPr>
            <w:r>
              <w:rPr>
                <w:rFonts w:hint="eastAsia"/>
                <w:szCs w:val="21"/>
              </w:rPr>
              <w:t>1.2</w:t>
            </w:r>
          </w:p>
        </w:tc>
        <w:tc>
          <w:tcPr>
            <w:tcW w:w="751" w:type="pct"/>
            <w:noWrap w:val="0"/>
            <w:vAlign w:val="center"/>
          </w:tcPr>
          <w:p>
            <w:pPr>
              <w:adjustRightInd w:val="0"/>
              <w:snapToGrid w:val="0"/>
              <w:jc w:val="center"/>
              <w:rPr>
                <w:szCs w:val="21"/>
              </w:rPr>
            </w:pPr>
            <w:r>
              <w:rPr>
                <w:rFonts w:hint="eastAsia"/>
                <w:szCs w:val="21"/>
              </w:rPr>
              <w:t>146.4</w:t>
            </w:r>
          </w:p>
        </w:tc>
        <w:tc>
          <w:tcPr>
            <w:tcW w:w="703" w:type="pct"/>
            <w:noWrap w:val="0"/>
            <w:vAlign w:val="center"/>
          </w:tcPr>
          <w:p>
            <w:pPr>
              <w:adjustRightInd w:val="0"/>
              <w:snapToGrid w:val="0"/>
              <w:jc w:val="center"/>
              <w:rPr>
                <w:szCs w:val="21"/>
              </w:rPr>
            </w:pPr>
            <w:r>
              <w:rPr>
                <w:rFonts w:hint="eastAsia"/>
                <w:szCs w:val="21"/>
              </w:rPr>
              <w:t>0.96</w:t>
            </w:r>
          </w:p>
        </w:tc>
        <w:tc>
          <w:tcPr>
            <w:tcW w:w="651" w:type="pct"/>
            <w:noWrap w:val="0"/>
            <w:vAlign w:val="center"/>
          </w:tcPr>
          <w:p>
            <w:pPr>
              <w:adjustRightInd w:val="0"/>
              <w:snapToGrid w:val="0"/>
              <w:jc w:val="center"/>
              <w:rPr>
                <w:szCs w:val="21"/>
              </w:rPr>
            </w:pPr>
            <w:r>
              <w:rPr>
                <w:rFonts w:hint="eastAsia"/>
                <w:szCs w:val="21"/>
              </w:rPr>
              <w:t>117.12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40" w:hRule="atLeast"/>
          <w:jc w:val="center"/>
        </w:trPr>
        <w:tc>
          <w:tcPr>
            <w:tcW w:w="2194" w:type="pct"/>
            <w:gridSpan w:val="4"/>
            <w:noWrap w:val="0"/>
            <w:vAlign w:val="center"/>
          </w:tcPr>
          <w:p>
            <w:pPr>
              <w:adjustRightInd w:val="0"/>
              <w:snapToGrid w:val="0"/>
              <w:jc w:val="center"/>
              <w:rPr>
                <w:szCs w:val="21"/>
              </w:rPr>
            </w:pPr>
            <w:r>
              <w:rPr>
                <w:szCs w:val="21"/>
              </w:rPr>
              <w:t>合计</w:t>
            </w:r>
          </w:p>
        </w:tc>
        <w:tc>
          <w:tcPr>
            <w:tcW w:w="699" w:type="pct"/>
            <w:noWrap w:val="0"/>
            <w:vAlign w:val="center"/>
          </w:tcPr>
          <w:p>
            <w:pPr>
              <w:adjustRightInd w:val="0"/>
              <w:snapToGrid w:val="0"/>
              <w:jc w:val="center"/>
              <w:rPr>
                <w:rFonts w:hint="default" w:eastAsia="宋体"/>
                <w:szCs w:val="21"/>
                <w:lang w:val="en-US" w:eastAsia="zh-CN"/>
              </w:rPr>
            </w:pPr>
            <w:r>
              <w:rPr>
                <w:rFonts w:hint="eastAsia"/>
                <w:szCs w:val="21"/>
                <w:lang w:val="en-US" w:eastAsia="zh-CN"/>
              </w:rPr>
              <w:t>63.45</w:t>
            </w:r>
          </w:p>
        </w:tc>
        <w:tc>
          <w:tcPr>
            <w:tcW w:w="751" w:type="pct"/>
            <w:noWrap w:val="0"/>
            <w:vAlign w:val="center"/>
          </w:tcPr>
          <w:p>
            <w:pPr>
              <w:adjustRightInd w:val="0"/>
              <w:snapToGrid w:val="0"/>
              <w:jc w:val="center"/>
              <w:rPr>
                <w:rFonts w:hint="default" w:eastAsia="宋体"/>
                <w:szCs w:val="21"/>
                <w:lang w:val="en-US" w:eastAsia="zh-CN"/>
              </w:rPr>
            </w:pPr>
            <w:r>
              <w:rPr>
                <w:rFonts w:hint="eastAsia"/>
                <w:szCs w:val="21"/>
                <w:lang w:val="en-US" w:eastAsia="zh-CN"/>
              </w:rPr>
              <w:t>6810.9</w:t>
            </w:r>
          </w:p>
        </w:tc>
        <w:tc>
          <w:tcPr>
            <w:tcW w:w="703" w:type="pct"/>
            <w:noWrap w:val="0"/>
            <w:vAlign w:val="center"/>
          </w:tcPr>
          <w:p>
            <w:pPr>
              <w:adjustRightInd w:val="0"/>
              <w:snapToGrid w:val="0"/>
              <w:jc w:val="center"/>
              <w:rPr>
                <w:rFonts w:hint="default" w:eastAsia="宋体"/>
                <w:szCs w:val="21"/>
                <w:lang w:val="en-US" w:eastAsia="zh-CN"/>
              </w:rPr>
            </w:pPr>
            <w:r>
              <w:rPr>
                <w:rFonts w:hint="eastAsia"/>
                <w:szCs w:val="21"/>
                <w:lang w:val="en-US" w:eastAsia="zh-CN"/>
              </w:rPr>
              <w:t>23.18</w:t>
            </w:r>
          </w:p>
        </w:tc>
        <w:tc>
          <w:tcPr>
            <w:tcW w:w="651" w:type="pct"/>
            <w:noWrap w:val="0"/>
            <w:vAlign w:val="center"/>
          </w:tcPr>
          <w:p>
            <w:pPr>
              <w:adjustRightInd w:val="0"/>
              <w:snapToGrid w:val="0"/>
              <w:jc w:val="center"/>
              <w:rPr>
                <w:rFonts w:hint="default" w:eastAsia="宋体"/>
                <w:szCs w:val="21"/>
                <w:lang w:val="en-US" w:eastAsia="zh-CN"/>
              </w:rPr>
            </w:pPr>
            <w:r>
              <w:rPr>
                <w:rFonts w:hint="eastAsia"/>
                <w:szCs w:val="21"/>
                <w:lang w:val="en-US" w:eastAsia="zh-CN"/>
              </w:rPr>
              <w:t>2828.42</w:t>
            </w:r>
          </w:p>
        </w:tc>
      </w:tr>
    </w:tbl>
    <w:p>
      <w:pPr>
        <w:kinsoku w:val="0"/>
        <w:overflowPunct w:val="0"/>
        <w:adjustRightInd w:val="0"/>
        <w:snapToGrid w:val="0"/>
        <w:spacing w:after="72" w:afterLines="30" w:line="500" w:lineRule="exact"/>
        <w:ind w:firstLine="482" w:firstLineChars="200"/>
        <w:jc w:val="center"/>
        <w:outlineLvl w:val="6"/>
        <w:rPr>
          <w:b/>
          <w:sz w:val="24"/>
          <w:szCs w:val="22"/>
        </w:rPr>
      </w:pPr>
      <w:r>
        <w:rPr>
          <w:b/>
          <w:sz w:val="24"/>
          <w:szCs w:val="22"/>
        </w:rPr>
        <w:t>表</w:t>
      </w:r>
      <w:r>
        <w:rPr>
          <w:rFonts w:hint="eastAsia"/>
          <w:b/>
          <w:sz w:val="24"/>
          <w:szCs w:val="22"/>
        </w:rPr>
        <w:t>2</w:t>
      </w:r>
      <w:r>
        <w:rPr>
          <w:b/>
          <w:sz w:val="24"/>
          <w:szCs w:val="22"/>
        </w:rPr>
        <w:t>.1-13  项目用排水一览表（非夏季243天）</w:t>
      </w:r>
    </w:p>
    <w:tbl>
      <w:tblPr>
        <w:tblStyle w:val="1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57" w:type="dxa"/>
          <w:left w:w="108" w:type="dxa"/>
          <w:bottom w:w="57" w:type="dxa"/>
          <w:right w:w="108" w:type="dxa"/>
        </w:tblCellMar>
      </w:tblPr>
      <w:tblGrid>
        <w:gridCol w:w="675"/>
        <w:gridCol w:w="1276"/>
        <w:gridCol w:w="851"/>
        <w:gridCol w:w="1275"/>
        <w:gridCol w:w="1100"/>
        <w:gridCol w:w="1310"/>
        <w:gridCol w:w="1276"/>
        <w:gridCol w:w="11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25" w:hRule="atLeast"/>
          <w:tblHeader/>
        </w:trPr>
        <w:tc>
          <w:tcPr>
            <w:tcW w:w="1951" w:type="dxa"/>
            <w:gridSpan w:val="2"/>
            <w:noWrap w:val="0"/>
            <w:vAlign w:val="center"/>
          </w:tcPr>
          <w:p>
            <w:pPr>
              <w:adjustRightInd w:val="0"/>
              <w:snapToGrid w:val="0"/>
              <w:jc w:val="center"/>
              <w:rPr>
                <w:b/>
                <w:szCs w:val="21"/>
              </w:rPr>
            </w:pPr>
            <w:r>
              <w:rPr>
                <w:b/>
                <w:szCs w:val="21"/>
              </w:rPr>
              <w:t>名称</w:t>
            </w:r>
          </w:p>
        </w:tc>
        <w:tc>
          <w:tcPr>
            <w:tcW w:w="851" w:type="dxa"/>
            <w:noWrap w:val="0"/>
            <w:vAlign w:val="center"/>
          </w:tcPr>
          <w:p>
            <w:pPr>
              <w:adjustRightInd w:val="0"/>
              <w:snapToGrid w:val="0"/>
              <w:jc w:val="center"/>
              <w:rPr>
                <w:b/>
                <w:szCs w:val="21"/>
              </w:rPr>
            </w:pPr>
            <w:r>
              <w:rPr>
                <w:b/>
                <w:szCs w:val="21"/>
              </w:rPr>
              <w:t>规模（头）</w:t>
            </w:r>
          </w:p>
        </w:tc>
        <w:tc>
          <w:tcPr>
            <w:tcW w:w="1275" w:type="dxa"/>
            <w:noWrap w:val="0"/>
            <w:vAlign w:val="center"/>
          </w:tcPr>
          <w:p>
            <w:pPr>
              <w:adjustRightInd w:val="0"/>
              <w:snapToGrid w:val="0"/>
              <w:jc w:val="center"/>
              <w:rPr>
                <w:b/>
                <w:szCs w:val="21"/>
              </w:rPr>
            </w:pPr>
            <w:r>
              <w:rPr>
                <w:b/>
                <w:szCs w:val="21"/>
              </w:rPr>
              <w:t>用水定额</w:t>
            </w:r>
          </w:p>
        </w:tc>
        <w:tc>
          <w:tcPr>
            <w:tcW w:w="1100" w:type="dxa"/>
            <w:noWrap w:val="0"/>
            <w:vAlign w:val="center"/>
          </w:tcPr>
          <w:p>
            <w:pPr>
              <w:adjustRightInd w:val="0"/>
              <w:snapToGrid w:val="0"/>
              <w:jc w:val="center"/>
              <w:rPr>
                <w:b/>
                <w:szCs w:val="21"/>
              </w:rPr>
            </w:pPr>
            <w:r>
              <w:rPr>
                <w:b/>
                <w:szCs w:val="21"/>
              </w:rPr>
              <w:t>日均用水量（m</w:t>
            </w:r>
            <w:r>
              <w:rPr>
                <w:b/>
                <w:szCs w:val="21"/>
                <w:vertAlign w:val="superscript"/>
              </w:rPr>
              <w:t>3</w:t>
            </w:r>
            <w:r>
              <w:rPr>
                <w:b/>
                <w:szCs w:val="21"/>
              </w:rPr>
              <w:t>/d）</w:t>
            </w:r>
          </w:p>
        </w:tc>
        <w:tc>
          <w:tcPr>
            <w:tcW w:w="1310" w:type="dxa"/>
            <w:noWrap w:val="0"/>
            <w:vAlign w:val="center"/>
          </w:tcPr>
          <w:p>
            <w:pPr>
              <w:adjustRightInd w:val="0"/>
              <w:snapToGrid w:val="0"/>
              <w:jc w:val="center"/>
              <w:rPr>
                <w:b/>
                <w:szCs w:val="21"/>
              </w:rPr>
            </w:pPr>
            <w:r>
              <w:rPr>
                <w:b/>
                <w:szCs w:val="21"/>
              </w:rPr>
              <w:t>用水量</w:t>
            </w:r>
          </w:p>
          <w:p>
            <w:pPr>
              <w:adjustRightInd w:val="0"/>
              <w:snapToGrid w:val="0"/>
              <w:jc w:val="center"/>
              <w:rPr>
                <w:b/>
                <w:szCs w:val="21"/>
              </w:rPr>
            </w:pPr>
            <w:r>
              <w:rPr>
                <w:b/>
                <w:szCs w:val="21"/>
              </w:rPr>
              <w:t>m</w:t>
            </w:r>
            <w:r>
              <w:rPr>
                <w:b/>
                <w:szCs w:val="21"/>
                <w:vertAlign w:val="superscript"/>
              </w:rPr>
              <w:t>3</w:t>
            </w:r>
            <w:r>
              <w:rPr>
                <w:b/>
                <w:szCs w:val="21"/>
              </w:rPr>
              <w:t>/（243d）</w:t>
            </w:r>
          </w:p>
        </w:tc>
        <w:tc>
          <w:tcPr>
            <w:tcW w:w="1276" w:type="dxa"/>
            <w:noWrap w:val="0"/>
            <w:vAlign w:val="center"/>
          </w:tcPr>
          <w:p>
            <w:pPr>
              <w:adjustRightInd w:val="0"/>
              <w:snapToGrid w:val="0"/>
              <w:jc w:val="center"/>
              <w:rPr>
                <w:b/>
                <w:szCs w:val="21"/>
              </w:rPr>
            </w:pPr>
            <w:r>
              <w:rPr>
                <w:b/>
                <w:szCs w:val="21"/>
              </w:rPr>
              <w:t>日均排水量</w:t>
            </w:r>
          </w:p>
          <w:p>
            <w:pPr>
              <w:adjustRightInd w:val="0"/>
              <w:snapToGrid w:val="0"/>
              <w:jc w:val="center"/>
              <w:rPr>
                <w:b/>
                <w:szCs w:val="21"/>
              </w:rPr>
            </w:pPr>
            <w:r>
              <w:rPr>
                <w:b/>
                <w:szCs w:val="21"/>
              </w:rPr>
              <w:t>（m</w:t>
            </w:r>
            <w:r>
              <w:rPr>
                <w:b/>
                <w:szCs w:val="21"/>
                <w:vertAlign w:val="superscript"/>
              </w:rPr>
              <w:t>3</w:t>
            </w:r>
            <w:r>
              <w:rPr>
                <w:b/>
                <w:szCs w:val="21"/>
              </w:rPr>
              <w:t>/d）</w:t>
            </w:r>
          </w:p>
        </w:tc>
        <w:tc>
          <w:tcPr>
            <w:tcW w:w="1183" w:type="dxa"/>
            <w:noWrap w:val="0"/>
            <w:vAlign w:val="center"/>
          </w:tcPr>
          <w:p>
            <w:pPr>
              <w:adjustRightInd w:val="0"/>
              <w:snapToGrid w:val="0"/>
              <w:jc w:val="center"/>
              <w:rPr>
                <w:b/>
                <w:szCs w:val="21"/>
              </w:rPr>
            </w:pPr>
            <w:r>
              <w:rPr>
                <w:b/>
                <w:szCs w:val="21"/>
              </w:rPr>
              <w:t>排水量</w:t>
            </w:r>
          </w:p>
          <w:p>
            <w:pPr>
              <w:adjustRightInd w:val="0"/>
              <w:snapToGrid w:val="0"/>
              <w:jc w:val="center"/>
              <w:rPr>
                <w:b/>
                <w:szCs w:val="21"/>
              </w:rPr>
            </w:pPr>
            <w:r>
              <w:rPr>
                <w:b/>
                <w:szCs w:val="21"/>
              </w:rPr>
              <w:t>m</w:t>
            </w:r>
            <w:r>
              <w:rPr>
                <w:b/>
                <w:szCs w:val="21"/>
                <w:vertAlign w:val="superscript"/>
              </w:rPr>
              <w:t>3</w:t>
            </w:r>
            <w:r>
              <w:rPr>
                <w:b/>
                <w:szCs w:val="21"/>
              </w:rPr>
              <w:t>/（243d）</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20" w:hRule="atLeast"/>
        </w:trPr>
        <w:tc>
          <w:tcPr>
            <w:tcW w:w="675" w:type="dxa"/>
            <w:noWrap w:val="0"/>
            <w:vAlign w:val="center"/>
          </w:tcPr>
          <w:p>
            <w:pPr>
              <w:adjustRightInd w:val="0"/>
              <w:snapToGrid w:val="0"/>
              <w:jc w:val="center"/>
              <w:rPr>
                <w:szCs w:val="21"/>
              </w:rPr>
            </w:pPr>
            <w:r>
              <w:rPr>
                <w:szCs w:val="21"/>
              </w:rPr>
              <w:t>猪舍冲洗水</w:t>
            </w:r>
          </w:p>
        </w:tc>
        <w:tc>
          <w:tcPr>
            <w:tcW w:w="1276" w:type="dxa"/>
            <w:noWrap w:val="0"/>
            <w:vAlign w:val="center"/>
          </w:tcPr>
          <w:p>
            <w:pPr>
              <w:adjustRightInd w:val="0"/>
              <w:snapToGrid w:val="0"/>
              <w:jc w:val="center"/>
              <w:rPr>
                <w:szCs w:val="21"/>
              </w:rPr>
            </w:pPr>
            <w:r>
              <w:rPr>
                <w:szCs w:val="21"/>
              </w:rPr>
              <w:t>育肥猪舍</w:t>
            </w:r>
          </w:p>
        </w:tc>
        <w:tc>
          <w:tcPr>
            <w:tcW w:w="851" w:type="dxa"/>
            <w:noWrap w:val="0"/>
            <w:vAlign w:val="center"/>
          </w:tcPr>
          <w:p>
            <w:pPr>
              <w:adjustRightInd w:val="0"/>
              <w:snapToGrid w:val="0"/>
              <w:jc w:val="center"/>
              <w:rPr>
                <w:szCs w:val="21"/>
              </w:rPr>
            </w:pPr>
            <w:r>
              <w:rPr>
                <w:rFonts w:hint="eastAsia"/>
                <w:bCs/>
                <w:szCs w:val="21"/>
                <w:lang w:val="en-US" w:eastAsia="zh-CN"/>
              </w:rPr>
              <w:t>4</w:t>
            </w:r>
            <w:r>
              <w:rPr>
                <w:rFonts w:hint="eastAsia"/>
                <w:bCs/>
                <w:szCs w:val="21"/>
              </w:rPr>
              <w:t>200</w:t>
            </w:r>
          </w:p>
        </w:tc>
        <w:tc>
          <w:tcPr>
            <w:tcW w:w="1275" w:type="dxa"/>
            <w:noWrap w:val="0"/>
            <w:vAlign w:val="center"/>
          </w:tcPr>
          <w:p>
            <w:pPr>
              <w:adjustRightInd w:val="0"/>
              <w:snapToGrid w:val="0"/>
              <w:jc w:val="center"/>
              <w:rPr>
                <w:szCs w:val="21"/>
              </w:rPr>
            </w:pPr>
            <w:r>
              <w:rPr>
                <w:szCs w:val="21"/>
              </w:rPr>
              <w:t>0.25L/头·d</w:t>
            </w:r>
          </w:p>
        </w:tc>
        <w:tc>
          <w:tcPr>
            <w:tcW w:w="1100" w:type="dxa"/>
            <w:noWrap w:val="0"/>
            <w:vAlign w:val="center"/>
          </w:tcPr>
          <w:p>
            <w:pPr>
              <w:adjustRightInd w:val="0"/>
              <w:snapToGrid w:val="0"/>
              <w:jc w:val="center"/>
              <w:rPr>
                <w:rFonts w:hint="default" w:eastAsia="宋体"/>
                <w:szCs w:val="21"/>
                <w:lang w:val="en-US" w:eastAsia="zh-CN"/>
              </w:rPr>
            </w:pPr>
            <w:r>
              <w:rPr>
                <w:rFonts w:hint="eastAsia"/>
                <w:szCs w:val="21"/>
              </w:rPr>
              <w:t>1.</w:t>
            </w:r>
            <w:r>
              <w:rPr>
                <w:rFonts w:hint="eastAsia"/>
                <w:szCs w:val="21"/>
                <w:lang w:val="en-US" w:eastAsia="zh-CN"/>
              </w:rPr>
              <w:t>05</w:t>
            </w:r>
          </w:p>
        </w:tc>
        <w:tc>
          <w:tcPr>
            <w:tcW w:w="1310" w:type="dxa"/>
            <w:noWrap w:val="0"/>
            <w:vAlign w:val="center"/>
          </w:tcPr>
          <w:p>
            <w:pPr>
              <w:adjustRightInd w:val="0"/>
              <w:snapToGrid w:val="0"/>
              <w:jc w:val="center"/>
              <w:rPr>
                <w:rFonts w:hint="default" w:eastAsia="宋体"/>
                <w:szCs w:val="21"/>
                <w:lang w:val="en-US" w:eastAsia="zh-CN"/>
              </w:rPr>
            </w:pPr>
            <w:r>
              <w:rPr>
                <w:rFonts w:hint="eastAsia"/>
                <w:szCs w:val="21"/>
                <w:lang w:val="en-US" w:eastAsia="zh-CN"/>
              </w:rPr>
              <w:t>255.15</w:t>
            </w:r>
          </w:p>
        </w:tc>
        <w:tc>
          <w:tcPr>
            <w:tcW w:w="1276" w:type="dxa"/>
            <w:noWrap w:val="0"/>
            <w:vAlign w:val="center"/>
          </w:tcPr>
          <w:p>
            <w:pPr>
              <w:adjustRightInd w:val="0"/>
              <w:snapToGrid w:val="0"/>
              <w:jc w:val="center"/>
              <w:rPr>
                <w:szCs w:val="21"/>
              </w:rPr>
            </w:pPr>
            <w:r>
              <w:rPr>
                <w:rFonts w:hint="eastAsia"/>
                <w:szCs w:val="21"/>
              </w:rPr>
              <w:t>1.17</w:t>
            </w:r>
          </w:p>
        </w:tc>
        <w:tc>
          <w:tcPr>
            <w:tcW w:w="1183" w:type="dxa"/>
            <w:noWrap w:val="0"/>
            <w:vAlign w:val="center"/>
          </w:tcPr>
          <w:p>
            <w:pPr>
              <w:adjustRightInd w:val="0"/>
              <w:snapToGrid w:val="0"/>
              <w:jc w:val="center"/>
              <w:rPr>
                <w:szCs w:val="21"/>
              </w:rPr>
            </w:pPr>
            <w:r>
              <w:rPr>
                <w:rFonts w:hint="eastAsia"/>
                <w:szCs w:val="21"/>
              </w:rPr>
              <w:t>284.31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20" w:hRule="atLeast"/>
        </w:trPr>
        <w:tc>
          <w:tcPr>
            <w:tcW w:w="675" w:type="dxa"/>
            <w:noWrap w:val="0"/>
            <w:vAlign w:val="center"/>
          </w:tcPr>
          <w:p>
            <w:pPr>
              <w:adjustRightInd w:val="0"/>
              <w:snapToGrid w:val="0"/>
              <w:jc w:val="center"/>
              <w:rPr>
                <w:szCs w:val="21"/>
              </w:rPr>
            </w:pPr>
            <w:r>
              <w:rPr>
                <w:szCs w:val="21"/>
              </w:rPr>
              <w:t>猪饮用水</w:t>
            </w:r>
          </w:p>
        </w:tc>
        <w:tc>
          <w:tcPr>
            <w:tcW w:w="1276" w:type="dxa"/>
            <w:noWrap w:val="0"/>
            <w:vAlign w:val="center"/>
          </w:tcPr>
          <w:p>
            <w:pPr>
              <w:adjustRightInd w:val="0"/>
              <w:snapToGrid w:val="0"/>
              <w:jc w:val="center"/>
              <w:rPr>
                <w:szCs w:val="21"/>
              </w:rPr>
            </w:pPr>
            <w:r>
              <w:rPr>
                <w:szCs w:val="21"/>
              </w:rPr>
              <w:t>育肥猪</w:t>
            </w:r>
          </w:p>
        </w:tc>
        <w:tc>
          <w:tcPr>
            <w:tcW w:w="851" w:type="dxa"/>
            <w:noWrap w:val="0"/>
            <w:vAlign w:val="center"/>
          </w:tcPr>
          <w:p>
            <w:pPr>
              <w:adjustRightInd w:val="0"/>
              <w:snapToGrid w:val="0"/>
              <w:jc w:val="center"/>
              <w:rPr>
                <w:szCs w:val="21"/>
              </w:rPr>
            </w:pPr>
            <w:r>
              <w:rPr>
                <w:rFonts w:hint="eastAsia"/>
                <w:bCs/>
                <w:szCs w:val="21"/>
                <w:lang w:val="en-US" w:eastAsia="zh-CN"/>
              </w:rPr>
              <w:t>4</w:t>
            </w:r>
            <w:r>
              <w:rPr>
                <w:rFonts w:hint="eastAsia"/>
                <w:bCs/>
                <w:szCs w:val="21"/>
              </w:rPr>
              <w:t>200</w:t>
            </w:r>
          </w:p>
        </w:tc>
        <w:tc>
          <w:tcPr>
            <w:tcW w:w="1275" w:type="dxa"/>
            <w:noWrap w:val="0"/>
            <w:vAlign w:val="center"/>
          </w:tcPr>
          <w:p>
            <w:pPr>
              <w:adjustRightInd w:val="0"/>
              <w:snapToGrid w:val="0"/>
              <w:jc w:val="center"/>
              <w:rPr>
                <w:bCs/>
                <w:szCs w:val="21"/>
              </w:rPr>
            </w:pPr>
            <w:r>
              <w:rPr>
                <w:bCs/>
                <w:szCs w:val="21"/>
              </w:rPr>
              <w:t>6.5L/头·天</w:t>
            </w:r>
          </w:p>
        </w:tc>
        <w:tc>
          <w:tcPr>
            <w:tcW w:w="1100" w:type="dxa"/>
            <w:tcBorders>
              <w:top w:val="single" w:color="auto" w:sz="4" w:space="0"/>
              <w:left w:val="single" w:color="auto" w:sz="4" w:space="0"/>
              <w:bottom w:val="single" w:color="auto" w:sz="4" w:space="0"/>
              <w:right w:val="single" w:color="auto" w:sz="4" w:space="0"/>
            </w:tcBorders>
            <w:noWrap w:val="0"/>
            <w:vAlign w:val="center"/>
          </w:tcPr>
          <w:p>
            <w:pPr>
              <w:widowControl/>
              <w:jc w:val="center"/>
              <w:textAlignment w:val="center"/>
              <w:rPr>
                <w:rFonts w:hint="default" w:eastAsia="宋体"/>
                <w:iCs/>
                <w:szCs w:val="21"/>
                <w:lang w:val="en-US" w:eastAsia="zh-CN"/>
              </w:rPr>
            </w:pPr>
            <w:r>
              <w:rPr>
                <w:rFonts w:hint="eastAsia"/>
                <w:iCs/>
                <w:szCs w:val="21"/>
                <w:lang w:val="en-US" w:eastAsia="zh-CN"/>
              </w:rPr>
              <w:t>27.3</w:t>
            </w:r>
          </w:p>
        </w:tc>
        <w:tc>
          <w:tcPr>
            <w:tcW w:w="1310" w:type="dxa"/>
            <w:noWrap w:val="0"/>
            <w:vAlign w:val="center"/>
          </w:tcPr>
          <w:p>
            <w:pPr>
              <w:adjustRightInd w:val="0"/>
              <w:snapToGrid w:val="0"/>
              <w:jc w:val="center"/>
              <w:rPr>
                <w:rFonts w:hint="default" w:eastAsia="宋体"/>
                <w:szCs w:val="21"/>
                <w:lang w:val="en-US" w:eastAsia="zh-CN"/>
              </w:rPr>
            </w:pPr>
            <w:r>
              <w:rPr>
                <w:rFonts w:hint="eastAsia"/>
                <w:szCs w:val="21"/>
                <w:lang w:val="en-US" w:eastAsia="zh-CN"/>
              </w:rPr>
              <w:t>6633.9</w:t>
            </w:r>
          </w:p>
        </w:tc>
        <w:tc>
          <w:tcPr>
            <w:tcW w:w="1276" w:type="dxa"/>
            <w:noWrap w:val="0"/>
            <w:vAlign w:val="center"/>
          </w:tcPr>
          <w:p>
            <w:pPr>
              <w:widowControl/>
              <w:jc w:val="center"/>
              <w:textAlignment w:val="center"/>
              <w:rPr>
                <w:rFonts w:hint="default" w:eastAsia="宋体"/>
                <w:iCs/>
                <w:szCs w:val="21"/>
                <w:lang w:val="en-US" w:eastAsia="zh-CN"/>
              </w:rPr>
            </w:pPr>
            <w:r>
              <w:rPr>
                <w:rFonts w:hint="eastAsia"/>
                <w:iCs/>
                <w:szCs w:val="21"/>
                <w:lang w:val="en-US" w:eastAsia="zh-CN"/>
              </w:rPr>
              <w:t>12.56</w:t>
            </w:r>
          </w:p>
        </w:tc>
        <w:tc>
          <w:tcPr>
            <w:tcW w:w="1183" w:type="dxa"/>
            <w:noWrap w:val="0"/>
            <w:vAlign w:val="center"/>
          </w:tcPr>
          <w:p>
            <w:pPr>
              <w:adjustRightInd w:val="0"/>
              <w:snapToGrid w:val="0"/>
              <w:jc w:val="center"/>
              <w:rPr>
                <w:rFonts w:hint="default" w:eastAsia="宋体"/>
                <w:szCs w:val="21"/>
                <w:lang w:val="en-US" w:eastAsia="zh-CN"/>
              </w:rPr>
            </w:pPr>
            <w:r>
              <w:rPr>
                <w:rFonts w:hint="eastAsia"/>
                <w:szCs w:val="21"/>
                <w:lang w:val="en-US" w:eastAsia="zh-CN"/>
              </w:rPr>
              <w:t>3052.08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165" w:hRule="atLeast"/>
        </w:trPr>
        <w:tc>
          <w:tcPr>
            <w:tcW w:w="1951" w:type="dxa"/>
            <w:gridSpan w:val="2"/>
            <w:noWrap w:val="0"/>
            <w:vAlign w:val="center"/>
          </w:tcPr>
          <w:p>
            <w:pPr>
              <w:adjustRightInd w:val="0"/>
              <w:snapToGrid w:val="0"/>
              <w:jc w:val="center"/>
              <w:rPr>
                <w:szCs w:val="21"/>
              </w:rPr>
            </w:pPr>
            <w:r>
              <w:rPr>
                <w:szCs w:val="21"/>
              </w:rPr>
              <w:t>职工生活用水</w:t>
            </w:r>
          </w:p>
        </w:tc>
        <w:tc>
          <w:tcPr>
            <w:tcW w:w="851" w:type="dxa"/>
            <w:noWrap w:val="0"/>
            <w:vAlign w:val="center"/>
          </w:tcPr>
          <w:p>
            <w:pPr>
              <w:adjustRightInd w:val="0"/>
              <w:snapToGrid w:val="0"/>
              <w:jc w:val="center"/>
              <w:rPr>
                <w:szCs w:val="21"/>
              </w:rPr>
            </w:pPr>
            <w:r>
              <w:rPr>
                <w:rFonts w:hint="eastAsia"/>
                <w:szCs w:val="21"/>
              </w:rPr>
              <w:t>10</w:t>
            </w:r>
            <w:r>
              <w:rPr>
                <w:szCs w:val="21"/>
              </w:rPr>
              <w:t>人</w:t>
            </w:r>
          </w:p>
        </w:tc>
        <w:tc>
          <w:tcPr>
            <w:tcW w:w="1275" w:type="dxa"/>
            <w:noWrap w:val="0"/>
            <w:vAlign w:val="center"/>
          </w:tcPr>
          <w:p>
            <w:pPr>
              <w:adjustRightInd w:val="0"/>
              <w:snapToGrid w:val="0"/>
              <w:jc w:val="center"/>
              <w:rPr>
                <w:bCs/>
                <w:szCs w:val="21"/>
              </w:rPr>
            </w:pPr>
            <w:r>
              <w:rPr>
                <w:bCs/>
                <w:szCs w:val="21"/>
              </w:rPr>
              <w:t>120L/d·人</w:t>
            </w:r>
          </w:p>
        </w:tc>
        <w:tc>
          <w:tcPr>
            <w:tcW w:w="1100" w:type="dxa"/>
            <w:noWrap w:val="0"/>
            <w:vAlign w:val="center"/>
          </w:tcPr>
          <w:p>
            <w:pPr>
              <w:adjustRightInd w:val="0"/>
              <w:snapToGrid w:val="0"/>
              <w:jc w:val="center"/>
              <w:rPr>
                <w:bCs/>
                <w:szCs w:val="21"/>
              </w:rPr>
            </w:pPr>
            <w:r>
              <w:rPr>
                <w:rFonts w:hint="eastAsia"/>
                <w:bCs/>
                <w:szCs w:val="21"/>
              </w:rPr>
              <w:t>1.2</w:t>
            </w:r>
          </w:p>
        </w:tc>
        <w:tc>
          <w:tcPr>
            <w:tcW w:w="1310" w:type="dxa"/>
            <w:noWrap w:val="0"/>
            <w:vAlign w:val="center"/>
          </w:tcPr>
          <w:p>
            <w:pPr>
              <w:adjustRightInd w:val="0"/>
              <w:snapToGrid w:val="0"/>
              <w:jc w:val="center"/>
              <w:rPr>
                <w:bCs/>
                <w:szCs w:val="21"/>
              </w:rPr>
            </w:pPr>
            <w:r>
              <w:rPr>
                <w:rFonts w:hint="eastAsia"/>
                <w:bCs/>
                <w:szCs w:val="21"/>
              </w:rPr>
              <w:t>291.6</w:t>
            </w:r>
          </w:p>
        </w:tc>
        <w:tc>
          <w:tcPr>
            <w:tcW w:w="1276" w:type="dxa"/>
            <w:noWrap w:val="0"/>
            <w:vAlign w:val="center"/>
          </w:tcPr>
          <w:p>
            <w:pPr>
              <w:adjustRightInd w:val="0"/>
              <w:snapToGrid w:val="0"/>
              <w:jc w:val="center"/>
              <w:rPr>
                <w:bCs/>
                <w:szCs w:val="21"/>
              </w:rPr>
            </w:pPr>
            <w:r>
              <w:rPr>
                <w:rFonts w:hint="eastAsia"/>
                <w:bCs/>
                <w:szCs w:val="21"/>
              </w:rPr>
              <w:t>0.96</w:t>
            </w:r>
          </w:p>
        </w:tc>
        <w:tc>
          <w:tcPr>
            <w:tcW w:w="1183" w:type="dxa"/>
            <w:noWrap w:val="0"/>
            <w:vAlign w:val="center"/>
          </w:tcPr>
          <w:p>
            <w:pPr>
              <w:adjustRightInd w:val="0"/>
              <w:snapToGrid w:val="0"/>
              <w:jc w:val="center"/>
              <w:rPr>
                <w:bCs/>
                <w:szCs w:val="21"/>
              </w:rPr>
            </w:pPr>
            <w:r>
              <w:rPr>
                <w:rFonts w:hint="eastAsia"/>
                <w:bCs/>
                <w:szCs w:val="21"/>
              </w:rPr>
              <w:t>233.28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28" w:hRule="atLeast"/>
        </w:trPr>
        <w:tc>
          <w:tcPr>
            <w:tcW w:w="4077" w:type="dxa"/>
            <w:gridSpan w:val="4"/>
            <w:noWrap w:val="0"/>
            <w:vAlign w:val="center"/>
          </w:tcPr>
          <w:p>
            <w:pPr>
              <w:adjustRightInd w:val="0"/>
              <w:snapToGrid w:val="0"/>
              <w:jc w:val="center"/>
              <w:rPr>
                <w:bCs/>
                <w:szCs w:val="21"/>
              </w:rPr>
            </w:pPr>
            <w:r>
              <w:rPr>
                <w:bCs/>
                <w:szCs w:val="21"/>
              </w:rPr>
              <w:t>合计</w:t>
            </w:r>
          </w:p>
        </w:tc>
        <w:tc>
          <w:tcPr>
            <w:tcW w:w="1100" w:type="dxa"/>
            <w:noWrap w:val="0"/>
            <w:vAlign w:val="center"/>
          </w:tcPr>
          <w:p>
            <w:pPr>
              <w:adjustRightInd w:val="0"/>
              <w:snapToGrid w:val="0"/>
              <w:jc w:val="center"/>
              <w:rPr>
                <w:rFonts w:hint="default" w:eastAsia="宋体"/>
                <w:bCs/>
                <w:szCs w:val="21"/>
                <w:lang w:val="en-US" w:eastAsia="zh-CN"/>
              </w:rPr>
            </w:pPr>
            <w:r>
              <w:rPr>
                <w:rFonts w:hint="eastAsia"/>
                <w:bCs/>
                <w:szCs w:val="21"/>
                <w:lang w:val="en-US" w:eastAsia="zh-CN"/>
              </w:rPr>
              <w:t>29.55</w:t>
            </w:r>
          </w:p>
        </w:tc>
        <w:tc>
          <w:tcPr>
            <w:tcW w:w="1310" w:type="dxa"/>
            <w:noWrap w:val="0"/>
            <w:vAlign w:val="center"/>
          </w:tcPr>
          <w:p>
            <w:pPr>
              <w:adjustRightInd w:val="0"/>
              <w:snapToGrid w:val="0"/>
              <w:jc w:val="center"/>
              <w:rPr>
                <w:rFonts w:hint="default" w:eastAsia="宋体"/>
                <w:bCs/>
                <w:szCs w:val="21"/>
                <w:lang w:val="en-US" w:eastAsia="zh-CN"/>
              </w:rPr>
            </w:pPr>
            <w:r>
              <w:rPr>
                <w:rFonts w:hint="eastAsia"/>
                <w:bCs/>
                <w:szCs w:val="21"/>
                <w:lang w:val="en-US" w:eastAsia="zh-CN"/>
              </w:rPr>
              <w:t>7180.65</w:t>
            </w:r>
          </w:p>
        </w:tc>
        <w:tc>
          <w:tcPr>
            <w:tcW w:w="1276" w:type="dxa"/>
            <w:noWrap w:val="0"/>
            <w:vAlign w:val="center"/>
          </w:tcPr>
          <w:p>
            <w:pPr>
              <w:adjustRightInd w:val="0"/>
              <w:snapToGrid w:val="0"/>
              <w:jc w:val="center"/>
              <w:rPr>
                <w:rFonts w:hint="default" w:eastAsia="宋体"/>
                <w:bCs/>
                <w:szCs w:val="21"/>
                <w:lang w:val="en-US" w:eastAsia="zh-CN"/>
              </w:rPr>
            </w:pPr>
            <w:r>
              <w:rPr>
                <w:rFonts w:hint="eastAsia"/>
                <w:bCs/>
                <w:szCs w:val="21"/>
                <w:lang w:val="en-US" w:eastAsia="zh-CN"/>
              </w:rPr>
              <w:t>14.69</w:t>
            </w:r>
          </w:p>
        </w:tc>
        <w:tc>
          <w:tcPr>
            <w:tcW w:w="1183" w:type="dxa"/>
            <w:noWrap w:val="0"/>
            <w:vAlign w:val="center"/>
          </w:tcPr>
          <w:p>
            <w:pPr>
              <w:adjustRightInd w:val="0"/>
              <w:snapToGrid w:val="0"/>
              <w:jc w:val="center"/>
              <w:rPr>
                <w:rFonts w:hint="default" w:eastAsia="宋体"/>
                <w:bCs/>
                <w:szCs w:val="21"/>
                <w:lang w:val="en-US" w:eastAsia="zh-CN"/>
              </w:rPr>
            </w:pPr>
            <w:r>
              <w:rPr>
                <w:rFonts w:hint="eastAsia"/>
                <w:bCs/>
                <w:szCs w:val="21"/>
                <w:lang w:val="en-US" w:eastAsia="zh-CN"/>
              </w:rPr>
              <w:t>3569.67</w:t>
            </w:r>
          </w:p>
        </w:tc>
      </w:tr>
    </w:tbl>
    <w:p>
      <w:pPr>
        <w:tabs>
          <w:tab w:val="left" w:pos="580"/>
        </w:tabs>
        <w:spacing w:line="520" w:lineRule="exact"/>
        <w:rPr>
          <w:b/>
          <w:sz w:val="24"/>
        </w:rPr>
      </w:pPr>
      <w:r>
        <w:rPr>
          <w:b/>
          <w:sz w:val="24"/>
        </w:rPr>
        <w:t>2.1.6.3供配电情况</w:t>
      </w:r>
    </w:p>
    <w:p>
      <w:pPr>
        <w:spacing w:line="520" w:lineRule="exact"/>
        <w:ind w:firstLine="480" w:firstLineChars="200"/>
        <w:rPr>
          <w:sz w:val="24"/>
        </w:rPr>
      </w:pPr>
      <w:r>
        <w:rPr>
          <w:sz w:val="24"/>
        </w:rPr>
        <w:t>根据建设单位提供的资料，项目年用电量为30</w:t>
      </w:r>
      <w:r>
        <w:rPr>
          <w:rFonts w:hint="eastAsia"/>
          <w:sz w:val="24"/>
        </w:rPr>
        <w:t>万度/年</w:t>
      </w:r>
      <w:r>
        <w:rPr>
          <w:sz w:val="24"/>
        </w:rPr>
        <w:t>。项目用电由</w:t>
      </w:r>
      <w:r>
        <w:rPr>
          <w:rFonts w:hint="eastAsia"/>
          <w:sz w:val="24"/>
          <w:lang w:eastAsia="zh-CN"/>
        </w:rPr>
        <w:t>汝南埠镇</w:t>
      </w:r>
      <w:r>
        <w:rPr>
          <w:sz w:val="24"/>
        </w:rPr>
        <w:t>供电所供应。</w:t>
      </w:r>
    </w:p>
    <w:p>
      <w:pPr>
        <w:spacing w:line="520" w:lineRule="exact"/>
        <w:rPr>
          <w:b/>
          <w:sz w:val="24"/>
        </w:rPr>
      </w:pPr>
      <w:r>
        <w:rPr>
          <w:b/>
          <w:sz w:val="24"/>
        </w:rPr>
        <w:t>2.1.6.4项目取暖情况</w:t>
      </w:r>
    </w:p>
    <w:p>
      <w:pPr>
        <w:spacing w:line="520" w:lineRule="exact"/>
        <w:ind w:firstLine="480" w:firstLineChars="200"/>
        <w:rPr>
          <w:sz w:val="24"/>
        </w:rPr>
      </w:pPr>
      <w:r>
        <w:rPr>
          <w:sz w:val="24"/>
        </w:rPr>
        <w:t>猪舍墙体做隔热保温层，切断猪舍内外热传递，冬季通风换气时，通过对进、出风实行热交换，使猪舍内温度保持在猪适宜的温度范围内，实现冬季保暖。</w:t>
      </w:r>
    </w:p>
    <w:p>
      <w:pPr>
        <w:spacing w:line="520" w:lineRule="exact"/>
        <w:rPr>
          <w:b/>
          <w:sz w:val="24"/>
        </w:rPr>
      </w:pPr>
      <w:r>
        <w:rPr>
          <w:b/>
          <w:sz w:val="24"/>
        </w:rPr>
        <w:t>2.1.6.5降温</w:t>
      </w:r>
    </w:p>
    <w:p>
      <w:pPr>
        <w:spacing w:line="520" w:lineRule="exact"/>
        <w:ind w:firstLine="480" w:firstLineChars="200"/>
        <w:rPr>
          <w:sz w:val="24"/>
        </w:rPr>
      </w:pPr>
      <w:r>
        <w:rPr>
          <w:rFonts w:hint="eastAsia"/>
          <w:sz w:val="24"/>
        </w:rPr>
        <w:t>为了降低能耗，提高效率，项目育肥猪舍用喷淋降温，在专门的降温水管上装有喷头，水雾喷到猪群身上，通过猪舍内的风机作用，促进蒸发降温。降温通过电脑控制，室温高于30℃时，对育肥舍进行喷雾降温。保育猪舍通过通风系统即可满足降温需求，无须喷淋降温。</w:t>
      </w:r>
    </w:p>
    <w:p>
      <w:pPr>
        <w:spacing w:line="520" w:lineRule="exact"/>
        <w:rPr>
          <w:b/>
          <w:sz w:val="24"/>
        </w:rPr>
      </w:pPr>
      <w:r>
        <w:rPr>
          <w:b/>
          <w:sz w:val="24"/>
        </w:rPr>
        <w:t>2.1.6.6通排风情况</w:t>
      </w:r>
    </w:p>
    <w:p>
      <w:pPr>
        <w:pStyle w:val="25"/>
        <w:spacing w:line="520" w:lineRule="exact"/>
        <w:ind w:firstLine="480"/>
      </w:pPr>
      <w:bookmarkStart w:id="205" w:name="_Toc30893"/>
      <w:r>
        <w:t>猪舍通风系统具有位于猪舍屋顶中间部位的排空气口，排空气口上部具有可产生虹吸作用的出风管道，猪舍的两侧设有进风窗。由于具有出风管道的自然虹吸下，猪舍内的热空气被抽吸出去，无需增加抽风装置，降低了运行成本，通风效果好，通过进风窗可控制对流的大小，操作方便。畅开的通风管可正常保持猪舍内的通风，圆形的排空气口设有排气扇，在夏天外界温度较高时，打开排风扇，可向外界抽风，从而保证猪舍内的通风。上进风窗位于猪床上部的墙壁上，从而保证猪床上部猪舍内的空气的对流，下进风窗设在猪床下部墙壁上，从而保证猪床下部猪舍内的空气的对流，即时将猪粪道内的有害气体排出。与现有技术相比，具有结构简单，通风效果好，运行成本低，操作方便的优点。</w:t>
      </w:r>
    </w:p>
    <w:p>
      <w:pPr>
        <w:pStyle w:val="2"/>
        <w:snapToGrid w:val="0"/>
        <w:spacing w:before="0" w:after="0" w:line="520" w:lineRule="exact"/>
        <w:rPr>
          <w:rFonts w:eastAsia="黑体"/>
          <w:b w:val="0"/>
          <w:bCs w:val="0"/>
          <w:color w:val="auto"/>
          <w:sz w:val="24"/>
          <w:szCs w:val="24"/>
          <w:highlight w:val="none"/>
        </w:rPr>
      </w:pPr>
      <w:r>
        <w:rPr>
          <w:rFonts w:eastAsia="黑体"/>
          <w:b w:val="0"/>
          <w:bCs w:val="0"/>
          <w:color w:val="auto"/>
          <w:sz w:val="24"/>
          <w:szCs w:val="24"/>
          <w:highlight w:val="none"/>
        </w:rPr>
        <w:t>2.1.7平面布置分析</w:t>
      </w:r>
      <w:bookmarkEnd w:id="205"/>
    </w:p>
    <w:p>
      <w:pPr>
        <w:adjustRightInd w:val="0"/>
        <w:snapToGrid w:val="0"/>
        <w:spacing w:line="520" w:lineRule="exact"/>
        <w:ind w:firstLine="480" w:firstLineChars="200"/>
        <w:rPr>
          <w:sz w:val="24"/>
        </w:rPr>
      </w:pPr>
      <w:r>
        <w:rPr>
          <w:sz w:val="24"/>
        </w:rPr>
        <w:t>项目总占地</w:t>
      </w:r>
      <w:r>
        <w:rPr>
          <w:rFonts w:hint="eastAsia"/>
          <w:sz w:val="24"/>
          <w:lang w:eastAsia="zh-CN"/>
        </w:rPr>
        <w:t>26.7亩</w:t>
      </w:r>
      <w:r>
        <w:rPr>
          <w:sz w:val="24"/>
        </w:rPr>
        <w:t>（约合</w:t>
      </w:r>
      <w:r>
        <w:rPr>
          <w:rFonts w:hint="eastAsia"/>
          <w:sz w:val="24"/>
          <w:lang w:eastAsia="zh-CN"/>
        </w:rPr>
        <w:t>17831.57</w:t>
      </w:r>
      <w:r>
        <w:rPr>
          <w:sz w:val="24"/>
        </w:rPr>
        <w:t>m</w:t>
      </w:r>
      <w:r>
        <w:rPr>
          <w:sz w:val="24"/>
          <w:vertAlign w:val="superscript"/>
        </w:rPr>
        <w:t>2</w:t>
      </w:r>
      <w:r>
        <w:rPr>
          <w:sz w:val="24"/>
        </w:rPr>
        <w:t>），主要建设内容分为生产车间（育肥舍），其建筑面积为</w:t>
      </w:r>
      <w:r>
        <w:rPr>
          <w:rFonts w:hint="eastAsia"/>
          <w:sz w:val="24"/>
          <w:lang w:val="en-US" w:eastAsia="zh-CN"/>
        </w:rPr>
        <w:t>72</w:t>
      </w:r>
      <w:r>
        <w:rPr>
          <w:rFonts w:hint="eastAsia"/>
          <w:sz w:val="24"/>
        </w:rPr>
        <w:t>00</w:t>
      </w:r>
      <w:r>
        <w:rPr>
          <w:sz w:val="24"/>
        </w:rPr>
        <w:t>m</w:t>
      </w:r>
      <w:r>
        <w:rPr>
          <w:sz w:val="24"/>
          <w:vertAlign w:val="superscript"/>
        </w:rPr>
        <w:t>2</w:t>
      </w:r>
      <w:r>
        <w:rPr>
          <w:sz w:val="24"/>
        </w:rPr>
        <w:t>，场区地形较为平坦，整个场区呈多边形。</w:t>
      </w:r>
      <w:r>
        <w:rPr>
          <w:rFonts w:hAnsi="宋体"/>
          <w:sz w:val="24"/>
        </w:rPr>
        <w:t>根据企业设计，考虑到周边地形、进出场区道路问题（污染治理区道路单独设计，与生产生活区道路分开；为了防疫安全，进出污染治理区、生活区道路要尽可能避开生产区），场区实行养殖区、办公区和</w:t>
      </w:r>
      <w:r>
        <w:rPr>
          <w:rFonts w:hint="eastAsia" w:hAnsi="宋体"/>
          <w:sz w:val="24"/>
        </w:rPr>
        <w:t>粪污治理区三区</w:t>
      </w:r>
      <w:r>
        <w:rPr>
          <w:rFonts w:hAnsi="宋体"/>
          <w:sz w:val="24"/>
        </w:rPr>
        <w:t>分离，之间通过绿化带进行分离，</w:t>
      </w:r>
      <w:r>
        <w:rPr>
          <w:rFonts w:hint="eastAsia" w:hAnsi="宋体"/>
          <w:sz w:val="24"/>
        </w:rPr>
        <w:t>正阳</w:t>
      </w:r>
      <w:r>
        <w:rPr>
          <w:rFonts w:hAnsi="宋体"/>
          <w:sz w:val="24"/>
        </w:rPr>
        <w:t>常年主导风向</w:t>
      </w:r>
      <w:r>
        <w:rPr>
          <w:rFonts w:hint="eastAsia" w:hAnsi="宋体"/>
          <w:sz w:val="24"/>
        </w:rPr>
        <w:t>为</w:t>
      </w:r>
      <w:r>
        <w:rPr>
          <w:rFonts w:hAnsi="宋体"/>
          <w:sz w:val="24"/>
        </w:rPr>
        <w:t>西北偏北风，</w:t>
      </w:r>
      <w:r>
        <w:rPr>
          <w:rFonts w:hint="eastAsia" w:hAnsi="宋体"/>
          <w:sz w:val="24"/>
        </w:rPr>
        <w:t>办公区位于</w:t>
      </w:r>
      <w:r>
        <w:rPr>
          <w:rFonts w:hAnsi="宋体"/>
          <w:sz w:val="24"/>
        </w:rPr>
        <w:t>常年主导风向的</w:t>
      </w:r>
      <w:r>
        <w:rPr>
          <w:rFonts w:hint="eastAsia" w:hAnsi="宋体"/>
          <w:sz w:val="24"/>
        </w:rPr>
        <w:t>上</w:t>
      </w:r>
      <w:r>
        <w:rPr>
          <w:rFonts w:hAnsi="宋体"/>
          <w:sz w:val="24"/>
        </w:rPr>
        <w:t>风向</w:t>
      </w:r>
      <w:r>
        <w:rPr>
          <w:rFonts w:hint="eastAsia" w:hAnsi="宋体"/>
          <w:sz w:val="24"/>
        </w:rPr>
        <w:t>，粪污</w:t>
      </w:r>
      <w:r>
        <w:rPr>
          <w:rFonts w:hAnsi="宋体"/>
          <w:sz w:val="24"/>
        </w:rPr>
        <w:t>区</w:t>
      </w:r>
      <w:r>
        <w:rPr>
          <w:rFonts w:hint="eastAsia" w:hAnsi="宋体"/>
          <w:sz w:val="24"/>
        </w:rPr>
        <w:t>处于</w:t>
      </w:r>
      <w:r>
        <w:rPr>
          <w:rFonts w:hAnsi="宋体"/>
          <w:sz w:val="24"/>
        </w:rPr>
        <w:t>常年主导风向</w:t>
      </w:r>
      <w:r>
        <w:rPr>
          <w:rFonts w:hint="eastAsia" w:hAnsi="宋体"/>
          <w:sz w:val="24"/>
        </w:rPr>
        <w:t>的</w:t>
      </w:r>
      <w:r>
        <w:rPr>
          <w:rFonts w:hAnsi="宋体"/>
          <w:sz w:val="24"/>
        </w:rPr>
        <w:t>侧风向，具体分布如下：</w:t>
      </w:r>
    </w:p>
    <w:p>
      <w:pPr>
        <w:adjustRightInd w:val="0"/>
        <w:snapToGrid w:val="0"/>
        <w:spacing w:line="520" w:lineRule="exact"/>
        <w:rPr>
          <w:sz w:val="24"/>
        </w:rPr>
      </w:pPr>
      <w:r>
        <w:rPr>
          <w:sz w:val="24"/>
        </w:rPr>
        <w:t xml:space="preserve">    </w:t>
      </w:r>
      <w:r>
        <w:rPr>
          <w:rFonts w:hAnsi="宋体"/>
          <w:sz w:val="24"/>
        </w:rPr>
        <w:t>（</w:t>
      </w:r>
      <w:r>
        <w:rPr>
          <w:sz w:val="24"/>
        </w:rPr>
        <w:t>1</w:t>
      </w:r>
      <w:r>
        <w:rPr>
          <w:rFonts w:hAnsi="宋体"/>
          <w:sz w:val="24"/>
        </w:rPr>
        <w:t>）养殖区：根据养殖工艺需要，养殖区共布置</w:t>
      </w:r>
      <w:r>
        <w:rPr>
          <w:sz w:val="24"/>
        </w:rPr>
        <w:t>育肥舍</w:t>
      </w:r>
      <w:r>
        <w:rPr>
          <w:rFonts w:hint="eastAsia"/>
          <w:sz w:val="24"/>
          <w:lang w:val="en-US" w:eastAsia="zh-CN"/>
        </w:rPr>
        <w:t>10</w:t>
      </w:r>
      <w:r>
        <w:rPr>
          <w:sz w:val="24"/>
        </w:rPr>
        <w:t>栋</w:t>
      </w:r>
      <w:r>
        <w:rPr>
          <w:rFonts w:hAnsi="宋体"/>
          <w:sz w:val="24"/>
        </w:rPr>
        <w:t>。</w:t>
      </w:r>
    </w:p>
    <w:p>
      <w:pPr>
        <w:adjustRightInd w:val="0"/>
        <w:snapToGrid w:val="0"/>
        <w:spacing w:line="520" w:lineRule="exact"/>
        <w:rPr>
          <w:sz w:val="24"/>
        </w:rPr>
      </w:pPr>
      <w:r>
        <w:rPr>
          <w:sz w:val="24"/>
        </w:rPr>
        <w:t xml:space="preserve">    </w:t>
      </w:r>
      <w:r>
        <w:rPr>
          <w:rFonts w:hAnsi="宋体"/>
          <w:sz w:val="24"/>
        </w:rPr>
        <w:t>（</w:t>
      </w:r>
      <w:r>
        <w:rPr>
          <w:sz w:val="24"/>
        </w:rPr>
        <w:t>2</w:t>
      </w:r>
      <w:r>
        <w:rPr>
          <w:rFonts w:hAnsi="宋体"/>
          <w:sz w:val="24"/>
        </w:rPr>
        <w:t>）</w:t>
      </w:r>
      <w:r>
        <w:rPr>
          <w:rFonts w:hint="eastAsia" w:hAnsi="宋体"/>
          <w:sz w:val="24"/>
        </w:rPr>
        <w:t>粪污</w:t>
      </w:r>
      <w:r>
        <w:rPr>
          <w:rFonts w:hAnsi="宋体"/>
          <w:sz w:val="24"/>
        </w:rPr>
        <w:t>治理区：考虑到进出场区道路</w:t>
      </w:r>
      <w:r>
        <w:rPr>
          <w:rFonts w:hAnsi="宋体"/>
          <w:color w:val="auto"/>
          <w:sz w:val="24"/>
        </w:rPr>
        <w:t>及地势问题，为便于管理，</w:t>
      </w:r>
      <w:r>
        <w:rPr>
          <w:rFonts w:hint="eastAsia" w:hAnsi="宋体"/>
          <w:color w:val="auto"/>
          <w:sz w:val="24"/>
        </w:rPr>
        <w:t>黑膜沼气池</w:t>
      </w:r>
      <w:r>
        <w:rPr>
          <w:rFonts w:hAnsi="宋体"/>
          <w:color w:val="auto"/>
          <w:sz w:val="24"/>
        </w:rPr>
        <w:t>位于场区</w:t>
      </w:r>
      <w:r>
        <w:rPr>
          <w:rFonts w:hint="eastAsia" w:hAnsi="宋体"/>
          <w:color w:val="auto"/>
          <w:sz w:val="24"/>
        </w:rPr>
        <w:t>东南部</w:t>
      </w:r>
      <w:r>
        <w:rPr>
          <w:rFonts w:hAnsi="宋体"/>
          <w:color w:val="auto"/>
          <w:sz w:val="24"/>
        </w:rPr>
        <w:t>，场区的污水通过收集池收集，</w:t>
      </w:r>
      <w:r>
        <w:rPr>
          <w:rFonts w:hint="eastAsia" w:hAnsi="宋体"/>
          <w:color w:val="auto"/>
          <w:sz w:val="24"/>
        </w:rPr>
        <w:t>经</w:t>
      </w:r>
      <w:r>
        <w:rPr>
          <w:rFonts w:hAnsi="宋体"/>
          <w:color w:val="auto"/>
          <w:sz w:val="24"/>
        </w:rPr>
        <w:t>固液分离后</w:t>
      </w:r>
      <w:r>
        <w:rPr>
          <w:rFonts w:hAnsi="宋体"/>
          <w:sz w:val="24"/>
        </w:rPr>
        <w:t>进入</w:t>
      </w:r>
      <w:r>
        <w:rPr>
          <w:rFonts w:hint="eastAsia" w:hAnsi="宋体"/>
          <w:sz w:val="24"/>
        </w:rPr>
        <w:t>黑膜</w:t>
      </w:r>
      <w:r>
        <w:rPr>
          <w:rFonts w:hAnsi="宋体"/>
          <w:sz w:val="24"/>
        </w:rPr>
        <w:t>沼气池</w:t>
      </w:r>
      <w:r>
        <w:rPr>
          <w:rFonts w:hint="eastAsia" w:hAnsi="宋体"/>
          <w:sz w:val="24"/>
        </w:rPr>
        <w:t>厌氧发酵处理，黑膜沼气池</w:t>
      </w:r>
      <w:r>
        <w:rPr>
          <w:rFonts w:hAnsi="宋体"/>
          <w:sz w:val="24"/>
        </w:rPr>
        <w:t>通过</w:t>
      </w:r>
      <w:r>
        <w:rPr>
          <w:rFonts w:hint="eastAsia" w:hAnsi="宋体"/>
          <w:sz w:val="24"/>
        </w:rPr>
        <w:t>围墙</w:t>
      </w:r>
      <w:r>
        <w:rPr>
          <w:rFonts w:hAnsi="宋体"/>
          <w:sz w:val="24"/>
        </w:rPr>
        <w:t>与养殖区隔开；</w:t>
      </w:r>
      <w:r>
        <w:rPr>
          <w:rFonts w:hint="eastAsia" w:hAnsi="宋体"/>
          <w:sz w:val="24"/>
        </w:rPr>
        <w:t>粪污治理区</w:t>
      </w:r>
      <w:r>
        <w:rPr>
          <w:rFonts w:hAnsi="宋体"/>
          <w:sz w:val="24"/>
        </w:rPr>
        <w:t>为沼液储存池、</w:t>
      </w:r>
      <w:r>
        <w:rPr>
          <w:rFonts w:hint="eastAsia" w:hAnsi="宋体"/>
          <w:sz w:val="24"/>
        </w:rPr>
        <w:t>黑膜沼气池及固粪暂存区</w:t>
      </w:r>
      <w:r>
        <w:rPr>
          <w:rFonts w:hAnsi="宋体"/>
          <w:sz w:val="24"/>
        </w:rPr>
        <w:t>。</w:t>
      </w:r>
    </w:p>
    <w:p>
      <w:pPr>
        <w:numPr>
          <w:ilvl w:val="0"/>
          <w:numId w:val="3"/>
        </w:numPr>
        <w:adjustRightInd w:val="0"/>
        <w:snapToGrid w:val="0"/>
        <w:spacing w:line="520" w:lineRule="exact"/>
        <w:ind w:firstLine="352" w:firstLineChars="147"/>
        <w:rPr>
          <w:color w:val="auto"/>
          <w:sz w:val="24"/>
        </w:rPr>
      </w:pPr>
      <w:r>
        <w:rPr>
          <w:rFonts w:hAnsi="宋体"/>
          <w:sz w:val="24"/>
        </w:rPr>
        <w:t>办公生活区：占地较</w:t>
      </w:r>
      <w:r>
        <w:rPr>
          <w:rFonts w:hAnsi="宋体"/>
          <w:color w:val="auto"/>
          <w:sz w:val="24"/>
        </w:rPr>
        <w:t>小，布置在场区</w:t>
      </w:r>
      <w:r>
        <w:rPr>
          <w:rFonts w:hint="eastAsia" w:hAnsi="宋体"/>
          <w:color w:val="auto"/>
          <w:sz w:val="24"/>
        </w:rPr>
        <w:t>北</w:t>
      </w:r>
      <w:r>
        <w:rPr>
          <w:rFonts w:hAnsi="宋体"/>
          <w:color w:val="auto"/>
          <w:sz w:val="24"/>
        </w:rPr>
        <w:t>部</w:t>
      </w:r>
      <w:r>
        <w:rPr>
          <w:rFonts w:hint="eastAsia" w:hAnsi="宋体"/>
          <w:color w:val="auto"/>
          <w:sz w:val="24"/>
        </w:rPr>
        <w:t>偏东</w:t>
      </w:r>
      <w:r>
        <w:rPr>
          <w:rFonts w:hAnsi="宋体"/>
          <w:color w:val="auto"/>
          <w:sz w:val="24"/>
        </w:rPr>
        <w:t>，</w:t>
      </w:r>
      <w:r>
        <w:rPr>
          <w:rFonts w:hint="eastAsia" w:hAnsi="宋体"/>
          <w:color w:val="auto"/>
          <w:sz w:val="24"/>
        </w:rPr>
        <w:t>位于</w:t>
      </w:r>
      <w:r>
        <w:rPr>
          <w:rFonts w:hAnsi="宋体"/>
          <w:color w:val="auto"/>
          <w:sz w:val="24"/>
        </w:rPr>
        <w:t>主导风向上风向，与养殖区保持一定距离。</w:t>
      </w:r>
    </w:p>
    <w:p>
      <w:pPr>
        <w:numPr>
          <w:ilvl w:val="0"/>
          <w:numId w:val="3"/>
        </w:numPr>
        <w:adjustRightInd w:val="0"/>
        <w:snapToGrid w:val="0"/>
        <w:spacing w:line="520" w:lineRule="exact"/>
        <w:ind w:firstLine="352" w:firstLineChars="147"/>
        <w:rPr>
          <w:color w:val="auto"/>
          <w:sz w:val="24"/>
        </w:rPr>
      </w:pPr>
      <w:r>
        <w:rPr>
          <w:rFonts w:hAnsi="宋体"/>
          <w:color w:val="auto"/>
          <w:sz w:val="24"/>
        </w:rPr>
        <w:t>场区内道路规划：根据工艺需要，车间内各功能区均设置物料运输道路，基本满足车间内人员流和货物流需要。为避免交叉影响，考虑到人员进出及物料输送方便，项目在养殖区</w:t>
      </w:r>
      <w:r>
        <w:rPr>
          <w:rFonts w:hint="eastAsia" w:hAnsi="宋体"/>
          <w:color w:val="auto"/>
          <w:sz w:val="24"/>
        </w:rPr>
        <w:t>东北部</w:t>
      </w:r>
      <w:r>
        <w:rPr>
          <w:rFonts w:hAnsi="宋体"/>
          <w:color w:val="auto"/>
          <w:sz w:val="24"/>
        </w:rPr>
        <w:t>以及</w:t>
      </w:r>
      <w:r>
        <w:rPr>
          <w:rFonts w:hint="eastAsia" w:hAnsi="宋体"/>
          <w:color w:val="auto"/>
          <w:sz w:val="24"/>
        </w:rPr>
        <w:t>西南部</w:t>
      </w:r>
      <w:r>
        <w:rPr>
          <w:rFonts w:hAnsi="宋体"/>
          <w:color w:val="auto"/>
          <w:sz w:val="24"/>
        </w:rPr>
        <w:t>各设置进出口</w:t>
      </w:r>
      <w:r>
        <w:rPr>
          <w:color w:val="auto"/>
          <w:sz w:val="24"/>
        </w:rPr>
        <w:t>1</w:t>
      </w:r>
      <w:r>
        <w:rPr>
          <w:rFonts w:hAnsi="宋体"/>
          <w:color w:val="auto"/>
          <w:sz w:val="24"/>
        </w:rPr>
        <w:t>个。</w:t>
      </w:r>
    </w:p>
    <w:p>
      <w:pPr>
        <w:pStyle w:val="25"/>
        <w:spacing w:line="520" w:lineRule="exact"/>
        <w:ind w:firstLine="480"/>
        <w:rPr>
          <w:rFonts w:hAnsi="宋体"/>
          <w:snapToGrid w:val="0"/>
          <w:kern w:val="0"/>
        </w:rPr>
      </w:pPr>
      <w:r>
        <w:rPr>
          <w:rFonts w:hAnsi="宋体"/>
        </w:rPr>
        <w:t>同时，场区排水采用雨污分流制，雨水经场区内雨水沟流至场区外的农田；污水经</w:t>
      </w:r>
      <w:r>
        <w:rPr>
          <w:rFonts w:hint="eastAsia" w:hAnsi="宋体"/>
        </w:rPr>
        <w:t>污水管道</w:t>
      </w:r>
      <w:r>
        <w:rPr>
          <w:rFonts w:hAnsi="宋体"/>
        </w:rPr>
        <w:t>排入沼气工程进行无害化处理。项目平面布置能满足</w:t>
      </w:r>
      <w:r>
        <w:rPr>
          <w:rFonts w:hAnsi="宋体"/>
          <w:snapToGrid w:val="0"/>
          <w:kern w:val="0"/>
        </w:rPr>
        <w:t>《</w:t>
      </w:r>
      <w:r>
        <w:rPr>
          <w:rFonts w:hAnsi="宋体"/>
          <w:kern w:val="0"/>
        </w:rPr>
        <w:t>畜禽养殖业污染防治技术规范</w:t>
      </w:r>
      <w:r>
        <w:rPr>
          <w:rFonts w:hAnsi="宋体"/>
          <w:snapToGrid w:val="0"/>
          <w:kern w:val="0"/>
        </w:rPr>
        <w:t>》（</w:t>
      </w:r>
      <w:r>
        <w:t>HJ/T81—2001</w:t>
      </w:r>
      <w:r>
        <w:rPr>
          <w:rFonts w:hAnsi="宋体"/>
          <w:snapToGrid w:val="0"/>
          <w:kern w:val="0"/>
        </w:rPr>
        <w:t>）中的要求。</w:t>
      </w:r>
    </w:p>
    <w:p>
      <w:pPr>
        <w:pStyle w:val="2"/>
        <w:snapToGrid w:val="0"/>
        <w:spacing w:before="0" w:after="0" w:line="520" w:lineRule="exact"/>
        <w:rPr>
          <w:rFonts w:eastAsia="黑体"/>
          <w:b w:val="0"/>
          <w:sz w:val="28"/>
          <w:szCs w:val="28"/>
        </w:rPr>
      </w:pPr>
      <w:bookmarkStart w:id="206" w:name="_Toc177"/>
      <w:r>
        <w:rPr>
          <w:rFonts w:eastAsia="黑体"/>
          <w:b w:val="0"/>
          <w:bCs w:val="0"/>
          <w:sz w:val="24"/>
          <w:szCs w:val="24"/>
        </w:rPr>
        <w:t>2.1.8劳动定员</w:t>
      </w:r>
      <w:bookmarkEnd w:id="206"/>
    </w:p>
    <w:p>
      <w:pPr>
        <w:pStyle w:val="25"/>
        <w:spacing w:line="520" w:lineRule="exact"/>
        <w:ind w:firstLine="480"/>
      </w:pPr>
      <w:r>
        <w:t>项目劳动定员共计</w:t>
      </w:r>
      <w:r>
        <w:rPr>
          <w:rFonts w:hint="eastAsia"/>
        </w:rPr>
        <w:t>10</w:t>
      </w:r>
      <w:r>
        <w:t>人，分为生产人员、后勤人员、管理人员等，工作制度实行8小时工作制，并辅以少量的值班人员。</w:t>
      </w:r>
    </w:p>
    <w:p>
      <w:pPr>
        <w:pStyle w:val="2"/>
        <w:snapToGrid w:val="0"/>
        <w:spacing w:before="0" w:after="0" w:line="520" w:lineRule="exact"/>
        <w:rPr>
          <w:rFonts w:eastAsia="黑体"/>
          <w:b w:val="0"/>
          <w:bCs w:val="0"/>
          <w:sz w:val="24"/>
          <w:szCs w:val="24"/>
        </w:rPr>
      </w:pPr>
      <w:bookmarkStart w:id="207" w:name="_Toc6081"/>
      <w:r>
        <w:rPr>
          <w:rFonts w:eastAsia="黑体"/>
          <w:b w:val="0"/>
          <w:bCs w:val="0"/>
          <w:sz w:val="24"/>
          <w:szCs w:val="24"/>
        </w:rPr>
        <w:t>2.1.9建设期限</w:t>
      </w:r>
      <w:bookmarkEnd w:id="207"/>
    </w:p>
    <w:p>
      <w:pPr>
        <w:pStyle w:val="25"/>
        <w:spacing w:line="520" w:lineRule="exact"/>
        <w:ind w:firstLine="480"/>
      </w:pPr>
      <w:bookmarkStart w:id="208" w:name="_Toc252554427"/>
      <w:bookmarkStart w:id="209" w:name="_Toc238488157"/>
      <w:bookmarkStart w:id="210" w:name="_Toc237749129"/>
      <w:bookmarkStart w:id="211" w:name="_Toc241388312"/>
      <w:bookmarkStart w:id="212" w:name="_Toc239913682"/>
      <w:bookmarkStart w:id="213" w:name="_Toc238894178"/>
      <w:bookmarkStart w:id="214" w:name="_Toc252554300"/>
      <w:bookmarkStart w:id="215" w:name="_Toc311979921"/>
      <w:bookmarkStart w:id="216" w:name="_Toc269400670"/>
      <w:bookmarkStart w:id="217" w:name="_Toc445457719"/>
      <w:bookmarkStart w:id="218" w:name="_Toc252632548"/>
      <w:bookmarkStart w:id="219" w:name="_Toc413166125"/>
      <w:bookmarkStart w:id="220" w:name="_Toc253231259"/>
      <w:bookmarkStart w:id="221" w:name="_Toc311979807"/>
      <w:bookmarkStart w:id="222" w:name="_Toc388881906"/>
      <w:bookmarkStart w:id="223" w:name="_Toc407001398"/>
      <w:bookmarkStart w:id="224" w:name="_Toc406847405"/>
      <w:bookmarkStart w:id="225" w:name="_Toc311979853"/>
      <w:r>
        <w:rPr>
          <w:rFonts w:hint="eastAsia"/>
        </w:rPr>
        <w:t>预计</w:t>
      </w:r>
      <w:r>
        <w:t>建设期</w:t>
      </w:r>
      <w:r>
        <w:rPr>
          <w:rFonts w:hint="eastAsia"/>
          <w:lang w:val="en-US" w:eastAsia="zh-CN"/>
        </w:rPr>
        <w:t>6</w:t>
      </w:r>
      <w:r>
        <w:t>个月，</w:t>
      </w:r>
      <w:r>
        <w:rPr>
          <w:rFonts w:hint="eastAsia"/>
        </w:rPr>
        <w:t>计划</w:t>
      </w:r>
      <w:r>
        <w:t>20</w:t>
      </w:r>
      <w:r>
        <w:rPr>
          <w:rFonts w:hint="eastAsia"/>
        </w:rPr>
        <w:t>2</w:t>
      </w:r>
      <w:r>
        <w:rPr>
          <w:rFonts w:hint="eastAsia"/>
          <w:lang w:val="en-US" w:eastAsia="zh-CN"/>
        </w:rPr>
        <w:t>1</w:t>
      </w:r>
      <w:r>
        <w:t>年</w:t>
      </w:r>
      <w:r>
        <w:rPr>
          <w:rFonts w:hint="eastAsia"/>
          <w:lang w:val="en-US" w:eastAsia="zh-CN"/>
        </w:rPr>
        <w:t>6</w:t>
      </w:r>
      <w:r>
        <w:t>月</w:t>
      </w:r>
      <w:r>
        <w:rPr>
          <w:rFonts w:hint="eastAsia"/>
        </w:rPr>
        <w:t>开工建设，</w:t>
      </w:r>
      <w:r>
        <w:t>20</w:t>
      </w:r>
      <w:r>
        <w:rPr>
          <w:rFonts w:hint="eastAsia"/>
        </w:rPr>
        <w:t>21</w:t>
      </w:r>
      <w:r>
        <w:t>年</w:t>
      </w:r>
      <w:r>
        <w:rPr>
          <w:rFonts w:hint="eastAsia"/>
          <w:lang w:val="en-US" w:eastAsia="zh-CN"/>
        </w:rPr>
        <w:t>12</w:t>
      </w:r>
      <w:r>
        <w:t>月</w:t>
      </w:r>
      <w:r>
        <w:rPr>
          <w:rFonts w:hint="eastAsia"/>
        </w:rPr>
        <w:t>完工</w:t>
      </w:r>
      <w:r>
        <w:t>。</w:t>
      </w:r>
    </w:p>
    <w:p>
      <w:pPr>
        <w:snapToGrid w:val="0"/>
        <w:spacing w:line="520" w:lineRule="exact"/>
        <w:outlineLvl w:val="1"/>
        <w:rPr>
          <w:rFonts w:eastAsia="黑体"/>
          <w:bCs/>
          <w:sz w:val="28"/>
          <w:szCs w:val="28"/>
        </w:rPr>
      </w:pPr>
      <w:bookmarkStart w:id="226" w:name="_Toc20346"/>
      <w:bookmarkStart w:id="227" w:name="_Toc937"/>
      <w:bookmarkStart w:id="228" w:name="_Toc1685"/>
      <w:r>
        <w:rPr>
          <w:rFonts w:eastAsia="黑体"/>
          <w:bCs/>
          <w:sz w:val="28"/>
          <w:szCs w:val="28"/>
        </w:rPr>
        <w:t>2.2项目工艺</w:t>
      </w:r>
      <w:bookmarkEnd w:id="208"/>
      <w:bookmarkEnd w:id="209"/>
      <w:bookmarkEnd w:id="210"/>
      <w:bookmarkEnd w:id="211"/>
      <w:bookmarkEnd w:id="212"/>
      <w:bookmarkEnd w:id="213"/>
      <w:bookmarkEnd w:id="214"/>
      <w:r>
        <w:rPr>
          <w:rFonts w:eastAsia="黑体"/>
          <w:bCs/>
          <w:sz w:val="28"/>
          <w:szCs w:val="28"/>
        </w:rPr>
        <w:t>流程</w:t>
      </w:r>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p>
    <w:p>
      <w:pPr>
        <w:pStyle w:val="25"/>
        <w:spacing w:line="520" w:lineRule="exact"/>
        <w:ind w:firstLine="480"/>
      </w:pPr>
      <w:bookmarkStart w:id="229" w:name="_Toc406847406"/>
      <w:bookmarkStart w:id="230" w:name="_Toc388881907"/>
      <w:bookmarkStart w:id="231" w:name="_Toc407001399"/>
      <w:bookmarkStart w:id="232" w:name="_Toc413166126"/>
      <w:r>
        <w:t>该养殖场采用集约化养殖方式饲养生猪，采用</w:t>
      </w:r>
      <w:r>
        <w:rPr>
          <w:rFonts w:hint="eastAsia"/>
        </w:rPr>
        <w:t>环保部</w:t>
      </w:r>
      <w:r>
        <w:t>认定的</w:t>
      </w:r>
      <w:r>
        <w:rPr>
          <w:rFonts w:hint="eastAsia"/>
        </w:rPr>
        <w:t>干清粪</w:t>
      </w:r>
      <w:r>
        <w:t>生产工艺。</w:t>
      </w:r>
    </w:p>
    <w:bookmarkEnd w:id="229"/>
    <w:bookmarkEnd w:id="230"/>
    <w:bookmarkEnd w:id="231"/>
    <w:bookmarkEnd w:id="232"/>
    <w:p>
      <w:pPr>
        <w:pStyle w:val="2"/>
        <w:snapToGrid w:val="0"/>
        <w:spacing w:before="0" w:after="0" w:line="520" w:lineRule="exact"/>
        <w:rPr>
          <w:rFonts w:eastAsia="黑体"/>
          <w:b w:val="0"/>
          <w:bCs w:val="0"/>
          <w:sz w:val="24"/>
          <w:szCs w:val="24"/>
        </w:rPr>
      </w:pPr>
      <w:bookmarkStart w:id="233" w:name="_Toc12631"/>
      <w:r>
        <w:rPr>
          <w:rFonts w:eastAsia="黑体"/>
          <w:b w:val="0"/>
          <w:bCs w:val="0"/>
          <w:sz w:val="24"/>
          <w:szCs w:val="24"/>
        </w:rPr>
        <w:t>2.2.1养殖工艺流程</w:t>
      </w:r>
      <w:bookmarkEnd w:id="233"/>
    </w:p>
    <w:p>
      <w:pPr>
        <w:spacing w:line="520" w:lineRule="exact"/>
        <w:ind w:firstLine="480" w:firstLineChars="200"/>
        <w:rPr>
          <w:sz w:val="24"/>
        </w:rPr>
      </w:pPr>
      <w:r>
        <w:rPr>
          <w:rFonts w:hint="eastAsia"/>
          <w:sz w:val="24"/>
        </w:rPr>
        <w:t>（1）工艺流程</w:t>
      </w:r>
    </w:p>
    <w:p>
      <w:pPr>
        <w:spacing w:line="520" w:lineRule="exact"/>
        <w:ind w:firstLine="480" w:firstLineChars="200"/>
        <w:rPr>
          <w:sz w:val="24"/>
        </w:rPr>
      </w:pPr>
      <w:r>
        <w:rPr>
          <w:sz w:val="24"/>
        </w:rPr>
        <w:t>按照现代化养猪要求设计生产工艺流程，实行流水生产工艺，即把猪群按照生产过程专业化的要求划分为配种妊娠阶段、分娩哺乳阶段、仔猪保育阶段、生长育肥阶段。拟建项目场区不包括配种妊娠阶段、分娩哺乳阶段，</w:t>
      </w:r>
      <w:r>
        <w:rPr>
          <w:rFonts w:hint="eastAsia"/>
          <w:sz w:val="24"/>
        </w:rPr>
        <w:t>仔猪由当地大型养殖场统一配送（如牧原），直接进入育肥阶段，批次猪同进同出。</w:t>
      </w:r>
      <w:r>
        <w:rPr>
          <w:sz w:val="24"/>
        </w:rPr>
        <w:t>本项目主要的饲养工序为育肥。养殖过程工艺流程及产污环节见图2.2-1。</w:t>
      </w:r>
    </w:p>
    <w:p>
      <w:pPr>
        <w:spacing w:line="520" w:lineRule="exact"/>
        <w:ind w:firstLine="480" w:firstLineChars="200"/>
        <w:rPr>
          <w:sz w:val="24"/>
        </w:rPr>
      </w:pPr>
    </w:p>
    <w:p>
      <w:pPr>
        <w:rPr>
          <w:rFonts w:hint="eastAsia"/>
          <w:sz w:val="24"/>
        </w:rPr>
      </w:pPr>
    </w:p>
    <w:p>
      <w:pPr>
        <w:rPr>
          <w:rFonts w:hint="eastAsia"/>
          <w:sz w:val="24"/>
        </w:rPr>
      </w:pPr>
    </w:p>
    <w:p>
      <w:pPr>
        <w:rPr>
          <w:rFonts w:hint="eastAsia"/>
          <w:sz w:val="24"/>
        </w:rPr>
      </w:pPr>
    </w:p>
    <w:p>
      <w:pPr>
        <w:rPr>
          <w:rFonts w:hint="eastAsia"/>
          <w:sz w:val="24"/>
        </w:rPr>
      </w:pPr>
    </w:p>
    <w:p>
      <w:pPr>
        <w:rPr>
          <w:rFonts w:hint="eastAsia"/>
          <w:sz w:val="24"/>
        </w:rPr>
      </w:pPr>
      <w:r>
        <mc:AlternateContent>
          <mc:Choice Requires="wpc">
            <w:drawing>
              <wp:inline distT="0" distB="0" distL="114300" distR="114300">
                <wp:extent cx="5779770" cy="3460750"/>
                <wp:effectExtent l="0" t="0" r="30480" b="6350"/>
                <wp:docPr id="332" name="画布 7"/>
                <wp:cNvGraphicFramePr/>
                <a:graphic xmlns:a="http://schemas.openxmlformats.org/drawingml/2006/main">
                  <a:graphicData uri="http://schemas.microsoft.com/office/word/2010/wordprocessingCanvas">
                    <wpc:wpc>
                      <wpc:bg>
                        <a:noFill/>
                      </wpc:bg>
                      <wpc:whole>
                        <a:ln>
                          <a:noFill/>
                        </a:ln>
                      </wpc:whole>
                      <wps:wsp>
                        <wps:cNvPr id="300" name="矩形 8"/>
                        <wps:cNvSpPr/>
                        <wps:spPr>
                          <a:xfrm>
                            <a:off x="347345" y="1662430"/>
                            <a:ext cx="852170" cy="544195"/>
                          </a:xfrm>
                          <a:prstGeom prst="rect">
                            <a:avLst/>
                          </a:prstGeom>
                          <a:solidFill>
                            <a:srgbClr val="FFFFFF"/>
                          </a:solidFill>
                          <a:ln w="25400" cap="flat" cmpd="sng" algn="ctr">
                            <a:solidFill>
                              <a:srgbClr val="000000"/>
                            </a:solidFill>
                            <a:prstDash val="solid"/>
                          </a:ln>
                          <a:effectLst/>
                        </wps:spPr>
                        <wps:txbx>
                          <w:txbxContent>
                            <w:p>
                              <w:pPr>
                                <w:jc w:val="center"/>
                                <w:rPr>
                                  <w:color w:val="000000"/>
                                </w:rPr>
                              </w:pPr>
                              <w:r>
                                <w:rPr>
                                  <w:rFonts w:hint="eastAsia"/>
                                  <w:color w:val="000000"/>
                                </w:rPr>
                                <w:t>育肥舍（批次猪同进同出，117天）</w:t>
                              </w:r>
                            </w:p>
                          </w:txbxContent>
                        </wps:txbx>
                        <wps:bodyPr rot="0" spcFirstLastPara="0" vertOverflow="overflow" horzOverflow="overflow" vert="horz" wrap="square" lIns="0" tIns="0" rIns="0" bIns="0" numCol="1" spcCol="0" rtlCol="0" fromWordArt="0" anchor="ctr" anchorCtr="0" forceAA="0" compatLnSpc="1">
                          <a:spAutoFit/>
                        </wps:bodyPr>
                      </wps:wsp>
                      <wps:wsp>
                        <wps:cNvPr id="9" name="矩形 9"/>
                        <wps:cNvSpPr/>
                        <wps:spPr>
                          <a:xfrm>
                            <a:off x="351790" y="906780"/>
                            <a:ext cx="852170" cy="198120"/>
                          </a:xfrm>
                          <a:prstGeom prst="rect">
                            <a:avLst/>
                          </a:prstGeom>
                          <a:solidFill>
                            <a:srgbClr val="FFFFFF"/>
                          </a:solidFill>
                          <a:ln w="25400" cap="flat" cmpd="sng" algn="ctr">
                            <a:solidFill>
                              <a:srgbClr val="000000"/>
                            </a:solidFill>
                            <a:prstDash val="solid"/>
                          </a:ln>
                          <a:effectLst/>
                        </wps:spPr>
                        <wps:txbx>
                          <w:txbxContent>
                            <w:p>
                              <w:pPr>
                                <w:jc w:val="center"/>
                                <w:rPr>
                                  <w:color w:val="000000"/>
                                </w:rPr>
                              </w:pPr>
                              <w:r>
                                <w:rPr>
                                  <w:rFonts w:hint="eastAsia"/>
                                  <w:color w:val="000000"/>
                                </w:rPr>
                                <w:t>外购仔猪</w:t>
                              </w:r>
                            </w:p>
                          </w:txbxContent>
                        </wps:txbx>
                        <wps:bodyPr rot="0" spcFirstLastPara="0" vertOverflow="overflow" horzOverflow="overflow" vert="horz" wrap="square" lIns="0" tIns="0" rIns="0" bIns="0" numCol="1" spcCol="0" rtlCol="0" fromWordArt="0" anchor="ctr" anchorCtr="0" forceAA="0" compatLnSpc="1">
                          <a:spAutoFit/>
                        </wps:bodyPr>
                      </wps:wsp>
                      <wps:wsp>
                        <wps:cNvPr id="10" name="圆角矩形 10"/>
                        <wps:cNvSpPr/>
                        <wps:spPr>
                          <a:xfrm>
                            <a:off x="72390" y="814070"/>
                            <a:ext cx="1212215" cy="1642745"/>
                          </a:xfrm>
                          <a:prstGeom prst="roundRect">
                            <a:avLst/>
                          </a:prstGeom>
                          <a:noFill/>
                          <a:ln w="3175" cap="flat" cmpd="sng" algn="ctr">
                            <a:solidFill>
                              <a:srgbClr val="000000"/>
                            </a:solidFill>
                            <a:prstDash val="sysDash"/>
                          </a:ln>
                          <a:effectLst/>
                        </wps:spPr>
                        <wps:txbx>
                          <w:txbxContent>
                            <w:p>
                              <w:pPr>
                                <w:rPr>
                                  <w:color w:val="000000"/>
                                </w:rPr>
                              </w:pPr>
                              <w:r>
                                <w:rPr>
                                  <w:rFonts w:hint="eastAsia"/>
                                  <w:color w:val="000000"/>
                                </w:rPr>
                                <w:t>生猪养殖过程</w:t>
                              </w:r>
                            </w:p>
                          </w:txbxContent>
                        </wps:txbx>
                        <wps:bodyPr rot="0" spcFirstLastPara="0" vertOverflow="overflow" horzOverflow="overflow" vert="eaVert" wrap="square" lIns="0" tIns="0" rIns="0" bIns="0" numCol="1" spcCol="0" rtlCol="0" fromWordArt="0" anchor="b" anchorCtr="0" forceAA="0" compatLnSpc="1">
                          <a:noAutofit/>
                        </wps:bodyPr>
                      </wps:wsp>
                      <wps:wsp>
                        <wps:cNvPr id="12" name="直接箭头连接符 12"/>
                        <wps:cNvCnPr/>
                        <wps:spPr>
                          <a:xfrm flipH="1">
                            <a:off x="773430" y="1117600"/>
                            <a:ext cx="4445" cy="544830"/>
                          </a:xfrm>
                          <a:prstGeom prst="straightConnector1">
                            <a:avLst/>
                          </a:prstGeom>
                          <a:noFill/>
                          <a:ln w="9525" cap="flat" cmpd="sng" algn="ctr">
                            <a:solidFill>
                              <a:srgbClr val="000000"/>
                            </a:solidFill>
                            <a:prstDash val="solid"/>
                            <a:tailEnd type="triangle"/>
                          </a:ln>
                          <a:effectLst/>
                        </wps:spPr>
                        <wps:bodyPr/>
                      </wps:wsp>
                      <wps:wsp>
                        <wps:cNvPr id="301" name="矩形 13"/>
                        <wps:cNvSpPr/>
                        <wps:spPr>
                          <a:xfrm>
                            <a:off x="1959610" y="1676400"/>
                            <a:ext cx="742315" cy="198120"/>
                          </a:xfrm>
                          <a:prstGeom prst="rect">
                            <a:avLst/>
                          </a:prstGeom>
                          <a:solidFill>
                            <a:srgbClr val="FFFFFF"/>
                          </a:solidFill>
                          <a:ln w="25400" cap="flat" cmpd="sng" algn="ctr">
                            <a:solidFill>
                              <a:srgbClr val="000000"/>
                            </a:solidFill>
                            <a:prstDash val="solid"/>
                          </a:ln>
                          <a:effectLst/>
                        </wps:spPr>
                        <wps:txbx>
                          <w:txbxContent>
                            <w:p>
                              <w:pPr>
                                <w:jc w:val="center"/>
                                <w:rPr>
                                  <w:color w:val="000000"/>
                                </w:rPr>
                              </w:pPr>
                              <w:r>
                                <w:rPr>
                                  <w:rFonts w:hint="eastAsia"/>
                                  <w:color w:val="000000"/>
                                </w:rPr>
                                <w:t>收集池</w:t>
                              </w:r>
                            </w:p>
                          </w:txbxContent>
                        </wps:txbx>
                        <wps:bodyPr rot="0" spcFirstLastPara="0" vertOverflow="overflow" horzOverflow="overflow" vert="horz" wrap="square" lIns="0" tIns="0" rIns="0" bIns="0" numCol="1" spcCol="0" rtlCol="0" fromWordArt="0" anchor="ctr" anchorCtr="0" forceAA="0" compatLnSpc="1">
                          <a:spAutoFit/>
                        </wps:bodyPr>
                      </wps:wsp>
                      <wps:wsp>
                        <wps:cNvPr id="302" name="直接箭头连接符 15"/>
                        <wps:cNvCnPr/>
                        <wps:spPr>
                          <a:xfrm flipV="1">
                            <a:off x="247650" y="621030"/>
                            <a:ext cx="0" cy="228600"/>
                          </a:xfrm>
                          <a:prstGeom prst="straightConnector1">
                            <a:avLst/>
                          </a:prstGeom>
                          <a:noFill/>
                          <a:ln w="9525" cap="flat" cmpd="sng" algn="ctr">
                            <a:solidFill>
                              <a:srgbClr val="000000"/>
                            </a:solidFill>
                            <a:prstDash val="sysDash"/>
                            <a:tailEnd type="triangle"/>
                          </a:ln>
                          <a:effectLst/>
                        </wps:spPr>
                        <wps:bodyPr/>
                      </wps:wsp>
                      <wps:wsp>
                        <wps:cNvPr id="303" name="矩形 16"/>
                        <wps:cNvSpPr/>
                        <wps:spPr>
                          <a:xfrm>
                            <a:off x="0" y="401320"/>
                            <a:ext cx="554355" cy="198120"/>
                          </a:xfrm>
                          <a:prstGeom prst="rect">
                            <a:avLst/>
                          </a:prstGeom>
                          <a:solidFill>
                            <a:srgbClr val="FFFFFF"/>
                          </a:solidFill>
                          <a:ln w="25400" cap="flat" cmpd="sng" algn="ctr">
                            <a:noFill/>
                            <a:prstDash val="solid"/>
                          </a:ln>
                          <a:effectLst/>
                        </wps:spPr>
                        <wps:txbx>
                          <w:txbxContent>
                            <w:p>
                              <w:pPr>
                                <w:jc w:val="center"/>
                                <w:rPr>
                                  <w:color w:val="000000"/>
                                </w:rPr>
                              </w:pPr>
                              <w:r>
                                <w:rPr>
                                  <w:rFonts w:hint="eastAsia"/>
                                  <w:color w:val="000000"/>
                                </w:rPr>
                                <w:t>恶臭G1</w:t>
                              </w:r>
                            </w:p>
                          </w:txbxContent>
                        </wps:txbx>
                        <wps:bodyPr rot="0" spcFirstLastPara="0" vertOverflow="overflow" horzOverflow="overflow" vert="horz" wrap="square" lIns="0" tIns="0" rIns="0" bIns="0" numCol="1" spcCol="0" rtlCol="0" fromWordArt="0" anchor="ctr" anchorCtr="0" forceAA="0" compatLnSpc="1">
                          <a:spAutoFit/>
                        </wps:bodyPr>
                      </wps:wsp>
                      <wps:wsp>
                        <wps:cNvPr id="304" name="直接箭头连接符 17"/>
                        <wps:cNvCnPr/>
                        <wps:spPr>
                          <a:xfrm>
                            <a:off x="330835" y="2439035"/>
                            <a:ext cx="0" cy="194945"/>
                          </a:xfrm>
                          <a:prstGeom prst="straightConnector1">
                            <a:avLst/>
                          </a:prstGeom>
                          <a:noFill/>
                          <a:ln w="9525" cap="flat" cmpd="sng" algn="ctr">
                            <a:solidFill>
                              <a:srgbClr val="000000"/>
                            </a:solidFill>
                            <a:prstDash val="sysDash"/>
                            <a:tailEnd type="triangle"/>
                          </a:ln>
                          <a:effectLst/>
                        </wps:spPr>
                        <wps:bodyPr/>
                      </wps:wsp>
                      <wps:wsp>
                        <wps:cNvPr id="305" name="直接箭头连接符 18"/>
                        <wps:cNvCnPr/>
                        <wps:spPr>
                          <a:xfrm>
                            <a:off x="1078865" y="2466975"/>
                            <a:ext cx="0" cy="194945"/>
                          </a:xfrm>
                          <a:prstGeom prst="straightConnector1">
                            <a:avLst/>
                          </a:prstGeom>
                          <a:noFill/>
                          <a:ln w="9525" cap="flat" cmpd="sng" algn="ctr">
                            <a:solidFill>
                              <a:srgbClr val="000000"/>
                            </a:solidFill>
                            <a:prstDash val="sysDash"/>
                            <a:tailEnd type="triangle"/>
                          </a:ln>
                          <a:effectLst/>
                        </wps:spPr>
                        <wps:bodyPr/>
                      </wps:wsp>
                      <wps:wsp>
                        <wps:cNvPr id="306" name="矩形 19"/>
                        <wps:cNvSpPr/>
                        <wps:spPr>
                          <a:xfrm>
                            <a:off x="55245" y="2666365"/>
                            <a:ext cx="727710" cy="198120"/>
                          </a:xfrm>
                          <a:prstGeom prst="rect">
                            <a:avLst/>
                          </a:prstGeom>
                          <a:solidFill>
                            <a:srgbClr val="FFFFFF"/>
                          </a:solidFill>
                          <a:ln w="25400" cap="flat" cmpd="sng" algn="ctr">
                            <a:noFill/>
                            <a:prstDash val="solid"/>
                          </a:ln>
                          <a:effectLst/>
                        </wps:spPr>
                        <wps:txbx>
                          <w:txbxContent>
                            <w:p>
                              <w:pPr>
                                <w:jc w:val="center"/>
                                <w:rPr>
                                  <w:color w:val="000000"/>
                                </w:rPr>
                              </w:pPr>
                              <w:r>
                                <w:rPr>
                                  <w:rFonts w:hint="eastAsia"/>
                                  <w:color w:val="000000"/>
                                </w:rPr>
                                <w:t>医疗废物S4</w:t>
                              </w:r>
                            </w:p>
                          </w:txbxContent>
                        </wps:txbx>
                        <wps:bodyPr rot="0" spcFirstLastPara="0" vertOverflow="overflow" horzOverflow="overflow" vert="horz" wrap="square" lIns="0" tIns="0" rIns="0" bIns="0" numCol="1" spcCol="0" rtlCol="0" fromWordArt="0" anchor="ctr" anchorCtr="0" forceAA="0" compatLnSpc="1">
                          <a:spAutoFit/>
                        </wps:bodyPr>
                      </wps:wsp>
                      <wps:wsp>
                        <wps:cNvPr id="307" name="矩形 20"/>
                        <wps:cNvSpPr/>
                        <wps:spPr>
                          <a:xfrm>
                            <a:off x="859155" y="2680335"/>
                            <a:ext cx="727710" cy="198120"/>
                          </a:xfrm>
                          <a:prstGeom prst="rect">
                            <a:avLst/>
                          </a:prstGeom>
                          <a:solidFill>
                            <a:srgbClr val="FFFFFF"/>
                          </a:solidFill>
                          <a:ln w="25400" cap="flat" cmpd="sng" algn="ctr">
                            <a:noFill/>
                            <a:prstDash val="solid"/>
                          </a:ln>
                          <a:effectLst/>
                        </wps:spPr>
                        <wps:txbx>
                          <w:txbxContent>
                            <w:p>
                              <w:pPr>
                                <w:jc w:val="center"/>
                                <w:rPr>
                                  <w:color w:val="000000"/>
                                </w:rPr>
                              </w:pPr>
                              <w:r>
                                <w:rPr>
                                  <w:rFonts w:hint="eastAsia"/>
                                  <w:color w:val="000000"/>
                                </w:rPr>
                                <w:t>病死猪尸S3</w:t>
                              </w:r>
                            </w:p>
                          </w:txbxContent>
                        </wps:txbx>
                        <wps:bodyPr rot="0" spcFirstLastPara="0" vertOverflow="overflow" horzOverflow="overflow" vert="horz" wrap="square" lIns="0" tIns="0" rIns="0" bIns="0" numCol="1" spcCol="0" rtlCol="0" fromWordArt="0" anchor="ctr" anchorCtr="0" forceAA="0" compatLnSpc="1">
                          <a:spAutoFit/>
                        </wps:bodyPr>
                      </wps:wsp>
                      <wps:wsp>
                        <wps:cNvPr id="308" name="直接箭头连接符 21"/>
                        <wps:cNvCnPr/>
                        <wps:spPr>
                          <a:xfrm>
                            <a:off x="1092835" y="2882265"/>
                            <a:ext cx="0" cy="194945"/>
                          </a:xfrm>
                          <a:prstGeom prst="straightConnector1">
                            <a:avLst/>
                          </a:prstGeom>
                          <a:noFill/>
                          <a:ln w="9525" cap="flat" cmpd="sng" algn="ctr">
                            <a:solidFill>
                              <a:srgbClr val="000000"/>
                            </a:solidFill>
                            <a:prstDash val="sysDash"/>
                            <a:tailEnd type="triangle"/>
                          </a:ln>
                          <a:effectLst/>
                        </wps:spPr>
                        <wps:bodyPr/>
                      </wps:wsp>
                      <wps:wsp>
                        <wps:cNvPr id="309" name="矩形 22"/>
                        <wps:cNvSpPr/>
                        <wps:spPr>
                          <a:xfrm>
                            <a:off x="630555" y="3089275"/>
                            <a:ext cx="1039495" cy="371475"/>
                          </a:xfrm>
                          <a:prstGeom prst="rect">
                            <a:avLst/>
                          </a:prstGeom>
                          <a:solidFill>
                            <a:srgbClr val="FFFFFF"/>
                          </a:solidFill>
                          <a:ln w="25400" cap="flat" cmpd="sng" algn="ctr">
                            <a:noFill/>
                            <a:prstDash val="solid"/>
                          </a:ln>
                          <a:effectLst/>
                        </wps:spPr>
                        <wps:txbx>
                          <w:txbxContent>
                            <w:p>
                              <w:pPr>
                                <w:jc w:val="center"/>
                                <w:rPr>
                                  <w:color w:val="000000"/>
                                </w:rPr>
                              </w:pPr>
                              <w:r>
                                <w:rPr>
                                  <w:rFonts w:hint="eastAsia"/>
                                  <w:color w:val="000000"/>
                                </w:rPr>
                                <w:t>委托无害化处理中心处置</w:t>
                              </w:r>
                            </w:p>
                          </w:txbxContent>
                        </wps:txbx>
                        <wps:bodyPr rot="0" spcFirstLastPara="0" vertOverflow="overflow" horzOverflow="overflow" vert="horz" wrap="square" lIns="0" tIns="0" rIns="0" bIns="0" numCol="1" spcCol="0" rtlCol="0" fromWordArt="0" anchor="ctr" anchorCtr="0" forceAA="0" compatLnSpc="1">
                          <a:spAutoFit/>
                        </wps:bodyPr>
                      </wps:wsp>
                      <wps:wsp>
                        <wps:cNvPr id="310" name="矩形 23"/>
                        <wps:cNvSpPr/>
                        <wps:spPr>
                          <a:xfrm>
                            <a:off x="2028825" y="678815"/>
                            <a:ext cx="706755" cy="198120"/>
                          </a:xfrm>
                          <a:prstGeom prst="rect">
                            <a:avLst/>
                          </a:prstGeom>
                          <a:solidFill>
                            <a:srgbClr val="FFFFFF"/>
                          </a:solidFill>
                          <a:ln w="25400" cap="flat" cmpd="sng" algn="ctr">
                            <a:solidFill>
                              <a:srgbClr val="000000"/>
                            </a:solidFill>
                            <a:prstDash val="solid"/>
                          </a:ln>
                          <a:effectLst/>
                        </wps:spPr>
                        <wps:txbx>
                          <w:txbxContent>
                            <w:p>
                              <w:pPr>
                                <w:jc w:val="center"/>
                                <w:rPr>
                                  <w:color w:val="000000"/>
                                </w:rPr>
                              </w:pPr>
                              <w:r>
                                <w:rPr>
                                  <w:rFonts w:hint="eastAsia"/>
                                  <w:color w:val="000000"/>
                                </w:rPr>
                                <w:t>职工生活</w:t>
                              </w:r>
                            </w:p>
                          </w:txbxContent>
                        </wps:txbx>
                        <wps:bodyPr rot="0" spcFirstLastPara="0" vertOverflow="overflow" horzOverflow="overflow" vert="horz" wrap="square" lIns="0" tIns="0" rIns="0" bIns="0" numCol="1" spcCol="0" rtlCol="0" fromWordArt="0" anchor="ctr" anchorCtr="0" forceAA="0" compatLnSpc="1">
                          <a:spAutoFit/>
                        </wps:bodyPr>
                      </wps:wsp>
                      <wps:wsp>
                        <wps:cNvPr id="311" name="直接箭头连接符 24"/>
                        <wps:cNvCnPr/>
                        <wps:spPr>
                          <a:xfrm flipV="1">
                            <a:off x="2042160" y="1425575"/>
                            <a:ext cx="0" cy="228600"/>
                          </a:xfrm>
                          <a:prstGeom prst="straightConnector1">
                            <a:avLst/>
                          </a:prstGeom>
                          <a:noFill/>
                          <a:ln w="9525" cap="flat" cmpd="sng" algn="ctr">
                            <a:solidFill>
                              <a:srgbClr val="000000"/>
                            </a:solidFill>
                            <a:prstDash val="sysDash"/>
                            <a:tailEnd type="triangle"/>
                          </a:ln>
                          <a:effectLst/>
                        </wps:spPr>
                        <wps:bodyPr/>
                      </wps:wsp>
                      <wps:wsp>
                        <wps:cNvPr id="312" name="矩形 25"/>
                        <wps:cNvSpPr/>
                        <wps:spPr>
                          <a:xfrm>
                            <a:off x="1558290" y="1211580"/>
                            <a:ext cx="554355" cy="198120"/>
                          </a:xfrm>
                          <a:prstGeom prst="rect">
                            <a:avLst/>
                          </a:prstGeom>
                          <a:solidFill>
                            <a:srgbClr val="FFFFFF"/>
                          </a:solidFill>
                          <a:ln w="25400" cap="flat" cmpd="sng" algn="ctr">
                            <a:noFill/>
                            <a:prstDash val="solid"/>
                          </a:ln>
                          <a:effectLst/>
                        </wps:spPr>
                        <wps:txbx>
                          <w:txbxContent>
                            <w:p>
                              <w:pPr>
                                <w:jc w:val="center"/>
                                <w:rPr>
                                  <w:color w:val="000000"/>
                                </w:rPr>
                              </w:pPr>
                              <w:r>
                                <w:rPr>
                                  <w:rFonts w:hint="eastAsia"/>
                                  <w:color w:val="000000"/>
                                </w:rPr>
                                <w:t>恶臭G2</w:t>
                              </w:r>
                            </w:p>
                          </w:txbxContent>
                        </wps:txbx>
                        <wps:bodyPr rot="0" spcFirstLastPara="0" vertOverflow="overflow" horzOverflow="overflow" vert="horz" wrap="square" lIns="0" tIns="0" rIns="0" bIns="0" numCol="1" spcCol="0" rtlCol="0" fromWordArt="0" anchor="ctr" anchorCtr="0" forceAA="0" compatLnSpc="1">
                          <a:spAutoFit/>
                        </wps:bodyPr>
                      </wps:wsp>
                      <wps:wsp>
                        <wps:cNvPr id="313" name="直接箭头连接符 26"/>
                        <wps:cNvCnPr/>
                        <wps:spPr>
                          <a:xfrm>
                            <a:off x="2371725" y="902335"/>
                            <a:ext cx="0" cy="768985"/>
                          </a:xfrm>
                          <a:prstGeom prst="straightConnector1">
                            <a:avLst/>
                          </a:prstGeom>
                          <a:noFill/>
                          <a:ln w="9525" cap="flat" cmpd="sng" algn="ctr">
                            <a:solidFill>
                              <a:srgbClr val="000000"/>
                            </a:solidFill>
                            <a:prstDash val="sysDash"/>
                            <a:tailEnd type="triangle"/>
                          </a:ln>
                          <a:effectLst/>
                        </wps:spPr>
                        <wps:bodyPr/>
                      </wps:wsp>
                      <wps:wsp>
                        <wps:cNvPr id="27" name="直接箭头连接符 27"/>
                        <wps:cNvCnPr/>
                        <wps:spPr>
                          <a:xfrm flipV="1">
                            <a:off x="2367915" y="441960"/>
                            <a:ext cx="0" cy="228600"/>
                          </a:xfrm>
                          <a:prstGeom prst="straightConnector1">
                            <a:avLst/>
                          </a:prstGeom>
                          <a:noFill/>
                          <a:ln w="9525" cap="flat" cmpd="sng" algn="ctr">
                            <a:solidFill>
                              <a:srgbClr val="000000"/>
                            </a:solidFill>
                            <a:prstDash val="sysDash"/>
                            <a:tailEnd type="triangle"/>
                          </a:ln>
                          <a:effectLst/>
                        </wps:spPr>
                        <wps:bodyPr/>
                      </wps:wsp>
                      <wps:wsp>
                        <wps:cNvPr id="28" name="矩形 28"/>
                        <wps:cNvSpPr/>
                        <wps:spPr>
                          <a:xfrm>
                            <a:off x="2050415" y="219710"/>
                            <a:ext cx="429260" cy="361315"/>
                          </a:xfrm>
                          <a:prstGeom prst="rect">
                            <a:avLst/>
                          </a:prstGeom>
                          <a:solidFill>
                            <a:srgbClr val="FFFFFF"/>
                          </a:solidFill>
                          <a:ln w="25400" cap="flat" cmpd="sng" algn="ctr">
                            <a:noFill/>
                            <a:prstDash val="solid"/>
                          </a:ln>
                          <a:effectLst/>
                        </wps:spPr>
                        <wps:txbx>
                          <w:txbxContent>
                            <w:p>
                              <w:pPr>
                                <w:jc w:val="center"/>
                                <w:rPr>
                                  <w:color w:val="000000"/>
                                </w:rPr>
                              </w:pPr>
                              <w:r>
                                <w:rPr>
                                  <w:rFonts w:hint="eastAsia"/>
                                  <w:color w:val="000000"/>
                                </w:rPr>
                                <w:t>油烟</w:t>
                              </w:r>
                              <w:r>
                                <w:rPr>
                                  <w:color w:val="000000"/>
                                </w:rPr>
                                <w:t>G</w:t>
                              </w:r>
                              <w:r>
                                <w:rPr>
                                  <w:rFonts w:hint="eastAsia"/>
                                  <w:color w:val="000000"/>
                                </w:rPr>
                                <w:t>4</w:t>
                              </w:r>
                            </w:p>
                          </w:txbxContent>
                        </wps:txbx>
                        <wps:bodyPr rot="0" spcFirstLastPara="0" vertOverflow="overflow" horzOverflow="overflow" vert="horz" wrap="square" lIns="0" tIns="0" rIns="0" bIns="0" numCol="1" spcCol="0" rtlCol="0" fromWordArt="0" anchor="ctr" anchorCtr="0" forceAA="0" compatLnSpc="1">
                          <a:spAutoFit/>
                        </wps:bodyPr>
                      </wps:wsp>
                      <wps:wsp>
                        <wps:cNvPr id="29" name="矩形 29"/>
                        <wps:cNvSpPr/>
                        <wps:spPr>
                          <a:xfrm>
                            <a:off x="3047365" y="1676400"/>
                            <a:ext cx="742315" cy="198120"/>
                          </a:xfrm>
                          <a:prstGeom prst="rect">
                            <a:avLst/>
                          </a:prstGeom>
                          <a:solidFill>
                            <a:srgbClr val="FFFFFF"/>
                          </a:solidFill>
                          <a:ln w="25400" cap="flat" cmpd="sng" algn="ctr">
                            <a:solidFill>
                              <a:srgbClr val="000000"/>
                            </a:solidFill>
                            <a:prstDash val="solid"/>
                          </a:ln>
                          <a:effectLst/>
                        </wps:spPr>
                        <wps:txbx>
                          <w:txbxContent>
                            <w:p>
                              <w:pPr>
                                <w:jc w:val="center"/>
                                <w:rPr>
                                  <w:color w:val="000000"/>
                                </w:rPr>
                              </w:pPr>
                              <w:r>
                                <w:rPr>
                                  <w:rFonts w:hint="eastAsia"/>
                                  <w:color w:val="000000"/>
                                </w:rPr>
                                <w:t>固液分离机</w:t>
                              </w:r>
                            </w:p>
                          </w:txbxContent>
                        </wps:txbx>
                        <wps:bodyPr rot="0" spcFirstLastPara="0" vertOverflow="overflow" horzOverflow="overflow" vert="horz" wrap="square" lIns="0" tIns="0" rIns="0" bIns="0" numCol="1" spcCol="0" rtlCol="0" fromWordArt="0" anchor="ctr" anchorCtr="0" forceAA="0" compatLnSpc="1">
                          <a:spAutoFit/>
                        </wps:bodyPr>
                      </wps:wsp>
                      <wps:wsp>
                        <wps:cNvPr id="314" name="直接箭头连接符 32"/>
                        <wps:cNvCnPr/>
                        <wps:spPr>
                          <a:xfrm>
                            <a:off x="2701925" y="1781810"/>
                            <a:ext cx="345440" cy="0"/>
                          </a:xfrm>
                          <a:prstGeom prst="straightConnector1">
                            <a:avLst/>
                          </a:prstGeom>
                          <a:noFill/>
                          <a:ln w="9525" cap="flat" cmpd="sng" algn="ctr">
                            <a:solidFill>
                              <a:srgbClr val="000000"/>
                            </a:solidFill>
                            <a:prstDash val="solid"/>
                            <a:tailEnd type="triangle"/>
                          </a:ln>
                          <a:effectLst/>
                        </wps:spPr>
                        <wps:bodyPr/>
                      </wps:wsp>
                      <wps:wsp>
                        <wps:cNvPr id="33" name="直接箭头连接符 33"/>
                        <wps:cNvCnPr/>
                        <wps:spPr>
                          <a:xfrm>
                            <a:off x="1294130" y="1779905"/>
                            <a:ext cx="658495" cy="0"/>
                          </a:xfrm>
                          <a:prstGeom prst="straightConnector1">
                            <a:avLst/>
                          </a:prstGeom>
                          <a:noFill/>
                          <a:ln w="9525" cap="flat" cmpd="sng" algn="ctr">
                            <a:solidFill>
                              <a:srgbClr val="000000"/>
                            </a:solidFill>
                            <a:prstDash val="solid"/>
                            <a:tailEnd type="triangle"/>
                          </a:ln>
                          <a:effectLst/>
                        </wps:spPr>
                        <wps:bodyPr/>
                      </wps:wsp>
                      <wps:wsp>
                        <wps:cNvPr id="34" name="矩形 34"/>
                        <wps:cNvSpPr/>
                        <wps:spPr>
                          <a:xfrm>
                            <a:off x="4034155" y="1670050"/>
                            <a:ext cx="742315" cy="198120"/>
                          </a:xfrm>
                          <a:prstGeom prst="rect">
                            <a:avLst/>
                          </a:prstGeom>
                          <a:solidFill>
                            <a:srgbClr val="FFFFFF"/>
                          </a:solidFill>
                          <a:ln w="25400" cap="flat" cmpd="sng" algn="ctr">
                            <a:solidFill>
                              <a:srgbClr val="000000"/>
                            </a:solidFill>
                            <a:prstDash val="solid"/>
                          </a:ln>
                          <a:effectLst/>
                        </wps:spPr>
                        <wps:txbx>
                          <w:txbxContent>
                            <w:p>
                              <w:pPr>
                                <w:jc w:val="center"/>
                                <w:rPr>
                                  <w:color w:val="000000"/>
                                </w:rPr>
                              </w:pPr>
                              <w:r>
                                <w:rPr>
                                  <w:rFonts w:hint="eastAsia"/>
                                  <w:color w:val="000000"/>
                                </w:rPr>
                                <w:t>黑膜沼气池</w:t>
                              </w:r>
                            </w:p>
                          </w:txbxContent>
                        </wps:txbx>
                        <wps:bodyPr rot="0" spcFirstLastPara="0" vertOverflow="overflow" horzOverflow="overflow" vert="horz" wrap="square" lIns="0" tIns="0" rIns="0" bIns="0" numCol="1" spcCol="0" rtlCol="0" fromWordArt="0" anchor="ctr" anchorCtr="0" forceAA="0" compatLnSpc="1">
                          <a:spAutoFit/>
                        </wps:bodyPr>
                      </wps:wsp>
                      <wps:wsp>
                        <wps:cNvPr id="315" name="直接箭头连接符 36"/>
                        <wps:cNvCnPr/>
                        <wps:spPr>
                          <a:xfrm flipV="1">
                            <a:off x="3789680" y="1775460"/>
                            <a:ext cx="244475" cy="6350"/>
                          </a:xfrm>
                          <a:prstGeom prst="straightConnector1">
                            <a:avLst/>
                          </a:prstGeom>
                          <a:noFill/>
                          <a:ln w="9525" cap="flat" cmpd="sng" algn="ctr">
                            <a:solidFill>
                              <a:srgbClr val="000000"/>
                            </a:solidFill>
                            <a:prstDash val="solid"/>
                            <a:tailEnd type="triangle"/>
                          </a:ln>
                          <a:effectLst/>
                        </wps:spPr>
                        <wps:bodyPr/>
                      </wps:wsp>
                      <wps:wsp>
                        <wps:cNvPr id="316" name="矩形 37"/>
                        <wps:cNvSpPr/>
                        <wps:spPr>
                          <a:xfrm>
                            <a:off x="5037455" y="1677035"/>
                            <a:ext cx="742315" cy="198120"/>
                          </a:xfrm>
                          <a:prstGeom prst="rect">
                            <a:avLst/>
                          </a:prstGeom>
                          <a:solidFill>
                            <a:srgbClr val="FFFFFF"/>
                          </a:solidFill>
                          <a:ln w="25400" cap="flat" cmpd="sng" algn="ctr">
                            <a:solidFill>
                              <a:srgbClr val="000000"/>
                            </a:solidFill>
                            <a:prstDash val="solid"/>
                          </a:ln>
                          <a:effectLst/>
                        </wps:spPr>
                        <wps:txbx>
                          <w:txbxContent>
                            <w:p>
                              <w:pPr>
                                <w:jc w:val="center"/>
                                <w:rPr>
                                  <w:color w:val="000000"/>
                                </w:rPr>
                              </w:pPr>
                              <w:r>
                                <w:rPr>
                                  <w:rFonts w:hint="eastAsia"/>
                                  <w:color w:val="000000"/>
                                </w:rPr>
                                <w:t>沼液储存池</w:t>
                              </w:r>
                            </w:p>
                          </w:txbxContent>
                        </wps:txbx>
                        <wps:bodyPr rot="0" spcFirstLastPara="0" vertOverflow="overflow" horzOverflow="overflow" vert="horz" wrap="square" lIns="0" tIns="0" rIns="0" bIns="0" numCol="1" spcCol="0" rtlCol="0" fromWordArt="0" anchor="ctr" anchorCtr="0" forceAA="0" compatLnSpc="1">
                          <a:spAutoFit/>
                        </wps:bodyPr>
                      </wps:wsp>
                      <wps:wsp>
                        <wps:cNvPr id="317" name="直接箭头连接符 38"/>
                        <wps:cNvCnPr/>
                        <wps:spPr>
                          <a:xfrm flipV="1">
                            <a:off x="4786630" y="1768475"/>
                            <a:ext cx="244475" cy="6350"/>
                          </a:xfrm>
                          <a:prstGeom prst="straightConnector1">
                            <a:avLst/>
                          </a:prstGeom>
                          <a:noFill/>
                          <a:ln w="9525" cap="flat" cmpd="sng" algn="ctr">
                            <a:solidFill>
                              <a:srgbClr val="000000"/>
                            </a:solidFill>
                            <a:prstDash val="solid"/>
                            <a:tailEnd type="triangle"/>
                          </a:ln>
                          <a:effectLst/>
                        </wps:spPr>
                        <wps:bodyPr/>
                      </wps:wsp>
                      <wps:wsp>
                        <wps:cNvPr id="318" name="矩形 39"/>
                        <wps:cNvSpPr/>
                        <wps:spPr>
                          <a:xfrm>
                            <a:off x="1316355" y="1788160"/>
                            <a:ext cx="554355" cy="880110"/>
                          </a:xfrm>
                          <a:prstGeom prst="rect">
                            <a:avLst/>
                          </a:prstGeom>
                          <a:solidFill>
                            <a:srgbClr val="FFFFFF"/>
                          </a:solidFill>
                          <a:ln w="25400" cap="flat" cmpd="sng" algn="ctr">
                            <a:noFill/>
                            <a:prstDash val="solid"/>
                          </a:ln>
                          <a:effectLst/>
                        </wps:spPr>
                        <wps:txbx>
                          <w:txbxContent>
                            <w:p>
                              <w:pPr>
                                <w:jc w:val="center"/>
                                <w:rPr>
                                  <w:rFonts w:hint="eastAsia"/>
                                  <w:color w:val="000000"/>
                                </w:rPr>
                              </w:pPr>
                              <w:r>
                                <w:rPr>
                                  <w:rFonts w:hint="eastAsia"/>
                                  <w:color w:val="000000"/>
                                </w:rPr>
                                <w:t>猪尿W1</w:t>
                              </w:r>
                            </w:p>
                            <w:p>
                              <w:pPr>
                                <w:jc w:val="center"/>
                                <w:rPr>
                                  <w:rFonts w:hint="eastAsia"/>
                                  <w:color w:val="000000"/>
                                </w:rPr>
                              </w:pPr>
                              <w:r>
                                <w:rPr>
                                  <w:rFonts w:hint="eastAsia"/>
                                  <w:color w:val="000000"/>
                                </w:rPr>
                                <w:t>猪舍冲洗废水W2</w:t>
                              </w:r>
                            </w:p>
                            <w:p>
                              <w:pPr>
                                <w:jc w:val="center"/>
                                <w:rPr>
                                  <w:color w:val="000000"/>
                                </w:rPr>
                              </w:pPr>
                              <w:r>
                                <w:rPr>
                                  <w:rFonts w:hint="eastAsia"/>
                                  <w:color w:val="000000"/>
                                </w:rPr>
                                <w:t>猪粪S1</w:t>
                              </w:r>
                            </w:p>
                          </w:txbxContent>
                        </wps:txbx>
                        <wps:bodyPr rot="0" spcFirstLastPara="0" vertOverflow="overflow" horzOverflow="overflow" vert="horz" wrap="square" lIns="0" tIns="0" rIns="0" bIns="0" numCol="1" spcCol="0" rtlCol="0" fromWordArt="0" anchor="ctr" anchorCtr="0" forceAA="0" compatLnSpc="1">
                          <a:spAutoFit/>
                        </wps:bodyPr>
                      </wps:wsp>
                      <wps:wsp>
                        <wps:cNvPr id="319" name="矩形 40"/>
                        <wps:cNvSpPr/>
                        <wps:spPr>
                          <a:xfrm>
                            <a:off x="1489710" y="906780"/>
                            <a:ext cx="836930" cy="198120"/>
                          </a:xfrm>
                          <a:prstGeom prst="rect">
                            <a:avLst/>
                          </a:prstGeom>
                          <a:solidFill>
                            <a:srgbClr val="FFFFFF"/>
                          </a:solidFill>
                          <a:ln w="25400" cap="flat" cmpd="sng" algn="ctr">
                            <a:noFill/>
                            <a:prstDash val="solid"/>
                          </a:ln>
                          <a:effectLst/>
                        </wps:spPr>
                        <wps:txbx>
                          <w:txbxContent>
                            <w:p>
                              <w:pPr>
                                <w:jc w:val="center"/>
                                <w:rPr>
                                  <w:color w:val="000000"/>
                                </w:rPr>
                              </w:pPr>
                              <w:r>
                                <w:rPr>
                                  <w:rFonts w:hint="eastAsia"/>
                                  <w:color w:val="000000"/>
                                </w:rPr>
                                <w:t>生活污水W3</w:t>
                              </w:r>
                            </w:p>
                          </w:txbxContent>
                        </wps:txbx>
                        <wps:bodyPr rot="0" spcFirstLastPara="0" vertOverflow="overflow" horzOverflow="overflow" vert="horz" wrap="square" lIns="0" tIns="0" rIns="0" bIns="0" numCol="1" spcCol="0" rtlCol="0" fromWordArt="0" anchor="ctr" anchorCtr="0" forceAA="0" compatLnSpc="1">
                          <a:spAutoFit/>
                        </wps:bodyPr>
                      </wps:wsp>
                      <wps:wsp>
                        <wps:cNvPr id="320" name="直接箭头连接符 41"/>
                        <wps:cNvCnPr/>
                        <wps:spPr>
                          <a:xfrm>
                            <a:off x="2595880" y="894080"/>
                            <a:ext cx="0" cy="194945"/>
                          </a:xfrm>
                          <a:prstGeom prst="straightConnector1">
                            <a:avLst/>
                          </a:prstGeom>
                          <a:noFill/>
                          <a:ln w="9525" cap="flat" cmpd="sng" algn="ctr">
                            <a:solidFill>
                              <a:srgbClr val="000000"/>
                            </a:solidFill>
                            <a:prstDash val="sysDash"/>
                            <a:tailEnd type="triangle"/>
                          </a:ln>
                          <a:effectLst/>
                        </wps:spPr>
                        <wps:bodyPr/>
                      </wps:wsp>
                      <wps:wsp>
                        <wps:cNvPr id="321" name="矩形 42"/>
                        <wps:cNvSpPr/>
                        <wps:spPr>
                          <a:xfrm>
                            <a:off x="2425065" y="1154430"/>
                            <a:ext cx="795655" cy="198120"/>
                          </a:xfrm>
                          <a:prstGeom prst="rect">
                            <a:avLst/>
                          </a:prstGeom>
                          <a:solidFill>
                            <a:srgbClr val="FFFFFF"/>
                          </a:solidFill>
                          <a:ln w="25400" cap="flat" cmpd="sng" algn="ctr">
                            <a:noFill/>
                            <a:prstDash val="solid"/>
                          </a:ln>
                          <a:effectLst/>
                        </wps:spPr>
                        <wps:txbx>
                          <w:txbxContent>
                            <w:p>
                              <w:pPr>
                                <w:jc w:val="center"/>
                                <w:rPr>
                                  <w:color w:val="000000"/>
                                </w:rPr>
                              </w:pPr>
                              <w:r>
                                <w:rPr>
                                  <w:rFonts w:hint="eastAsia"/>
                                  <w:color w:val="000000"/>
                                </w:rPr>
                                <w:t>生活垃圾S5</w:t>
                              </w:r>
                            </w:p>
                          </w:txbxContent>
                        </wps:txbx>
                        <wps:bodyPr rot="0" spcFirstLastPara="0" vertOverflow="overflow" horzOverflow="overflow" vert="horz" wrap="square" lIns="0" tIns="0" rIns="0" bIns="0" numCol="1" spcCol="0" rtlCol="0" fromWordArt="0" anchor="ctr" anchorCtr="0" forceAA="0" compatLnSpc="1">
                          <a:spAutoFit/>
                        </wps:bodyPr>
                      </wps:wsp>
                      <wps:wsp>
                        <wps:cNvPr id="322" name="直接箭头连接符 43"/>
                        <wps:cNvCnPr/>
                        <wps:spPr>
                          <a:xfrm flipH="1">
                            <a:off x="4239895" y="1899920"/>
                            <a:ext cx="2540" cy="496570"/>
                          </a:xfrm>
                          <a:prstGeom prst="straightConnector1">
                            <a:avLst/>
                          </a:prstGeom>
                          <a:noFill/>
                          <a:ln w="9525" cap="flat" cmpd="sng" algn="ctr">
                            <a:solidFill>
                              <a:srgbClr val="000000"/>
                            </a:solidFill>
                            <a:prstDash val="sysDash"/>
                            <a:tailEnd type="triangle"/>
                          </a:ln>
                          <a:effectLst/>
                        </wps:spPr>
                        <wps:bodyPr/>
                      </wps:wsp>
                      <wps:wsp>
                        <wps:cNvPr id="323" name="矩形 44"/>
                        <wps:cNvSpPr/>
                        <wps:spPr>
                          <a:xfrm>
                            <a:off x="3075940" y="1985645"/>
                            <a:ext cx="429260" cy="198120"/>
                          </a:xfrm>
                          <a:prstGeom prst="rect">
                            <a:avLst/>
                          </a:prstGeom>
                          <a:solidFill>
                            <a:srgbClr val="FFFFFF"/>
                          </a:solidFill>
                          <a:ln w="25400" cap="flat" cmpd="sng" algn="ctr">
                            <a:noFill/>
                            <a:prstDash val="solid"/>
                          </a:ln>
                          <a:effectLst/>
                        </wps:spPr>
                        <wps:txbx>
                          <w:txbxContent>
                            <w:p>
                              <w:pPr>
                                <w:jc w:val="center"/>
                                <w:rPr>
                                  <w:color w:val="000000"/>
                                </w:rPr>
                              </w:pPr>
                              <w:r>
                                <w:rPr>
                                  <w:rFonts w:hint="eastAsia"/>
                                  <w:color w:val="000000"/>
                                </w:rPr>
                                <w:t>猪粪</w:t>
                              </w:r>
                            </w:p>
                          </w:txbxContent>
                        </wps:txbx>
                        <wps:bodyPr rot="0" spcFirstLastPara="0" vertOverflow="overflow" horzOverflow="overflow" vert="horz" wrap="square" lIns="0" tIns="0" rIns="0" bIns="0" numCol="1" spcCol="0" rtlCol="0" fromWordArt="0" anchor="ctr" anchorCtr="0" forceAA="0" compatLnSpc="1">
                          <a:spAutoFit/>
                        </wps:bodyPr>
                      </wps:wsp>
                      <wps:wsp>
                        <wps:cNvPr id="324" name="矩形 45"/>
                        <wps:cNvSpPr/>
                        <wps:spPr>
                          <a:xfrm>
                            <a:off x="3352165" y="2396490"/>
                            <a:ext cx="1081405" cy="198120"/>
                          </a:xfrm>
                          <a:prstGeom prst="rect">
                            <a:avLst/>
                          </a:prstGeom>
                          <a:solidFill>
                            <a:srgbClr val="FFFFFF"/>
                          </a:solidFill>
                          <a:ln w="25400" cap="flat" cmpd="sng" algn="ctr">
                            <a:solidFill>
                              <a:srgbClr val="000000"/>
                            </a:solidFill>
                            <a:prstDash val="solid"/>
                          </a:ln>
                          <a:effectLst/>
                        </wps:spPr>
                        <wps:txbx>
                          <w:txbxContent>
                            <w:p>
                              <w:pPr>
                                <w:jc w:val="center"/>
                                <w:rPr>
                                  <w:color w:val="000000"/>
                                </w:rPr>
                              </w:pPr>
                              <w:r>
                                <w:rPr>
                                  <w:rFonts w:hint="eastAsia"/>
                                  <w:color w:val="000000"/>
                                </w:rPr>
                                <w:t>固粪堆存区</w:t>
                              </w:r>
                            </w:p>
                          </w:txbxContent>
                        </wps:txbx>
                        <wps:bodyPr rot="0" spcFirstLastPara="0" vertOverflow="overflow" horzOverflow="overflow" vert="horz" wrap="square" lIns="0" tIns="0" rIns="0" bIns="0" numCol="1" spcCol="0" rtlCol="0" fromWordArt="0" anchor="ctr" anchorCtr="0" forceAA="0" compatLnSpc="1">
                          <a:spAutoFit/>
                        </wps:bodyPr>
                      </wps:wsp>
                      <wps:wsp>
                        <wps:cNvPr id="325" name="直接箭头连接符 46"/>
                        <wps:cNvCnPr/>
                        <wps:spPr>
                          <a:xfrm flipH="1">
                            <a:off x="3505835" y="1906905"/>
                            <a:ext cx="2540" cy="496570"/>
                          </a:xfrm>
                          <a:prstGeom prst="straightConnector1">
                            <a:avLst/>
                          </a:prstGeom>
                          <a:noFill/>
                          <a:ln w="9525" cap="flat" cmpd="sng" algn="ctr">
                            <a:solidFill>
                              <a:srgbClr val="000000"/>
                            </a:solidFill>
                            <a:prstDash val="sysDash"/>
                            <a:tailEnd type="triangle"/>
                          </a:ln>
                          <a:effectLst/>
                        </wps:spPr>
                        <wps:bodyPr/>
                      </wps:wsp>
                      <wps:wsp>
                        <wps:cNvPr id="326" name="矩形 47"/>
                        <wps:cNvSpPr/>
                        <wps:spPr>
                          <a:xfrm>
                            <a:off x="4256405" y="1960245"/>
                            <a:ext cx="429260" cy="361315"/>
                          </a:xfrm>
                          <a:prstGeom prst="rect">
                            <a:avLst/>
                          </a:prstGeom>
                          <a:solidFill>
                            <a:srgbClr val="FFFFFF"/>
                          </a:solidFill>
                          <a:ln w="25400" cap="flat" cmpd="sng" algn="ctr">
                            <a:noFill/>
                            <a:prstDash val="solid"/>
                          </a:ln>
                          <a:effectLst/>
                        </wps:spPr>
                        <wps:txbx>
                          <w:txbxContent>
                            <w:p>
                              <w:pPr>
                                <w:jc w:val="center"/>
                                <w:rPr>
                                  <w:color w:val="000000"/>
                                </w:rPr>
                              </w:pPr>
                              <w:r>
                                <w:rPr>
                                  <w:rFonts w:hint="eastAsia"/>
                                  <w:color w:val="000000"/>
                                </w:rPr>
                                <w:t>沼渣S2</w:t>
                              </w:r>
                            </w:p>
                          </w:txbxContent>
                        </wps:txbx>
                        <wps:bodyPr rot="0" spcFirstLastPara="0" vertOverflow="overflow" horzOverflow="overflow" vert="horz" wrap="square" lIns="0" tIns="0" rIns="0" bIns="0" numCol="1" spcCol="0" rtlCol="0" fromWordArt="0" anchor="ctr" anchorCtr="0" forceAA="0" compatLnSpc="1">
                          <a:spAutoFit/>
                        </wps:bodyPr>
                      </wps:wsp>
                      <wps:wsp>
                        <wps:cNvPr id="327" name="直接箭头连接符 48"/>
                        <wps:cNvCnPr/>
                        <wps:spPr>
                          <a:xfrm flipV="1">
                            <a:off x="3746500" y="2152650"/>
                            <a:ext cx="0" cy="228600"/>
                          </a:xfrm>
                          <a:prstGeom prst="straightConnector1">
                            <a:avLst/>
                          </a:prstGeom>
                          <a:noFill/>
                          <a:ln w="9525" cap="flat" cmpd="sng" algn="ctr">
                            <a:solidFill>
                              <a:srgbClr val="000000"/>
                            </a:solidFill>
                            <a:prstDash val="sysDash"/>
                            <a:tailEnd type="triangle"/>
                          </a:ln>
                          <a:effectLst/>
                        </wps:spPr>
                        <wps:bodyPr/>
                      </wps:wsp>
                      <wps:wsp>
                        <wps:cNvPr id="49" name="矩形 49"/>
                        <wps:cNvSpPr/>
                        <wps:spPr>
                          <a:xfrm>
                            <a:off x="3623310" y="1918335"/>
                            <a:ext cx="554355" cy="198120"/>
                          </a:xfrm>
                          <a:prstGeom prst="rect">
                            <a:avLst/>
                          </a:prstGeom>
                          <a:solidFill>
                            <a:srgbClr val="FFFFFF"/>
                          </a:solidFill>
                          <a:ln w="25400" cap="flat" cmpd="sng" algn="ctr">
                            <a:noFill/>
                            <a:prstDash val="solid"/>
                          </a:ln>
                          <a:effectLst/>
                        </wps:spPr>
                        <wps:txbx>
                          <w:txbxContent>
                            <w:p>
                              <w:pPr>
                                <w:jc w:val="center"/>
                                <w:rPr>
                                  <w:color w:val="000000"/>
                                </w:rPr>
                              </w:pPr>
                              <w:r>
                                <w:rPr>
                                  <w:rFonts w:hint="eastAsia"/>
                                  <w:color w:val="000000"/>
                                </w:rPr>
                                <w:t>恶臭G3</w:t>
                              </w:r>
                            </w:p>
                          </w:txbxContent>
                        </wps:txbx>
                        <wps:bodyPr rot="0" spcFirstLastPara="0" vertOverflow="overflow" horzOverflow="overflow" vert="horz" wrap="square" lIns="0" tIns="0" rIns="0" bIns="0" numCol="1" spcCol="0" rtlCol="0" fromWordArt="0" anchor="ctr" anchorCtr="0" forceAA="0" compatLnSpc="1">
                          <a:spAutoFit/>
                        </wps:bodyPr>
                      </wps:wsp>
                      <wps:wsp>
                        <wps:cNvPr id="50" name="直接箭头连接符 50"/>
                        <wps:cNvCnPr/>
                        <wps:spPr>
                          <a:xfrm>
                            <a:off x="3919220" y="2614295"/>
                            <a:ext cx="0" cy="194945"/>
                          </a:xfrm>
                          <a:prstGeom prst="straightConnector1">
                            <a:avLst/>
                          </a:prstGeom>
                          <a:noFill/>
                          <a:ln w="9525" cap="flat" cmpd="sng" algn="ctr">
                            <a:solidFill>
                              <a:srgbClr val="000000"/>
                            </a:solidFill>
                            <a:prstDash val="sysDash"/>
                            <a:tailEnd type="triangle"/>
                          </a:ln>
                          <a:effectLst/>
                        </wps:spPr>
                        <wps:bodyPr/>
                      </wps:wsp>
                      <wps:wsp>
                        <wps:cNvPr id="51" name="矩形 51"/>
                        <wps:cNvSpPr/>
                        <wps:spPr>
                          <a:xfrm>
                            <a:off x="3609340" y="2816860"/>
                            <a:ext cx="574040" cy="371475"/>
                          </a:xfrm>
                          <a:prstGeom prst="rect">
                            <a:avLst/>
                          </a:prstGeom>
                          <a:solidFill>
                            <a:srgbClr val="FFFFFF"/>
                          </a:solidFill>
                          <a:ln w="25400" cap="flat" cmpd="sng" algn="ctr">
                            <a:noFill/>
                            <a:prstDash val="solid"/>
                          </a:ln>
                          <a:effectLst/>
                        </wps:spPr>
                        <wps:txbx>
                          <w:txbxContent>
                            <w:p>
                              <w:pPr>
                                <w:jc w:val="center"/>
                                <w:rPr>
                                  <w:color w:val="000000"/>
                                </w:rPr>
                              </w:pPr>
                              <w:r>
                                <w:rPr>
                                  <w:rFonts w:hint="eastAsia"/>
                                  <w:color w:val="000000"/>
                                </w:rPr>
                                <w:t>外售制有机肥</w:t>
                              </w:r>
                            </w:p>
                          </w:txbxContent>
                        </wps:txbx>
                        <wps:bodyPr rot="0" spcFirstLastPara="0" vertOverflow="overflow" horzOverflow="overflow" vert="horz" wrap="square" lIns="0" tIns="0" rIns="0" bIns="0" numCol="1" spcCol="0" rtlCol="0" fromWordArt="0" anchor="ctr" anchorCtr="0" forceAA="0" compatLnSpc="1">
                          <a:spAutoFit/>
                        </wps:bodyPr>
                      </wps:wsp>
                      <wps:wsp>
                        <wps:cNvPr id="53" name="矩形 53"/>
                        <wps:cNvSpPr/>
                        <wps:spPr>
                          <a:xfrm>
                            <a:off x="4057015" y="1225550"/>
                            <a:ext cx="526415" cy="198120"/>
                          </a:xfrm>
                          <a:prstGeom prst="rect">
                            <a:avLst/>
                          </a:prstGeom>
                          <a:solidFill>
                            <a:srgbClr val="FFFFFF"/>
                          </a:solidFill>
                          <a:ln w="25400" cap="flat" cmpd="sng" algn="ctr">
                            <a:solidFill>
                              <a:srgbClr val="000000"/>
                            </a:solidFill>
                            <a:prstDash val="solid"/>
                          </a:ln>
                          <a:effectLst/>
                        </wps:spPr>
                        <wps:txbx>
                          <w:txbxContent>
                            <w:p>
                              <w:pPr>
                                <w:jc w:val="center"/>
                                <w:rPr>
                                  <w:color w:val="000000"/>
                                </w:rPr>
                              </w:pPr>
                              <w:r>
                                <w:rPr>
                                  <w:rFonts w:hint="eastAsia"/>
                                  <w:color w:val="000000"/>
                                </w:rPr>
                                <w:t>沼气</w:t>
                              </w:r>
                            </w:p>
                          </w:txbxContent>
                        </wps:txbx>
                        <wps:bodyPr rot="0" spcFirstLastPara="0" vertOverflow="overflow" horzOverflow="overflow" vert="horz" wrap="square" lIns="0" tIns="0" rIns="0" bIns="0" numCol="1" spcCol="0" rtlCol="0" fromWordArt="0" anchor="ctr" anchorCtr="0" forceAA="0" compatLnSpc="1">
                          <a:spAutoFit/>
                        </wps:bodyPr>
                      </wps:wsp>
                      <wps:wsp>
                        <wps:cNvPr id="56" name="矩形 56"/>
                        <wps:cNvSpPr/>
                        <wps:spPr>
                          <a:xfrm>
                            <a:off x="3994150" y="685165"/>
                            <a:ext cx="595630" cy="198120"/>
                          </a:xfrm>
                          <a:prstGeom prst="rect">
                            <a:avLst/>
                          </a:prstGeom>
                          <a:solidFill>
                            <a:srgbClr val="FFFFFF"/>
                          </a:solidFill>
                          <a:ln w="25400" cap="flat" cmpd="sng" algn="ctr">
                            <a:solidFill>
                              <a:srgbClr val="000000"/>
                            </a:solidFill>
                            <a:prstDash val="solid"/>
                          </a:ln>
                          <a:effectLst/>
                        </wps:spPr>
                        <wps:txbx>
                          <w:txbxContent>
                            <w:p>
                              <w:pPr>
                                <w:jc w:val="center"/>
                                <w:rPr>
                                  <w:color w:val="000000"/>
                                </w:rPr>
                              </w:pPr>
                              <w:r>
                                <w:rPr>
                                  <w:rFonts w:hint="eastAsia"/>
                                  <w:color w:val="000000"/>
                                </w:rPr>
                                <w:t>净化</w:t>
                              </w:r>
                            </w:p>
                          </w:txbxContent>
                        </wps:txbx>
                        <wps:bodyPr rot="0" spcFirstLastPara="0" vertOverflow="overflow" horzOverflow="overflow" vert="horz" wrap="square" lIns="0" tIns="0" rIns="0" bIns="0" numCol="1" spcCol="0" rtlCol="0" fromWordArt="0" anchor="ctr" anchorCtr="0" forceAA="0" compatLnSpc="1">
                          <a:spAutoFit/>
                        </wps:bodyPr>
                      </wps:wsp>
                      <wps:wsp>
                        <wps:cNvPr id="57" name="直接箭头连接符 57"/>
                        <wps:cNvCnPr/>
                        <wps:spPr>
                          <a:xfrm flipV="1">
                            <a:off x="4286885" y="1424305"/>
                            <a:ext cx="0" cy="228600"/>
                          </a:xfrm>
                          <a:prstGeom prst="straightConnector1">
                            <a:avLst/>
                          </a:prstGeom>
                          <a:noFill/>
                          <a:ln w="9525" cap="flat" cmpd="sng" algn="ctr">
                            <a:solidFill>
                              <a:srgbClr val="000000"/>
                            </a:solidFill>
                            <a:prstDash val="solid"/>
                            <a:tailEnd type="triangle"/>
                          </a:ln>
                          <a:effectLst/>
                        </wps:spPr>
                        <wps:bodyPr/>
                      </wps:wsp>
                      <wps:wsp>
                        <wps:cNvPr id="58" name="直接箭头连接符 58"/>
                        <wps:cNvCnPr/>
                        <wps:spPr>
                          <a:xfrm flipH="1" flipV="1">
                            <a:off x="4288155" y="885190"/>
                            <a:ext cx="635" cy="340360"/>
                          </a:xfrm>
                          <a:prstGeom prst="straightConnector1">
                            <a:avLst/>
                          </a:prstGeom>
                          <a:noFill/>
                          <a:ln w="9525" cap="flat" cmpd="sng" algn="ctr">
                            <a:solidFill>
                              <a:srgbClr val="000000"/>
                            </a:solidFill>
                            <a:prstDash val="solid"/>
                            <a:tailEnd type="triangle"/>
                          </a:ln>
                          <a:effectLst/>
                        </wps:spPr>
                        <wps:bodyPr/>
                      </wps:wsp>
                      <wps:wsp>
                        <wps:cNvPr id="59" name="直接箭头连接符 59"/>
                        <wps:cNvCnPr/>
                        <wps:spPr>
                          <a:xfrm flipH="1" flipV="1">
                            <a:off x="2701925" y="781685"/>
                            <a:ext cx="1310005" cy="635"/>
                          </a:xfrm>
                          <a:prstGeom prst="straightConnector1">
                            <a:avLst/>
                          </a:prstGeom>
                          <a:noFill/>
                          <a:ln w="9525" cap="flat" cmpd="sng" algn="ctr">
                            <a:solidFill>
                              <a:srgbClr val="000000"/>
                            </a:solidFill>
                            <a:prstDash val="solid"/>
                            <a:tailEnd type="triangle"/>
                          </a:ln>
                          <a:effectLst/>
                        </wps:spPr>
                        <wps:bodyPr/>
                      </wps:wsp>
                      <wps:wsp>
                        <wps:cNvPr id="60" name="矩形 60"/>
                        <wps:cNvSpPr/>
                        <wps:spPr>
                          <a:xfrm>
                            <a:off x="2980055" y="541020"/>
                            <a:ext cx="664210" cy="198120"/>
                          </a:xfrm>
                          <a:prstGeom prst="rect">
                            <a:avLst/>
                          </a:prstGeom>
                          <a:solidFill>
                            <a:srgbClr val="FFFFFF"/>
                          </a:solidFill>
                          <a:ln w="25400" cap="flat" cmpd="sng" algn="ctr">
                            <a:noFill/>
                            <a:prstDash val="solid"/>
                          </a:ln>
                          <a:effectLst/>
                        </wps:spPr>
                        <wps:txbx>
                          <w:txbxContent>
                            <w:p>
                              <w:pPr>
                                <w:jc w:val="center"/>
                                <w:rPr>
                                  <w:color w:val="000000"/>
                                </w:rPr>
                              </w:pPr>
                              <w:r>
                                <w:rPr>
                                  <w:rFonts w:hint="eastAsia"/>
                                  <w:color w:val="000000"/>
                                </w:rPr>
                                <w:t>食堂燃料</w:t>
                              </w:r>
                            </w:p>
                          </w:txbxContent>
                        </wps:txbx>
                        <wps:bodyPr rot="0" spcFirstLastPara="0" vertOverflow="overflow" horzOverflow="overflow" vert="horz" wrap="square" lIns="0" tIns="0" rIns="0" bIns="0" numCol="1" spcCol="0" rtlCol="0" fromWordArt="0" anchor="ctr" anchorCtr="0" forceAA="0" compatLnSpc="1">
                          <a:spAutoFit/>
                        </wps:bodyPr>
                      </wps:wsp>
                      <wps:wsp>
                        <wps:cNvPr id="61" name="直接箭头连接符 61"/>
                        <wps:cNvCnPr/>
                        <wps:spPr>
                          <a:xfrm>
                            <a:off x="4586605" y="777240"/>
                            <a:ext cx="345440" cy="0"/>
                          </a:xfrm>
                          <a:prstGeom prst="straightConnector1">
                            <a:avLst/>
                          </a:prstGeom>
                          <a:noFill/>
                          <a:ln w="9525" cap="flat" cmpd="sng" algn="ctr">
                            <a:solidFill>
                              <a:srgbClr val="000000"/>
                            </a:solidFill>
                            <a:prstDash val="solid"/>
                            <a:tailEnd type="triangle"/>
                          </a:ln>
                          <a:effectLst/>
                        </wps:spPr>
                        <wps:bodyPr/>
                      </wps:wsp>
                      <wps:wsp>
                        <wps:cNvPr id="62" name="矩形 62"/>
                        <wps:cNvSpPr/>
                        <wps:spPr>
                          <a:xfrm>
                            <a:off x="4942840" y="664845"/>
                            <a:ext cx="595630" cy="198120"/>
                          </a:xfrm>
                          <a:prstGeom prst="rect">
                            <a:avLst/>
                          </a:prstGeom>
                          <a:solidFill>
                            <a:srgbClr val="FFFFFF"/>
                          </a:solidFill>
                          <a:ln w="25400" cap="flat" cmpd="sng" algn="ctr">
                            <a:solidFill>
                              <a:srgbClr val="000000"/>
                            </a:solidFill>
                            <a:prstDash val="solid"/>
                          </a:ln>
                          <a:effectLst/>
                        </wps:spPr>
                        <wps:txbx>
                          <w:txbxContent>
                            <w:p>
                              <w:pPr>
                                <w:jc w:val="center"/>
                                <w:rPr>
                                  <w:color w:val="000000"/>
                                </w:rPr>
                              </w:pPr>
                              <w:r>
                                <w:rPr>
                                  <w:rFonts w:hint="eastAsia"/>
                                  <w:color w:val="000000"/>
                                </w:rPr>
                                <w:t>火炬燃烧</w:t>
                              </w:r>
                            </w:p>
                          </w:txbxContent>
                        </wps:txbx>
                        <wps:bodyPr rot="0" spcFirstLastPara="0" vertOverflow="overflow" horzOverflow="overflow" vert="horz" wrap="square" lIns="0" tIns="0" rIns="0" bIns="0" numCol="1" spcCol="0" rtlCol="0" fromWordArt="0" anchor="ctr" anchorCtr="0" forceAA="0" compatLnSpc="1">
                          <a:spAutoFit/>
                        </wps:bodyPr>
                      </wps:wsp>
                      <wps:wsp>
                        <wps:cNvPr id="63" name="直接箭头连接符 63"/>
                        <wps:cNvCnPr/>
                        <wps:spPr>
                          <a:xfrm flipV="1">
                            <a:off x="5207635" y="434975"/>
                            <a:ext cx="0" cy="228600"/>
                          </a:xfrm>
                          <a:prstGeom prst="straightConnector1">
                            <a:avLst/>
                          </a:prstGeom>
                          <a:noFill/>
                          <a:ln w="9525" cap="flat" cmpd="sng" algn="ctr">
                            <a:solidFill>
                              <a:srgbClr val="000000"/>
                            </a:solidFill>
                            <a:prstDash val="sysDash"/>
                            <a:tailEnd type="triangle"/>
                          </a:ln>
                          <a:effectLst/>
                        </wps:spPr>
                        <wps:bodyPr/>
                      </wps:wsp>
                      <wps:wsp>
                        <wps:cNvPr id="64" name="矩形 64"/>
                        <wps:cNvSpPr/>
                        <wps:spPr>
                          <a:xfrm>
                            <a:off x="4890135" y="165735"/>
                            <a:ext cx="554355" cy="198120"/>
                          </a:xfrm>
                          <a:prstGeom prst="rect">
                            <a:avLst/>
                          </a:prstGeom>
                          <a:solidFill>
                            <a:srgbClr val="FFFFFF"/>
                          </a:solidFill>
                          <a:ln w="25400" cap="flat" cmpd="sng" algn="ctr">
                            <a:noFill/>
                            <a:prstDash val="solid"/>
                          </a:ln>
                          <a:effectLst/>
                        </wps:spPr>
                        <wps:txbx>
                          <w:txbxContent>
                            <w:p>
                              <w:pPr>
                                <w:jc w:val="center"/>
                                <w:rPr>
                                  <w:color w:val="000000"/>
                                </w:rPr>
                              </w:pPr>
                              <w:r>
                                <w:rPr>
                                  <w:rFonts w:hint="eastAsia"/>
                                  <w:color w:val="000000"/>
                                </w:rPr>
                                <w:t>废气G5</w:t>
                              </w:r>
                            </w:p>
                          </w:txbxContent>
                        </wps:txbx>
                        <wps:bodyPr rot="0" spcFirstLastPara="0" vertOverflow="overflow" horzOverflow="overflow" vert="horz" wrap="square" lIns="0" tIns="0" rIns="0" bIns="0" numCol="1" spcCol="0" rtlCol="0" fromWordArt="0" anchor="ctr" anchorCtr="0" forceAA="0" compatLnSpc="1">
                          <a:spAutoFit/>
                        </wps:bodyPr>
                      </wps:wsp>
                      <wps:wsp>
                        <wps:cNvPr id="65" name="直接箭头连接符 65"/>
                        <wps:cNvCnPr/>
                        <wps:spPr>
                          <a:xfrm flipV="1">
                            <a:off x="5200650" y="1452880"/>
                            <a:ext cx="0" cy="228600"/>
                          </a:xfrm>
                          <a:prstGeom prst="straightConnector1">
                            <a:avLst/>
                          </a:prstGeom>
                          <a:noFill/>
                          <a:ln w="9525" cap="flat" cmpd="sng" algn="ctr">
                            <a:solidFill>
                              <a:srgbClr val="000000"/>
                            </a:solidFill>
                            <a:prstDash val="sysDash"/>
                            <a:tailEnd type="triangle"/>
                          </a:ln>
                          <a:effectLst/>
                        </wps:spPr>
                        <wps:bodyPr/>
                      </wps:wsp>
                      <wps:wsp>
                        <wps:cNvPr id="66" name="矩形 66"/>
                        <wps:cNvSpPr/>
                        <wps:spPr>
                          <a:xfrm>
                            <a:off x="4980940" y="1246505"/>
                            <a:ext cx="554355" cy="198120"/>
                          </a:xfrm>
                          <a:prstGeom prst="rect">
                            <a:avLst/>
                          </a:prstGeom>
                          <a:solidFill>
                            <a:srgbClr val="FFFFFF"/>
                          </a:solidFill>
                          <a:ln w="25400" cap="flat" cmpd="sng" algn="ctr">
                            <a:noFill/>
                            <a:prstDash val="solid"/>
                          </a:ln>
                          <a:effectLst/>
                        </wps:spPr>
                        <wps:txbx>
                          <w:txbxContent>
                            <w:p>
                              <w:pPr>
                                <w:jc w:val="center"/>
                                <w:rPr>
                                  <w:color w:val="000000"/>
                                </w:rPr>
                              </w:pPr>
                              <w:r>
                                <w:rPr>
                                  <w:rFonts w:hint="eastAsia"/>
                                  <w:color w:val="000000"/>
                                </w:rPr>
                                <w:t>恶臭G2</w:t>
                              </w:r>
                            </w:p>
                          </w:txbxContent>
                        </wps:txbx>
                        <wps:bodyPr rot="0" spcFirstLastPara="0" vertOverflow="overflow" horzOverflow="overflow" vert="horz" wrap="square" lIns="0" tIns="0" rIns="0" bIns="0" numCol="1" spcCol="0" rtlCol="0" fromWordArt="0" anchor="ctr" anchorCtr="0" forceAA="0" compatLnSpc="1">
                          <a:spAutoFit/>
                        </wps:bodyPr>
                      </wps:wsp>
                      <wps:wsp>
                        <wps:cNvPr id="67" name="直接箭头连接符 67"/>
                        <wps:cNvCnPr/>
                        <wps:spPr>
                          <a:xfrm flipH="1">
                            <a:off x="5334000" y="1878965"/>
                            <a:ext cx="2540" cy="496570"/>
                          </a:xfrm>
                          <a:prstGeom prst="straightConnector1">
                            <a:avLst/>
                          </a:prstGeom>
                          <a:noFill/>
                          <a:ln w="9525" cap="flat" cmpd="sng" algn="ctr">
                            <a:solidFill>
                              <a:srgbClr val="000000"/>
                            </a:solidFill>
                            <a:prstDash val="sysDash"/>
                            <a:tailEnd type="triangle"/>
                          </a:ln>
                          <a:effectLst/>
                        </wps:spPr>
                        <wps:bodyPr/>
                      </wps:wsp>
                      <wps:wsp>
                        <wps:cNvPr id="328" name="矩形 68"/>
                        <wps:cNvSpPr/>
                        <wps:spPr>
                          <a:xfrm>
                            <a:off x="5344160" y="1967230"/>
                            <a:ext cx="429260" cy="198120"/>
                          </a:xfrm>
                          <a:prstGeom prst="rect">
                            <a:avLst/>
                          </a:prstGeom>
                          <a:solidFill>
                            <a:srgbClr val="FFFFFF"/>
                          </a:solidFill>
                          <a:ln w="25400" cap="flat" cmpd="sng" algn="ctr">
                            <a:noFill/>
                            <a:prstDash val="solid"/>
                          </a:ln>
                          <a:effectLst/>
                        </wps:spPr>
                        <wps:txbx>
                          <w:txbxContent>
                            <w:p>
                              <w:pPr>
                                <w:jc w:val="center"/>
                                <w:rPr>
                                  <w:color w:val="000000"/>
                                </w:rPr>
                              </w:pPr>
                              <w:r>
                                <w:rPr>
                                  <w:rFonts w:hint="eastAsia"/>
                                  <w:color w:val="000000"/>
                                </w:rPr>
                                <w:t>沼液</w:t>
                              </w:r>
                            </w:p>
                          </w:txbxContent>
                        </wps:txbx>
                        <wps:bodyPr rot="0" spcFirstLastPara="0" vertOverflow="overflow" horzOverflow="overflow" vert="horz" wrap="square" lIns="0" tIns="0" rIns="0" bIns="0" numCol="1" spcCol="0" rtlCol="0" fromWordArt="0" anchor="ctr" anchorCtr="0" forceAA="0" compatLnSpc="1">
                          <a:spAutoFit/>
                        </wps:bodyPr>
                      </wps:wsp>
                      <wps:wsp>
                        <wps:cNvPr id="329" name="矩形 69"/>
                        <wps:cNvSpPr/>
                        <wps:spPr>
                          <a:xfrm>
                            <a:off x="5098415" y="2383155"/>
                            <a:ext cx="574040" cy="198120"/>
                          </a:xfrm>
                          <a:prstGeom prst="rect">
                            <a:avLst/>
                          </a:prstGeom>
                          <a:solidFill>
                            <a:srgbClr val="FFFFFF"/>
                          </a:solidFill>
                          <a:ln w="25400" cap="flat" cmpd="sng" algn="ctr">
                            <a:noFill/>
                            <a:prstDash val="solid"/>
                          </a:ln>
                          <a:effectLst/>
                        </wps:spPr>
                        <wps:txbx>
                          <w:txbxContent>
                            <w:p>
                              <w:pPr>
                                <w:jc w:val="center"/>
                                <w:rPr>
                                  <w:color w:val="000000"/>
                                </w:rPr>
                              </w:pPr>
                              <w:r>
                                <w:rPr>
                                  <w:rFonts w:hint="eastAsia"/>
                                  <w:color w:val="000000"/>
                                </w:rPr>
                                <w:t>还田利用</w:t>
                              </w:r>
                            </w:p>
                          </w:txbxContent>
                        </wps:txbx>
                        <wps:bodyPr rot="0" spcFirstLastPara="0" vertOverflow="overflow" horzOverflow="overflow" vert="horz" wrap="square" lIns="0" tIns="0" rIns="0" bIns="0" numCol="1" spcCol="0" rtlCol="0" fromWordArt="0" anchor="ctr" anchorCtr="0" forceAA="0" compatLnSpc="1">
                          <a:spAutoFit/>
                        </wps:bodyPr>
                      </wps:wsp>
                      <wps:wsp>
                        <wps:cNvPr id="330" name="直接箭头连接符 41"/>
                        <wps:cNvCnPr/>
                        <wps:spPr>
                          <a:xfrm>
                            <a:off x="2595880" y="894080"/>
                            <a:ext cx="0" cy="194945"/>
                          </a:xfrm>
                          <a:prstGeom prst="straightConnector1">
                            <a:avLst/>
                          </a:prstGeom>
                          <a:noFill/>
                          <a:ln w="9525" cap="flat" cmpd="sng" algn="ctr">
                            <a:solidFill>
                              <a:srgbClr val="000000"/>
                            </a:solidFill>
                            <a:prstDash val="sysDash"/>
                            <a:tailEnd type="triangle"/>
                          </a:ln>
                          <a:effectLst/>
                        </wps:spPr>
                        <wps:bodyPr/>
                      </wps:wsp>
                      <wps:wsp>
                        <wps:cNvPr id="331" name="矩形 42"/>
                        <wps:cNvSpPr/>
                        <wps:spPr>
                          <a:xfrm>
                            <a:off x="2425065" y="1154430"/>
                            <a:ext cx="795655" cy="198120"/>
                          </a:xfrm>
                          <a:prstGeom prst="rect">
                            <a:avLst/>
                          </a:prstGeom>
                          <a:solidFill>
                            <a:srgbClr val="FFFFFF"/>
                          </a:solidFill>
                          <a:ln w="25400" cap="flat" cmpd="sng" algn="ctr">
                            <a:noFill/>
                            <a:prstDash val="solid"/>
                          </a:ln>
                          <a:effectLst/>
                        </wps:spPr>
                        <wps:txbx>
                          <w:txbxContent>
                            <w:p>
                              <w:pPr>
                                <w:jc w:val="center"/>
                                <w:rPr>
                                  <w:color w:val="000000"/>
                                </w:rPr>
                              </w:pPr>
                              <w:r>
                                <w:rPr>
                                  <w:rFonts w:hint="eastAsia"/>
                                  <w:color w:val="000000"/>
                                </w:rPr>
                                <w:t>废脱硫剂S6</w:t>
                              </w:r>
                            </w:p>
                          </w:txbxContent>
                        </wps:txbx>
                        <wps:bodyPr rot="0" spcFirstLastPara="0" vertOverflow="overflow" horzOverflow="overflow" vert="horz" wrap="square" lIns="0" tIns="0" rIns="0" bIns="0" numCol="1" spcCol="0" rtlCol="0" fromWordArt="0" anchor="ctr" anchorCtr="0" forceAA="0" compatLnSpc="1">
                          <a:spAutoFit/>
                        </wps:bodyPr>
                      </wps:wsp>
                    </wpc:wpc>
                  </a:graphicData>
                </a:graphic>
              </wp:inline>
            </w:drawing>
          </mc:Choice>
          <mc:Fallback>
            <w:pict>
              <v:group id="画布 7" o:spid="_x0000_s1026" o:spt="203" style="height:272.5pt;width:455.1pt;" coordsize="5779770,3460750" editas="canvas" o:gfxdata="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">
                <o:lock v:ext="edit" aspectratio="f"/>
                <v:shape id="画布 7" o:spid="_x0000_s1026" style="position:absolute;left:0;top:0;height:3460750;width:5779770;" filled="f" stroked="f" coordsize="21600,21600" o:gfxdata="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">
                  <v:fill on="f" focussize="0,0"/>
                  <v:stroke on="f"/>
                  <v:imagedata o:title=""/>
                  <o:lock v:ext="edit" aspectratio="f"/>
                </v:shape>
                <v:rect id="矩形 8" o:spid="_x0000_s1026" o:spt="1" style="position:absolute;left:347345;top:1662430;height:544195;width:852170;v-text-anchor:middle;" fillcolor="#FFFFFF" filled="t" stroked="t" coordsize="21600,21600" o:gfxdata="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D/NCJ1QAAAAUBAAAPAAAAAAAAAAEAIAAAACIAAABkcnMvZG93bnJl&#10;di54bWxQSwECFAAUAAAACACHTuJAmOSfzHICAADyBAAADgAAAAAAAAABACAAAAAkAQAAZHJzL2Uy&#10;b0RvYy54bWxQSwUGAAAAAAYABgBZAQAACAYAAAAA&#10;">
                  <v:fill on="t" focussize="0,0"/>
                  <v:stroke weight="2pt" color="#000000" joinstyle="round"/>
                  <v:imagedata o:title=""/>
                  <o:lock v:ext="edit" aspectratio="f"/>
                  <v:textbox inset="0mm,0mm,0mm,0mm" style="mso-fit-shape-to-text:t;">
                    <w:txbxContent>
                      <w:p>
                        <w:pPr>
                          <w:jc w:val="center"/>
                          <w:rPr>
                            <w:color w:val="000000"/>
                          </w:rPr>
                        </w:pPr>
                        <w:r>
                          <w:rPr>
                            <w:rFonts w:hint="eastAsia"/>
                            <w:color w:val="000000"/>
                          </w:rPr>
                          <w:t>育肥舍（批次猪同进同出，117天）</w:t>
                        </w:r>
                      </w:p>
                    </w:txbxContent>
                  </v:textbox>
                </v:rect>
                <v:rect id="_x0000_s1026" o:spid="_x0000_s1026" o:spt="1" style="position:absolute;left:351790;top:906780;height:198120;width:852170;v-text-anchor:middle;" fillcolor="#FFFFFF" filled="t" stroked="t" coordsize="21600,21600" o:gfxdata="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MP80InVAAAABQEAAA8AAAAAAAAAAQAgAAAAIgAAAGRycy9kb3ducmV2&#10;LnhtbFBLAQIUABQAAAAIAIdO4kDWZq7LcQIAAO8EAAAOAAAAAAAAAAEAIAAAACQBAABkcnMvZTJv&#10;RG9jLnhtbFBLBQYAAAAABgAGAFkBAAAHBgAAAAA=&#10;">
                  <v:fill on="t" focussize="0,0"/>
                  <v:stroke weight="2pt" color="#000000" joinstyle="round"/>
                  <v:imagedata o:title=""/>
                  <o:lock v:ext="edit" aspectratio="f"/>
                  <v:textbox inset="0mm,0mm,0mm,0mm" style="mso-fit-shape-to-text:t;">
                    <w:txbxContent>
                      <w:p>
                        <w:pPr>
                          <w:jc w:val="center"/>
                          <w:rPr>
                            <w:color w:val="000000"/>
                          </w:rPr>
                        </w:pPr>
                        <w:r>
                          <w:rPr>
                            <w:rFonts w:hint="eastAsia"/>
                            <w:color w:val="000000"/>
                          </w:rPr>
                          <w:t>外购仔猪</w:t>
                        </w:r>
                      </w:p>
                    </w:txbxContent>
                  </v:textbox>
                </v:rect>
                <v:roundrect id="_x0000_s1026" o:spid="_x0000_s1026" o:spt="2" style="position:absolute;left:72390;top:814070;height:1642745;width:1212215;v-text-anchor:bottom;" filled="f" stroked="t" coordsize="21600,21600" arcsize="0.166666666666667" o:gfxdata="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Yctin1gAAAAUBAAAPAAAAAAAAAAEAIAAA&#10;ACIAAABkcnMvZG93bnJldi54bWxQSwECFAAUAAAACACHTuJAR3UY9oACAADVBAAADgAAAAAAAAAB&#10;ACAAAAAlAQAAZHJzL2Uyb0RvYy54bWxQSwUGAAAAAAYABgBZAQAAFwYAAAAA&#10;">
                  <v:fill on="f" focussize="0,0"/>
                  <v:stroke weight="0.25pt" color="#000000" joinstyle="round" dashstyle="3 1"/>
                  <v:imagedata o:title=""/>
                  <o:lock v:ext="edit" aspectratio="f"/>
                  <v:textbox inset="0mm,0mm,0mm,0mm" style="layout-flow:vertical-ideographic;">
                    <w:txbxContent>
                      <w:p>
                        <w:pPr>
                          <w:rPr>
                            <w:color w:val="000000"/>
                          </w:rPr>
                        </w:pPr>
                        <w:r>
                          <w:rPr>
                            <w:rFonts w:hint="eastAsia"/>
                            <w:color w:val="000000"/>
                          </w:rPr>
                          <w:t>生猪养殖过程</w:t>
                        </w:r>
                      </w:p>
                    </w:txbxContent>
                  </v:textbox>
                </v:roundrect>
                <v:shape id="_x0000_s1026" o:spid="_x0000_s1026" o:spt="32" type="#_x0000_t32" style="position:absolute;left:773430;top:1117600;flip:x;height:544830;width:4445;" filled="f" stroked="t" coordsize="21600,21600" o:gfxdata="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1c41NtYAAAAFAQAADwAAAAAA&#10;AAABACAAAAAiAAAAZHJzL2Rvd25yZXYueG1sUEsBAhQAFAAAAAgAh07iQIWOOAUVAgAA8QMAAA4A&#10;AAAAAAAAAQAgAAAAJQEAAGRycy9lMm9Eb2MueG1sUEsFBgAAAAAGAAYAWQEAAKwFAAAAAA==&#10;">
                  <v:fill on="f" focussize="0,0"/>
                  <v:stroke color="#000000" joinstyle="round" endarrow="block"/>
                  <v:imagedata o:title=""/>
                  <o:lock v:ext="edit" aspectratio="f"/>
                </v:shape>
                <v:rect id="矩形 13" o:spid="_x0000_s1026" o:spt="1" style="position:absolute;left:1959610;top:1676400;height:198120;width:742315;v-text-anchor:middle;" fillcolor="#FFFFFF" filled="t" stroked="t" coordsize="21600,21600" o:gfxdata="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MP80InVAAAABQEAAA8AAAAAAAAAAQAgAAAAIgAAAGRycy9kb3du&#10;cmV2LnhtbFBLAQIUABQAAAAIAIdO4kDHwSr8dAIAAPQEAAAOAAAAAAAAAAEAIAAAACQBAABkcnMv&#10;ZTJvRG9jLnhtbFBLBQYAAAAABgAGAFkBAAAKBgAAAAA=&#10;">
                  <v:fill on="t" focussize="0,0"/>
                  <v:stroke weight="2pt" color="#000000" joinstyle="round"/>
                  <v:imagedata o:title=""/>
                  <o:lock v:ext="edit" aspectratio="f"/>
                  <v:textbox inset="0mm,0mm,0mm,0mm" style="mso-fit-shape-to-text:t;">
                    <w:txbxContent>
                      <w:p>
                        <w:pPr>
                          <w:jc w:val="center"/>
                          <w:rPr>
                            <w:color w:val="000000"/>
                          </w:rPr>
                        </w:pPr>
                        <w:r>
                          <w:rPr>
                            <w:rFonts w:hint="eastAsia"/>
                            <w:color w:val="000000"/>
                          </w:rPr>
                          <w:t>收集池</w:t>
                        </w:r>
                      </w:p>
                    </w:txbxContent>
                  </v:textbox>
                </v:rect>
                <v:shape id="直接箭头连接符 15" o:spid="_x0000_s1026" o:spt="32" type="#_x0000_t32" style="position:absolute;left:247650;top:621030;flip:y;height:228600;width:0;" filled="f" stroked="t" coordsize="21600,21600" o:gfxdata="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f/bAi1QAAAAUBAAAPAAAAAAAA&#10;AAEAIAAAACIAAABkcnMvZG93bnJldi54bWxQSwECFAAUAAAACACHTuJAjni0shUCAADwAwAADgAA&#10;AAAAAAABACAAAAAkAQAAZHJzL2Uyb0RvYy54bWxQSwUGAAAAAAYABgBZAQAAqwUAAAAA&#10;">
                  <v:fill on="f" focussize="0,0"/>
                  <v:stroke color="#000000" joinstyle="round" dashstyle="3 1" endarrow="block"/>
                  <v:imagedata o:title=""/>
                  <o:lock v:ext="edit" aspectratio="f"/>
                </v:shape>
                <v:rect id="矩形 16" o:spid="_x0000_s1026" o:spt="1" style="position:absolute;left:0;top:401320;height:198120;width:554355;v-text-anchor:middle;" fillcolor="#FFFFFF" filled="t" stroked="f" coordsize="21600,21600" o:gfxdata="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TsPTv1QAAAAUBAAAPAAAAAAAAAAEAIAAAACIAAABkcnMvZG93bnJldi54bWxQSwEC&#10;FAAUAAAACACHTuJAgfziRGkCAADEBAAADgAAAAAAAAABACAAAAAkAQAAZHJzL2Uyb0RvYy54bWxQ&#10;SwUGAAAAAAYABgBZAQAA/wUAAAAA&#10;">
                  <v:fill on="t" focussize="0,0"/>
                  <v:stroke on="f" weight="2pt"/>
                  <v:imagedata o:title=""/>
                  <o:lock v:ext="edit" aspectratio="f"/>
                  <v:textbox inset="0mm,0mm,0mm,0mm" style="mso-fit-shape-to-text:t;">
                    <w:txbxContent>
                      <w:p>
                        <w:pPr>
                          <w:jc w:val="center"/>
                          <w:rPr>
                            <w:color w:val="000000"/>
                          </w:rPr>
                        </w:pPr>
                        <w:r>
                          <w:rPr>
                            <w:rFonts w:hint="eastAsia"/>
                            <w:color w:val="000000"/>
                          </w:rPr>
                          <w:t>恶臭G1</w:t>
                        </w:r>
                      </w:p>
                    </w:txbxContent>
                  </v:textbox>
                </v:rect>
                <v:shape id="直接箭头连接符 17" o:spid="_x0000_s1026" o:spt="32" type="#_x0000_t32" style="position:absolute;left:330835;top:2439035;height:194945;width:0;" filled="f" stroked="t" coordsize="21600,21600" o:gfxdata="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VvkUNQAAAAFAQAADwAAAAAAAAABACAAAAAi&#10;AAAAZHJzL2Rvd25yZXYueG1sUEsBAhQAFAAAAAgAh07iQPOoKJoOAgAA5wMAAA4AAAAAAAAAAQAg&#10;AAAAIwEAAGRycy9lMm9Eb2MueG1sUEsFBgAAAAAGAAYAWQEAAKMFAAAAAA==&#10;">
                  <v:fill on="f" focussize="0,0"/>
                  <v:stroke color="#000000" joinstyle="round" dashstyle="3 1" endarrow="block"/>
                  <v:imagedata o:title=""/>
                  <o:lock v:ext="edit" aspectratio="f"/>
                </v:shape>
                <v:shape id="直接箭头连接符 18" o:spid="_x0000_s1026" o:spt="32" type="#_x0000_t32" style="position:absolute;left:1078865;top:2466975;height:194945;width:0;" filled="f" stroked="t" coordsize="21600,21600" o:gfxdata="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Vb5FDUAAAABQEAAA8AAAAAAAAAAQAg&#10;AAAAIgAAAGRycy9kb3ducmV2LnhtbFBLAQIUABQAAAAIAIdO4kDHMGwfEgIAAOgDAAAOAAAAAAAA&#10;AAEAIAAAACMBAABkcnMvZTJvRG9jLnhtbFBLBQYAAAAABgAGAFkBAACnBQAAAAA=&#10;">
                  <v:fill on="f" focussize="0,0"/>
                  <v:stroke color="#000000" joinstyle="round" dashstyle="3 1" endarrow="block"/>
                  <v:imagedata o:title=""/>
                  <o:lock v:ext="edit" aspectratio="f"/>
                </v:shape>
                <v:rect id="矩形 19" o:spid="_x0000_s1026" o:spt="1" style="position:absolute;left:55245;top:2666365;height:198120;width:727710;v-text-anchor:middle;" fillcolor="#FFFFFF" filled="t" stroked="f" coordsize="21600,21600" o:gfxdata="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k7D079UAAAAFAQAADwAAAAAAAAABACAAAAAiAAAAZHJzL2Rvd25yZXYu&#10;eG1sUEsBAhQAFAAAAAgAh07iQOlxLTxwAgAAyQQAAA4AAAAAAAAAAQAgAAAAJAEAAGRycy9lMm9E&#10;b2MueG1sUEsFBgAAAAAGAAYAWQEAAAYGAAAAAA==&#10;">
                  <v:fill on="t" focussize="0,0"/>
                  <v:stroke on="f" weight="2pt"/>
                  <v:imagedata o:title=""/>
                  <o:lock v:ext="edit" aspectratio="f"/>
                  <v:textbox inset="0mm,0mm,0mm,0mm" style="mso-fit-shape-to-text:t;">
                    <w:txbxContent>
                      <w:p>
                        <w:pPr>
                          <w:jc w:val="center"/>
                          <w:rPr>
                            <w:color w:val="000000"/>
                          </w:rPr>
                        </w:pPr>
                        <w:r>
                          <w:rPr>
                            <w:rFonts w:hint="eastAsia"/>
                            <w:color w:val="000000"/>
                          </w:rPr>
                          <w:t>医疗废物S4</w:t>
                        </w:r>
                      </w:p>
                    </w:txbxContent>
                  </v:textbox>
                </v:rect>
                <v:rect id="矩形 20" o:spid="_x0000_s1026" o:spt="1" style="position:absolute;left:859155;top:2680335;height:198120;width:727710;v-text-anchor:middle;" fillcolor="#FFFFFF" filled="t" stroked="f" coordsize="21600,21600" o:gfxdata="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TsPTv1QAAAAUBAAAPAAAAAAAAAAEAIAAAACIAAABkcnMvZG93bnJldi54&#10;bWxQSwECFAAUAAAACACHTuJAfCRlV28CAADKBAAADgAAAAAAAAABACAAAAAkAQAAZHJzL2Uyb0Rv&#10;Yy54bWxQSwUGAAAAAAYABgBZAQAABQYAAAAA&#10;">
                  <v:fill on="t" focussize="0,0"/>
                  <v:stroke on="f" weight="2pt"/>
                  <v:imagedata o:title=""/>
                  <o:lock v:ext="edit" aspectratio="f"/>
                  <v:textbox inset="0mm,0mm,0mm,0mm" style="mso-fit-shape-to-text:t;">
                    <w:txbxContent>
                      <w:p>
                        <w:pPr>
                          <w:jc w:val="center"/>
                          <w:rPr>
                            <w:color w:val="000000"/>
                          </w:rPr>
                        </w:pPr>
                        <w:r>
                          <w:rPr>
                            <w:rFonts w:hint="eastAsia"/>
                            <w:color w:val="000000"/>
                          </w:rPr>
                          <w:t>病死猪尸S3</w:t>
                        </w:r>
                      </w:p>
                    </w:txbxContent>
                  </v:textbox>
                </v:rect>
                <v:shape id="直接箭头连接符 21" o:spid="_x0000_s1026" o:spt="32" type="#_x0000_t32" style="position:absolute;left:1092835;top:2882265;height:194945;width:0;" filled="f" stroked="t" coordsize="21600,21600" o:gfxdata="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Vb5FDUAAAABQEAAA8AAAAAAAAAAQAg&#10;AAAAIgAAAGRycy9kb3ducmV2LnhtbFBLAQIUABQAAAAIAIdO4kCfFNr6EgIAAOgDAAAOAAAAAAAA&#10;AAEAIAAAACMBAABkcnMvZTJvRG9jLnhtbFBLBQYAAAAABgAGAFkBAACnBQAAAAA=&#10;">
                  <v:fill on="f" focussize="0,0"/>
                  <v:stroke color="#000000" joinstyle="round" dashstyle="3 1" endarrow="block"/>
                  <v:imagedata o:title=""/>
                  <o:lock v:ext="edit" aspectratio="f"/>
                </v:shape>
                <v:rect id="矩形 22" o:spid="_x0000_s1026" o:spt="1" style="position:absolute;left:630555;top:3089275;height:371475;width:1039495;v-text-anchor:middle;" fillcolor="#FFFFFF" filled="t" stroked="f" coordsize="21600,21600" o:gfxdata="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k7D079UAAAAFAQAADwAAAAAAAAABACAAAAAiAAAAZHJzL2Rvd25yZXYu&#10;eG1sUEsBAhQAFAAAAAgAh07iQF820jdwAgAAywQAAA4AAAAAAAAAAQAgAAAAJAEAAGRycy9lMm9E&#10;b2MueG1sUEsFBgAAAAAGAAYAWQEAAAYGAAAAAA==&#10;">
                  <v:fill on="t" focussize="0,0"/>
                  <v:stroke on="f" weight="2pt"/>
                  <v:imagedata o:title=""/>
                  <o:lock v:ext="edit" aspectratio="f"/>
                  <v:textbox inset="0mm,0mm,0mm,0mm" style="mso-fit-shape-to-text:t;">
                    <w:txbxContent>
                      <w:p>
                        <w:pPr>
                          <w:jc w:val="center"/>
                          <w:rPr>
                            <w:color w:val="000000"/>
                          </w:rPr>
                        </w:pPr>
                        <w:r>
                          <w:rPr>
                            <w:rFonts w:hint="eastAsia"/>
                            <w:color w:val="000000"/>
                          </w:rPr>
                          <w:t>委托无害化处理中心处置</w:t>
                        </w:r>
                      </w:p>
                    </w:txbxContent>
                  </v:textbox>
                </v:rect>
                <v:rect id="矩形 23" o:spid="_x0000_s1026" o:spt="1" style="position:absolute;left:2028825;top:678815;height:198120;width:706755;v-text-anchor:middle;" fillcolor="#FFFFFF" filled="t" stroked="t" coordsize="21600,21600" o:gfxdata="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w/zQidUAAAAFAQAADwAAAAAAAAABACAAAAAiAAAAZHJzL2Rv&#10;d25yZXYueG1sUEsBAhQAFAAAAAgAh07iQEAGq2l2AgAA8wQAAA4AAAAAAAAAAQAgAAAAJAEAAGRy&#10;cy9lMm9Eb2MueG1sUEsFBgAAAAAGAAYAWQEAAAwGAAAAAA==&#10;">
                  <v:fill on="t" focussize="0,0"/>
                  <v:stroke weight="2pt" color="#000000" joinstyle="round"/>
                  <v:imagedata o:title=""/>
                  <o:lock v:ext="edit" aspectratio="f"/>
                  <v:textbox inset="0mm,0mm,0mm,0mm" style="mso-fit-shape-to-text:t;">
                    <w:txbxContent>
                      <w:p>
                        <w:pPr>
                          <w:jc w:val="center"/>
                          <w:rPr>
                            <w:color w:val="000000"/>
                          </w:rPr>
                        </w:pPr>
                        <w:r>
                          <w:rPr>
                            <w:rFonts w:hint="eastAsia"/>
                            <w:color w:val="000000"/>
                          </w:rPr>
                          <w:t>职工生活</w:t>
                        </w:r>
                      </w:p>
                    </w:txbxContent>
                  </v:textbox>
                </v:rect>
                <v:shape id="直接箭头连接符 24" o:spid="_x0000_s1026" o:spt="32" type="#_x0000_t32" style="position:absolute;left:2042160;top:1425575;flip:y;height:228600;width:0;" filled="f" stroked="t" coordsize="21600,21600" o:gfxdata="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9sCLVAAAABQEAAA8AAAAA&#10;AAAAAQAgAAAAIgAAAGRycy9kb3ducmV2LnhtbFBLAQIUABQAAAAIAIdO4kBxdTmBFwIAAPIDAAAO&#10;AAAAAAAAAAEAIAAAACQBAABkcnMvZTJvRG9jLnhtbFBLBQYAAAAABgAGAFkBAACtBQAAAAA=&#10;">
                  <v:fill on="f" focussize="0,0"/>
                  <v:stroke color="#000000" joinstyle="round" dashstyle="3 1" endarrow="block"/>
                  <v:imagedata o:title=""/>
                  <o:lock v:ext="edit" aspectratio="f"/>
                </v:shape>
                <v:rect id="矩形 25" o:spid="_x0000_s1026" o:spt="1" style="position:absolute;left:1558290;top:1211580;height:198120;width:554355;v-text-anchor:middle;" fillcolor="#FFFFFF" filled="t" stroked="f" coordsize="21600,21600" o:gfxdata="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JOw9O/VAAAABQEAAA8AAAAAAAAAAQAgAAAAIgAAAGRycy9kb3ducmV2Lnht&#10;bFBLAQIUABQAAAAIAIdO4kA4vLmTbgIAAMsEAAAOAAAAAAAAAAEAIAAAACQBAABkcnMvZTJvRG9j&#10;LnhtbFBLBQYAAAAABgAGAFkBAAAEBgAAAAA=&#10;">
                  <v:fill on="t" focussize="0,0"/>
                  <v:stroke on="f" weight="2pt"/>
                  <v:imagedata o:title=""/>
                  <o:lock v:ext="edit" aspectratio="f"/>
                  <v:textbox inset="0mm,0mm,0mm,0mm" style="mso-fit-shape-to-text:t;">
                    <w:txbxContent>
                      <w:p>
                        <w:pPr>
                          <w:jc w:val="center"/>
                          <w:rPr>
                            <w:color w:val="000000"/>
                          </w:rPr>
                        </w:pPr>
                        <w:r>
                          <w:rPr>
                            <w:rFonts w:hint="eastAsia"/>
                            <w:color w:val="000000"/>
                          </w:rPr>
                          <w:t>恶臭G2</w:t>
                        </w:r>
                      </w:p>
                    </w:txbxContent>
                  </v:textbox>
                </v:rect>
                <v:shape id="直接箭头连接符 26" o:spid="_x0000_s1026" o:spt="32" type="#_x0000_t32" style="position:absolute;left:2371725;top:902335;height:768985;width:0;" filled="f" stroked="t" coordsize="21600,21600" o:gfxdata="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1W+RQ1AAAAAUBAAAPAAAAAAAAAAEAIAAA&#10;ACIAAABkcnMvZG93bnJldi54bWxQSwECFAAUAAAACACHTuJA96AOyBACAADnAwAADgAAAAAAAAAB&#10;ACAAAAAjAQAAZHJzL2Uyb0RvYy54bWxQSwUGAAAAAAYABgBZAQAApQUAAAAA&#10;">
                  <v:fill on="f" focussize="0,0"/>
                  <v:stroke color="#000000" joinstyle="round" dashstyle="3 1" endarrow="block"/>
                  <v:imagedata o:title=""/>
                  <o:lock v:ext="edit" aspectratio="f"/>
                </v:shape>
                <v:shape id="_x0000_s1026" o:spid="_x0000_s1026" o:spt="32" type="#_x0000_t32" style="position:absolute;left:2367915;top:441960;flip:y;height:228600;width:0;" filled="f" stroked="t" coordsize="21600,21600" o:gfxdata="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X/2wItUAAAAFAQAADwAAAAAA&#10;AAABACAAAAAiAAAAZHJzL2Rvd25yZXYueG1sUEsBAhQAFAAAAAgAh07iQFQIpiUWAgAA8AMAAA4A&#10;AAAAAAAAAQAgAAAAJAEAAGRycy9lMm9Eb2MueG1sUEsFBgAAAAAGAAYAWQEAAKwFAAAAAA==&#10;">
                  <v:fill on="f" focussize="0,0"/>
                  <v:stroke color="#000000" joinstyle="round" dashstyle="3 1" endarrow="block"/>
                  <v:imagedata o:title=""/>
                  <o:lock v:ext="edit" aspectratio="f"/>
                </v:shape>
                <v:rect id="_x0000_s1026" o:spid="_x0000_s1026" o:spt="1" style="position:absolute;left:2050415;top:219710;height:361315;width:429260;v-text-anchor:middle;" fillcolor="#FFFFFF" filled="t" stroked="f" coordsize="21600,21600" o:gfxdata="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k7D079UAAAAFAQAADwAAAAAAAAABACAAAAAiAAAAZHJzL2Rvd25yZXYueG1sUEsB&#10;AhQAFAAAAAgAh07iQEmhUfNqAgAAyQQAAA4AAAAAAAAAAQAgAAAAJAEAAGRycy9lMm9Eb2MueG1s&#10;UEsFBgAAAAAGAAYAWQEAAAAGAAAAAA==&#10;">
                  <v:fill on="t" focussize="0,0"/>
                  <v:stroke on="f" weight="2pt"/>
                  <v:imagedata o:title=""/>
                  <o:lock v:ext="edit" aspectratio="f"/>
                  <v:textbox inset="0mm,0mm,0mm,0mm" style="mso-fit-shape-to-text:t;">
                    <w:txbxContent>
                      <w:p>
                        <w:pPr>
                          <w:jc w:val="center"/>
                          <w:rPr>
                            <w:color w:val="000000"/>
                          </w:rPr>
                        </w:pPr>
                        <w:r>
                          <w:rPr>
                            <w:rFonts w:hint="eastAsia"/>
                            <w:color w:val="000000"/>
                          </w:rPr>
                          <w:t>油烟</w:t>
                        </w:r>
                        <w:r>
                          <w:rPr>
                            <w:color w:val="000000"/>
                          </w:rPr>
                          <w:t>G</w:t>
                        </w:r>
                        <w:r>
                          <w:rPr>
                            <w:rFonts w:hint="eastAsia"/>
                            <w:color w:val="000000"/>
                          </w:rPr>
                          <w:t>4</w:t>
                        </w:r>
                      </w:p>
                    </w:txbxContent>
                  </v:textbox>
                </v:rect>
                <v:rect id="_x0000_s1026" o:spid="_x0000_s1026" o:spt="1" style="position:absolute;left:3047365;top:1676400;height:198120;width:742315;v-text-anchor:middle;" fillcolor="#FFFFFF" filled="t" stroked="t" coordsize="21600,21600" o:gfxdata="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MP80InVAAAABQEAAA8AAAAAAAAAAQAgAAAAIgAAAGRycy9kb3du&#10;cmV2LnhtbFBLAQIUABQAAAAIAIdO4kDNj4WKdAIAAPMEAAAOAAAAAAAAAAEAIAAAACQBAABkcnMv&#10;ZTJvRG9jLnhtbFBLBQYAAAAABgAGAFkBAAAKBgAAAAA=&#10;">
                  <v:fill on="t" focussize="0,0"/>
                  <v:stroke weight="2pt" color="#000000" joinstyle="round"/>
                  <v:imagedata o:title=""/>
                  <o:lock v:ext="edit" aspectratio="f"/>
                  <v:textbox inset="0mm,0mm,0mm,0mm" style="mso-fit-shape-to-text:t;">
                    <w:txbxContent>
                      <w:p>
                        <w:pPr>
                          <w:jc w:val="center"/>
                          <w:rPr>
                            <w:color w:val="000000"/>
                          </w:rPr>
                        </w:pPr>
                        <w:r>
                          <w:rPr>
                            <w:rFonts w:hint="eastAsia"/>
                            <w:color w:val="000000"/>
                          </w:rPr>
                          <w:t>固液分离机</w:t>
                        </w:r>
                      </w:p>
                    </w:txbxContent>
                  </v:textbox>
                </v:rect>
                <v:shape id="直接箭头连接符 32" o:spid="_x0000_s1026" o:spt="32" type="#_x0000_t32" style="position:absolute;left:2701925;top:1781810;height:0;width:345440;" filled="f" stroked="t" coordsize="21600,21600" o:gfxdata="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lUh1I1wAAAAUBAAAPAAAAAAAAAAEA&#10;IAAAACIAAABkcnMvZG93bnJldi54bWxQSwECFAAUAAAACACHTuJACAAZ+hACAADmAwAADgAAAAAA&#10;AAABACAAAAAmAQAAZHJzL2Uyb0RvYy54bWxQSwUGAAAAAAYABgBZAQAAqAUAAAAA&#10;">
                  <v:fill on="f" focussize="0,0"/>
                  <v:stroke color="#000000" joinstyle="round" endarrow="block"/>
                  <v:imagedata o:title=""/>
                  <o:lock v:ext="edit" aspectratio="f"/>
                </v:shape>
                <v:shape id="_x0000_s1026" o:spid="_x0000_s1026" o:spt="32" type="#_x0000_t32" style="position:absolute;left:1294130;top:1779905;height:0;width:658495;" filled="f" stroked="t" coordsize="21600,21600" o:gfxdata="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5VIdSNcAAAAFAQAADwAAAAAAAAABACAA&#10;AAAiAAAAZHJzL2Rvd25yZXYueG1sUEsBAhQAFAAAAAgAh07iQHYuG4gOAgAA5QMAAA4AAAAAAAAA&#10;AQAgAAAAJgEAAGRycy9lMm9Eb2MueG1sUEsFBgAAAAAGAAYAWQEAAKYFAAAAAA==&#10;">
                  <v:fill on="f" focussize="0,0"/>
                  <v:stroke color="#000000" joinstyle="round" endarrow="block"/>
                  <v:imagedata o:title=""/>
                  <o:lock v:ext="edit" aspectratio="f"/>
                </v:shape>
                <v:rect id="_x0000_s1026" o:spid="_x0000_s1026" o:spt="1" style="position:absolute;left:4034155;top:1670050;height:198120;width:742315;v-text-anchor:middle;" fillcolor="#FFFFFF" filled="t" stroked="t" coordsize="21600,21600" o:gfxdata="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D/NCJ1QAAAAUBAAAPAAAAAAAAAAEAIAAAACIAAABkcnMvZG93&#10;bnJldi54bWxQSwECFAAUAAAACACHTuJAw5S88nUCAADzBAAADgAAAAAAAAABACAAAAAkAQAAZHJz&#10;L2Uyb0RvYy54bWxQSwUGAAAAAAYABgBZAQAACwYAAAAA&#10;">
                  <v:fill on="t" focussize="0,0"/>
                  <v:stroke weight="2pt" color="#000000" joinstyle="round"/>
                  <v:imagedata o:title=""/>
                  <o:lock v:ext="edit" aspectratio="f"/>
                  <v:textbox inset="0mm,0mm,0mm,0mm" style="mso-fit-shape-to-text:t;">
                    <w:txbxContent>
                      <w:p>
                        <w:pPr>
                          <w:jc w:val="center"/>
                          <w:rPr>
                            <w:color w:val="000000"/>
                          </w:rPr>
                        </w:pPr>
                        <w:r>
                          <w:rPr>
                            <w:rFonts w:hint="eastAsia"/>
                            <w:color w:val="000000"/>
                          </w:rPr>
                          <w:t>黑膜沼气池</w:t>
                        </w:r>
                      </w:p>
                    </w:txbxContent>
                  </v:textbox>
                </v:rect>
                <v:shape id="直接箭头连接符 36" o:spid="_x0000_s1026" o:spt="32" type="#_x0000_t32" style="position:absolute;left:3789680;top:1775460;flip:y;height:6350;width:244475;" filled="f" stroked="t" coordsize="21600,21600" o:gfxdata="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NXONTbWAAAABQEAAA8AAAAA&#10;AAAAAQAgAAAAIgAAAGRycy9kb3ducmV2LnhtbFBLAQIUABQAAAAIAIdO4kBv+vd+FgIAAPMDAAAO&#10;AAAAAAAAAAEAIAAAACUBAABkcnMvZTJvRG9jLnhtbFBLBQYAAAAABgAGAFkBAACtBQAAAAA=&#10;">
                  <v:fill on="f" focussize="0,0"/>
                  <v:stroke color="#000000" joinstyle="round" endarrow="block"/>
                  <v:imagedata o:title=""/>
                  <o:lock v:ext="edit" aspectratio="f"/>
                </v:shape>
                <v:rect id="矩形 37" o:spid="_x0000_s1026" o:spt="1" style="position:absolute;left:5037455;top:1677035;height:198120;width:742315;v-text-anchor:middle;" fillcolor="#FFFFFF" filled="t" stroked="t" coordsize="21600,21600" o:gfxdata="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D/NCJ1QAAAAUBAAAPAAAAAAAAAAEAIAAAACIAAABkcnMv&#10;ZG93bnJldi54bWxQSwECFAAUAAAACACHTuJAYHPiR3gCAAD0BAAADgAAAAAAAAABACAAAAAkAQAA&#10;ZHJzL2Uyb0RvYy54bWxQSwUGAAAAAAYABgBZAQAADgYAAAAA&#10;">
                  <v:fill on="t" focussize="0,0"/>
                  <v:stroke weight="2pt" color="#000000" joinstyle="round"/>
                  <v:imagedata o:title=""/>
                  <o:lock v:ext="edit" aspectratio="f"/>
                  <v:textbox inset="0mm,0mm,0mm,0mm" style="mso-fit-shape-to-text:t;">
                    <w:txbxContent>
                      <w:p>
                        <w:pPr>
                          <w:jc w:val="center"/>
                          <w:rPr>
                            <w:color w:val="000000"/>
                          </w:rPr>
                        </w:pPr>
                        <w:r>
                          <w:rPr>
                            <w:rFonts w:hint="eastAsia"/>
                            <w:color w:val="000000"/>
                          </w:rPr>
                          <w:t>沼液储存池</w:t>
                        </w:r>
                      </w:p>
                    </w:txbxContent>
                  </v:textbox>
                </v:rect>
                <v:shape id="直接箭头连接符 38" o:spid="_x0000_s1026" o:spt="32" type="#_x0000_t32" style="position:absolute;left:4786630;top:1768475;flip:y;height:6350;width:244475;" filled="f" stroked="t" coordsize="21600,21600" o:gfxdata="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VzjU21gAAAAUBAAAPAAAA&#10;AAAAAAEAIAAAACIAAABkcnMvZG93bnJldi54bWxQSwECFAAUAAAACACHTuJAXHQ54hcCAADzAwAA&#10;DgAAAAAAAAABACAAAAAlAQAAZHJzL2Uyb0RvYy54bWxQSwUGAAAAAAYABgBZAQAArgUAAAAA&#10;">
                  <v:fill on="f" focussize="0,0"/>
                  <v:stroke color="#000000" joinstyle="round" endarrow="block"/>
                  <v:imagedata o:title=""/>
                  <o:lock v:ext="edit" aspectratio="f"/>
                </v:shape>
                <v:rect id="矩形 39" o:spid="_x0000_s1026" o:spt="1" style="position:absolute;left:1316355;top:1788160;height:880110;width:554355;v-text-anchor:middle;" fillcolor="#FFFFFF" filled="t" stroked="f" coordsize="21600,21600" o:gfxdata="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k7D079UAAAAFAQAADwAAAAAAAAABACAAAAAiAAAAZHJzL2Rvd25yZXYueG1s&#10;UEsBAhQAFAAAAAgAh07iQJKvP0ptAgAAywQAAA4AAAAAAAAAAQAgAAAAJAEAAGRycy9lMm9Eb2Mu&#10;eG1sUEsFBgAAAAAGAAYAWQEAAAMGAAAAAA==&#10;">
                  <v:fill on="t" focussize="0,0"/>
                  <v:stroke on="f" weight="2pt"/>
                  <v:imagedata o:title=""/>
                  <o:lock v:ext="edit" aspectratio="f"/>
                  <v:textbox inset="0mm,0mm,0mm,0mm" style="mso-fit-shape-to-text:t;">
                    <w:txbxContent>
                      <w:p>
                        <w:pPr>
                          <w:jc w:val="center"/>
                          <w:rPr>
                            <w:rFonts w:hint="eastAsia"/>
                            <w:color w:val="000000"/>
                          </w:rPr>
                        </w:pPr>
                        <w:r>
                          <w:rPr>
                            <w:rFonts w:hint="eastAsia"/>
                            <w:color w:val="000000"/>
                          </w:rPr>
                          <w:t>猪尿W1</w:t>
                        </w:r>
                      </w:p>
                      <w:p>
                        <w:pPr>
                          <w:jc w:val="center"/>
                          <w:rPr>
                            <w:rFonts w:hint="eastAsia"/>
                            <w:color w:val="000000"/>
                          </w:rPr>
                        </w:pPr>
                        <w:r>
                          <w:rPr>
                            <w:rFonts w:hint="eastAsia"/>
                            <w:color w:val="000000"/>
                          </w:rPr>
                          <w:t>猪舍冲洗废水W2</w:t>
                        </w:r>
                      </w:p>
                      <w:p>
                        <w:pPr>
                          <w:jc w:val="center"/>
                          <w:rPr>
                            <w:color w:val="000000"/>
                          </w:rPr>
                        </w:pPr>
                        <w:r>
                          <w:rPr>
                            <w:rFonts w:hint="eastAsia"/>
                            <w:color w:val="000000"/>
                          </w:rPr>
                          <w:t>猪粪S1</w:t>
                        </w:r>
                      </w:p>
                    </w:txbxContent>
                  </v:textbox>
                </v:rect>
                <v:rect id="矩形 40" o:spid="_x0000_s1026" o:spt="1" style="position:absolute;left:1489710;top:906780;height:198120;width:836930;v-text-anchor:middle;" fillcolor="#FFFFFF" filled="t" stroked="f" coordsize="21600,21600" o:gfxdata="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TsPTv1QAAAAUBAAAPAAAAAAAAAAEAIAAAACIAAABkcnMvZG93bnJldi54&#10;bWxQSwECFAAUAAAACACHTuJAuoc76W8CAADKBAAADgAAAAAAAAABACAAAAAkAQAAZHJzL2Uyb0Rv&#10;Yy54bWxQSwUGAAAAAAYABgBZAQAABQYAAAAA&#10;">
                  <v:fill on="t" focussize="0,0"/>
                  <v:stroke on="f" weight="2pt"/>
                  <v:imagedata o:title=""/>
                  <o:lock v:ext="edit" aspectratio="f"/>
                  <v:textbox inset="0mm,0mm,0mm,0mm" style="mso-fit-shape-to-text:t;">
                    <w:txbxContent>
                      <w:p>
                        <w:pPr>
                          <w:jc w:val="center"/>
                          <w:rPr>
                            <w:color w:val="000000"/>
                          </w:rPr>
                        </w:pPr>
                        <w:r>
                          <w:rPr>
                            <w:rFonts w:hint="eastAsia"/>
                            <w:color w:val="000000"/>
                          </w:rPr>
                          <w:t>生活污水W3</w:t>
                        </w:r>
                      </w:p>
                    </w:txbxContent>
                  </v:textbox>
                </v:rect>
                <v:shape id="直接箭头连接符 41" o:spid="_x0000_s1026" o:spt="32" type="#_x0000_t32" style="position:absolute;left:2595880;top:894080;height:194945;width:0;" filled="f" stroked="t" coordsize="21600,21600" o:gfxdata="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Vb5FDUAAAABQEAAA8AAAAAAAAAAQAgAAAAIgAA&#10;AGRycy9kb3ducmV2LnhtbFBLAQIUABQAAAAIAIdO4kDEbuJ8DAIAAOcDAAAOAAAAAAAAAAEAIAAA&#10;ACMBAABkcnMvZTJvRG9jLnhtbFBLBQYAAAAABgAGAFkBAAChBQAAAAA=&#10;">
                  <v:fill on="f" focussize="0,0"/>
                  <v:stroke color="#000000" joinstyle="round" dashstyle="3 1" endarrow="block"/>
                  <v:imagedata o:title=""/>
                  <o:lock v:ext="edit" aspectratio="f"/>
                </v:shape>
                <v:rect id="矩形 42" o:spid="_x0000_s1026" o:spt="1" style="position:absolute;left:2425065;top:1154430;height:198120;width:795655;v-text-anchor:middle;" fillcolor="#FFFFFF" filled="t" stroked="f" coordsize="21600,21600" o:gfxdata="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TsPTv1QAAAAUBAAAPAAAAAAAAAAEAIAAAACIAAABkcnMvZG93bnJldi54&#10;bWxQSwECFAAUAAAACACHTuJAQG8Qn28CAADLBAAADgAAAAAAAAABACAAAAAkAQAAZHJzL2Uyb0Rv&#10;Yy54bWxQSwUGAAAAAAYABgBZAQAABQYAAAAA&#10;">
                  <v:fill on="t" focussize="0,0"/>
                  <v:stroke on="f" weight="2pt"/>
                  <v:imagedata o:title=""/>
                  <o:lock v:ext="edit" aspectratio="f"/>
                  <v:textbox inset="0mm,0mm,0mm,0mm" style="mso-fit-shape-to-text:t;">
                    <w:txbxContent>
                      <w:p>
                        <w:pPr>
                          <w:jc w:val="center"/>
                          <w:rPr>
                            <w:color w:val="000000"/>
                          </w:rPr>
                        </w:pPr>
                        <w:r>
                          <w:rPr>
                            <w:rFonts w:hint="eastAsia"/>
                            <w:color w:val="000000"/>
                          </w:rPr>
                          <w:t>生活垃圾S5</w:t>
                        </w:r>
                      </w:p>
                    </w:txbxContent>
                  </v:textbox>
                </v:rect>
                <v:shape id="直接箭头连接符 43" o:spid="_x0000_s1026" o:spt="32" type="#_x0000_t32" style="position:absolute;left:4239895;top:1899920;flip:x;height:496570;width:2540;" filled="f" stroked="t" coordsize="21600,21600" o:gfxdata="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f/bAi1QAAAAUBAAAP&#10;AAAAAAAAAAEAIAAAACIAAABkcnMvZG93bnJldi54bWxQSwECFAAUAAAACACHTuJADarVixsCAAD1&#10;AwAADgAAAAAAAAABACAAAAAkAQAAZHJzL2Uyb0RvYy54bWxQSwUGAAAAAAYABgBZAQAAsQUAAAAA&#10;">
                  <v:fill on="f" focussize="0,0"/>
                  <v:stroke color="#000000" joinstyle="round" dashstyle="3 1" endarrow="block"/>
                  <v:imagedata o:title=""/>
                  <o:lock v:ext="edit" aspectratio="f"/>
                </v:shape>
                <v:rect id="矩形 44" o:spid="_x0000_s1026" o:spt="1" style="position:absolute;left:3075940;top:1985645;height:198120;width:429260;v-text-anchor:middle;" fillcolor="#FFFFFF" filled="t" stroked="f" coordsize="21600,21600" o:gfxdata="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JOw9O/VAAAABQEAAA8AAAAAAAAAAQAgAAAAIgAAAGRycy9kb3ducmV2Lnht&#10;bFBLAQIUABQAAAAIAIdO4kCpQ97GbgIAAMsEAAAOAAAAAAAAAAEAIAAAACQBAABkcnMvZTJvRG9j&#10;LnhtbFBLBQYAAAAABgAGAFkBAAAEBgAAAAA=&#10;">
                  <v:fill on="t" focussize="0,0"/>
                  <v:stroke on="f" weight="2pt"/>
                  <v:imagedata o:title=""/>
                  <o:lock v:ext="edit" aspectratio="f"/>
                  <v:textbox inset="0mm,0mm,0mm,0mm" style="mso-fit-shape-to-text:t;">
                    <w:txbxContent>
                      <w:p>
                        <w:pPr>
                          <w:jc w:val="center"/>
                          <w:rPr>
                            <w:color w:val="000000"/>
                          </w:rPr>
                        </w:pPr>
                        <w:r>
                          <w:rPr>
                            <w:rFonts w:hint="eastAsia"/>
                            <w:color w:val="000000"/>
                          </w:rPr>
                          <w:t>猪粪</w:t>
                        </w:r>
                      </w:p>
                    </w:txbxContent>
                  </v:textbox>
                </v:rect>
                <v:rect id="矩形 45" o:spid="_x0000_s1026" o:spt="1" style="position:absolute;left:3352165;top:2396490;height:198120;width:1081405;v-text-anchor:middle;" fillcolor="#FFFFFF" filled="t" stroked="t" coordsize="21600,21600" o:gfxdata="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MP80InVAAAABQEAAA8AAAAAAAAAAQAgAAAAIgAAAGRycy9k&#10;b3ducmV2LnhtbFBLAQIUABQAAAAIAIdO4kCb/XIVdwIAAPUEAAAOAAAAAAAAAAEAIAAAACQBAABk&#10;cnMvZTJvRG9jLnhtbFBLBQYAAAAABgAGAFkBAAANBgAAAAA=&#10;">
                  <v:fill on="t" focussize="0,0"/>
                  <v:stroke weight="2pt" color="#000000" joinstyle="round"/>
                  <v:imagedata o:title=""/>
                  <o:lock v:ext="edit" aspectratio="f"/>
                  <v:textbox inset="0mm,0mm,0mm,0mm" style="mso-fit-shape-to-text:t;">
                    <w:txbxContent>
                      <w:p>
                        <w:pPr>
                          <w:jc w:val="center"/>
                          <w:rPr>
                            <w:color w:val="000000"/>
                          </w:rPr>
                        </w:pPr>
                        <w:r>
                          <w:rPr>
                            <w:rFonts w:hint="eastAsia"/>
                            <w:color w:val="000000"/>
                          </w:rPr>
                          <w:t>固粪堆存区</w:t>
                        </w:r>
                      </w:p>
                    </w:txbxContent>
                  </v:textbox>
                </v:rect>
                <v:shape id="直接箭头连接符 46" o:spid="_x0000_s1026" o:spt="32" type="#_x0000_t32" style="position:absolute;left:3505835;top:1906905;flip:x;height:496570;width:2540;" filled="f" stroked="t" coordsize="21600,21600" o:gfxdata="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F/9sCLVAAAABQEAAA8A&#10;AAAAAAAAAQAgAAAAIgAAAGRycy9kb3ducmV2LnhtbFBLAQIUABQAAAAIAIdO4kC/b1OwGgIAAPUD&#10;AAAOAAAAAAAAAAEAIAAAACQBAABkcnMvZTJvRG9jLnhtbFBLBQYAAAAABgAGAFkBAACwBQAAAAA=&#10;">
                  <v:fill on="f" focussize="0,0"/>
                  <v:stroke color="#000000" joinstyle="round" dashstyle="3 1" endarrow="block"/>
                  <v:imagedata o:title=""/>
                  <o:lock v:ext="edit" aspectratio="f"/>
                </v:shape>
                <v:rect id="矩形 47" o:spid="_x0000_s1026" o:spt="1" style="position:absolute;left:4256405;top:1960245;height:361315;width:429260;v-text-anchor:middle;" fillcolor="#FFFFFF" filled="t" stroked="f" coordsize="21600,21600" o:gfxdata="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k7D079UAAAAFAQAADwAAAAAAAAABACAAAAAiAAAAZHJzL2Rvd25yZXYu&#10;eG1sUEsBAhQAFAAAAAgAh07iQFm8AbdwAgAAywQAAA4AAAAAAAAAAQAgAAAAJAEAAGRycy9lMm9E&#10;b2MueG1sUEsFBgAAAAAGAAYAWQEAAAYGAAAAAA==&#10;">
                  <v:fill on="t" focussize="0,0"/>
                  <v:stroke on="f" weight="2pt"/>
                  <v:imagedata o:title=""/>
                  <o:lock v:ext="edit" aspectratio="f"/>
                  <v:textbox inset="0mm,0mm,0mm,0mm" style="mso-fit-shape-to-text:t;">
                    <w:txbxContent>
                      <w:p>
                        <w:pPr>
                          <w:jc w:val="center"/>
                          <w:rPr>
                            <w:color w:val="000000"/>
                          </w:rPr>
                        </w:pPr>
                        <w:r>
                          <w:rPr>
                            <w:rFonts w:hint="eastAsia"/>
                            <w:color w:val="000000"/>
                          </w:rPr>
                          <w:t>沼渣S2</w:t>
                        </w:r>
                      </w:p>
                    </w:txbxContent>
                  </v:textbox>
                </v:rect>
                <v:shape id="直接箭头连接符 48" o:spid="_x0000_s1026" o:spt="32" type="#_x0000_t32" style="position:absolute;left:3746500;top:2152650;flip:y;height:228600;width:0;" filled="f" stroked="t" coordsize="21600,21600" o:gfxdata="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9sCLVAAAABQEAAA8AAAAAAAAA&#10;AQAgAAAAIgAAAGRycy9kb3ducmV2LnhtbFBLAQIUABQAAAAIAIdO4kA6P8YfFAIAAPIDAAAOAAAA&#10;AAAAAAEAIAAAACQBAABkcnMvZTJvRG9jLnhtbFBLBQYAAAAABgAGAFkBAACqBQAAAAA=&#10;">
                  <v:fill on="f" focussize="0,0"/>
                  <v:stroke color="#000000" joinstyle="round" dashstyle="3 1" endarrow="block"/>
                  <v:imagedata o:title=""/>
                  <o:lock v:ext="edit" aspectratio="f"/>
                </v:shape>
                <v:rect id="_x0000_s1026" o:spid="_x0000_s1026" o:spt="1" style="position:absolute;left:3623310;top:1918335;height:198120;width:554355;v-text-anchor:middle;" fillcolor="#FFFFFF" filled="t" stroked="f" coordsize="21600,21600" o:gfxdata="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JOw9O/VAAAABQEAAA8AAAAAAAAAAQAgAAAAIgAAAGRycy9kb3ducmV2Lnht&#10;bFBLAQIUABQAAAAIAIdO4kD+1ocsbgIAAMoEAAAOAAAAAAAAAAEAIAAAACQBAABkcnMvZTJvRG9j&#10;LnhtbFBLBQYAAAAABgAGAFkBAAAEBgAAAAA=&#10;">
                  <v:fill on="t" focussize="0,0"/>
                  <v:stroke on="f" weight="2pt"/>
                  <v:imagedata o:title=""/>
                  <o:lock v:ext="edit" aspectratio="f"/>
                  <v:textbox inset="0mm,0mm,0mm,0mm" style="mso-fit-shape-to-text:t;">
                    <w:txbxContent>
                      <w:p>
                        <w:pPr>
                          <w:jc w:val="center"/>
                          <w:rPr>
                            <w:color w:val="000000"/>
                          </w:rPr>
                        </w:pPr>
                        <w:r>
                          <w:rPr>
                            <w:rFonts w:hint="eastAsia"/>
                            <w:color w:val="000000"/>
                          </w:rPr>
                          <w:t>恶臭G3</w:t>
                        </w:r>
                      </w:p>
                    </w:txbxContent>
                  </v:textbox>
                </v:rect>
                <v:shape id="_x0000_s1026" o:spid="_x0000_s1026" o:spt="32" type="#_x0000_t32" style="position:absolute;left:3919220;top:2614295;height:194945;width:0;" filled="f" stroked="t" coordsize="21600,21600" o:gfxdata="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VvkUNQAAAAFAQAADwAAAAAAAAABACAAAAAi&#10;AAAAZHJzL2Rvd25yZXYueG1sUEsBAhQAFAAAAAgAh07iQHLNd7cOAgAA5wMAAA4AAAAAAAAAAQAg&#10;AAAAIwEAAGRycy9lMm9Eb2MueG1sUEsFBgAAAAAGAAYAWQEAAKMFAAAAAA==&#10;">
                  <v:fill on="f" focussize="0,0"/>
                  <v:stroke color="#000000" joinstyle="round" dashstyle="3 1" endarrow="block"/>
                  <v:imagedata o:title=""/>
                  <o:lock v:ext="edit" aspectratio="f"/>
                </v:shape>
                <v:rect id="_x0000_s1026" o:spid="_x0000_s1026" o:spt="1" style="position:absolute;left:3609340;top:2816860;height:371475;width:574040;v-text-anchor:middle;" fillcolor="#FFFFFF" filled="t" stroked="f" coordsize="21600,21600" o:gfxdata="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TsPTv1QAAAAUBAAAPAAAAAAAAAAEAIAAAACIAAABkcnMvZG93bnJldi54bWxQ&#10;SwECFAAUAAAACACHTuJApVZT2mwCAADKBAAADgAAAAAAAAABACAAAAAkAQAAZHJzL2Uyb0RvYy54&#10;bWxQSwUGAAAAAAYABgBZAQAAAgYAAAAA&#10;">
                  <v:fill on="t" focussize="0,0"/>
                  <v:stroke on="f" weight="2pt"/>
                  <v:imagedata o:title=""/>
                  <o:lock v:ext="edit" aspectratio="f"/>
                  <v:textbox inset="0mm,0mm,0mm,0mm" style="mso-fit-shape-to-text:t;">
                    <w:txbxContent>
                      <w:p>
                        <w:pPr>
                          <w:jc w:val="center"/>
                          <w:rPr>
                            <w:color w:val="000000"/>
                          </w:rPr>
                        </w:pPr>
                        <w:r>
                          <w:rPr>
                            <w:rFonts w:hint="eastAsia"/>
                            <w:color w:val="000000"/>
                          </w:rPr>
                          <w:t>外售制有机肥</w:t>
                        </w:r>
                      </w:p>
                    </w:txbxContent>
                  </v:textbox>
                </v:rect>
                <v:rect id="_x0000_s1026" o:spid="_x0000_s1026" o:spt="1" style="position:absolute;left:4057015;top:1225550;height:198120;width:526415;v-text-anchor:middle;" fillcolor="#FFFFFF" filled="t" stroked="t" coordsize="21600,21600" o:gfxdata="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MP80InVAAAABQEAAA8AAAAAAAAAAQAgAAAAIgAAAGRycy9kb3du&#10;cmV2LnhtbFBLAQIUABQAAAAIAIdO4kDgCsd3dAIAAPMEAAAOAAAAAAAAAAEAIAAAACQBAABkcnMv&#10;ZTJvRG9jLnhtbFBLBQYAAAAABgAGAFkBAAAKBgAAAAA=&#10;">
                  <v:fill on="t" focussize="0,0"/>
                  <v:stroke weight="2pt" color="#000000" joinstyle="round"/>
                  <v:imagedata o:title=""/>
                  <o:lock v:ext="edit" aspectratio="f"/>
                  <v:textbox inset="0mm,0mm,0mm,0mm" style="mso-fit-shape-to-text:t;">
                    <w:txbxContent>
                      <w:p>
                        <w:pPr>
                          <w:jc w:val="center"/>
                          <w:rPr>
                            <w:color w:val="000000"/>
                          </w:rPr>
                        </w:pPr>
                        <w:r>
                          <w:rPr>
                            <w:rFonts w:hint="eastAsia"/>
                            <w:color w:val="000000"/>
                          </w:rPr>
                          <w:t>沼气</w:t>
                        </w:r>
                      </w:p>
                    </w:txbxContent>
                  </v:textbox>
                </v:rect>
                <v:rect id="_x0000_s1026" o:spid="_x0000_s1026" o:spt="1" style="position:absolute;left:3994150;top:685165;height:198120;width:595630;v-text-anchor:middle;" fillcolor="#FFFFFF" filled="t" stroked="t" coordsize="21600,21600" o:gfxdata="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D/NCJ1QAAAAUBAAAPAAAAAAAAAAEAIAAAACIAAABkcnMvZG93&#10;bnJldi54bWxQSwECFAAUAAAACACHTuJA0/wJ7nUCAADyBAAADgAAAAAAAAABACAAAAAkAQAAZHJz&#10;L2Uyb0RvYy54bWxQSwUGAAAAAAYABgBZAQAACwYAAAAA&#10;">
                  <v:fill on="t" focussize="0,0"/>
                  <v:stroke weight="2pt" color="#000000" joinstyle="round"/>
                  <v:imagedata o:title=""/>
                  <o:lock v:ext="edit" aspectratio="f"/>
                  <v:textbox inset="0mm,0mm,0mm,0mm" style="mso-fit-shape-to-text:t;">
                    <w:txbxContent>
                      <w:p>
                        <w:pPr>
                          <w:jc w:val="center"/>
                          <w:rPr>
                            <w:color w:val="000000"/>
                          </w:rPr>
                        </w:pPr>
                        <w:r>
                          <w:rPr>
                            <w:rFonts w:hint="eastAsia"/>
                            <w:color w:val="000000"/>
                          </w:rPr>
                          <w:t>净化</w:t>
                        </w:r>
                      </w:p>
                    </w:txbxContent>
                  </v:textbox>
                </v:rect>
                <v:shape id="_x0000_s1026" o:spid="_x0000_s1026" o:spt="32" type="#_x0000_t32" style="position:absolute;left:4286885;top:1424305;flip:y;height:228600;width:0;" filled="f" stroked="t" coordsize="21600,21600" o:gfxdata="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VzjU21gAAAAUBAAAPAAAAAAAA&#10;AAEAIAAAACIAAABkcnMvZG93bnJldi54bWxQSwECFAAUAAAACACHTuJA9AitnRQCAADvAwAADgAA&#10;AAAAAAABACAAAAAlAQAAZHJzL2Uyb0RvYy54bWxQSwUGAAAAAAYABgBZAQAAqwUAAAAA&#10;">
                  <v:fill on="f" focussize="0,0"/>
                  <v:stroke color="#000000" joinstyle="round" endarrow="block"/>
                  <v:imagedata o:title=""/>
                  <o:lock v:ext="edit" aspectratio="f"/>
                </v:shape>
                <v:shape id="_x0000_s1026" o:spid="_x0000_s1026" o:spt="32" type="#_x0000_t32" style="position:absolute;left:4288155;top:885190;flip:x y;height:340360;width:635;" filled="f" stroked="t" coordsize="21600,21600" o:gfxdata="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JQNW9UAAAAFAQAADwAA&#10;AAAAAAABACAAAAAiAAAAZHJzL2Rvd25yZXYueG1sUEsBAhQAFAAAAAgAh07iQM8o9NMZAgAA+gMA&#10;AA4AAAAAAAAAAQAgAAAAJAEAAGRycy9lMm9Eb2MueG1sUEsFBgAAAAAGAAYAWQEAAK8FAAAAAA==&#10;">
                  <v:fill on="f" focussize="0,0"/>
                  <v:stroke color="#000000" joinstyle="round" endarrow="block"/>
                  <v:imagedata o:title=""/>
                  <o:lock v:ext="edit" aspectratio="f"/>
                </v:shape>
                <v:shape id="_x0000_s1026" o:spid="_x0000_s1026" o:spt="32" type="#_x0000_t32" style="position:absolute;left:2701925;top:781685;flip:x y;height:635;width:1310005;" filled="f" stroked="t" coordsize="21600,21600" o:gfxdata="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AElA1b1QAAAAUBAAAP&#10;AAAAAAAAAAEAIAAAACIAAABkcnMvZG93bnJldi54bWxQSwECFAAUAAAACACHTuJALKiQTxsCAAD7&#10;AwAADgAAAAAAAAABACAAAAAkAQAAZHJzL2Uyb0RvYy54bWxQSwUGAAAAAAYABgBZAQAAsQUAAAAA&#10;">
                  <v:fill on="f" focussize="0,0"/>
                  <v:stroke color="#000000" joinstyle="round" endarrow="block"/>
                  <v:imagedata o:title=""/>
                  <o:lock v:ext="edit" aspectratio="f"/>
                </v:shape>
                <v:rect id="_x0000_s1026" o:spid="_x0000_s1026" o:spt="1" style="position:absolute;left:2980055;top:541020;height:198120;width:664210;v-text-anchor:middle;" fillcolor="#FFFFFF" filled="t" stroked="f" coordsize="21600,21600" o:gfxdata="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TsPTv1QAAAAUBAAAPAAAAAAAAAAEAIAAAACIAAABkcnMvZG93bnJldi54bWxQ&#10;SwECFAAUAAAACACHTuJA3BRen2wCAADJBAAADgAAAAAAAAABACAAAAAkAQAAZHJzL2Uyb0RvYy54&#10;bWxQSwUGAAAAAAYABgBZAQAAAgYAAAAA&#10;">
                  <v:fill on="t" focussize="0,0"/>
                  <v:stroke on="f" weight="2pt"/>
                  <v:imagedata o:title=""/>
                  <o:lock v:ext="edit" aspectratio="f"/>
                  <v:textbox inset="0mm,0mm,0mm,0mm" style="mso-fit-shape-to-text:t;">
                    <w:txbxContent>
                      <w:p>
                        <w:pPr>
                          <w:jc w:val="center"/>
                          <w:rPr>
                            <w:color w:val="000000"/>
                          </w:rPr>
                        </w:pPr>
                        <w:r>
                          <w:rPr>
                            <w:rFonts w:hint="eastAsia"/>
                            <w:color w:val="000000"/>
                          </w:rPr>
                          <w:t>食堂燃料</w:t>
                        </w:r>
                      </w:p>
                    </w:txbxContent>
                  </v:textbox>
                </v:rect>
                <v:shape id="_x0000_s1026" o:spid="_x0000_s1026" o:spt="32" type="#_x0000_t32" style="position:absolute;left:4586605;top:777240;height:0;width:345440;" filled="f" stroked="t" coordsize="21600,21600" o:gfxdata="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OVSHUjXAAAABQEAAA8AAAAAAAAAAQAgAAAA&#10;IgAAAGRycy9kb3ducmV2LnhtbFBLAQIUABQAAAAIAIdO4kDG4/AxDAIAAOQDAAAOAAAAAAAAAAEA&#10;IAAAACYBAABkcnMvZTJvRG9jLnhtbFBLBQYAAAAABgAGAFkBAACkBQAAAAA=&#10;">
                  <v:fill on="f" focussize="0,0"/>
                  <v:stroke color="#000000" joinstyle="round" endarrow="block"/>
                  <v:imagedata o:title=""/>
                  <o:lock v:ext="edit" aspectratio="f"/>
                </v:shape>
                <v:rect id="_x0000_s1026" o:spid="_x0000_s1026" o:spt="1" style="position:absolute;left:4942840;top:664845;height:198120;width:595630;v-text-anchor:middle;" fillcolor="#FFFFFF" filled="t" stroked="t" coordsize="21600,21600" o:gfxdata="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MP80InVAAAABQEAAA8AAAAAAAAAAQAgAAAAIgAAAGRycy9kb3du&#10;cmV2LnhtbFBLAQIUABQAAAAIAIdO4kAuUTGidAIAAPIEAAAOAAAAAAAAAAEAIAAAACQBAABkcnMv&#10;ZTJvRG9jLnhtbFBLBQYAAAAABgAGAFkBAAAKBgAAAAA=&#10;">
                  <v:fill on="t" focussize="0,0"/>
                  <v:stroke weight="2pt" color="#000000" joinstyle="round"/>
                  <v:imagedata o:title=""/>
                  <o:lock v:ext="edit" aspectratio="f"/>
                  <v:textbox inset="0mm,0mm,0mm,0mm" style="mso-fit-shape-to-text:t;">
                    <w:txbxContent>
                      <w:p>
                        <w:pPr>
                          <w:jc w:val="center"/>
                          <w:rPr>
                            <w:color w:val="000000"/>
                          </w:rPr>
                        </w:pPr>
                        <w:r>
                          <w:rPr>
                            <w:rFonts w:hint="eastAsia"/>
                            <w:color w:val="000000"/>
                          </w:rPr>
                          <w:t>火炬燃烧</w:t>
                        </w:r>
                      </w:p>
                    </w:txbxContent>
                  </v:textbox>
                </v:rect>
                <v:shape id="_x0000_s1026" o:spid="_x0000_s1026" o:spt="32" type="#_x0000_t32" style="position:absolute;left:5207635;top:434975;flip:y;height:228600;width:0;" filled="f" stroked="t" coordsize="21600,21600" o:gfxdata="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9sCLVAAAABQEAAA8AAAAA&#10;AAAAAQAgAAAAIgAAAGRycy9kb3ducmV2LnhtbFBLAQIUABQAAAAIAIdO4kDGNE1UFwIAAPADAAAO&#10;AAAAAAAAAAEAIAAAACQBAABkcnMvZTJvRG9jLnhtbFBLBQYAAAAABgAGAFkBAACtBQAAAAA=&#10;">
                  <v:fill on="f" focussize="0,0"/>
                  <v:stroke color="#000000" joinstyle="round" dashstyle="3 1" endarrow="block"/>
                  <v:imagedata o:title=""/>
                  <o:lock v:ext="edit" aspectratio="f"/>
                </v:shape>
                <v:rect id="_x0000_s1026" o:spid="_x0000_s1026" o:spt="1" style="position:absolute;left:4890135;top:165735;height:198120;width:554355;v-text-anchor:middle;" fillcolor="#FFFFFF" filled="t" stroked="f" coordsize="21600,21600" o:gfxdata="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k7D079UAAAAFAQAADwAAAAAAAAABACAAAAAiAAAAZHJzL2Rvd25yZXYueG1s&#10;UEsBAhQAFAAAAAgAh07iQJr54zhtAgAAyQQAAA4AAAAAAAAAAQAgAAAAJAEAAGRycy9lMm9Eb2Mu&#10;eG1sUEsFBgAAAAAGAAYAWQEAAAMGAAAAAA==&#10;">
                  <v:fill on="t" focussize="0,0"/>
                  <v:stroke on="f" weight="2pt"/>
                  <v:imagedata o:title=""/>
                  <o:lock v:ext="edit" aspectratio="f"/>
                  <v:textbox inset="0mm,0mm,0mm,0mm" style="mso-fit-shape-to-text:t;">
                    <w:txbxContent>
                      <w:p>
                        <w:pPr>
                          <w:jc w:val="center"/>
                          <w:rPr>
                            <w:color w:val="000000"/>
                          </w:rPr>
                        </w:pPr>
                        <w:r>
                          <w:rPr>
                            <w:rFonts w:hint="eastAsia"/>
                            <w:color w:val="000000"/>
                          </w:rPr>
                          <w:t>废气G5</w:t>
                        </w:r>
                      </w:p>
                    </w:txbxContent>
                  </v:textbox>
                </v:rect>
                <v:shape id="_x0000_s1026" o:spid="_x0000_s1026" o:spt="32" type="#_x0000_t32" style="position:absolute;left:5200650;top:1452880;flip:y;height:228600;width:0;" filled="f" stroked="t" coordsize="21600,21600" o:gfxdata="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f/bAi1QAAAAUBAAAPAAAAAAAAAAEA&#10;IAAAACIAAABkcnMvZG93bnJldi54bWxQSwECFAAUAAAACACHTuJATM+zvhICAADxAwAADgAAAAAA&#10;AAABACAAAAAkAQAAZHJzL2Uyb0RvYy54bWxQSwUGAAAAAAYABgBZAQAAqAUAAAAA&#10;">
                  <v:fill on="f" focussize="0,0"/>
                  <v:stroke color="#000000" joinstyle="round" dashstyle="3 1" endarrow="block"/>
                  <v:imagedata o:title=""/>
                  <o:lock v:ext="edit" aspectratio="f"/>
                </v:shape>
                <v:rect id="_x0000_s1026" o:spid="_x0000_s1026" o:spt="1" style="position:absolute;left:4980940;top:1246505;height:198120;width:554355;v-text-anchor:middle;" fillcolor="#FFFFFF" filled="t" stroked="f" coordsize="21600,21600" o:gfxdata="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TsPTv1QAAAAUBAAAPAAAAAAAAAAEAIAAAACIAAABkcnMvZG93bnJldi54&#10;bWxQSwECFAAUAAAACACHTuJAnFhyem8CAADKBAAADgAAAAAAAAABACAAAAAkAQAAZHJzL2Uyb0Rv&#10;Yy54bWxQSwUGAAAAAAYABgBZAQAABQYAAAAA&#10;">
                  <v:fill on="t" focussize="0,0"/>
                  <v:stroke on="f" weight="2pt"/>
                  <v:imagedata o:title=""/>
                  <o:lock v:ext="edit" aspectratio="f"/>
                  <v:textbox inset="0mm,0mm,0mm,0mm" style="mso-fit-shape-to-text:t;">
                    <w:txbxContent>
                      <w:p>
                        <w:pPr>
                          <w:jc w:val="center"/>
                          <w:rPr>
                            <w:color w:val="000000"/>
                          </w:rPr>
                        </w:pPr>
                        <w:r>
                          <w:rPr>
                            <w:rFonts w:hint="eastAsia"/>
                            <w:color w:val="000000"/>
                          </w:rPr>
                          <w:t>恶臭G2</w:t>
                        </w:r>
                      </w:p>
                    </w:txbxContent>
                  </v:textbox>
                </v:rect>
                <v:shape id="_x0000_s1026" o:spid="_x0000_s1026" o:spt="32" type="#_x0000_t32" style="position:absolute;left:5334000;top:1878965;flip:x;height:496570;width:2540;" filled="f" stroked="t" coordsize="21600,21600" o:gfxdata="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X/2wItUAAAAFAQAADwAA&#10;AAAAAAABACAAAAAiAAAAZHJzL2Rvd25yZXYueG1sUEsBAhQAFAAAAAgAh07iQJ0jNlMZAgAA9AMA&#10;AA4AAAAAAAAAAQAgAAAAJAEAAGRycy9lMm9Eb2MueG1sUEsFBgAAAAAGAAYAWQEAAK8FAAAAAA==&#10;">
                  <v:fill on="f" focussize="0,0"/>
                  <v:stroke color="#000000" joinstyle="round" dashstyle="3 1" endarrow="block"/>
                  <v:imagedata o:title=""/>
                  <o:lock v:ext="edit" aspectratio="f"/>
                </v:shape>
                <v:rect id="矩形 68" o:spid="_x0000_s1026" o:spt="1" style="position:absolute;left:5344160;top:1967230;height:198120;width:429260;v-text-anchor:middle;" fillcolor="#FFFFFF" filled="t" stroked="f" coordsize="21600,21600" o:gfxdata="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k7D079UAAAAFAQAADwAAAAAAAAABACAAAAAiAAAAZHJzL2Rvd25yZXYueG1s&#10;UEsBAhQAFAAAAAgAh07iQBJfvCltAgAAywQAAA4AAAAAAAAAAQAgAAAAJAEAAGRycy9lMm9Eb2Mu&#10;eG1sUEsFBgAAAAAGAAYAWQEAAAMGAAAAAA==&#10;">
                  <v:fill on="t" focussize="0,0"/>
                  <v:stroke on="f" weight="2pt"/>
                  <v:imagedata o:title=""/>
                  <o:lock v:ext="edit" aspectratio="f"/>
                  <v:textbox inset="0mm,0mm,0mm,0mm" style="mso-fit-shape-to-text:t;">
                    <w:txbxContent>
                      <w:p>
                        <w:pPr>
                          <w:jc w:val="center"/>
                          <w:rPr>
                            <w:color w:val="000000"/>
                          </w:rPr>
                        </w:pPr>
                        <w:r>
                          <w:rPr>
                            <w:rFonts w:hint="eastAsia"/>
                            <w:color w:val="000000"/>
                          </w:rPr>
                          <w:t>沼液</w:t>
                        </w:r>
                      </w:p>
                    </w:txbxContent>
                  </v:textbox>
                </v:rect>
                <v:rect id="矩形 69" o:spid="_x0000_s1026" o:spt="1" style="position:absolute;left:5098415;top:2383155;height:198120;width:574040;v-text-anchor:middle;" fillcolor="#FFFFFF" filled="t" stroked="f" coordsize="21600,21600" o:gfxdata="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JOw9O/VAAAABQEAAA8AAAAAAAAAAQAgAAAAIgAAAGRycy9kb3ducmV2&#10;LnhtbFBLAQIUABQAAAAIAIdO4kAs/ixfcQIAAMsEAAAOAAAAAAAAAAEAIAAAACQBAABkcnMvZTJv&#10;RG9jLnhtbFBLBQYAAAAABgAGAFkBAAAHBgAAAAA=&#10;">
                  <v:fill on="t" focussize="0,0"/>
                  <v:stroke on="f" weight="2pt"/>
                  <v:imagedata o:title=""/>
                  <o:lock v:ext="edit" aspectratio="f"/>
                  <v:textbox inset="0mm,0mm,0mm,0mm" style="mso-fit-shape-to-text:t;">
                    <w:txbxContent>
                      <w:p>
                        <w:pPr>
                          <w:jc w:val="center"/>
                          <w:rPr>
                            <w:color w:val="000000"/>
                          </w:rPr>
                        </w:pPr>
                        <w:r>
                          <w:rPr>
                            <w:rFonts w:hint="eastAsia"/>
                            <w:color w:val="000000"/>
                          </w:rPr>
                          <w:t>还田利用</w:t>
                        </w:r>
                      </w:p>
                    </w:txbxContent>
                  </v:textbox>
                </v:rect>
                <v:shape id="直接箭头连接符 41" o:spid="_x0000_s1026" o:spt="32" type="#_x0000_t32" style="position:absolute;left:2595880;top:894080;height:194945;width:0;" filled="f" stroked="t" coordsize="21600,21600" o:gfxdata="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Vb5FDUAAAABQEAAA8AAAAAAAAAAQAgAAAAIgAA&#10;AGRycy9kb3ducmV2LnhtbFBLAQIUABQAAAAIAIdO4kAnoDxFDAIAAOcDAAAOAAAAAAAAAAEAIAAA&#10;ACMBAABkcnMvZTJvRG9jLnhtbFBLBQYAAAAABgAGAFkBAAChBQAAAAA=&#10;">
                  <v:fill on="f" focussize="0,0"/>
                  <v:stroke color="#000000" joinstyle="round" dashstyle="3 1" endarrow="block"/>
                  <v:imagedata o:title=""/>
                  <o:lock v:ext="edit" aspectratio="f"/>
                </v:shape>
                <v:rect id="矩形 42" o:spid="_x0000_s1026" o:spt="1" style="position:absolute;left:2425065;top:1154430;height:198120;width:795655;v-text-anchor:middle;" fillcolor="#FFFFFF" filled="t" stroked="f" coordsize="21600,21600" o:gfxdata="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TsPTv1QAAAAUBAAAPAAAAAAAAAAEAIAAAACIAAABkcnMvZG93bnJldi54&#10;bWxQSwECFAAUAAAACACHTuJArlWmKG8CAADLBAAADgAAAAAAAAABACAAAAAkAQAAZHJzL2Uyb0Rv&#10;Yy54bWxQSwUGAAAAAAYABgBZAQAABQYAAAAA&#10;">
                  <v:fill on="t" focussize="0,0"/>
                  <v:stroke on="f" weight="2pt"/>
                  <v:imagedata o:title=""/>
                  <o:lock v:ext="edit" aspectratio="f"/>
                  <v:textbox inset="0mm,0mm,0mm,0mm" style="mso-fit-shape-to-text:t;">
                    <w:txbxContent>
                      <w:p>
                        <w:pPr>
                          <w:jc w:val="center"/>
                          <w:rPr>
                            <w:color w:val="000000"/>
                          </w:rPr>
                        </w:pPr>
                        <w:r>
                          <w:rPr>
                            <w:rFonts w:hint="eastAsia"/>
                            <w:color w:val="000000"/>
                          </w:rPr>
                          <w:t>废脱硫剂S6</w:t>
                        </w:r>
                      </w:p>
                    </w:txbxContent>
                  </v:textbox>
                </v:rect>
                <w10:wrap type="none"/>
                <w10:anchorlock/>
              </v:group>
            </w:pict>
          </mc:Fallback>
        </mc:AlternateContent>
      </w:r>
    </w:p>
    <w:p>
      <w:pPr>
        <w:rPr>
          <w:rFonts w:hint="eastAsia"/>
          <w:sz w:val="24"/>
        </w:rPr>
      </w:pPr>
    </w:p>
    <w:p>
      <w:pPr>
        <w:spacing w:line="520" w:lineRule="exact"/>
        <w:jc w:val="both"/>
        <w:rPr>
          <w:b/>
          <w:sz w:val="24"/>
        </w:rPr>
      </w:pPr>
    </w:p>
    <w:p>
      <w:pPr>
        <w:spacing w:line="520" w:lineRule="exact"/>
        <w:ind w:firstLine="482" w:firstLineChars="200"/>
        <w:jc w:val="center"/>
        <w:rPr>
          <w:rFonts w:hint="eastAsia"/>
        </w:rPr>
      </w:pPr>
      <w:r>
        <w:rPr>
          <w:b/>
          <w:sz w:val="24"/>
        </w:rPr>
        <w:t xml:space="preserve">图2.2-1     </w:t>
      </w:r>
      <w:r>
        <w:rPr>
          <w:rFonts w:hint="eastAsia"/>
          <w:b/>
          <w:sz w:val="24"/>
        </w:rPr>
        <w:t>工艺</w:t>
      </w:r>
      <w:r>
        <w:rPr>
          <w:b/>
          <w:sz w:val="24"/>
        </w:rPr>
        <w:t>流程及产污环节</w:t>
      </w:r>
      <w:r>
        <w:rPr>
          <w:rFonts w:hint="eastAsia"/>
          <w:b/>
          <w:sz w:val="24"/>
        </w:rPr>
        <w:t>图</w:t>
      </w:r>
    </w:p>
    <w:p>
      <w:pPr>
        <w:pStyle w:val="25"/>
        <w:spacing w:line="520" w:lineRule="exact"/>
        <w:ind w:firstLine="199" w:firstLineChars="83"/>
      </w:pPr>
      <w:r>
        <w:t>（2）养殖工艺说明</w:t>
      </w:r>
    </w:p>
    <w:p>
      <w:pPr>
        <w:adjustRightInd w:val="0"/>
        <w:snapToGrid w:val="0"/>
        <w:spacing w:line="520" w:lineRule="exact"/>
        <w:ind w:firstLine="480" w:firstLineChars="200"/>
        <w:rPr>
          <w:sz w:val="24"/>
          <w:szCs w:val="22"/>
        </w:rPr>
      </w:pPr>
      <w:r>
        <w:rPr>
          <w:sz w:val="24"/>
          <w:szCs w:val="22"/>
        </w:rPr>
        <w:t>本项目仔猪由</w:t>
      </w:r>
      <w:r>
        <w:rPr>
          <w:rFonts w:hint="eastAsia"/>
          <w:sz w:val="24"/>
          <w:szCs w:val="22"/>
        </w:rPr>
        <w:t>当地大型养殖场</w:t>
      </w:r>
      <w:r>
        <w:rPr>
          <w:sz w:val="24"/>
          <w:szCs w:val="22"/>
        </w:rPr>
        <w:t>统一配送，</w:t>
      </w:r>
      <w:r>
        <w:rPr>
          <w:rFonts w:hint="eastAsia"/>
          <w:sz w:val="24"/>
          <w:szCs w:val="22"/>
        </w:rPr>
        <w:t>直接进入育肥期</w:t>
      </w:r>
      <w:r>
        <w:rPr>
          <w:sz w:val="24"/>
          <w:szCs w:val="22"/>
        </w:rPr>
        <w:t>，经过117</w:t>
      </w:r>
      <w:r>
        <w:rPr>
          <w:rFonts w:hint="eastAsia"/>
          <w:sz w:val="24"/>
          <w:szCs w:val="22"/>
        </w:rPr>
        <w:t>d</w:t>
      </w:r>
      <w:r>
        <w:rPr>
          <w:sz w:val="24"/>
          <w:szCs w:val="22"/>
        </w:rPr>
        <w:t>左右的育肥饲养成长至约100kg即为成品商品猪，作为商品猪出售</w:t>
      </w:r>
      <w:r>
        <w:rPr>
          <w:rFonts w:hint="eastAsia"/>
          <w:sz w:val="24"/>
          <w:szCs w:val="22"/>
        </w:rPr>
        <w:t>。</w:t>
      </w:r>
    </w:p>
    <w:p>
      <w:pPr>
        <w:adjustRightInd w:val="0"/>
        <w:snapToGrid w:val="0"/>
        <w:spacing w:line="520" w:lineRule="exact"/>
        <w:ind w:firstLine="480" w:firstLineChars="200"/>
        <w:rPr>
          <w:rFonts w:hint="eastAsia"/>
          <w:sz w:val="24"/>
          <w:szCs w:val="22"/>
        </w:rPr>
      </w:pPr>
      <w:r>
        <w:rPr>
          <w:sz w:val="24"/>
          <w:szCs w:val="22"/>
        </w:rPr>
        <w:t>生长育肥阶段</w:t>
      </w:r>
      <w:r>
        <w:rPr>
          <w:rFonts w:hint="eastAsia"/>
          <w:sz w:val="24"/>
          <w:szCs w:val="22"/>
        </w:rPr>
        <w:t>：</w:t>
      </w:r>
    </w:p>
    <w:p>
      <w:pPr>
        <w:adjustRightInd w:val="0"/>
        <w:snapToGrid w:val="0"/>
        <w:spacing w:line="520" w:lineRule="exact"/>
        <w:ind w:firstLine="480" w:firstLineChars="200"/>
        <w:rPr>
          <w:sz w:val="24"/>
          <w:szCs w:val="22"/>
        </w:rPr>
      </w:pPr>
      <w:r>
        <w:rPr>
          <w:sz w:val="24"/>
          <w:szCs w:val="22"/>
        </w:rPr>
        <w:t>育肥舍在进猪前应进行维修和彻底地冲洗、消毒。进猪后保持舍内清洁、干燥、通风良好、饮水充足，温度控制在18～22</w:t>
      </w:r>
      <w:r>
        <w:rPr>
          <w:rFonts w:hint="eastAsia" w:ascii="宋体" w:hAnsi="宋体" w:cs="宋体"/>
          <w:sz w:val="24"/>
          <w:szCs w:val="22"/>
        </w:rPr>
        <w:t>℃</w:t>
      </w:r>
      <w:r>
        <w:rPr>
          <w:sz w:val="24"/>
          <w:szCs w:val="22"/>
        </w:rPr>
        <w:t>，夏季注意防暑降温。转群时应将原圈猪按体重大小、性别、强弱分群，每群大小应视圈舍大小而定。</w:t>
      </w:r>
    </w:p>
    <w:p>
      <w:pPr>
        <w:adjustRightInd w:val="0"/>
        <w:snapToGrid w:val="0"/>
        <w:spacing w:line="520" w:lineRule="exact"/>
        <w:ind w:firstLine="480" w:firstLineChars="200"/>
        <w:rPr>
          <w:sz w:val="24"/>
          <w:szCs w:val="22"/>
        </w:rPr>
      </w:pPr>
      <w:r>
        <w:rPr>
          <w:sz w:val="24"/>
          <w:szCs w:val="22"/>
        </w:rPr>
        <w:t>每月要定期称重，以检查饲喂效果。经常检查猪群的采食、发育等情况，及时调整饲料配方，发现疫病及时报告，采取有效措施进行治疗和处理。</w:t>
      </w:r>
    </w:p>
    <w:p>
      <w:pPr>
        <w:pStyle w:val="25"/>
        <w:spacing w:line="520" w:lineRule="exact"/>
        <w:ind w:firstLine="0" w:firstLineChars="0"/>
      </w:pPr>
      <w:r>
        <w:t>（3）养殖设备工艺</w:t>
      </w:r>
    </w:p>
    <w:p>
      <w:pPr>
        <w:pStyle w:val="25"/>
        <w:spacing w:line="520" w:lineRule="exact"/>
        <w:ind w:firstLine="480"/>
      </w:pPr>
      <w:r>
        <w:fldChar w:fldCharType="begin"/>
      </w:r>
      <w:r>
        <w:instrText xml:space="preserve"> = 1 \* GB3 </w:instrText>
      </w:r>
      <w:r>
        <w:fldChar w:fldCharType="separate"/>
      </w:r>
      <w:r>
        <w:t>①</w:t>
      </w:r>
      <w:r>
        <w:fldChar w:fldCharType="end"/>
      </w:r>
      <w:r>
        <w:t xml:space="preserve"> 供料系统</w:t>
      </w:r>
    </w:p>
    <w:p>
      <w:pPr>
        <w:pStyle w:val="25"/>
        <w:spacing w:line="520" w:lineRule="exact"/>
        <w:ind w:firstLine="480"/>
      </w:pPr>
      <w:r>
        <w:t>本项目场区内不设饲料制作车间，饲料</w:t>
      </w:r>
      <w:r>
        <w:rPr>
          <w:rFonts w:hint="eastAsia"/>
        </w:rPr>
        <w:t>全部外购</w:t>
      </w:r>
      <w:r>
        <w:t>，猪场采用全自动配送上料系统和限位猪槽，机械化操作，定时定量供应饲料，保证生猪饮食需求，同时减少浪费，节约人力和饲料用量，降低生产成本。</w:t>
      </w:r>
    </w:p>
    <w:p>
      <w:pPr>
        <w:pStyle w:val="25"/>
        <w:spacing w:line="520" w:lineRule="exact"/>
        <w:ind w:firstLine="480"/>
      </w:pPr>
      <w:r>
        <w:fldChar w:fldCharType="begin"/>
      </w:r>
      <w:r>
        <w:instrText xml:space="preserve"> = 2 \* GB3 </w:instrText>
      </w:r>
      <w:r>
        <w:fldChar w:fldCharType="separate"/>
      </w:r>
      <w:r>
        <w:t>②</w:t>
      </w:r>
      <w:r>
        <w:fldChar w:fldCharType="end"/>
      </w:r>
      <w:r>
        <w:t xml:space="preserve"> 饮水系统工艺说明</w:t>
      </w:r>
    </w:p>
    <w:p>
      <w:pPr>
        <w:spacing w:line="520" w:lineRule="exact"/>
        <w:ind w:firstLine="480" w:firstLineChars="200"/>
        <w:rPr>
          <w:sz w:val="24"/>
        </w:rPr>
      </w:pPr>
      <w:r>
        <w:rPr>
          <w:rFonts w:hAnsi="宋体"/>
          <w:sz w:val="24"/>
        </w:rPr>
        <w:t>项目采用先进的限位饮水器，限位饮水器的底部槽体液面始终维持在</w:t>
      </w:r>
      <w:r>
        <w:rPr>
          <w:sz w:val="24"/>
        </w:rPr>
        <w:t>2cm</w:t>
      </w:r>
      <w:r>
        <w:rPr>
          <w:rFonts w:hAnsi="宋体"/>
          <w:sz w:val="24"/>
        </w:rPr>
        <w:t>的液面高度，在此液面高度时，饮水器与外界空气形成负压，当生猪喝水时，饮水器与空气接触，内部压力大于外部压力，水自动地从管内流出直至液面高度在</w:t>
      </w:r>
      <w:r>
        <w:rPr>
          <w:sz w:val="24"/>
        </w:rPr>
        <w:t>2cm</w:t>
      </w:r>
      <w:r>
        <w:rPr>
          <w:rFonts w:hAnsi="宋体"/>
          <w:sz w:val="24"/>
        </w:rPr>
        <w:t>时饮水器自动停止供水。能保证生猪随时饮用新鲜水，同时避免不必要的浪费，节约水资源。</w:t>
      </w:r>
    </w:p>
    <w:p>
      <w:pPr>
        <w:ind w:firstLine="480"/>
        <w:rPr>
          <w:sz w:val="24"/>
          <w:szCs w:val="22"/>
        </w:rPr>
      </w:pPr>
      <w:r>
        <w:fldChar w:fldCharType="begin"/>
      </w:r>
      <w:r>
        <w:instrText xml:space="preserve"> = 3 \* GB3 </w:instrText>
      </w:r>
      <w:r>
        <w:fldChar w:fldCharType="separate"/>
      </w:r>
      <w:r>
        <w:rPr>
          <w:rFonts w:hint="eastAsia" w:ascii="宋体" w:hAnsi="宋体" w:cs="宋体"/>
        </w:rPr>
        <w:t>③</w:t>
      </w:r>
      <w:r>
        <w:fldChar w:fldCharType="end"/>
      </w:r>
      <w:r>
        <w:rPr>
          <w:sz w:val="24"/>
          <w:szCs w:val="22"/>
        </w:rPr>
        <w:t>控温系统工艺说明</w:t>
      </w:r>
    </w:p>
    <w:p>
      <w:pPr>
        <w:adjustRightInd w:val="0"/>
        <w:snapToGrid w:val="0"/>
        <w:spacing w:line="520" w:lineRule="exact"/>
        <w:ind w:firstLine="480" w:firstLineChars="200"/>
        <w:rPr>
          <w:bCs/>
          <w:sz w:val="24"/>
          <w:szCs w:val="28"/>
        </w:rPr>
      </w:pPr>
      <w:r>
        <w:rPr>
          <w:bCs/>
          <w:sz w:val="24"/>
          <w:szCs w:val="28"/>
        </w:rPr>
        <w:t>项目通过优化猪舍结构设计、墙体做隔热保温层来切断单元内外热传递。同时，猪舍冬季通风换气时，通过热交换系统对进、出风实行热交换，使单元内温度保持在猪适宜的温度范围内。具体措施如下：</w:t>
      </w:r>
    </w:p>
    <w:p>
      <w:pPr>
        <w:adjustRightInd w:val="0"/>
        <w:snapToGrid w:val="0"/>
        <w:spacing w:line="520" w:lineRule="exact"/>
        <w:ind w:firstLine="480" w:firstLineChars="200"/>
        <w:rPr>
          <w:bCs/>
          <w:sz w:val="24"/>
          <w:szCs w:val="28"/>
        </w:rPr>
      </w:pPr>
      <w:r>
        <w:rPr>
          <w:bCs/>
          <w:sz w:val="24"/>
          <w:szCs w:val="28"/>
        </w:rPr>
        <w:t>猪舍结构：墙体外铺挤塑式聚苯乙烯隔热保温板（冬季有很好的阻热作用）+猪舍内热交换</w:t>
      </w:r>
      <w:r>
        <w:rPr>
          <w:rFonts w:hint="eastAsia"/>
          <w:bCs/>
          <w:sz w:val="24"/>
          <w:szCs w:val="28"/>
        </w:rPr>
        <w:t>系统</w:t>
      </w:r>
      <w:r>
        <w:rPr>
          <w:bCs/>
          <w:sz w:val="24"/>
          <w:szCs w:val="28"/>
        </w:rPr>
        <w:t>（冬季有效利用热量，较少热量损失）+ 风机（夏季有很好的通风作用）。墙体由挤塑式聚苯乙烯隔热保温板（简称“挤塑板”）来切断猪舍内外热传递，该材料具有高热阻、低线性、膨胀比低的特点，其结构的闭孔率达到了99%以上，形成真空层，避免空气流动散热，确保其保温性能的持久和稳定。</w:t>
      </w:r>
    </w:p>
    <w:p>
      <w:pPr>
        <w:widowControl/>
        <w:adjustRightInd w:val="0"/>
        <w:snapToGrid w:val="0"/>
        <w:spacing w:line="520" w:lineRule="exact"/>
        <w:ind w:firstLine="480" w:firstLineChars="200"/>
        <w:jc w:val="left"/>
        <w:rPr>
          <w:bCs/>
          <w:sz w:val="24"/>
          <w:szCs w:val="28"/>
        </w:rPr>
      </w:pPr>
      <w:r>
        <w:rPr>
          <w:bCs/>
          <w:sz w:val="24"/>
          <w:szCs w:val="28"/>
        </w:rPr>
        <w:t>热交换</w:t>
      </w:r>
      <w:r>
        <w:rPr>
          <w:rFonts w:hint="eastAsia"/>
          <w:bCs/>
          <w:sz w:val="24"/>
          <w:szCs w:val="28"/>
        </w:rPr>
        <w:t>系统</w:t>
      </w:r>
      <w:r>
        <w:rPr>
          <w:bCs/>
          <w:sz w:val="24"/>
          <w:szCs w:val="28"/>
        </w:rPr>
        <w:t>主要原理：热交换通风系统主要包括</w:t>
      </w:r>
      <w:r>
        <w:rPr>
          <w:rFonts w:hint="eastAsia"/>
          <w:bCs/>
          <w:sz w:val="24"/>
          <w:szCs w:val="28"/>
        </w:rPr>
        <w:t>猪舍</w:t>
      </w:r>
      <w:r>
        <w:rPr>
          <w:bCs/>
          <w:sz w:val="24"/>
          <w:szCs w:val="28"/>
        </w:rPr>
        <w:t>保温墙、</w:t>
      </w:r>
      <w:r>
        <w:rPr>
          <w:rFonts w:hint="eastAsia"/>
          <w:bCs/>
          <w:sz w:val="24"/>
          <w:szCs w:val="28"/>
        </w:rPr>
        <w:t>风机</w:t>
      </w:r>
      <w:r>
        <w:rPr>
          <w:bCs/>
          <w:sz w:val="24"/>
          <w:szCs w:val="28"/>
        </w:rPr>
        <w:t>、风管布风管</w:t>
      </w:r>
      <w:r>
        <w:rPr>
          <w:rFonts w:hint="eastAsia"/>
          <w:bCs/>
          <w:sz w:val="24"/>
          <w:szCs w:val="28"/>
        </w:rPr>
        <w:t>及</w:t>
      </w:r>
      <w:r>
        <w:rPr>
          <w:bCs/>
          <w:sz w:val="24"/>
          <w:szCs w:val="28"/>
        </w:rPr>
        <w:t>窗户等。其中布风管和进风管相联通安装于猪舍上部，中间为猪群生活的漏缝板，猪舍下部为封闭的排风道，变速风机位于猪舍另一侧排风道中间。当变速风机启动时，从封闭通道抽出猪舍内部污浊高温的空气，室外清新的冷空气经由进风道进入猪舍内。因进风管采用导热性能较好的材料制成，在冷空气进入猪舍内的过程中，可通过进风管壁与猪舍内空气进行充分的热交换，使进入猪舍的新鲜空气温度大大提高，避免了猪群在生长过程中的冷应激作用。</w:t>
      </w:r>
    </w:p>
    <w:p>
      <w:pPr>
        <w:widowControl/>
        <w:adjustRightInd w:val="0"/>
        <w:snapToGrid w:val="0"/>
        <w:spacing w:line="520" w:lineRule="exact"/>
        <w:ind w:firstLine="480" w:firstLineChars="200"/>
        <w:jc w:val="left"/>
        <w:rPr>
          <w:bCs/>
          <w:sz w:val="24"/>
          <w:szCs w:val="28"/>
        </w:rPr>
      </w:pPr>
      <w:r>
        <w:rPr>
          <w:bCs/>
          <w:sz w:val="24"/>
          <w:szCs w:val="28"/>
        </w:rPr>
        <w:t>在对猪舍内外空气进行交换的同时，也进行热量交换，猪舍在热交换的过程中，实施最小通风量，防止过度通风带来不必要的热量损失。运行时，新风从排风获得热量，温度升高，通过换热芯体的全热换热过程，让新风从排风中回收能量，保证在通风时也保持猪舍内部温度，既保证了猪群对新鲜空气的需要，又保证猪舍内有害气体不超标，同时满足了通风和稳定猪舍温度的需求，节约了能源消耗，降低了饲养成本。</w:t>
      </w:r>
    </w:p>
    <w:p>
      <w:pPr>
        <w:adjustRightInd w:val="0"/>
        <w:snapToGrid w:val="0"/>
        <w:spacing w:line="520" w:lineRule="exact"/>
        <w:ind w:firstLine="480" w:firstLineChars="200"/>
        <w:rPr>
          <w:bCs/>
          <w:sz w:val="24"/>
          <w:szCs w:val="28"/>
        </w:rPr>
      </w:pPr>
      <w:r>
        <w:rPr>
          <w:bCs/>
          <w:sz w:val="24"/>
          <w:szCs w:val="28"/>
        </w:rPr>
        <w:t>冬季保温：主要是通过猪舍墙体保温材料与外部断绝热交换，猪舍内部通风通过热交换</w:t>
      </w:r>
      <w:r>
        <w:rPr>
          <w:rFonts w:hint="eastAsia"/>
          <w:bCs/>
          <w:sz w:val="24"/>
          <w:szCs w:val="28"/>
        </w:rPr>
        <w:t>系统</w:t>
      </w:r>
      <w:r>
        <w:rPr>
          <w:bCs/>
          <w:sz w:val="24"/>
          <w:szCs w:val="28"/>
        </w:rPr>
        <w:t>进行，实施最小通风量，既保证猪需要的氧气量，又保证猪舍内有害气体不超标，防止过度通风降低猪舍温度。</w:t>
      </w:r>
    </w:p>
    <w:p>
      <w:pPr>
        <w:spacing w:line="500" w:lineRule="exact"/>
        <w:ind w:firstLine="480" w:firstLineChars="200"/>
        <w:rPr>
          <w:sz w:val="24"/>
        </w:rPr>
      </w:pPr>
      <w:r>
        <w:rPr>
          <w:sz w:val="24"/>
        </w:rPr>
        <w:fldChar w:fldCharType="begin"/>
      </w:r>
      <w:r>
        <w:rPr>
          <w:sz w:val="24"/>
        </w:rPr>
        <w:instrText xml:space="preserve"> = 4 \* GB3 </w:instrText>
      </w:r>
      <w:r>
        <w:rPr>
          <w:sz w:val="24"/>
        </w:rPr>
        <w:fldChar w:fldCharType="separate"/>
      </w:r>
      <w:r>
        <w:rPr>
          <w:sz w:val="24"/>
        </w:rPr>
        <w:t>④</w:t>
      </w:r>
      <w:r>
        <w:rPr>
          <w:sz w:val="24"/>
        </w:rPr>
        <w:fldChar w:fldCharType="end"/>
      </w:r>
      <w:r>
        <w:rPr>
          <w:sz w:val="24"/>
        </w:rPr>
        <w:t xml:space="preserve"> 降温系统</w:t>
      </w:r>
    </w:p>
    <w:p>
      <w:pPr>
        <w:spacing w:line="520" w:lineRule="exact"/>
        <w:ind w:firstLine="480" w:firstLineChars="200"/>
        <w:rPr>
          <w:bCs/>
          <w:sz w:val="24"/>
        </w:rPr>
      </w:pPr>
      <w:r>
        <w:rPr>
          <w:bCs/>
          <w:sz w:val="24"/>
          <w:szCs w:val="28"/>
        </w:rPr>
        <w:t>夏季降温：</w:t>
      </w:r>
      <w:r>
        <w:rPr>
          <w:sz w:val="24"/>
        </w:rPr>
        <w:t>为了降低能耗，提高效率，育肥猪舍采用喷雾降温，在专门的降温水管上装有喷头，水雾喷到猪群身上，通过</w:t>
      </w:r>
      <w:r>
        <w:rPr>
          <w:bCs/>
          <w:sz w:val="24"/>
        </w:rPr>
        <w:t>猪舍内的风机作用，促进蒸发降温。降温通过电脑控制，室温高于30</w:t>
      </w:r>
      <w:r>
        <w:rPr>
          <w:rFonts w:hint="eastAsia"/>
          <w:bCs/>
          <w:sz w:val="24"/>
        </w:rPr>
        <w:t>℃</w:t>
      </w:r>
      <w:r>
        <w:rPr>
          <w:bCs/>
          <w:sz w:val="24"/>
        </w:rPr>
        <w:t>时，喷淋每喷30s，停15</w:t>
      </w:r>
      <w:r>
        <w:rPr>
          <w:rFonts w:hint="eastAsia"/>
          <w:bCs/>
          <w:sz w:val="24"/>
        </w:rPr>
        <w:t>min</w:t>
      </w:r>
      <w:r>
        <w:rPr>
          <w:bCs/>
          <w:sz w:val="24"/>
        </w:rPr>
        <w:t>。保育猪舍通过通风系统即可满足降温需求，无须喷雾降温。</w:t>
      </w:r>
    </w:p>
    <w:p>
      <w:pPr>
        <w:pStyle w:val="25"/>
        <w:spacing w:line="520" w:lineRule="exact"/>
        <w:ind w:firstLine="480"/>
      </w:pPr>
      <w:r>
        <w:fldChar w:fldCharType="begin"/>
      </w:r>
      <w:r>
        <w:instrText xml:space="preserve"> = 5 \* GB3 </w:instrText>
      </w:r>
      <w:r>
        <w:fldChar w:fldCharType="separate"/>
      </w:r>
      <w:r>
        <w:t>⑤</w:t>
      </w:r>
      <w:r>
        <w:fldChar w:fldCharType="end"/>
      </w:r>
      <w:r>
        <w:t xml:space="preserve"> 卫生防疫</w:t>
      </w:r>
    </w:p>
    <w:p>
      <w:pPr>
        <w:spacing w:line="520" w:lineRule="exact"/>
        <w:ind w:firstLine="480" w:firstLineChars="200"/>
        <w:rPr>
          <w:sz w:val="24"/>
        </w:rPr>
      </w:pPr>
      <w:bookmarkStart w:id="234" w:name="_Toc1553"/>
      <w:r>
        <w:rPr>
          <w:rFonts w:hint="eastAsia"/>
          <w:sz w:val="24"/>
        </w:rPr>
        <w:t>育肥</w:t>
      </w:r>
      <w:r>
        <w:rPr>
          <w:sz w:val="24"/>
        </w:rPr>
        <w:t>猪出栏后，通过高压水枪喷淋烧碱水或石灰水对猪舍进行消毒处理，发生特别疫情时用高锰酸钾消毒液进行消毒处理。</w:t>
      </w:r>
    </w:p>
    <w:p>
      <w:pPr>
        <w:spacing w:line="520" w:lineRule="exact"/>
        <w:ind w:firstLine="480" w:firstLineChars="200"/>
        <w:rPr>
          <w:sz w:val="24"/>
        </w:rPr>
      </w:pPr>
      <w:r>
        <w:rPr>
          <w:sz w:val="24"/>
        </w:rPr>
        <w:t>场内部养殖区、办公生活区建设实体隔离墙；场区、生产场区大门口建设与门</w:t>
      </w:r>
      <w:r>
        <w:rPr>
          <w:color w:val="auto"/>
          <w:sz w:val="24"/>
        </w:rPr>
        <w:t>同</w:t>
      </w:r>
      <w:r>
        <w:rPr>
          <w:color w:val="auto"/>
          <w:sz w:val="24"/>
          <w:highlight w:val="none"/>
        </w:rPr>
        <w:t>宽，长</w:t>
      </w:r>
      <w:r>
        <w:rPr>
          <w:rFonts w:hint="eastAsia"/>
          <w:color w:val="auto"/>
          <w:sz w:val="24"/>
          <w:highlight w:val="none"/>
        </w:rPr>
        <w:t>12</w:t>
      </w:r>
      <w:r>
        <w:rPr>
          <w:color w:val="auto"/>
          <w:sz w:val="24"/>
          <w:highlight w:val="none"/>
        </w:rPr>
        <w:t>m，宽3.5m，深0.2m的消毒池。</w:t>
      </w:r>
    </w:p>
    <w:p>
      <w:pPr>
        <w:tabs>
          <w:tab w:val="left" w:pos="624"/>
        </w:tabs>
        <w:spacing w:line="520" w:lineRule="exact"/>
        <w:ind w:firstLine="480" w:firstLineChars="200"/>
        <w:jc w:val="left"/>
        <w:rPr>
          <w:rFonts w:hAnsi="宋体"/>
          <w:sz w:val="24"/>
        </w:rPr>
      </w:pPr>
      <w:r>
        <w:rPr>
          <w:sz w:val="24"/>
        </w:rPr>
        <w:fldChar w:fldCharType="begin"/>
      </w:r>
      <w:r>
        <w:rPr>
          <w:sz w:val="24"/>
        </w:rPr>
        <w:instrText xml:space="preserve"> </w:instrText>
      </w:r>
      <w:r>
        <w:rPr>
          <w:rFonts w:hint="eastAsia"/>
          <w:sz w:val="24"/>
        </w:rPr>
        <w:instrText xml:space="preserve">= 6 \* GB3</w:instrText>
      </w:r>
      <w:r>
        <w:rPr>
          <w:sz w:val="24"/>
        </w:rPr>
        <w:instrText xml:space="preserve"> </w:instrText>
      </w:r>
      <w:r>
        <w:rPr>
          <w:sz w:val="24"/>
        </w:rPr>
        <w:fldChar w:fldCharType="separate"/>
      </w:r>
      <w:r>
        <w:rPr>
          <w:rFonts w:hint="eastAsia"/>
          <w:sz w:val="24"/>
        </w:rPr>
        <w:t>⑥</w:t>
      </w:r>
      <w:r>
        <w:rPr>
          <w:sz w:val="24"/>
        </w:rPr>
        <w:fldChar w:fldCharType="end"/>
      </w:r>
      <w:r>
        <w:rPr>
          <w:rFonts w:hAnsi="宋体"/>
          <w:sz w:val="24"/>
        </w:rPr>
        <w:t>漏缝地板粪污处理</w:t>
      </w:r>
    </w:p>
    <w:p>
      <w:pPr>
        <w:tabs>
          <w:tab w:val="left" w:pos="624"/>
        </w:tabs>
        <w:spacing w:line="520" w:lineRule="exact"/>
        <w:ind w:firstLine="480" w:firstLineChars="200"/>
        <w:rPr>
          <w:rFonts w:hAnsi="宋体"/>
          <w:sz w:val="24"/>
        </w:rPr>
      </w:pPr>
      <w:r>
        <w:rPr>
          <w:rFonts w:hAnsi="宋体"/>
          <w:sz w:val="24"/>
        </w:rPr>
        <w:t>生猪饲养猪舍采用漏缝地板饲养，漏缝地板下设贮存池，粪尿在贮存池中贮存后到治污区，通过固液分离机对粪污进行干湿分离，猪粪</w:t>
      </w:r>
      <w:r>
        <w:rPr>
          <w:rFonts w:hint="eastAsia" w:hAnsi="宋体"/>
          <w:sz w:val="24"/>
        </w:rPr>
        <w:t>固粪堆存区暂存后外售制有机肥</w:t>
      </w:r>
      <w:r>
        <w:rPr>
          <w:rFonts w:hAnsi="宋体"/>
          <w:sz w:val="24"/>
        </w:rPr>
        <w:t>，废水进入</w:t>
      </w:r>
      <w:r>
        <w:rPr>
          <w:rFonts w:hint="eastAsia" w:hAnsi="宋体"/>
          <w:sz w:val="24"/>
        </w:rPr>
        <w:t>沼气工程区</w:t>
      </w:r>
      <w:r>
        <w:rPr>
          <w:rFonts w:hAnsi="宋体"/>
          <w:sz w:val="24"/>
        </w:rPr>
        <w:t>生产沼气。</w:t>
      </w:r>
    </w:p>
    <w:p>
      <w:pPr>
        <w:pStyle w:val="2"/>
        <w:snapToGrid w:val="0"/>
        <w:spacing w:before="0" w:after="0" w:line="520" w:lineRule="exact"/>
        <w:rPr>
          <w:rFonts w:eastAsia="黑体"/>
          <w:b w:val="0"/>
          <w:bCs w:val="0"/>
          <w:sz w:val="24"/>
          <w:szCs w:val="24"/>
        </w:rPr>
      </w:pPr>
      <w:r>
        <w:rPr>
          <w:rFonts w:eastAsia="黑体"/>
          <w:b w:val="0"/>
          <w:bCs w:val="0"/>
          <w:sz w:val="24"/>
          <w:szCs w:val="24"/>
        </w:rPr>
        <w:t>2.2.2养殖模式与清粪模式</w:t>
      </w:r>
      <w:bookmarkEnd w:id="234"/>
    </w:p>
    <w:p>
      <w:pPr>
        <w:spacing w:line="520" w:lineRule="exact"/>
        <w:ind w:firstLine="480" w:firstLineChars="200"/>
        <w:rPr>
          <w:sz w:val="24"/>
        </w:rPr>
      </w:pPr>
      <w:bookmarkStart w:id="235" w:name="_Toc6340"/>
      <w:r>
        <w:rPr>
          <w:rFonts w:hAnsi="宋体"/>
          <w:sz w:val="24"/>
        </w:rPr>
        <w:t>（</w:t>
      </w:r>
      <w:r>
        <w:rPr>
          <w:sz w:val="24"/>
        </w:rPr>
        <w:t>1</w:t>
      </w:r>
      <w:r>
        <w:rPr>
          <w:rFonts w:hAnsi="宋体"/>
          <w:sz w:val="24"/>
        </w:rPr>
        <w:t>）猪场养殖模式</w:t>
      </w:r>
    </w:p>
    <w:p>
      <w:pPr>
        <w:spacing w:line="520" w:lineRule="exact"/>
        <w:ind w:firstLine="480" w:firstLineChars="200"/>
        <w:rPr>
          <w:sz w:val="24"/>
        </w:rPr>
      </w:pPr>
      <w:r>
        <w:rPr>
          <w:rFonts w:hAnsi="宋体"/>
          <w:sz w:val="24"/>
        </w:rPr>
        <w:t>猪舍的设计养殖模式与清粪工艺、养殖规模、饲养方式、劳动效率、卫生防疫及养殖成本都有着密切的关系。通过考察及查阅相关资料得知，目前国内已建猪场并存的模式有农舍式、通仓式、生态垫料和高架床等。</w:t>
      </w:r>
    </w:p>
    <w:p>
      <w:pPr>
        <w:spacing w:line="520" w:lineRule="exact"/>
        <w:ind w:firstLine="480" w:firstLineChars="200"/>
        <w:rPr>
          <w:sz w:val="24"/>
        </w:rPr>
      </w:pPr>
      <w:r>
        <w:rPr>
          <w:sz w:val="24"/>
        </w:rPr>
        <w:t>A</w:t>
      </w:r>
      <w:r>
        <w:rPr>
          <w:rFonts w:hint="eastAsia"/>
          <w:sz w:val="24"/>
        </w:rPr>
        <w:t>、</w:t>
      </w:r>
      <w:r>
        <w:rPr>
          <w:rFonts w:hAnsi="宋体"/>
          <w:sz w:val="24"/>
        </w:rPr>
        <w:t>农舍式</w:t>
      </w:r>
    </w:p>
    <w:p>
      <w:pPr>
        <w:spacing w:line="520" w:lineRule="exact"/>
        <w:ind w:firstLine="480" w:firstLineChars="200"/>
        <w:rPr>
          <w:sz w:val="24"/>
        </w:rPr>
      </w:pPr>
      <w:r>
        <w:rPr>
          <w:rFonts w:hAnsi="宋体"/>
          <w:sz w:val="24"/>
        </w:rPr>
        <w:t>农舍式基本上由传统的农家猪舍改造集合而成，每个养猪单元内划分休息区、喂食饮水区、排粪区。排粪区内的尿液至收集槽内汇集，猪粪由人工清除后运出，以水冲洗残渣，属于</w:t>
      </w:r>
      <w:r>
        <w:rPr>
          <w:rFonts w:hint="eastAsia" w:hAnsi="宋体"/>
          <w:sz w:val="24"/>
        </w:rPr>
        <w:t>环保部</w:t>
      </w:r>
      <w:r>
        <w:rPr>
          <w:rFonts w:hAnsi="宋体"/>
          <w:sz w:val="24"/>
        </w:rPr>
        <w:t>认定的干清粪模式。</w:t>
      </w:r>
    </w:p>
    <w:p>
      <w:pPr>
        <w:spacing w:line="520" w:lineRule="exact"/>
        <w:ind w:firstLine="480" w:firstLineChars="200"/>
        <w:rPr>
          <w:sz w:val="24"/>
        </w:rPr>
      </w:pPr>
      <w:r>
        <w:rPr>
          <w:rFonts w:hAnsi="宋体"/>
          <w:sz w:val="24"/>
        </w:rPr>
        <w:t>优点：该模式符合《畜禽养殖业污染防治技术规范》（</w:t>
      </w:r>
      <w:r>
        <w:rPr>
          <w:sz w:val="24"/>
        </w:rPr>
        <w:t>HJ/T81-2001</w:t>
      </w:r>
      <w:r>
        <w:rPr>
          <w:rFonts w:hAnsi="宋体"/>
          <w:sz w:val="24"/>
        </w:rPr>
        <w:t>）中</w:t>
      </w:r>
      <w:r>
        <w:rPr>
          <w:sz w:val="24"/>
        </w:rPr>
        <w:t>4.3</w:t>
      </w:r>
      <w:r>
        <w:rPr>
          <w:rFonts w:hAnsi="宋体"/>
          <w:sz w:val="24"/>
        </w:rPr>
        <w:t>款</w:t>
      </w:r>
      <w:r>
        <w:rPr>
          <w:sz w:val="24"/>
        </w:rPr>
        <w:t>“</w:t>
      </w:r>
      <w:r>
        <w:rPr>
          <w:rFonts w:hAnsi="宋体"/>
          <w:sz w:val="24"/>
        </w:rPr>
        <w:t>新建、改建、扩建的畜禽养殖场应采取</w:t>
      </w:r>
      <w:r>
        <w:rPr>
          <w:rFonts w:hint="eastAsia" w:hAnsi="宋体"/>
          <w:sz w:val="24"/>
        </w:rPr>
        <w:t>环保部</w:t>
      </w:r>
      <w:r>
        <w:rPr>
          <w:rFonts w:hAnsi="宋体"/>
          <w:sz w:val="24"/>
        </w:rPr>
        <w:t>认定的干清粪工艺，采取有效措施及时、单独清出，不可与尿、污水混合排出，并将产生的粪渣及时运至贮存或处理场所，实现日产日清</w:t>
      </w:r>
      <w:r>
        <w:rPr>
          <w:sz w:val="24"/>
        </w:rPr>
        <w:t>”</w:t>
      </w:r>
      <w:r>
        <w:rPr>
          <w:rFonts w:hAnsi="宋体"/>
          <w:sz w:val="24"/>
        </w:rPr>
        <w:t>的要求。粪便与尿液分离彻底，废水污染物浓度低，便于污水的后续处理。</w:t>
      </w:r>
    </w:p>
    <w:p>
      <w:pPr>
        <w:spacing w:line="520" w:lineRule="exact"/>
        <w:ind w:firstLine="480" w:firstLineChars="200"/>
        <w:rPr>
          <w:sz w:val="24"/>
        </w:rPr>
      </w:pPr>
      <w:r>
        <w:rPr>
          <w:rFonts w:hAnsi="宋体"/>
          <w:sz w:val="24"/>
        </w:rPr>
        <w:t>缺点：该模式存在以下问题：</w:t>
      </w:r>
      <w:r>
        <w:rPr>
          <w:sz w:val="24"/>
        </w:rPr>
        <w:t>a</w:t>
      </w:r>
      <w:r>
        <w:rPr>
          <w:rFonts w:hAnsi="宋体"/>
          <w:sz w:val="24"/>
        </w:rPr>
        <w:t>、难以实现机械化操作，平均一名饲养员只能饲养</w:t>
      </w:r>
      <w:r>
        <w:rPr>
          <w:sz w:val="24"/>
        </w:rPr>
        <w:t>300</w:t>
      </w:r>
      <w:r>
        <w:rPr>
          <w:rFonts w:hAnsi="宋体"/>
          <w:sz w:val="24"/>
        </w:rPr>
        <w:t>头生猪，劳动力需求大；</w:t>
      </w:r>
      <w:r>
        <w:rPr>
          <w:sz w:val="24"/>
        </w:rPr>
        <w:t>b</w:t>
      </w:r>
      <w:r>
        <w:rPr>
          <w:rFonts w:hAnsi="宋体"/>
          <w:sz w:val="24"/>
        </w:rPr>
        <w:t>、猪舍占地面积大，相应的增加了冲洗面积，冲洗水量和废水产生量大；</w:t>
      </w:r>
      <w:r>
        <w:rPr>
          <w:sz w:val="24"/>
        </w:rPr>
        <w:t>c</w:t>
      </w:r>
      <w:r>
        <w:rPr>
          <w:rFonts w:hAnsi="宋体"/>
          <w:sz w:val="24"/>
        </w:rPr>
        <w:t>、单位面积经济产出低，不适于集约化经营。</w:t>
      </w:r>
    </w:p>
    <w:p>
      <w:pPr>
        <w:spacing w:line="520" w:lineRule="exact"/>
        <w:ind w:firstLine="480" w:firstLineChars="200"/>
        <w:rPr>
          <w:sz w:val="24"/>
        </w:rPr>
      </w:pPr>
      <w:r>
        <w:rPr>
          <w:sz w:val="24"/>
        </w:rPr>
        <w:t>B</w:t>
      </w:r>
      <w:r>
        <w:rPr>
          <w:rFonts w:hint="eastAsia"/>
          <w:sz w:val="24"/>
        </w:rPr>
        <w:t>、</w:t>
      </w:r>
      <w:r>
        <w:rPr>
          <w:rFonts w:hAnsi="宋体"/>
          <w:sz w:val="24"/>
        </w:rPr>
        <w:t>通仓式</w:t>
      </w:r>
    </w:p>
    <w:p>
      <w:pPr>
        <w:spacing w:line="520" w:lineRule="exact"/>
        <w:ind w:firstLine="480" w:firstLineChars="200"/>
        <w:rPr>
          <w:sz w:val="24"/>
        </w:rPr>
      </w:pPr>
      <w:r>
        <w:rPr>
          <w:rFonts w:hAnsi="宋体"/>
          <w:sz w:val="24"/>
        </w:rPr>
        <w:t>通仓式为</w:t>
      </w:r>
      <w:r>
        <w:rPr>
          <w:sz w:val="24"/>
        </w:rPr>
        <w:t>20</w:t>
      </w:r>
      <w:r>
        <w:rPr>
          <w:rFonts w:hAnsi="宋体"/>
          <w:sz w:val="24"/>
        </w:rPr>
        <w:t>世纪</w:t>
      </w:r>
      <w:r>
        <w:rPr>
          <w:sz w:val="24"/>
        </w:rPr>
        <w:t>80</w:t>
      </w:r>
      <w:r>
        <w:rPr>
          <w:rFonts w:hAnsi="宋体"/>
          <w:sz w:val="24"/>
        </w:rPr>
        <w:t>年代由西方引进的水冲粪模式改造而来，圈舍呈条排式设计，净道和脏道于圈舍两端贯穿，净道上料、脏道清粪。脏道设于车间内或车间内，猪粪尿排入脏道内，由人工清出固粪，尿液排入集尿池内，再用水冲洗猪舍和脏道。</w:t>
      </w:r>
    </w:p>
    <w:p>
      <w:pPr>
        <w:spacing w:line="520" w:lineRule="exact"/>
        <w:ind w:firstLine="480" w:firstLineChars="200"/>
        <w:rPr>
          <w:sz w:val="24"/>
        </w:rPr>
      </w:pPr>
      <w:r>
        <w:rPr>
          <w:rFonts w:hAnsi="宋体"/>
          <w:sz w:val="24"/>
        </w:rPr>
        <w:t>优点：可保持猪舍内的环境清洁，利于动物健康。劳动强度小，劳动效率高。</w:t>
      </w:r>
    </w:p>
    <w:p>
      <w:pPr>
        <w:spacing w:line="520" w:lineRule="exact"/>
        <w:ind w:firstLine="480" w:firstLineChars="200"/>
        <w:rPr>
          <w:sz w:val="24"/>
        </w:rPr>
      </w:pPr>
      <w:r>
        <w:rPr>
          <w:rFonts w:hAnsi="宋体"/>
          <w:sz w:val="24"/>
        </w:rPr>
        <w:t>缺点：耗水量大，废水污染物浓度高，固液分离后，大部分可溶性有机质及微量元素等留在污水中，分离出的固体物养分含量低，肥料利用价值较小，另外污水处理基建投资大，动力消耗及运行成本均较高。</w:t>
      </w:r>
    </w:p>
    <w:p>
      <w:pPr>
        <w:spacing w:line="520" w:lineRule="exact"/>
        <w:ind w:firstLine="480" w:firstLineChars="200"/>
        <w:rPr>
          <w:sz w:val="24"/>
        </w:rPr>
      </w:pPr>
      <w:r>
        <w:rPr>
          <w:sz w:val="24"/>
        </w:rPr>
        <w:t>C</w:t>
      </w:r>
      <w:r>
        <w:rPr>
          <w:rFonts w:hint="eastAsia"/>
          <w:sz w:val="24"/>
        </w:rPr>
        <w:t>、</w:t>
      </w:r>
      <w:r>
        <w:rPr>
          <w:rFonts w:hAnsi="宋体"/>
          <w:sz w:val="24"/>
        </w:rPr>
        <w:t>生态垫料</w:t>
      </w:r>
    </w:p>
    <w:p>
      <w:pPr>
        <w:spacing w:line="520" w:lineRule="exact"/>
        <w:ind w:firstLine="480" w:firstLineChars="200"/>
        <w:rPr>
          <w:sz w:val="24"/>
        </w:rPr>
      </w:pPr>
      <w:r>
        <w:rPr>
          <w:rFonts w:hAnsi="宋体"/>
          <w:sz w:val="24"/>
        </w:rPr>
        <w:t>发酵床为日本、台湾等地区广泛采用的养殖工艺，由福建、山东等地引入。具体工艺是粪尿排至舍内预铺设垫料上，再利用生猪的拱翻习性作为机器加工，使猪粪、尿和垫料充分混合，通过发酵床的分解发酵，使猪粪、尿中的有机物质得到充分的分解和转化，植物以尚未消化的猪粪为食饵，繁殖滋生。随着猪粪尿的处理，臭味也就没有了。而同时繁殖生长的大量植物又向生猪提供了无机物营养和菌体蛋白质被猪食用，从而相辅相成将猪舍垫料发酵床演变成微生态饲料加工厂，达到无臭、无味、无害化的目的，是一种无污染、无排放的、无臭气的新型环保</w:t>
      </w:r>
      <w:r>
        <w:rPr>
          <w:sz w:val="24"/>
        </w:rPr>
        <w:fldChar w:fldCharType="begin"/>
      </w:r>
      <w:r>
        <w:rPr>
          <w:sz w:val="24"/>
        </w:rPr>
        <w:instrText xml:space="preserve">HYPERLINK "http://baike.baidu.com/view/3923967.htm"</w:instrText>
      </w:r>
      <w:r>
        <w:rPr>
          <w:sz w:val="24"/>
        </w:rPr>
        <w:fldChar w:fldCharType="separate"/>
      </w:r>
      <w:r>
        <w:rPr>
          <w:rFonts w:hAnsi="宋体"/>
          <w:sz w:val="24"/>
        </w:rPr>
        <w:t>生态养猪技术</w:t>
      </w:r>
      <w:r>
        <w:rPr>
          <w:sz w:val="24"/>
        </w:rPr>
        <w:fldChar w:fldCharType="end"/>
      </w:r>
      <w:r>
        <w:rPr>
          <w:rFonts w:hAnsi="宋体"/>
          <w:sz w:val="24"/>
        </w:rPr>
        <w:t>。其特点是粪污固性化，利于资源化处理利用，排污周期长，养殖期无需人工清粪。</w:t>
      </w:r>
    </w:p>
    <w:p>
      <w:pPr>
        <w:spacing w:line="520" w:lineRule="exact"/>
        <w:ind w:firstLine="480" w:firstLineChars="200"/>
        <w:rPr>
          <w:sz w:val="24"/>
        </w:rPr>
      </w:pPr>
      <w:r>
        <w:rPr>
          <w:rFonts w:hAnsi="宋体"/>
          <w:sz w:val="24"/>
        </w:rPr>
        <w:t>优点：基建投资小；冬季猪舍不需加温，节约资源能源；粪污资源化利用程度高；无需人工清粪。</w:t>
      </w:r>
    </w:p>
    <w:p>
      <w:pPr>
        <w:spacing w:line="520" w:lineRule="exact"/>
        <w:ind w:firstLine="480" w:firstLineChars="200"/>
        <w:rPr>
          <w:sz w:val="24"/>
        </w:rPr>
      </w:pPr>
      <w:r>
        <w:rPr>
          <w:rFonts w:hAnsi="宋体"/>
          <w:sz w:val="24"/>
        </w:rPr>
        <w:t>缺点：垫料菌种投资大；生猪料肉比低，生长周期长，饲料投入大；猪粪在垫料上需要翻料埋粪，劳动强度大；夏季温度高，需做降温处理，冬季不宜冲水，垫料干燥，猪舍内粉尘量大，易引发呼吸道疾病。</w:t>
      </w:r>
    </w:p>
    <w:p>
      <w:pPr>
        <w:spacing w:line="520" w:lineRule="exact"/>
        <w:ind w:firstLine="480" w:firstLineChars="200"/>
        <w:rPr>
          <w:sz w:val="24"/>
        </w:rPr>
      </w:pPr>
      <w:r>
        <w:rPr>
          <w:sz w:val="24"/>
        </w:rPr>
        <w:t>D</w:t>
      </w:r>
      <w:r>
        <w:rPr>
          <w:rFonts w:hint="eastAsia"/>
          <w:sz w:val="24"/>
        </w:rPr>
        <w:t>、</w:t>
      </w:r>
      <w:r>
        <w:rPr>
          <w:rFonts w:hAnsi="宋体"/>
          <w:sz w:val="24"/>
        </w:rPr>
        <w:t>高架床</w:t>
      </w:r>
      <w:r>
        <w:rPr>
          <w:sz w:val="24"/>
        </w:rPr>
        <w:tab/>
      </w:r>
    </w:p>
    <w:p>
      <w:pPr>
        <w:spacing w:line="520" w:lineRule="exact"/>
        <w:ind w:firstLine="480" w:firstLineChars="200"/>
        <w:rPr>
          <w:sz w:val="24"/>
        </w:rPr>
      </w:pPr>
      <w:r>
        <w:rPr>
          <w:rFonts w:hAnsi="宋体"/>
          <w:sz w:val="24"/>
        </w:rPr>
        <w:t>高架床属欧美等西方国家推广和普遍采用的先进养殖模式，猪舍设计为高架网床漏缝板，下部设集粪池，猪粪和尿液经漏缝板下泄至集粪池内，池中预加水作水封，单池排贮周期为</w:t>
      </w:r>
      <w:r>
        <w:rPr>
          <w:sz w:val="24"/>
        </w:rPr>
        <w:t>2~3</w:t>
      </w:r>
      <w:r>
        <w:rPr>
          <w:rFonts w:hAnsi="宋体"/>
          <w:sz w:val="24"/>
        </w:rPr>
        <w:t>个月，待猪出栏时，将贮粪池冲水，尿、粪混合物一次排出贮池。</w:t>
      </w:r>
    </w:p>
    <w:p>
      <w:pPr>
        <w:spacing w:line="520" w:lineRule="exact"/>
        <w:ind w:firstLine="480" w:firstLineChars="200"/>
        <w:rPr>
          <w:sz w:val="24"/>
        </w:rPr>
      </w:pPr>
      <w:r>
        <w:rPr>
          <w:rFonts w:hAnsi="宋体"/>
          <w:sz w:val="24"/>
        </w:rPr>
        <w:t>优点：基建投资小；粪污无需人工清理，清理周期长；猪舍平时无需冲洗，用水量和排水量小。</w:t>
      </w:r>
    </w:p>
    <w:p>
      <w:pPr>
        <w:spacing w:line="520" w:lineRule="exact"/>
        <w:ind w:firstLine="480" w:firstLineChars="200"/>
        <w:rPr>
          <w:sz w:val="24"/>
        </w:rPr>
      </w:pPr>
      <w:r>
        <w:rPr>
          <w:rFonts w:hAnsi="宋体"/>
          <w:sz w:val="24"/>
        </w:rPr>
        <w:t>缺点：粪污经长时间浸泡，污染物浓度高，固液分离难度大，增加后续污水处理成本。</w:t>
      </w:r>
    </w:p>
    <w:p>
      <w:pPr>
        <w:spacing w:line="520" w:lineRule="exact"/>
        <w:ind w:firstLine="360" w:firstLineChars="150"/>
        <w:rPr>
          <w:rFonts w:hAnsi="宋体"/>
          <w:sz w:val="24"/>
        </w:rPr>
      </w:pPr>
      <w:r>
        <w:rPr>
          <w:rFonts w:hint="eastAsia" w:hAnsi="宋体"/>
          <w:sz w:val="24"/>
        </w:rPr>
        <w:t>（2）</w:t>
      </w:r>
      <w:r>
        <w:rPr>
          <w:rFonts w:hAnsi="宋体"/>
          <w:sz w:val="24"/>
        </w:rPr>
        <w:t>项目设计养殖模式与清粪模式</w:t>
      </w:r>
    </w:p>
    <w:p>
      <w:pPr>
        <w:spacing w:line="520" w:lineRule="exact"/>
        <w:ind w:firstLine="480" w:firstLineChars="200"/>
        <w:rPr>
          <w:rFonts w:hAnsi="宋体"/>
          <w:sz w:val="24"/>
        </w:rPr>
      </w:pPr>
      <w:r>
        <w:rPr>
          <w:rFonts w:hAnsi="宋体"/>
          <w:sz w:val="24"/>
        </w:rPr>
        <w:t>通过对比目前国内主要的养殖模式和清粪模式，采用干清粪工艺作为公司养殖清粪模式，该模式已在</w:t>
      </w:r>
      <w:r>
        <w:rPr>
          <w:rFonts w:hint="eastAsia" w:hAnsi="宋体"/>
          <w:sz w:val="24"/>
        </w:rPr>
        <w:t>其他</w:t>
      </w:r>
      <w:r>
        <w:rPr>
          <w:rFonts w:hAnsi="宋体"/>
          <w:sz w:val="24"/>
        </w:rPr>
        <w:t>养殖场得到了广泛应用。</w:t>
      </w:r>
    </w:p>
    <w:p>
      <w:pPr>
        <w:spacing w:line="520" w:lineRule="exact"/>
        <w:ind w:firstLine="480" w:firstLineChars="200"/>
        <w:rPr>
          <w:rFonts w:hAnsi="宋体"/>
          <w:sz w:val="24"/>
        </w:rPr>
      </w:pPr>
      <w:r>
        <w:rPr>
          <w:rFonts w:hAnsi="宋体"/>
          <w:sz w:val="24"/>
        </w:rPr>
        <w:t>干清粪工艺</w:t>
      </w:r>
      <w:r>
        <w:rPr>
          <w:rFonts w:hint="eastAsia" w:hAnsi="宋体"/>
          <w:sz w:val="24"/>
        </w:rPr>
        <w:t>：</w:t>
      </w:r>
      <w:r>
        <w:rPr>
          <w:rFonts w:hAnsi="宋体"/>
          <w:sz w:val="24"/>
        </w:rPr>
        <w:t>养殖周期内粪污水收集于舍下，可做到充分的厌氧杀菌、适度降低有机物浓度，避免在施用农田过程中出现二次发酵的现象。同时免除了清水用于圈舍粪尿日常清理，粪尿产生即依靠离开猪舍进入猪舍下部储存池，粪污离开储存池即进行干湿分离和无害化并全部实现综合利用，不混合排出。</w:t>
      </w:r>
    </w:p>
    <w:p>
      <w:pPr>
        <w:spacing w:line="520" w:lineRule="exact"/>
        <w:ind w:firstLine="480" w:firstLineChars="200"/>
        <w:rPr>
          <w:rFonts w:hAnsi="宋体"/>
          <w:sz w:val="24"/>
        </w:rPr>
      </w:pPr>
      <w:r>
        <w:rPr>
          <w:rFonts w:hAnsi="宋体"/>
          <w:sz w:val="24"/>
        </w:rPr>
        <w:t>圈舍冲洗仅在转栏时进行，废水产生量少；粪污在存栏周期内在圈舍内储存不排外，粪污离开圈舍即进行干湿分离，废水经厌氧发酵处理后做农肥施用于农田，固形物则经过</w:t>
      </w:r>
      <w:r>
        <w:rPr>
          <w:rFonts w:hint="eastAsia" w:hAnsi="宋体"/>
          <w:sz w:val="24"/>
        </w:rPr>
        <w:t>股份堆存区暂存后外售制作</w:t>
      </w:r>
      <w:r>
        <w:rPr>
          <w:rFonts w:hAnsi="宋体"/>
          <w:sz w:val="24"/>
        </w:rPr>
        <w:t>有机肥</w:t>
      </w:r>
      <w:r>
        <w:rPr>
          <w:rFonts w:hint="eastAsia" w:hAnsi="宋体"/>
          <w:sz w:val="24"/>
        </w:rPr>
        <w:t>基料</w:t>
      </w:r>
      <w:r>
        <w:rPr>
          <w:rFonts w:hAnsi="宋体"/>
          <w:sz w:val="24"/>
        </w:rPr>
        <w:t>，实现了粪污的资源化利用。</w:t>
      </w:r>
    </w:p>
    <w:p>
      <w:pPr>
        <w:adjustRightInd w:val="0"/>
        <w:snapToGrid w:val="0"/>
        <w:spacing w:line="520" w:lineRule="exact"/>
        <w:ind w:firstLine="480" w:firstLineChars="200"/>
        <w:rPr>
          <w:sz w:val="24"/>
          <w:szCs w:val="22"/>
        </w:rPr>
      </w:pPr>
      <w:r>
        <w:rPr>
          <w:sz w:val="24"/>
          <w:szCs w:val="22"/>
        </w:rPr>
        <w:t>根据《畜禽养殖业污染防治技术政策》（环发［2012］151号）有关规定，不适合敷设垫料的畜禽养殖圈、舍，宜采用漏缝地板和粪、尿分离排放的圈舍结构，有利于畜禽粪污的固液分离与干式清除。本项目采用干清粪工艺，符合《畜禽养殖业污染防治技术政策》（环发［2012］151号）要求。</w:t>
      </w:r>
    </w:p>
    <w:p>
      <w:pPr>
        <w:spacing w:line="520" w:lineRule="exact"/>
        <w:ind w:firstLine="480" w:firstLineChars="200"/>
        <w:rPr>
          <w:rFonts w:hAnsi="宋体"/>
          <w:sz w:val="24"/>
        </w:rPr>
      </w:pPr>
      <w:r>
        <w:rPr>
          <w:rFonts w:hAnsi="宋体"/>
          <w:sz w:val="24"/>
        </w:rPr>
        <w:t>与目前国内采用的集中常用的养殖模式对比，本项目所用干清粪模式具有以下优点：①项目养殖模式实现了干清粪，符合技术规范要求；②项目养殖模式适合进行大规模集约化养殖；③减少了劳动强度和人力资源消耗；④采用立体设计结构，生猪饲养、粪污清理和废水收集垂直进行，减少了占地面积。</w:t>
      </w:r>
    </w:p>
    <w:p>
      <w:pPr>
        <w:spacing w:line="520" w:lineRule="exact"/>
        <w:ind w:firstLine="480" w:firstLineChars="200"/>
        <w:rPr>
          <w:rFonts w:hAnsi="宋体"/>
          <w:sz w:val="24"/>
        </w:rPr>
      </w:pPr>
      <w:r>
        <w:rPr>
          <w:rFonts w:hAnsi="宋体"/>
          <w:sz w:val="24"/>
        </w:rPr>
        <w:t>本项目采用干清粪工艺，符合《畜禽养殖业污染防治技术政策》（环发［2012］151号）要求，且与其他模式相比具有明显优势和先进性。综合对比分析，项目选取模式可行。</w:t>
      </w:r>
    </w:p>
    <w:p>
      <w:pPr>
        <w:pStyle w:val="2"/>
        <w:snapToGrid w:val="0"/>
        <w:spacing w:before="0" w:after="0" w:line="520" w:lineRule="exact"/>
        <w:rPr>
          <w:rFonts w:eastAsia="黑体"/>
          <w:b w:val="0"/>
          <w:bCs w:val="0"/>
          <w:sz w:val="24"/>
          <w:szCs w:val="24"/>
        </w:rPr>
      </w:pPr>
      <w:r>
        <w:rPr>
          <w:rFonts w:eastAsia="黑体"/>
          <w:b w:val="0"/>
          <w:bCs w:val="0"/>
          <w:sz w:val="24"/>
          <w:szCs w:val="24"/>
        </w:rPr>
        <w:t>2.2.3污染治理工程工艺</w:t>
      </w:r>
      <w:bookmarkEnd w:id="235"/>
    </w:p>
    <w:p>
      <w:pPr>
        <w:pStyle w:val="4"/>
        <w:numPr>
          <w:ilvl w:val="0"/>
          <w:numId w:val="0"/>
        </w:numPr>
        <w:spacing w:before="0" w:after="0" w:line="520" w:lineRule="exact"/>
        <w:rPr>
          <w:sz w:val="24"/>
          <w:szCs w:val="24"/>
        </w:rPr>
      </w:pPr>
      <w:r>
        <w:rPr>
          <w:sz w:val="24"/>
          <w:szCs w:val="24"/>
        </w:rPr>
        <w:t>2.2.3.1清粪工艺</w:t>
      </w:r>
    </w:p>
    <w:p>
      <w:pPr>
        <w:spacing w:line="520" w:lineRule="exact"/>
        <w:ind w:firstLine="480" w:firstLineChars="200"/>
        <w:rPr>
          <w:rFonts w:hint="eastAsia" w:hAnsi="宋体"/>
          <w:sz w:val="24"/>
        </w:rPr>
      </w:pPr>
      <w:r>
        <w:rPr>
          <w:rFonts w:hAnsi="宋体"/>
          <w:sz w:val="24"/>
        </w:rPr>
        <w:t>本项目采用干清粪工艺：猪</w:t>
      </w:r>
      <w:r>
        <w:rPr>
          <w:rFonts w:hint="eastAsia" w:hAnsi="宋体"/>
          <w:sz w:val="24"/>
        </w:rPr>
        <w:t>只</w:t>
      </w:r>
      <w:r>
        <w:rPr>
          <w:rFonts w:hAnsi="宋体"/>
          <w:sz w:val="24"/>
        </w:rPr>
        <w:t>生活在漏缝地板上，猪舍内产生的猪粪由于猪的踩踏及重力作用离开猪舍进入猪舍底部的粪污储存池</w:t>
      </w:r>
      <w:r>
        <w:rPr>
          <w:rFonts w:hint="eastAsia" w:hAnsi="宋体"/>
          <w:sz w:val="24"/>
        </w:rPr>
        <w:t>，储存池底部设计成一端高一端低的倾斜结构，排粪塞位于最低端，</w:t>
      </w:r>
      <w:r>
        <w:rPr>
          <w:rFonts w:hAnsi="宋体"/>
          <w:sz w:val="24"/>
        </w:rPr>
        <w:t>项目粪污储存池定期排空</w:t>
      </w:r>
      <w:r>
        <w:rPr>
          <w:rFonts w:hint="eastAsia" w:hAnsi="宋体"/>
          <w:sz w:val="24"/>
        </w:rPr>
        <w:t>，</w:t>
      </w:r>
      <w:r>
        <w:rPr>
          <w:rFonts w:hAnsi="宋体"/>
          <w:sz w:val="24"/>
        </w:rPr>
        <w:t>排空</w:t>
      </w:r>
      <w:r>
        <w:rPr>
          <w:rFonts w:hint="eastAsia" w:hAnsi="宋体"/>
          <w:sz w:val="24"/>
        </w:rPr>
        <w:t>时粪尿依靠储存池底部坡度由储存池排出，进入干湿分离机进行干湿分离，粪渣外售制肥，粪液厌氧发酵，沼液贮存在沼液储存池内用于周围土地消纳，全部综合利用。</w:t>
      </w:r>
    </w:p>
    <w:p>
      <w:pPr>
        <w:spacing w:line="520" w:lineRule="exact"/>
        <w:rPr>
          <w:rFonts w:hint="eastAsia" w:hAnsi="宋体"/>
          <w:sz w:val="24"/>
        </w:rPr>
      </w:pPr>
    </w:p>
    <w:p>
      <w:pPr>
        <w:spacing w:line="500" w:lineRule="exact"/>
        <w:ind w:firstLine="480" w:firstLineChars="200"/>
        <w:rPr>
          <w:sz w:val="24"/>
        </w:rPr>
      </w:pPr>
      <w:r>
        <w:rPr>
          <w:sz w:val="24"/>
        </w:rPr>
        <mc:AlternateContent>
          <mc:Choice Requires="wps">
            <w:drawing>
              <wp:anchor distT="0" distB="0" distL="114300" distR="114300" simplePos="0" relativeHeight="251726848" behindDoc="0" locked="0" layoutInCell="1" allowOverlap="1">
                <wp:simplePos x="0" y="0"/>
                <wp:positionH relativeFrom="column">
                  <wp:posOffset>736600</wp:posOffset>
                </wp:positionH>
                <wp:positionV relativeFrom="paragraph">
                  <wp:posOffset>0</wp:posOffset>
                </wp:positionV>
                <wp:extent cx="895350" cy="295275"/>
                <wp:effectExtent l="0" t="0" r="0" b="0"/>
                <wp:wrapNone/>
                <wp:docPr id="438" name="文本框 1204"/>
                <wp:cNvGraphicFramePr/>
                <a:graphic xmlns:a="http://schemas.openxmlformats.org/drawingml/2006/main">
                  <a:graphicData uri="http://schemas.microsoft.com/office/word/2010/wordprocessingShape">
                    <wps:wsp>
                      <wps:cNvSpPr txBox="1"/>
                      <wps:spPr>
                        <a:xfrm>
                          <a:off x="0" y="0"/>
                          <a:ext cx="895350" cy="295275"/>
                        </a:xfrm>
                        <a:prstGeom prst="rect">
                          <a:avLst/>
                        </a:prstGeom>
                        <a:noFill/>
                        <a:ln>
                          <a:noFill/>
                        </a:ln>
                      </wps:spPr>
                      <wps:txbx>
                        <w:txbxContent>
                          <w:p>
                            <w:pPr>
                              <w:rPr>
                                <w:szCs w:val="21"/>
                              </w:rPr>
                            </w:pPr>
                            <w:r>
                              <w:rPr>
                                <w:rFonts w:hint="eastAsia"/>
                                <w:szCs w:val="21"/>
                              </w:rPr>
                              <w:t>漏缝板</w:t>
                            </w:r>
                          </w:p>
                        </w:txbxContent>
                      </wps:txbx>
                      <wps:bodyPr upright="1"/>
                    </wps:wsp>
                  </a:graphicData>
                </a:graphic>
              </wp:anchor>
            </w:drawing>
          </mc:Choice>
          <mc:Fallback>
            <w:pict>
              <v:shape id="文本框 1204" o:spid="_x0000_s1026" o:spt="202" type="#_x0000_t202" style="position:absolute;left:0pt;margin-left:58pt;margin-top:0pt;height:23.25pt;width:70.5pt;z-index:251726848;mso-width-relative:page;mso-height-relative:page;" filled="f" stroked="f" coordsize="21600,21600" o:gfxdata="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TPpif9QA&#10;AAAHAQAADwAAAAAAAAABACAAAAAiAAAAZHJzL2Rvd25yZXYueG1sUEsBAhQAFAAAAAgAh07iQCPK&#10;tVaxAQAAUgMAAA4AAAAAAAAAAQAgAAAAIwEAAGRycy9lMm9Eb2MueG1sUEsFBgAAAAAGAAYAWQEA&#10;AEYFAAAAAA==&#10;">
                <v:fill on="f" focussize="0,0"/>
                <v:stroke on="f"/>
                <v:imagedata o:title=""/>
                <o:lock v:ext="edit" aspectratio="f"/>
                <v:textbox>
                  <w:txbxContent>
                    <w:p>
                      <w:pPr>
                        <w:rPr>
                          <w:szCs w:val="21"/>
                        </w:rPr>
                      </w:pPr>
                      <w:r>
                        <w:rPr>
                          <w:rFonts w:hint="eastAsia"/>
                          <w:szCs w:val="21"/>
                        </w:rPr>
                        <w:t>漏缝板</w:t>
                      </w:r>
                    </w:p>
                  </w:txbxContent>
                </v:textbox>
              </v:shape>
            </w:pict>
          </mc:Fallback>
        </mc:AlternateContent>
      </w:r>
      <w:r>
        <w:rPr>
          <w:sz w:val="24"/>
        </w:rPr>
        <mc:AlternateContent>
          <mc:Choice Requires="wps">
            <w:drawing>
              <wp:anchor distT="0" distB="0" distL="114300" distR="114300" simplePos="0" relativeHeight="251722752" behindDoc="0" locked="0" layoutInCell="1" allowOverlap="1">
                <wp:simplePos x="0" y="0"/>
                <wp:positionH relativeFrom="column">
                  <wp:posOffset>-120650</wp:posOffset>
                </wp:positionH>
                <wp:positionV relativeFrom="paragraph">
                  <wp:posOffset>225425</wp:posOffset>
                </wp:positionV>
                <wp:extent cx="2219325" cy="346075"/>
                <wp:effectExtent l="16510" t="4445" r="31115" b="11430"/>
                <wp:wrapNone/>
                <wp:docPr id="434" name="自选图形 1200"/>
                <wp:cNvGraphicFramePr/>
                <a:graphic xmlns:a="http://schemas.openxmlformats.org/drawingml/2006/main">
                  <a:graphicData uri="http://schemas.microsoft.com/office/word/2010/wordprocessingShape">
                    <wps:wsp>
                      <wps:cNvSpPr/>
                      <wps:spPr>
                        <a:xfrm>
                          <a:off x="0" y="0"/>
                          <a:ext cx="2219325" cy="346075"/>
                        </a:xfrm>
                        <a:prstGeom prst="parallelogram">
                          <a:avLst>
                            <a:gd name="adj" fmla="val 160321"/>
                          </a:avLst>
                        </a:prstGeom>
                        <a:pattFill prst="openDmnd">
                          <a:fgClr>
                            <a:srgbClr val="000000"/>
                          </a:fgClr>
                          <a:bgClr>
                            <a:srgbClr val="FFFFFF"/>
                          </a:bgClr>
                        </a:patt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shape id="自选图形 1200" o:spid="_x0000_s1026" o:spt="7" type="#_x0000_t7" style="position:absolute;left:0pt;margin-left:-9.5pt;margin-top:17.75pt;height:27.25pt;width:174.75pt;z-index:251722752;mso-width-relative:page;mso-height-relative:page;" fillcolor="#000000" filled="t" stroked="t" coordsize="21600,21600" o:gfxdata="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l4xyKNkAAAAJAQAADwAAAAAAAAAB&#10;ACAAAAAiAAAAZHJzL2Rvd25yZXYueG1sUEsBAhQAFAAAAAgAh07iQEZDGUJIAgAAtwQAAA4AAAAA&#10;AAAAAQAgAAAAKAEAAGRycy9lMm9Eb2MueG1sUEsFBgAAAAAGAAYAWQEAAOIFAAAAAA==&#10;" adj="5400">
                <v:fill type="pattern" on="t" color2="#FFFFFF" o:title="轮廓式菱形" focussize="0,0" r:id="rId32"/>
                <v:stroke color="#000000" joinstyle="miter"/>
                <v:imagedata o:title=""/>
                <o:lock v:ext="edit" aspectratio="f"/>
                <v:textbox>
                  <w:txbxContent>
                    <w:p/>
                  </w:txbxContent>
                </v:textbox>
              </v:shape>
            </w:pict>
          </mc:Fallback>
        </mc:AlternateContent>
      </w:r>
    </w:p>
    <w:p>
      <w:pPr>
        <w:spacing w:line="500" w:lineRule="exact"/>
        <w:ind w:firstLine="480" w:firstLineChars="200"/>
        <w:rPr>
          <w:sz w:val="24"/>
        </w:rPr>
      </w:pPr>
      <w:r>
        <w:rPr>
          <w:sz w:val="24"/>
        </w:rPr>
        <mc:AlternateContent>
          <mc:Choice Requires="wps">
            <w:drawing>
              <wp:anchor distT="0" distB="0" distL="114300" distR="114300" simplePos="0" relativeHeight="251724800" behindDoc="0" locked="0" layoutInCell="1" allowOverlap="1">
                <wp:simplePos x="0" y="0"/>
                <wp:positionH relativeFrom="column">
                  <wp:posOffset>3061335</wp:posOffset>
                </wp:positionH>
                <wp:positionV relativeFrom="paragraph">
                  <wp:posOffset>17106265</wp:posOffset>
                </wp:positionV>
                <wp:extent cx="0" cy="866775"/>
                <wp:effectExtent l="38100" t="0" r="38100" b="9525"/>
                <wp:wrapNone/>
                <wp:docPr id="436" name="自选图形 1202"/>
                <wp:cNvGraphicFramePr/>
                <a:graphic xmlns:a="http://schemas.openxmlformats.org/drawingml/2006/main">
                  <a:graphicData uri="http://schemas.microsoft.com/office/word/2010/wordprocessingShape">
                    <wps:wsp>
                      <wps:cNvCnPr/>
                      <wps:spPr>
                        <a:xfrm>
                          <a:off x="0" y="0"/>
                          <a:ext cx="0" cy="86677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1202" o:spid="_x0000_s1026" o:spt="32" type="#_x0000_t32" style="position:absolute;left:0pt;margin-left:241.05pt;margin-top:1346.95pt;height:68.25pt;width:0pt;z-index:251724800;mso-width-relative:page;mso-height-relative:page;" filled="f" stroked="t" coordsize="21600,21600" o:gfxdata="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naXLi9sAAAANAQAADwAAAAAAAAABACAAAAAiAAAAZHJzL2Rv&#10;d25yZXYueG1sUEsBAhQAFAAAAAgAh07iQMWKIlL+AQAA6wMAAA4AAAAAAAAAAQAgAAAAKgEAAGRy&#10;cy9lMm9Eb2MueG1sUEsFBgAAAAAGAAYAWQEAAJoFAAAAAA==&#10;">
                <v:fill on="f" focussize="0,0"/>
                <v:stroke color="#000000" joinstyle="round" endarrow="block"/>
                <v:imagedata o:title=""/>
                <o:lock v:ext="edit" aspectratio="f"/>
              </v:shape>
            </w:pict>
          </mc:Fallback>
        </mc:AlternateContent>
      </w:r>
    </w:p>
    <w:p>
      <w:pPr>
        <w:spacing w:line="500" w:lineRule="exact"/>
        <w:ind w:firstLine="480" w:firstLineChars="200"/>
        <w:rPr>
          <w:sz w:val="24"/>
        </w:rPr>
      </w:pPr>
      <w:r>
        <w:rPr>
          <w:sz w:val="24"/>
        </w:rPr>
        <mc:AlternateContent>
          <mc:Choice Requires="wps">
            <w:drawing>
              <wp:anchor distT="0" distB="0" distL="114300" distR="114300" simplePos="0" relativeHeight="251725824" behindDoc="0" locked="0" layoutInCell="1" allowOverlap="1">
                <wp:simplePos x="0" y="0"/>
                <wp:positionH relativeFrom="column">
                  <wp:posOffset>1079500</wp:posOffset>
                </wp:positionH>
                <wp:positionV relativeFrom="paragraph">
                  <wp:posOffset>60325</wp:posOffset>
                </wp:positionV>
                <wp:extent cx="895350" cy="295275"/>
                <wp:effectExtent l="0" t="0" r="0" b="0"/>
                <wp:wrapNone/>
                <wp:docPr id="437" name="文本框 1203"/>
                <wp:cNvGraphicFramePr/>
                <a:graphic xmlns:a="http://schemas.openxmlformats.org/drawingml/2006/main">
                  <a:graphicData uri="http://schemas.microsoft.com/office/word/2010/wordprocessingShape">
                    <wps:wsp>
                      <wps:cNvSpPr txBox="1"/>
                      <wps:spPr>
                        <a:xfrm>
                          <a:off x="0" y="0"/>
                          <a:ext cx="895350" cy="295275"/>
                        </a:xfrm>
                        <a:prstGeom prst="rect">
                          <a:avLst/>
                        </a:prstGeom>
                        <a:noFill/>
                        <a:ln>
                          <a:noFill/>
                        </a:ln>
                      </wps:spPr>
                      <wps:txbx>
                        <w:txbxContent>
                          <w:p>
                            <w:pPr>
                              <w:rPr>
                                <w:szCs w:val="21"/>
                              </w:rPr>
                            </w:pPr>
                            <w:r>
                              <w:rPr>
                                <w:rFonts w:hint="eastAsia"/>
                                <w:szCs w:val="21"/>
                              </w:rPr>
                              <w:t>猪粪猪尿</w:t>
                            </w:r>
                          </w:p>
                        </w:txbxContent>
                      </wps:txbx>
                      <wps:bodyPr upright="1"/>
                    </wps:wsp>
                  </a:graphicData>
                </a:graphic>
              </wp:anchor>
            </w:drawing>
          </mc:Choice>
          <mc:Fallback>
            <w:pict>
              <v:shape id="文本框 1203" o:spid="_x0000_s1026" o:spt="202" type="#_x0000_t202" style="position:absolute;left:0pt;margin-left:85pt;margin-top:4.75pt;height:23.25pt;width:70.5pt;z-index:251725824;mso-width-relative:page;mso-height-relative:page;" filled="f" stroked="f" coordsize="21600,21600" o:gfxdata="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1EpmSNQA&#10;AAAIAQAADwAAAAAAAAABACAAAAAiAAAAZHJzL2Rvd25yZXYueG1sUEsBAhQAFAAAAAgAh07iQHAr&#10;27mxAQAAUgMAAA4AAAAAAAAAAQAgAAAAIwEAAGRycy9lMm9Eb2MueG1sUEsFBgAAAAAGAAYAWQEA&#10;AEYFAAAAAA==&#10;">
                <v:fill on="f" focussize="0,0"/>
                <v:stroke on="f"/>
                <v:imagedata o:title=""/>
                <o:lock v:ext="edit" aspectratio="f"/>
                <v:textbox>
                  <w:txbxContent>
                    <w:p>
                      <w:pPr>
                        <w:rPr>
                          <w:szCs w:val="21"/>
                        </w:rPr>
                      </w:pPr>
                      <w:r>
                        <w:rPr>
                          <w:rFonts w:hint="eastAsia"/>
                          <w:szCs w:val="21"/>
                        </w:rPr>
                        <w:t>猪粪猪尿</w:t>
                      </w:r>
                    </w:p>
                  </w:txbxContent>
                </v:textbox>
              </v:shape>
            </w:pict>
          </mc:Fallback>
        </mc:AlternateContent>
      </w:r>
    </w:p>
    <w:p>
      <w:pPr>
        <w:spacing w:line="500" w:lineRule="exact"/>
        <w:ind w:firstLine="480" w:firstLineChars="200"/>
        <w:rPr>
          <w:sz w:val="24"/>
        </w:rPr>
      </w:pPr>
      <w:r>
        <w:rPr>
          <w:sz w:val="24"/>
        </w:rPr>
        <mc:AlternateContent>
          <mc:Choice Requires="wps">
            <w:drawing>
              <wp:anchor distT="0" distB="0" distL="114300" distR="114300" simplePos="0" relativeHeight="251727872" behindDoc="0" locked="0" layoutInCell="1" allowOverlap="1">
                <wp:simplePos x="0" y="0"/>
                <wp:positionH relativeFrom="column">
                  <wp:posOffset>50800</wp:posOffset>
                </wp:positionH>
                <wp:positionV relativeFrom="paragraph">
                  <wp:posOffset>206375</wp:posOffset>
                </wp:positionV>
                <wp:extent cx="1200150" cy="295275"/>
                <wp:effectExtent l="0" t="0" r="0" b="0"/>
                <wp:wrapNone/>
                <wp:docPr id="439" name="文本框 1205"/>
                <wp:cNvGraphicFramePr/>
                <a:graphic xmlns:a="http://schemas.openxmlformats.org/drawingml/2006/main">
                  <a:graphicData uri="http://schemas.microsoft.com/office/word/2010/wordprocessingShape">
                    <wps:wsp>
                      <wps:cNvSpPr txBox="1"/>
                      <wps:spPr>
                        <a:xfrm>
                          <a:off x="0" y="0"/>
                          <a:ext cx="1200150" cy="295275"/>
                        </a:xfrm>
                        <a:prstGeom prst="rect">
                          <a:avLst/>
                        </a:prstGeom>
                        <a:noFill/>
                        <a:ln>
                          <a:noFill/>
                        </a:ln>
                      </wps:spPr>
                      <wps:txbx>
                        <w:txbxContent>
                          <w:p>
                            <w:pPr>
                              <w:rPr>
                                <w:szCs w:val="21"/>
                              </w:rPr>
                            </w:pPr>
                            <w:r>
                              <w:rPr>
                                <w:rFonts w:hint="eastAsia"/>
                                <w:szCs w:val="21"/>
                              </w:rPr>
                              <w:t>粪污储存池</w:t>
                            </w:r>
                          </w:p>
                        </w:txbxContent>
                      </wps:txbx>
                      <wps:bodyPr upright="1"/>
                    </wps:wsp>
                  </a:graphicData>
                </a:graphic>
              </wp:anchor>
            </w:drawing>
          </mc:Choice>
          <mc:Fallback>
            <w:pict>
              <v:shape id="文本框 1205" o:spid="_x0000_s1026" o:spt="202" type="#_x0000_t202" style="position:absolute;left:0pt;margin-left:4pt;margin-top:16.25pt;height:23.25pt;width:94.5pt;z-index:251727872;mso-width-relative:page;mso-height-relative:page;" filled="f" stroked="f" coordsize="21600,21600" o:gfxdata="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mGpCdNUA&#10;AAAHAQAADwAAAAAAAAABACAAAAAiAAAAZHJzL2Rvd25yZXYueG1sUEsBAhQAFAAAAAgAh07iQAF5&#10;CXiwAQAAUwMAAA4AAAAAAAAAAQAgAAAAJAEAAGRycy9lMm9Eb2MueG1sUEsFBgAAAAAGAAYAWQEA&#10;AEYFAAAAAA==&#10;">
                <v:fill on="f" focussize="0,0"/>
                <v:stroke on="f"/>
                <v:imagedata o:title=""/>
                <o:lock v:ext="edit" aspectratio="f"/>
                <v:textbox>
                  <w:txbxContent>
                    <w:p>
                      <w:pPr>
                        <w:rPr>
                          <w:szCs w:val="21"/>
                        </w:rPr>
                      </w:pPr>
                      <w:r>
                        <w:rPr>
                          <w:rFonts w:hint="eastAsia"/>
                          <w:szCs w:val="21"/>
                        </w:rPr>
                        <w:t>粪污储存池</w:t>
                      </w:r>
                    </w:p>
                  </w:txbxContent>
                </v:textbox>
              </v:shape>
            </w:pict>
          </mc:Fallback>
        </mc:AlternateContent>
      </w:r>
      <w:r>
        <w:rPr>
          <w:sz w:val="24"/>
        </w:rPr>
        <mc:AlternateContent>
          <mc:Choice Requires="wps">
            <w:drawing>
              <wp:anchor distT="0" distB="0" distL="114300" distR="114300" simplePos="0" relativeHeight="251723776" behindDoc="0" locked="0" layoutInCell="1" allowOverlap="1">
                <wp:simplePos x="0" y="0"/>
                <wp:positionH relativeFrom="column">
                  <wp:posOffset>-196850</wp:posOffset>
                </wp:positionH>
                <wp:positionV relativeFrom="paragraph">
                  <wp:posOffset>95250</wp:posOffset>
                </wp:positionV>
                <wp:extent cx="1857375" cy="911225"/>
                <wp:effectExtent l="7620" t="4445" r="20955" b="17780"/>
                <wp:wrapNone/>
                <wp:docPr id="435" name="自选图形 1201"/>
                <wp:cNvGraphicFramePr/>
                <a:graphic xmlns:a="http://schemas.openxmlformats.org/drawingml/2006/main">
                  <a:graphicData uri="http://schemas.microsoft.com/office/word/2010/wordprocessingShape">
                    <wps:wsp>
                      <wps:cNvSpPr/>
                      <wps:spPr>
                        <a:xfrm>
                          <a:off x="0" y="0"/>
                          <a:ext cx="1857375" cy="911225"/>
                        </a:xfrm>
                        <a:custGeom>
                          <a:avLst/>
                          <a:gdLst>
                            <a:gd name="txL" fmla="*/ 4500 w 21600"/>
                            <a:gd name="txT" fmla="*/ 4500 h 21600"/>
                            <a:gd name="txR" fmla="*/ 17100 w 21600"/>
                            <a:gd name="txB" fmla="*/ 17100 h 21600"/>
                          </a:gdLst>
                          <a:ahLst/>
                          <a:cxnLst>
                            <a:cxn ang="0">
                              <a:pos x="18900" y="10800"/>
                            </a:cxn>
                            <a:cxn ang="90">
                              <a:pos x="10800" y="21600"/>
                            </a:cxn>
                            <a:cxn ang="180">
                              <a:pos x="2700" y="10800"/>
                            </a:cxn>
                            <a:cxn ang="270">
                              <a:pos x="10800" y="0"/>
                            </a:cxn>
                          </a:cxnLst>
                          <a:rect l="txL" t="txT" r="txR" b="txB"/>
                          <a:pathLst>
                            <a:path w="21600" h="21600">
                              <a:moveTo>
                                <a:pt x="0" y="0"/>
                              </a:moveTo>
                              <a:lnTo>
                                <a:pt x="5400" y="21600"/>
                              </a:lnTo>
                              <a:lnTo>
                                <a:pt x="16200" y="21600"/>
                              </a:lnTo>
                              <a:lnTo>
                                <a:pt x="21600" y="0"/>
                              </a:lnTo>
                              <a:close/>
                            </a:path>
                          </a:pathLst>
                        </a:custGeom>
                        <a:solidFill>
                          <a:srgbClr val="FFFFFF"/>
                        </a:solidFill>
                        <a:ln w="9525" cap="flat" cmpd="sng">
                          <a:solidFill>
                            <a:srgbClr val="000000"/>
                          </a:solidFill>
                          <a:prstDash val="solid"/>
                          <a:miter/>
                          <a:headEnd type="none" w="med" len="med"/>
                          <a:tailEnd type="none" w="med" len="med"/>
                        </a:ln>
                      </wps:spPr>
                      <wps:txbx>
                        <w:txbxContent>
                          <w:p/>
                        </w:txbxContent>
                      </wps:txbx>
                      <wps:bodyPr upright="1"/>
                    </wps:wsp>
                  </a:graphicData>
                </a:graphic>
              </wp:anchor>
            </w:drawing>
          </mc:Choice>
          <mc:Fallback>
            <w:pict>
              <v:shape id="自选图形 1201" o:spid="_x0000_s1026" o:spt="100" style="position:absolute;left:0pt;margin-left:-15.5pt;margin-top:7.5pt;height:71.75pt;width:146.25pt;z-index:251723776;mso-width-relative:page;mso-height-relative:page;" fillcolor="#FFFFFF" filled="t" stroked="t" coordsize="21600,21600" o:gfxdata="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" path="m0,0l5400,21600,16200,21600,21600,0xe">
                <v:path textboxrect="0,0,21600,21600" o:connectlocs="18900,10800;10800,21600;2700,10800;10800,0" o:connectangles="0,0,0,0"/>
                <v:fill on="t" focussize="0,0"/>
                <v:stroke color="#000000" joinstyle="miter"/>
                <v:imagedata o:title=""/>
                <o:lock v:ext="edit" aspectratio="f"/>
                <v:textbox>
                  <w:txbxContent>
                    <w:p/>
                  </w:txbxContent>
                </v:textbox>
              </v:shape>
            </w:pict>
          </mc:Fallback>
        </mc:AlternateContent>
      </w:r>
    </w:p>
    <w:p>
      <w:pPr>
        <w:spacing w:line="500" w:lineRule="exact"/>
        <w:ind w:firstLine="480" w:firstLineChars="200"/>
        <w:rPr>
          <w:sz w:val="24"/>
        </w:rPr>
      </w:pPr>
    </w:p>
    <w:p>
      <w:pPr>
        <w:spacing w:line="500" w:lineRule="exact"/>
        <w:ind w:firstLine="480" w:firstLineChars="200"/>
        <w:rPr>
          <w:sz w:val="24"/>
        </w:rPr>
      </w:pPr>
      <w:r>
        <w:rPr>
          <w:sz w:val="24"/>
        </w:rPr>
        <mc:AlternateContent>
          <mc:Choice Requires="wps">
            <w:drawing>
              <wp:anchor distT="0" distB="0" distL="114300" distR="114300" simplePos="0" relativeHeight="251739136" behindDoc="0" locked="0" layoutInCell="1" allowOverlap="1">
                <wp:simplePos x="0" y="0"/>
                <wp:positionH relativeFrom="column">
                  <wp:posOffset>917575</wp:posOffset>
                </wp:positionH>
                <wp:positionV relativeFrom="paragraph">
                  <wp:posOffset>15875</wp:posOffset>
                </wp:positionV>
                <wp:extent cx="247650" cy="450850"/>
                <wp:effectExtent l="5080" t="5080" r="13970" b="0"/>
                <wp:wrapNone/>
                <wp:docPr id="450" name="自选图形 1216"/>
                <wp:cNvGraphicFramePr/>
                <a:graphic xmlns:a="http://schemas.openxmlformats.org/drawingml/2006/main">
                  <a:graphicData uri="http://schemas.microsoft.com/office/word/2010/wordprocessingShape">
                    <wps:wsp>
                      <wps:cNvSpPr/>
                      <wps:spPr>
                        <a:xfrm>
                          <a:off x="0" y="0"/>
                          <a:ext cx="247650" cy="450850"/>
                        </a:xfrm>
                        <a:custGeom>
                          <a:avLst/>
                          <a:gdLst>
                            <a:gd name="txL" fmla="*/ 0 w 21600"/>
                            <a:gd name="txT" fmla="*/ 0 h 21600"/>
                            <a:gd name="txR" fmla="*/ 21600 w 21600"/>
                            <a:gd name="txB" fmla="*/ 10800 h 21600"/>
                          </a:gdLst>
                          <a:ahLst/>
                          <a:cxnLst>
                            <a:cxn ang="270">
                              <a:pos x="10800" y="0"/>
                            </a:cxn>
                            <a:cxn ang="180">
                              <a:pos x="2700" y="10800"/>
                            </a:cxn>
                            <a:cxn ang="270">
                              <a:pos x="10800" y="5400"/>
                            </a:cxn>
                            <a:cxn ang="0">
                              <a:pos x="18900" y="10800"/>
                            </a:cxn>
                          </a:cxnLst>
                          <a:rect l="txL" t="txT" r="txR" b="txB"/>
                          <a:pathLst>
                            <a:path w="21600" h="21600">
                              <a:moveTo>
                                <a:pt x="5400" y="10800"/>
                              </a:moveTo>
                              <a:arcTo wR="5400" hR="5400" stAng="10800000" swAng="10800000"/>
                              <a:lnTo>
                                <a:pt x="21600" y="10800"/>
                              </a:lnTo>
                              <a:arcTo wR="10800" hR="10800" stAng="0" swAng="-10800000"/>
                              <a:close/>
                            </a:path>
                          </a:pathLst>
                        </a:cu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shape id="自选图形 1216" o:spid="_x0000_s1026" o:spt="100" style="position:absolute;left:0pt;margin-left:72.25pt;margin-top:1.25pt;height:35.5pt;width:19.5pt;z-index:251739136;mso-width-relative:page;mso-height-relative:page;" fillcolor="#FFFFFF" filled="t" stroked="t" coordsize="21600,21600" o:gfxdata="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" path="m5400,10800c5400,7818,7818,5400,10800,5400c13782,5400,16200,7818,16200,10800l21600,10800c21600,4835,16765,0,10800,0c4835,0,0,4835,0,10800xe">
                <v:path o:connectlocs="10800,0;2700,10800;10800,5400;18900,10800" o:connectangles="0,0,0,0"/>
                <v:fill on="t" focussize="0,0"/>
                <v:stroke color="#000000" joinstyle="miter"/>
                <v:imagedata o:title=""/>
                <o:lock v:ext="edit" aspectratio="f"/>
              </v:shape>
            </w:pict>
          </mc:Fallback>
        </mc:AlternateContent>
      </w:r>
      <w:r>
        <w:rPr>
          <w:sz w:val="24"/>
        </w:rPr>
        <mc:AlternateContent>
          <mc:Choice Requires="wps">
            <w:drawing>
              <wp:anchor distT="0" distB="0" distL="114300" distR="114300" simplePos="0" relativeHeight="251728896" behindDoc="0" locked="0" layoutInCell="1" allowOverlap="1">
                <wp:simplePos x="0" y="0"/>
                <wp:positionH relativeFrom="column">
                  <wp:posOffset>898525</wp:posOffset>
                </wp:positionH>
                <wp:positionV relativeFrom="paragraph">
                  <wp:posOffset>190500</wp:posOffset>
                </wp:positionV>
                <wp:extent cx="266700" cy="219075"/>
                <wp:effectExtent l="4445" t="4445" r="14605" b="5080"/>
                <wp:wrapNone/>
                <wp:docPr id="440" name="自选图形 1206"/>
                <wp:cNvGraphicFramePr/>
                <a:graphic xmlns:a="http://schemas.openxmlformats.org/drawingml/2006/main">
                  <a:graphicData uri="http://schemas.microsoft.com/office/word/2010/wordprocessingShape">
                    <wps:wsp>
                      <wps:cNvSpPr/>
                      <wps:spPr>
                        <a:xfrm>
                          <a:off x="0" y="0"/>
                          <a:ext cx="266700" cy="219075"/>
                        </a:xfrm>
                        <a:prstGeom prst="can">
                          <a:avLst>
                            <a:gd name="adj" fmla="val 25000"/>
                          </a:avLst>
                        </a:prstGeom>
                        <a:solidFill>
                          <a:srgbClr val="FFFFFF"/>
                        </a:solidFill>
                        <a:ln w="9525" cap="flat" cmpd="sng">
                          <a:solidFill>
                            <a:srgbClr val="000000"/>
                          </a:solidFill>
                          <a:prstDash val="solid"/>
                          <a:headEnd type="none" w="med" len="med"/>
                          <a:tailEnd type="none" w="med" len="med"/>
                        </a:ln>
                      </wps:spPr>
                      <wps:txbx>
                        <w:txbxContent>
                          <w:p/>
                        </w:txbxContent>
                      </wps:txbx>
                      <wps:bodyPr upright="1"/>
                    </wps:wsp>
                  </a:graphicData>
                </a:graphic>
              </wp:anchor>
            </w:drawing>
          </mc:Choice>
          <mc:Fallback>
            <w:pict>
              <v:shape id="自选图形 1206" o:spid="_x0000_s1026" o:spt="22" type="#_x0000_t22" style="position:absolute;left:0pt;margin-left:70.75pt;margin-top:15pt;height:17.25pt;width:21pt;z-index:251728896;mso-width-relative:page;mso-height-relative:page;" fillcolor="#FFFFFF" filled="t" stroked="t" coordsize="21600,21600" o:gfxdata="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yf0V&#10;GtgAAAAJAQAADwAAAAAAAAABACAAAAAiAAAAZHJzL2Rvd25yZXYueG1sUEsBAhQAFAAAAAgAh07i&#10;QGwkWMUiAgAAVAQAAA4AAAAAAAAAAQAgAAAAJwEAAGRycy9lMm9Eb2MueG1sUEsFBgAAAAAGAAYA&#10;WQEAALsFAAAAAA==&#10;" adj="5400">
                <v:fill on="t" focussize="0,0"/>
                <v:stroke color="#000000" joinstyle="round"/>
                <v:imagedata o:title=""/>
                <o:lock v:ext="edit" aspectratio="f"/>
                <v:textbox>
                  <w:txbxContent>
                    <w:p/>
                  </w:txbxContent>
                </v:textbox>
              </v:shape>
            </w:pict>
          </mc:Fallback>
        </mc:AlternateContent>
      </w:r>
      <w:r>
        <w:rPr>
          <w:sz w:val="24"/>
        </w:rPr>
        <mc:AlternateContent>
          <mc:Choice Requires="wps">
            <w:drawing>
              <wp:anchor distT="0" distB="0" distL="114300" distR="114300" simplePos="0" relativeHeight="251729920" behindDoc="0" locked="0" layoutInCell="1" allowOverlap="1">
                <wp:simplePos x="0" y="0"/>
                <wp:positionH relativeFrom="column">
                  <wp:posOffset>1250950</wp:posOffset>
                </wp:positionH>
                <wp:positionV relativeFrom="paragraph">
                  <wp:posOffset>114300</wp:posOffset>
                </wp:positionV>
                <wp:extent cx="685800" cy="352425"/>
                <wp:effectExtent l="0" t="0" r="0" b="0"/>
                <wp:wrapNone/>
                <wp:docPr id="441" name="文本框 1207"/>
                <wp:cNvGraphicFramePr/>
                <a:graphic xmlns:a="http://schemas.openxmlformats.org/drawingml/2006/main">
                  <a:graphicData uri="http://schemas.microsoft.com/office/word/2010/wordprocessingShape">
                    <wps:wsp>
                      <wps:cNvSpPr txBox="1"/>
                      <wps:spPr>
                        <a:xfrm>
                          <a:off x="0" y="0"/>
                          <a:ext cx="685800" cy="352425"/>
                        </a:xfrm>
                        <a:prstGeom prst="rect">
                          <a:avLst/>
                        </a:prstGeom>
                        <a:noFill/>
                        <a:ln>
                          <a:noFill/>
                        </a:ln>
                      </wps:spPr>
                      <wps:txbx>
                        <w:txbxContent>
                          <w:p>
                            <w:pPr>
                              <w:rPr>
                                <w:szCs w:val="21"/>
                              </w:rPr>
                            </w:pPr>
                            <w:r>
                              <w:rPr>
                                <w:rFonts w:hint="eastAsia"/>
                                <w:szCs w:val="21"/>
                              </w:rPr>
                              <w:t>排粪塞</w:t>
                            </w:r>
                          </w:p>
                        </w:txbxContent>
                      </wps:txbx>
                      <wps:bodyPr upright="1"/>
                    </wps:wsp>
                  </a:graphicData>
                </a:graphic>
              </wp:anchor>
            </w:drawing>
          </mc:Choice>
          <mc:Fallback>
            <w:pict>
              <v:shape id="文本框 1207" o:spid="_x0000_s1026" o:spt="202" type="#_x0000_t202" style="position:absolute;left:0pt;margin-left:98.5pt;margin-top:9pt;height:27.75pt;width:54pt;z-index:251729920;mso-width-relative:page;mso-height-relative:page;" filled="f" stroked="f" coordsize="21600,21600" o:gfxdata="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NzIoyNUA&#10;AAAJAQAADwAAAAAAAAABACAAAAAiAAAAZHJzL2Rvd25yZXYueG1sUEsBAhQAFAAAAAgAh07iQPMU&#10;uTywAQAAUgMAAA4AAAAAAAAAAQAgAAAAJAEAAGRycy9lMm9Eb2MueG1sUEsFBgAAAAAGAAYAWQEA&#10;AEYFAAAAAA==&#10;">
                <v:fill on="f" focussize="0,0"/>
                <v:stroke on="f"/>
                <v:imagedata o:title=""/>
                <o:lock v:ext="edit" aspectratio="f"/>
                <v:textbox>
                  <w:txbxContent>
                    <w:p>
                      <w:pPr>
                        <w:rPr>
                          <w:szCs w:val="21"/>
                        </w:rPr>
                      </w:pPr>
                      <w:r>
                        <w:rPr>
                          <w:rFonts w:hint="eastAsia"/>
                          <w:szCs w:val="21"/>
                        </w:rPr>
                        <w:t>排粪塞</w:t>
                      </w:r>
                    </w:p>
                  </w:txbxContent>
                </v:textbox>
              </v:shape>
            </w:pict>
          </mc:Fallback>
        </mc:AlternateContent>
      </w:r>
    </w:p>
    <w:p>
      <w:pPr>
        <w:spacing w:line="500" w:lineRule="exact"/>
        <w:ind w:firstLine="480" w:firstLineChars="200"/>
        <w:rPr>
          <w:sz w:val="24"/>
        </w:rPr>
      </w:pPr>
      <w:r>
        <w:rPr>
          <w:sz w:val="24"/>
        </w:rPr>
        <mc:AlternateContent>
          <mc:Choice Requires="wps">
            <w:drawing>
              <wp:anchor distT="0" distB="0" distL="114300" distR="114300" simplePos="0" relativeHeight="251731968" behindDoc="0" locked="0" layoutInCell="1" allowOverlap="1">
                <wp:simplePos x="0" y="0"/>
                <wp:positionH relativeFrom="column">
                  <wp:posOffset>917575</wp:posOffset>
                </wp:positionH>
                <wp:positionV relativeFrom="paragraph">
                  <wp:posOffset>92075</wp:posOffset>
                </wp:positionV>
                <wp:extent cx="2130425" cy="1041400"/>
                <wp:effectExtent l="4445" t="1270" r="17780" b="5080"/>
                <wp:wrapNone/>
                <wp:docPr id="443" name="任意多边形 1209"/>
                <wp:cNvGraphicFramePr/>
                <a:graphic xmlns:a="http://schemas.openxmlformats.org/drawingml/2006/main">
                  <a:graphicData uri="http://schemas.microsoft.com/office/word/2010/wordprocessingShape">
                    <wps:wsp>
                      <wps:cNvSpPr/>
                      <wps:spPr>
                        <a:xfrm>
                          <a:off x="0" y="0"/>
                          <a:ext cx="2130425" cy="1041400"/>
                        </a:xfrm>
                        <a:custGeom>
                          <a:avLst/>
                          <a:gdLst/>
                          <a:ahLst/>
                          <a:cxnLst/>
                          <a:pathLst>
                            <a:path w="3120" h="1755">
                              <a:moveTo>
                                <a:pt x="0" y="0"/>
                              </a:moveTo>
                              <a:cubicBezTo>
                                <a:pt x="23" y="91"/>
                                <a:pt x="8" y="40"/>
                                <a:pt x="45" y="150"/>
                              </a:cubicBezTo>
                              <a:cubicBezTo>
                                <a:pt x="56" y="184"/>
                                <a:pt x="94" y="206"/>
                                <a:pt x="105" y="240"/>
                              </a:cubicBezTo>
                              <a:cubicBezTo>
                                <a:pt x="143" y="353"/>
                                <a:pt x="92" y="214"/>
                                <a:pt x="150" y="330"/>
                              </a:cubicBezTo>
                              <a:cubicBezTo>
                                <a:pt x="157" y="344"/>
                                <a:pt x="155" y="363"/>
                                <a:pt x="165" y="375"/>
                              </a:cubicBezTo>
                              <a:cubicBezTo>
                                <a:pt x="176" y="389"/>
                                <a:pt x="195" y="395"/>
                                <a:pt x="210" y="405"/>
                              </a:cubicBezTo>
                              <a:cubicBezTo>
                                <a:pt x="248" y="482"/>
                                <a:pt x="287" y="552"/>
                                <a:pt x="360" y="600"/>
                              </a:cubicBezTo>
                              <a:cubicBezTo>
                                <a:pt x="445" y="727"/>
                                <a:pt x="305" y="530"/>
                                <a:pt x="480" y="705"/>
                              </a:cubicBezTo>
                              <a:cubicBezTo>
                                <a:pt x="520" y="745"/>
                                <a:pt x="575" y="770"/>
                                <a:pt x="615" y="810"/>
                              </a:cubicBezTo>
                              <a:cubicBezTo>
                                <a:pt x="675" y="870"/>
                                <a:pt x="739" y="913"/>
                                <a:pt x="810" y="960"/>
                              </a:cubicBezTo>
                              <a:cubicBezTo>
                                <a:pt x="857" y="992"/>
                                <a:pt x="939" y="1063"/>
                                <a:pt x="990" y="1080"/>
                              </a:cubicBezTo>
                              <a:cubicBezTo>
                                <a:pt x="1035" y="1095"/>
                                <a:pt x="1084" y="1117"/>
                                <a:pt x="1125" y="1140"/>
                              </a:cubicBezTo>
                              <a:cubicBezTo>
                                <a:pt x="1299" y="1237"/>
                                <a:pt x="1130" y="1172"/>
                                <a:pt x="1305" y="1230"/>
                              </a:cubicBezTo>
                              <a:cubicBezTo>
                                <a:pt x="1360" y="1248"/>
                                <a:pt x="1400" y="1302"/>
                                <a:pt x="1455" y="1320"/>
                              </a:cubicBezTo>
                              <a:cubicBezTo>
                                <a:pt x="1470" y="1325"/>
                                <a:pt x="1486" y="1328"/>
                                <a:pt x="1500" y="1335"/>
                              </a:cubicBezTo>
                              <a:cubicBezTo>
                                <a:pt x="1516" y="1343"/>
                                <a:pt x="1528" y="1359"/>
                                <a:pt x="1545" y="1365"/>
                              </a:cubicBezTo>
                              <a:cubicBezTo>
                                <a:pt x="1584" y="1379"/>
                                <a:pt x="1625" y="1385"/>
                                <a:pt x="1665" y="1395"/>
                              </a:cubicBezTo>
                              <a:cubicBezTo>
                                <a:pt x="1726" y="1410"/>
                                <a:pt x="1784" y="1440"/>
                                <a:pt x="1845" y="1455"/>
                              </a:cubicBezTo>
                              <a:cubicBezTo>
                                <a:pt x="2030" y="1501"/>
                                <a:pt x="2215" y="1544"/>
                                <a:pt x="2400" y="1590"/>
                              </a:cubicBezTo>
                              <a:cubicBezTo>
                                <a:pt x="2446" y="1602"/>
                                <a:pt x="2489" y="1623"/>
                                <a:pt x="2535" y="1635"/>
                              </a:cubicBezTo>
                              <a:cubicBezTo>
                                <a:pt x="2669" y="1669"/>
                                <a:pt x="2804" y="1698"/>
                                <a:pt x="2940" y="1725"/>
                              </a:cubicBezTo>
                              <a:cubicBezTo>
                                <a:pt x="3009" y="1739"/>
                                <a:pt x="3048" y="1755"/>
                                <a:pt x="3120" y="1755"/>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1209" o:spid="_x0000_s1026" o:spt="100" style="position:absolute;left:0pt;margin-left:72.25pt;margin-top:7.25pt;height:82pt;width:167.75pt;z-index:251731968;mso-width-relative:page;mso-height-relative:page;" filled="f" stroked="t" coordsize="3120,1755" o:gfxdata="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&#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" path="m0,0c23,91,8,40,45,150c56,184,94,206,105,240c143,353,92,214,150,330c157,344,155,363,165,375c176,389,195,395,210,405c248,482,287,552,360,600c445,727,305,530,480,705c520,745,575,770,615,810c675,870,739,913,810,960c857,992,939,1063,990,1080c1035,1095,1084,1117,1125,1140c1299,1237,1130,1172,1305,1230c1360,1248,1400,1302,1455,1320c1470,1325,1486,1328,1500,1335c1516,1343,1528,1359,1545,1365c1584,1379,1625,1385,1665,1395c1726,1410,1784,1440,1845,1455c2030,1501,2215,1544,2400,1590c2446,1602,2489,1623,2535,1635c2669,1669,2804,1698,2940,1725c3009,1739,3048,1755,3120,1755e">
                <v:fill on="f" focussize="0,0"/>
                <v:stroke color="#000000" joinstyle="round"/>
                <v:imagedata o:title=""/>
                <o:lock v:ext="edit" aspectratio="f"/>
              </v:shape>
            </w:pict>
          </mc:Fallback>
        </mc:AlternateContent>
      </w:r>
      <w:r>
        <w:rPr>
          <w:sz w:val="24"/>
        </w:rPr>
        <mc:AlternateContent>
          <mc:Choice Requires="wps">
            <w:drawing>
              <wp:anchor distT="0" distB="0" distL="114300" distR="114300" simplePos="0" relativeHeight="251730944" behindDoc="0" locked="0" layoutInCell="1" allowOverlap="1">
                <wp:simplePos x="0" y="0"/>
                <wp:positionH relativeFrom="column">
                  <wp:posOffset>1165225</wp:posOffset>
                </wp:positionH>
                <wp:positionV relativeFrom="paragraph">
                  <wp:posOffset>92075</wp:posOffset>
                </wp:positionV>
                <wp:extent cx="1882775" cy="809625"/>
                <wp:effectExtent l="4445" t="1270" r="17780" b="8255"/>
                <wp:wrapNone/>
                <wp:docPr id="442" name="任意多边形 1208"/>
                <wp:cNvGraphicFramePr/>
                <a:graphic xmlns:a="http://schemas.openxmlformats.org/drawingml/2006/main">
                  <a:graphicData uri="http://schemas.microsoft.com/office/word/2010/wordprocessingShape">
                    <wps:wsp>
                      <wps:cNvSpPr/>
                      <wps:spPr>
                        <a:xfrm>
                          <a:off x="0" y="0"/>
                          <a:ext cx="1882775" cy="809625"/>
                        </a:xfrm>
                        <a:custGeom>
                          <a:avLst/>
                          <a:gdLst/>
                          <a:ahLst/>
                          <a:cxnLst/>
                          <a:pathLst>
                            <a:path w="3120" h="1755">
                              <a:moveTo>
                                <a:pt x="0" y="0"/>
                              </a:moveTo>
                              <a:cubicBezTo>
                                <a:pt x="23" y="91"/>
                                <a:pt x="8" y="40"/>
                                <a:pt x="45" y="150"/>
                              </a:cubicBezTo>
                              <a:cubicBezTo>
                                <a:pt x="56" y="184"/>
                                <a:pt x="94" y="206"/>
                                <a:pt x="105" y="240"/>
                              </a:cubicBezTo>
                              <a:cubicBezTo>
                                <a:pt x="143" y="353"/>
                                <a:pt x="92" y="214"/>
                                <a:pt x="150" y="330"/>
                              </a:cubicBezTo>
                              <a:cubicBezTo>
                                <a:pt x="157" y="344"/>
                                <a:pt x="155" y="363"/>
                                <a:pt x="165" y="375"/>
                              </a:cubicBezTo>
                              <a:cubicBezTo>
                                <a:pt x="176" y="389"/>
                                <a:pt x="195" y="395"/>
                                <a:pt x="210" y="405"/>
                              </a:cubicBezTo>
                              <a:cubicBezTo>
                                <a:pt x="248" y="482"/>
                                <a:pt x="287" y="552"/>
                                <a:pt x="360" y="600"/>
                              </a:cubicBezTo>
                              <a:cubicBezTo>
                                <a:pt x="445" y="727"/>
                                <a:pt x="305" y="530"/>
                                <a:pt x="480" y="705"/>
                              </a:cubicBezTo>
                              <a:cubicBezTo>
                                <a:pt x="520" y="745"/>
                                <a:pt x="575" y="770"/>
                                <a:pt x="615" y="810"/>
                              </a:cubicBezTo>
                              <a:cubicBezTo>
                                <a:pt x="675" y="870"/>
                                <a:pt x="739" y="913"/>
                                <a:pt x="810" y="960"/>
                              </a:cubicBezTo>
                              <a:cubicBezTo>
                                <a:pt x="857" y="992"/>
                                <a:pt x="939" y="1063"/>
                                <a:pt x="990" y="1080"/>
                              </a:cubicBezTo>
                              <a:cubicBezTo>
                                <a:pt x="1035" y="1095"/>
                                <a:pt x="1084" y="1117"/>
                                <a:pt x="1125" y="1140"/>
                              </a:cubicBezTo>
                              <a:cubicBezTo>
                                <a:pt x="1299" y="1237"/>
                                <a:pt x="1130" y="1172"/>
                                <a:pt x="1305" y="1230"/>
                              </a:cubicBezTo>
                              <a:cubicBezTo>
                                <a:pt x="1360" y="1248"/>
                                <a:pt x="1400" y="1302"/>
                                <a:pt x="1455" y="1320"/>
                              </a:cubicBezTo>
                              <a:cubicBezTo>
                                <a:pt x="1470" y="1325"/>
                                <a:pt x="1486" y="1328"/>
                                <a:pt x="1500" y="1335"/>
                              </a:cubicBezTo>
                              <a:cubicBezTo>
                                <a:pt x="1516" y="1343"/>
                                <a:pt x="1528" y="1359"/>
                                <a:pt x="1545" y="1365"/>
                              </a:cubicBezTo>
                              <a:cubicBezTo>
                                <a:pt x="1584" y="1379"/>
                                <a:pt x="1625" y="1385"/>
                                <a:pt x="1665" y="1395"/>
                              </a:cubicBezTo>
                              <a:cubicBezTo>
                                <a:pt x="1726" y="1410"/>
                                <a:pt x="1784" y="1440"/>
                                <a:pt x="1845" y="1455"/>
                              </a:cubicBezTo>
                              <a:cubicBezTo>
                                <a:pt x="2030" y="1501"/>
                                <a:pt x="2215" y="1544"/>
                                <a:pt x="2400" y="1590"/>
                              </a:cubicBezTo>
                              <a:cubicBezTo>
                                <a:pt x="2446" y="1602"/>
                                <a:pt x="2489" y="1623"/>
                                <a:pt x="2535" y="1635"/>
                              </a:cubicBezTo>
                              <a:cubicBezTo>
                                <a:pt x="2669" y="1669"/>
                                <a:pt x="2804" y="1698"/>
                                <a:pt x="2940" y="1725"/>
                              </a:cubicBezTo>
                              <a:cubicBezTo>
                                <a:pt x="3009" y="1739"/>
                                <a:pt x="3048" y="1755"/>
                                <a:pt x="3120" y="1755"/>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任意多边形 1208" o:spid="_x0000_s1026" o:spt="100" style="position:absolute;left:0pt;margin-left:91.75pt;margin-top:7.25pt;height:63.75pt;width:148.25pt;z-index:251730944;mso-width-relative:page;mso-height-relative:page;" filled="f" stroked="t" coordsize="3120,1755" o:gfxdata="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" path="m0,0c23,91,8,40,45,150c56,184,94,206,105,240c143,353,92,214,150,330c157,344,155,363,165,375c176,389,195,395,210,405c248,482,287,552,360,600c445,727,305,530,480,705c520,745,575,770,615,810c675,870,739,913,810,960c857,992,939,1063,990,1080c1035,1095,1084,1117,1125,1140c1299,1237,1130,1172,1305,1230c1360,1248,1400,1302,1455,1320c1470,1325,1486,1328,1500,1335c1516,1343,1528,1359,1545,1365c1584,1379,1625,1385,1665,1395c1726,1410,1784,1440,1845,1455c2030,1501,2215,1544,2400,1590c2446,1602,2489,1623,2535,1635c2669,1669,2804,1698,2940,1725c3009,1739,3048,1755,3120,1755e">
                <v:fill on="f" focussize="0,0"/>
                <v:stroke color="#000000" joinstyle="round"/>
                <v:imagedata o:title=""/>
                <o:lock v:ext="edit" aspectratio="f"/>
              </v:shape>
            </w:pict>
          </mc:Fallback>
        </mc:AlternateContent>
      </w:r>
      <w:r>
        <w:rPr>
          <w:sz w:val="24"/>
        </w:rPr>
        <mc:AlternateContent>
          <mc:Choice Requires="wps">
            <w:drawing>
              <wp:anchor distT="0" distB="0" distL="114300" distR="114300" simplePos="0" relativeHeight="251734016" behindDoc="0" locked="0" layoutInCell="1" allowOverlap="1">
                <wp:simplePos x="0" y="0"/>
                <wp:positionH relativeFrom="column">
                  <wp:posOffset>917575</wp:posOffset>
                </wp:positionH>
                <wp:positionV relativeFrom="paragraph">
                  <wp:posOffset>149225</wp:posOffset>
                </wp:positionV>
                <wp:extent cx="590550" cy="295275"/>
                <wp:effectExtent l="0" t="0" r="0" b="0"/>
                <wp:wrapNone/>
                <wp:docPr id="445" name="文本框 1211"/>
                <wp:cNvGraphicFramePr/>
                <a:graphic xmlns:a="http://schemas.openxmlformats.org/drawingml/2006/main">
                  <a:graphicData uri="http://schemas.microsoft.com/office/word/2010/wordprocessingShape">
                    <wps:wsp>
                      <wps:cNvSpPr txBox="1"/>
                      <wps:spPr>
                        <a:xfrm>
                          <a:off x="0" y="0"/>
                          <a:ext cx="590550" cy="295275"/>
                        </a:xfrm>
                        <a:prstGeom prst="rect">
                          <a:avLst/>
                        </a:prstGeom>
                        <a:noFill/>
                        <a:ln>
                          <a:noFill/>
                        </a:ln>
                      </wps:spPr>
                      <wps:txbx>
                        <w:txbxContent>
                          <w:p>
                            <w:pPr>
                              <w:rPr>
                                <w:szCs w:val="21"/>
                              </w:rPr>
                            </w:pPr>
                            <w:r>
                              <w:rPr>
                                <w:rFonts w:hint="eastAsia"/>
                                <w:szCs w:val="21"/>
                              </w:rPr>
                              <w:t>粪尿</w:t>
                            </w:r>
                          </w:p>
                        </w:txbxContent>
                      </wps:txbx>
                      <wps:bodyPr upright="1"/>
                    </wps:wsp>
                  </a:graphicData>
                </a:graphic>
              </wp:anchor>
            </w:drawing>
          </mc:Choice>
          <mc:Fallback>
            <w:pict>
              <v:shape id="文本框 1211" o:spid="_x0000_s1026" o:spt="202" type="#_x0000_t202" style="position:absolute;left:0pt;margin-left:72.25pt;margin-top:11.75pt;height:23.25pt;width:46.5pt;z-index:251734016;mso-width-relative:page;mso-height-relative:page;" filled="f" stroked="f" coordsize="21600,21600" o:gfxdata="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J1quQTW&#10;AAAACQEAAA8AAAAAAAAAAQAgAAAAIgAAAGRycy9kb3ducmV2LnhtbFBLAQIUABQAAAAIAIdO4kBF&#10;cHAssAEAAFIDAAAOAAAAAAAAAAEAIAAAACUBAABkcnMvZTJvRG9jLnhtbFBLBQYAAAAABgAGAFkB&#10;AABHBQAAAAA=&#10;">
                <v:fill on="f" focussize="0,0"/>
                <v:stroke on="f"/>
                <v:imagedata o:title=""/>
                <o:lock v:ext="edit" aspectratio="f"/>
                <v:textbox>
                  <w:txbxContent>
                    <w:p>
                      <w:pPr>
                        <w:rPr>
                          <w:szCs w:val="21"/>
                        </w:rPr>
                      </w:pPr>
                      <w:r>
                        <w:rPr>
                          <w:rFonts w:hint="eastAsia"/>
                          <w:szCs w:val="21"/>
                        </w:rPr>
                        <w:t>粪尿</w:t>
                      </w:r>
                    </w:p>
                  </w:txbxContent>
                </v:textbox>
              </v:shape>
            </w:pict>
          </mc:Fallback>
        </mc:AlternateContent>
      </w:r>
    </w:p>
    <w:p>
      <w:pPr>
        <w:spacing w:line="500" w:lineRule="exact"/>
        <w:ind w:firstLine="480" w:firstLineChars="200"/>
        <w:rPr>
          <w:sz w:val="24"/>
        </w:rPr>
      </w:pPr>
      <w:r>
        <w:rPr>
          <w:sz w:val="24"/>
        </w:rPr>
        <mc:AlternateContent>
          <mc:Choice Requires="wps">
            <w:drawing>
              <wp:anchor distT="0" distB="0" distL="114300" distR="114300" simplePos="0" relativeHeight="251732992" behindDoc="0" locked="0" layoutInCell="1" allowOverlap="1">
                <wp:simplePos x="0" y="0"/>
                <wp:positionH relativeFrom="column">
                  <wp:posOffset>3061335</wp:posOffset>
                </wp:positionH>
                <wp:positionV relativeFrom="paragraph">
                  <wp:posOffset>15201265</wp:posOffset>
                </wp:positionV>
                <wp:extent cx="561975" cy="269875"/>
                <wp:effectExtent l="1905" t="4445" r="7620" b="11430"/>
                <wp:wrapNone/>
                <wp:docPr id="444" name="自选图形 1210"/>
                <wp:cNvGraphicFramePr/>
                <a:graphic xmlns:a="http://schemas.openxmlformats.org/drawingml/2006/main">
                  <a:graphicData uri="http://schemas.microsoft.com/office/word/2010/wordprocessingShape">
                    <wps:wsp>
                      <wps:cNvCnPr/>
                      <wps:spPr>
                        <a:xfrm>
                          <a:off x="0" y="0"/>
                          <a:ext cx="561975" cy="26987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1210" o:spid="_x0000_s1026" o:spt="32" type="#_x0000_t32" style="position:absolute;left:0pt;margin-left:241.05pt;margin-top:1196.95pt;height:21.25pt;width:44.25pt;z-index:251732992;mso-width-relative:page;mso-height-relative:page;" filled="f" stroked="t" coordsize="21600,21600" o:gfxdata="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V0VUMN4AAAANAQAADwAAAAAAAAABACAAAAAiAAAA&#10;ZHJzL2Rvd25yZXYueG1sUEsBAhQAFAAAAAgAh07iQOJXJtIBAgAA8AMAAA4AAAAAAAAAAQAgAAAA&#10;LQEAAGRycy9lMm9Eb2MueG1sUEsFBgAAAAAGAAYAWQEAAKAFAAAAAA==&#10;">
                <v:fill on="f" focussize="0,0"/>
                <v:stroke color="#000000" joinstyle="round" endarrow="block"/>
                <v:imagedata o:title=""/>
                <o:lock v:ext="edit" aspectratio="f"/>
              </v:shape>
            </w:pict>
          </mc:Fallback>
        </mc:AlternateContent>
      </w:r>
      <w:r>
        <w:rPr>
          <w:sz w:val="24"/>
        </w:rPr>
        <mc:AlternateContent>
          <mc:Choice Requires="wps">
            <w:drawing>
              <wp:anchor distT="0" distB="0" distL="114300" distR="114300" simplePos="0" relativeHeight="251736064" behindDoc="0" locked="0" layoutInCell="1" allowOverlap="1">
                <wp:simplePos x="0" y="0"/>
                <wp:positionH relativeFrom="column">
                  <wp:posOffset>3822700</wp:posOffset>
                </wp:positionH>
                <wp:positionV relativeFrom="paragraph">
                  <wp:posOffset>101600</wp:posOffset>
                </wp:positionV>
                <wp:extent cx="323850" cy="1206500"/>
                <wp:effectExtent l="4445" t="5080" r="14605" b="7620"/>
                <wp:wrapNone/>
                <wp:docPr id="447" name="文本框 1213"/>
                <wp:cNvGraphicFramePr/>
                <a:graphic xmlns:a="http://schemas.openxmlformats.org/drawingml/2006/main">
                  <a:graphicData uri="http://schemas.microsoft.com/office/word/2010/wordprocessingShape">
                    <wps:wsp>
                      <wps:cNvSpPr txBox="1"/>
                      <wps:spPr>
                        <a:xfrm>
                          <a:off x="0" y="0"/>
                          <a:ext cx="323850" cy="1206500"/>
                        </a:xfrm>
                        <a:prstGeom prst="rect">
                          <a:avLst/>
                        </a:prstGeom>
                        <a:noFill/>
                        <a:ln w="9525" cap="flat" cmpd="sng">
                          <a:solidFill>
                            <a:srgbClr val="000000"/>
                          </a:solidFill>
                          <a:prstDash val="solid"/>
                          <a:miter/>
                          <a:headEnd type="none" w="med" len="med"/>
                          <a:tailEnd type="none" w="med" len="med"/>
                        </a:ln>
                      </wps:spPr>
                      <wps:txbx>
                        <w:txbxContent>
                          <w:p>
                            <w:pPr>
                              <w:spacing w:before="120" w:beforeLines="50"/>
                              <w:rPr>
                                <w:szCs w:val="21"/>
                              </w:rPr>
                            </w:pPr>
                            <w:r>
                              <w:rPr>
                                <w:rFonts w:hint="eastAsia"/>
                                <w:szCs w:val="21"/>
                              </w:rPr>
                              <w:t>固液分离机</w:t>
                            </w:r>
                          </w:p>
                        </w:txbxContent>
                      </wps:txbx>
                      <wps:bodyPr upright="1"/>
                    </wps:wsp>
                  </a:graphicData>
                </a:graphic>
              </wp:anchor>
            </w:drawing>
          </mc:Choice>
          <mc:Fallback>
            <w:pict>
              <v:shape id="文本框 1213" o:spid="_x0000_s1026" o:spt="202" type="#_x0000_t202" style="position:absolute;left:0pt;margin-left:301pt;margin-top:8pt;height:95pt;width:25.5pt;z-index:251736064;mso-width-relative:page;mso-height-relative:page;" filled="f" stroked="t" coordsize="21600,21600" o:gfxdata="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VQJVS9QAAAAKAQAADwAAAAAAAAABACAAAAAiAAAA&#10;ZHJzL2Rvd25yZXYueG1sUEsBAhQAFAAAAAgAh07iQFM+IuQLAgAAEgQAAA4AAAAAAAAAAQAgAAAA&#10;IwEAAGRycy9lMm9Eb2MueG1sUEsFBgAAAAAGAAYAWQEAAKAFAAAAAA==&#10;">
                <v:fill on="f" focussize="0,0"/>
                <v:stroke color="#000000" joinstyle="miter"/>
                <v:imagedata o:title=""/>
                <o:lock v:ext="edit" aspectratio="f"/>
                <v:textbox>
                  <w:txbxContent>
                    <w:p>
                      <w:pPr>
                        <w:spacing w:before="120" w:beforeLines="50"/>
                        <w:rPr>
                          <w:szCs w:val="21"/>
                        </w:rPr>
                      </w:pPr>
                      <w:r>
                        <w:rPr>
                          <w:rFonts w:hint="eastAsia"/>
                          <w:szCs w:val="21"/>
                        </w:rPr>
                        <w:t>固液分离机</w:t>
                      </w:r>
                    </w:p>
                  </w:txbxContent>
                </v:textbox>
              </v:shape>
            </w:pict>
          </mc:Fallback>
        </mc:AlternateContent>
      </w:r>
      <w:r>
        <w:rPr>
          <w:sz w:val="24"/>
        </w:rPr>
        <mc:AlternateContent>
          <mc:Choice Requires="wps">
            <w:drawing>
              <wp:anchor distT="0" distB="0" distL="114300" distR="114300" simplePos="0" relativeHeight="251746304" behindDoc="0" locked="0" layoutInCell="1" allowOverlap="1">
                <wp:simplePos x="0" y="0"/>
                <wp:positionH relativeFrom="column">
                  <wp:posOffset>4308475</wp:posOffset>
                </wp:positionH>
                <wp:positionV relativeFrom="paragraph">
                  <wp:posOffset>73025</wp:posOffset>
                </wp:positionV>
                <wp:extent cx="733425" cy="295275"/>
                <wp:effectExtent l="0" t="0" r="0" b="0"/>
                <wp:wrapNone/>
                <wp:docPr id="457" name="文本框 1223"/>
                <wp:cNvGraphicFramePr/>
                <a:graphic xmlns:a="http://schemas.openxmlformats.org/drawingml/2006/main">
                  <a:graphicData uri="http://schemas.microsoft.com/office/word/2010/wordprocessingShape">
                    <wps:wsp>
                      <wps:cNvSpPr txBox="1"/>
                      <wps:spPr>
                        <a:xfrm>
                          <a:off x="0" y="0"/>
                          <a:ext cx="733425" cy="295275"/>
                        </a:xfrm>
                        <a:prstGeom prst="rect">
                          <a:avLst/>
                        </a:prstGeom>
                        <a:noFill/>
                        <a:ln>
                          <a:noFill/>
                        </a:ln>
                      </wps:spPr>
                      <wps:txbx>
                        <w:txbxContent>
                          <w:p>
                            <w:pPr>
                              <w:jc w:val="center"/>
                              <w:rPr>
                                <w:szCs w:val="21"/>
                              </w:rPr>
                            </w:pPr>
                            <w:r>
                              <w:rPr>
                                <w:rFonts w:hint="eastAsia"/>
                                <w:szCs w:val="21"/>
                              </w:rPr>
                              <w:t>干物质</w:t>
                            </w:r>
                          </w:p>
                        </w:txbxContent>
                      </wps:txbx>
                      <wps:bodyPr upright="1"/>
                    </wps:wsp>
                  </a:graphicData>
                </a:graphic>
              </wp:anchor>
            </w:drawing>
          </mc:Choice>
          <mc:Fallback>
            <w:pict>
              <v:shape id="文本框 1223" o:spid="_x0000_s1026" o:spt="202" type="#_x0000_t202" style="position:absolute;left:0pt;margin-left:339.25pt;margin-top:5.75pt;height:23.25pt;width:57.75pt;z-index:251746304;mso-width-relative:page;mso-height-relative:page;" filled="f" stroked="f" coordsize="21600,21600" o:gfxdata="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MJqV&#10;+NcAAAAJAQAADwAAAAAAAAABACAAAAAiAAAAZHJzL2Rvd25yZXYueG1sUEsBAhQAFAAAAAgAh07i&#10;QDEsR7exAQAAUgMAAA4AAAAAAAAAAQAgAAAAJgEAAGRycy9lMm9Eb2MueG1sUEsFBgAAAAAGAAYA&#10;WQEAAEkFAAAAAA==&#10;">
                <v:fill on="f" focussize="0,0"/>
                <v:stroke on="f"/>
                <v:imagedata o:title=""/>
                <o:lock v:ext="edit" aspectratio="f"/>
                <v:textbox>
                  <w:txbxContent>
                    <w:p>
                      <w:pPr>
                        <w:jc w:val="center"/>
                        <w:rPr>
                          <w:szCs w:val="21"/>
                        </w:rPr>
                      </w:pPr>
                      <w:r>
                        <w:rPr>
                          <w:rFonts w:hint="eastAsia"/>
                          <w:szCs w:val="21"/>
                        </w:rPr>
                        <w:t>干物质</w:t>
                      </w:r>
                    </w:p>
                  </w:txbxContent>
                </v:textbox>
              </v:shape>
            </w:pict>
          </mc:Fallback>
        </mc:AlternateContent>
      </w:r>
      <w:r>
        <w:rPr>
          <w:sz w:val="24"/>
        </w:rPr>
        <mc:AlternateContent>
          <mc:Choice Requires="wps">
            <w:drawing>
              <wp:anchor distT="0" distB="0" distL="114300" distR="114300" simplePos="0" relativeHeight="251743232" behindDoc="0" locked="0" layoutInCell="1" allowOverlap="1">
                <wp:simplePos x="0" y="0"/>
                <wp:positionH relativeFrom="column">
                  <wp:posOffset>5118100</wp:posOffset>
                </wp:positionH>
                <wp:positionV relativeFrom="paragraph">
                  <wp:posOffset>234950</wp:posOffset>
                </wp:positionV>
                <wp:extent cx="1095375" cy="266700"/>
                <wp:effectExtent l="4445" t="4445" r="5080" b="14605"/>
                <wp:wrapNone/>
                <wp:docPr id="454" name="文本框 1220"/>
                <wp:cNvGraphicFramePr/>
                <a:graphic xmlns:a="http://schemas.openxmlformats.org/drawingml/2006/main">
                  <a:graphicData uri="http://schemas.microsoft.com/office/word/2010/wordprocessingShape">
                    <wps:wsp>
                      <wps:cNvSpPr txBox="1"/>
                      <wps:spPr>
                        <a:xfrm>
                          <a:off x="0" y="0"/>
                          <a:ext cx="1095375" cy="266700"/>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szCs w:val="21"/>
                              </w:rPr>
                            </w:pPr>
                            <w:r>
                              <w:rPr>
                                <w:rFonts w:hint="eastAsia"/>
                                <w:szCs w:val="21"/>
                              </w:rPr>
                              <w:t>固粪堆存区（外售）</w:t>
                            </w:r>
                          </w:p>
                        </w:txbxContent>
                      </wps:txbx>
                      <wps:bodyPr lIns="0" tIns="45720" rIns="0" bIns="45720" upright="1"/>
                    </wps:wsp>
                  </a:graphicData>
                </a:graphic>
              </wp:anchor>
            </w:drawing>
          </mc:Choice>
          <mc:Fallback>
            <w:pict>
              <v:shape id="文本框 1220" o:spid="_x0000_s1026" o:spt="202" type="#_x0000_t202" style="position:absolute;left:0pt;margin-left:403pt;margin-top:18.5pt;height:21pt;width:86.25pt;z-index:251743232;mso-width-relative:page;mso-height-relative:page;" filled="f" stroked="t" coordsize="21600,21600" o:gfxdata="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76O3W9cAAAAJ&#10;AQAADwAAAAAAAAABACAAAAAiAAAAZHJzL2Rvd25yZXYueG1sUEsBAhQAFAAAAAgAh07iQF06fi4d&#10;AgAAPgQAAA4AAAAAAAAAAQAgAAAAJgEAAGRycy9lMm9Eb2MueG1sUEsFBgAAAAAGAAYAWQEAALUF&#10;AAAAAA==&#10;">
                <v:fill on="f" focussize="0,0"/>
                <v:stroke color="#000000" joinstyle="miter"/>
                <v:imagedata o:title=""/>
                <o:lock v:ext="edit" aspectratio="f"/>
                <v:textbox inset="0mm,1.27mm,0mm,1.27mm">
                  <w:txbxContent>
                    <w:p>
                      <w:pPr>
                        <w:jc w:val="center"/>
                        <w:rPr>
                          <w:rFonts w:hint="eastAsia"/>
                          <w:szCs w:val="21"/>
                        </w:rPr>
                      </w:pPr>
                      <w:r>
                        <w:rPr>
                          <w:rFonts w:hint="eastAsia"/>
                          <w:szCs w:val="21"/>
                        </w:rPr>
                        <w:t>固粪堆存区（外售）</w:t>
                      </w:r>
                    </w:p>
                  </w:txbxContent>
                </v:textbox>
              </v:shape>
            </w:pict>
          </mc:Fallback>
        </mc:AlternateContent>
      </w:r>
    </w:p>
    <w:p>
      <w:pPr>
        <w:spacing w:line="500" w:lineRule="exact"/>
        <w:ind w:firstLine="480" w:firstLineChars="200"/>
        <w:rPr>
          <w:sz w:val="24"/>
        </w:rPr>
      </w:pPr>
      <w:r>
        <w:rPr>
          <w:sz w:val="24"/>
        </w:rPr>
        <mc:AlternateContent>
          <mc:Choice Requires="wps">
            <w:drawing>
              <wp:anchor distT="0" distB="0" distL="114300" distR="114300" simplePos="0" relativeHeight="251742208" behindDoc="0" locked="0" layoutInCell="1" allowOverlap="1">
                <wp:simplePos x="0" y="0"/>
                <wp:positionH relativeFrom="column">
                  <wp:posOffset>3061335</wp:posOffset>
                </wp:positionH>
                <wp:positionV relativeFrom="paragraph">
                  <wp:posOffset>14883765</wp:posOffset>
                </wp:positionV>
                <wp:extent cx="589280" cy="0"/>
                <wp:effectExtent l="0" t="38100" r="1270" b="38100"/>
                <wp:wrapNone/>
                <wp:docPr id="453" name="自选图形 1219"/>
                <wp:cNvGraphicFramePr/>
                <a:graphic xmlns:a="http://schemas.openxmlformats.org/drawingml/2006/main">
                  <a:graphicData uri="http://schemas.microsoft.com/office/word/2010/wordprocessingShape">
                    <wps:wsp>
                      <wps:cNvCnPr/>
                      <wps:spPr>
                        <a:xfrm>
                          <a:off x="0" y="0"/>
                          <a:ext cx="58928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1219" o:spid="_x0000_s1026" o:spt="32" type="#_x0000_t32" style="position:absolute;left:0pt;margin-left:241.05pt;margin-top:1171.95pt;height:0pt;width:46.4pt;z-index:251742208;mso-width-relative:page;mso-height-relative:page;" filled="f" stroked="t" coordsize="21600,21600" o:gfxdata="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etRIjbAAAADQEAAA8AAAAAAAAAAQAgAAAAIgAAAGRycy9k&#10;b3ducmV2LnhtbFBLAQIUABQAAAAIAIdO4kC2XB4N/wEAAOsDAAAOAAAAAAAAAAEAIAAAACoBAABk&#10;cnMvZTJvRG9jLnhtbFBLBQYAAAAABgAGAFkBAACbBQAAAAA=&#10;">
                <v:fill on="f" focussize="0,0"/>
                <v:stroke color="#000000" joinstyle="round" endarrow="block"/>
                <v:imagedata o:title=""/>
                <o:lock v:ext="edit" aspectratio="f"/>
              </v:shape>
            </w:pict>
          </mc:Fallback>
        </mc:AlternateContent>
      </w:r>
      <w:r>
        <w:rPr>
          <w:sz w:val="24"/>
        </w:rPr>
        <mc:AlternateContent>
          <mc:Choice Requires="wps">
            <w:drawing>
              <wp:anchor distT="0" distB="0" distL="114300" distR="114300" simplePos="0" relativeHeight="251741184" behindDoc="0" locked="0" layoutInCell="1" allowOverlap="1">
                <wp:simplePos x="0" y="0"/>
                <wp:positionH relativeFrom="column">
                  <wp:posOffset>3061335</wp:posOffset>
                </wp:positionH>
                <wp:positionV relativeFrom="paragraph">
                  <wp:posOffset>14883765</wp:posOffset>
                </wp:positionV>
                <wp:extent cx="635" cy="578485"/>
                <wp:effectExtent l="4445" t="0" r="13970" b="12065"/>
                <wp:wrapNone/>
                <wp:docPr id="452" name="自选图形 1218"/>
                <wp:cNvGraphicFramePr/>
                <a:graphic xmlns:a="http://schemas.openxmlformats.org/drawingml/2006/main">
                  <a:graphicData uri="http://schemas.microsoft.com/office/word/2010/wordprocessingShape">
                    <wps:wsp>
                      <wps:cNvCnPr/>
                      <wps:spPr>
                        <a:xfrm>
                          <a:off x="0" y="0"/>
                          <a:ext cx="635" cy="57848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自选图形 1218" o:spid="_x0000_s1026" o:spt="32" type="#_x0000_t32" style="position:absolute;left:0pt;margin-left:241.05pt;margin-top:1171.95pt;height:45.55pt;width:0.05pt;z-index:251741184;mso-width-relative:page;mso-height-relative:page;" filled="f" stroked="t" coordsize="21600,21600" o:gfxdata="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I5Hap7aAAAADQEAAA8AAAAAAAAAAQAgAAAAIgAAAGRycy9kb3ducmV2&#10;LnhtbFBLAQIUABQAAAAIAIdO4kCX3Cwu+gEAAOkDAAAOAAAAAAAAAAEAIAAAACkBAABkcnMvZTJv&#10;RG9jLnhtbFBLBQYAAAAABgAGAFkBAACVBQAAAAA=&#10;">
                <v:fill on="f" focussize="0,0"/>
                <v:stroke color="#000000" joinstyle="round"/>
                <v:imagedata o:title=""/>
                <o:lock v:ext="edit" aspectratio="f"/>
              </v:shape>
            </w:pict>
          </mc:Fallback>
        </mc:AlternateContent>
      </w:r>
      <w:r>
        <w:rPr>
          <w:sz w:val="24"/>
        </w:rPr>
        <mc:AlternateContent>
          <mc:Choice Requires="wps">
            <w:drawing>
              <wp:anchor distT="0" distB="0" distL="114300" distR="114300" simplePos="0" relativeHeight="251735040" behindDoc="0" locked="0" layoutInCell="1" allowOverlap="1">
                <wp:simplePos x="0" y="0"/>
                <wp:positionH relativeFrom="column">
                  <wp:posOffset>3108325</wp:posOffset>
                </wp:positionH>
                <wp:positionV relativeFrom="paragraph">
                  <wp:posOffset>12700</wp:posOffset>
                </wp:positionV>
                <wp:extent cx="333375" cy="704850"/>
                <wp:effectExtent l="4445" t="4445" r="5080" b="14605"/>
                <wp:wrapNone/>
                <wp:docPr id="446" name="文本框 1212"/>
                <wp:cNvGraphicFramePr/>
                <a:graphic xmlns:a="http://schemas.openxmlformats.org/drawingml/2006/main">
                  <a:graphicData uri="http://schemas.microsoft.com/office/word/2010/wordprocessingShape">
                    <wps:wsp>
                      <wps:cNvSpPr txBox="1"/>
                      <wps:spPr>
                        <a:xfrm>
                          <a:off x="0" y="0"/>
                          <a:ext cx="333375" cy="704850"/>
                        </a:xfrm>
                        <a:prstGeom prst="rect">
                          <a:avLst/>
                        </a:prstGeom>
                        <a:noFill/>
                        <a:ln w="9525" cap="flat" cmpd="sng">
                          <a:solidFill>
                            <a:srgbClr val="000000"/>
                          </a:solidFill>
                          <a:prstDash val="solid"/>
                          <a:miter/>
                          <a:headEnd type="none" w="med" len="med"/>
                          <a:tailEnd type="none" w="med" len="med"/>
                        </a:ln>
                      </wps:spPr>
                      <wps:txbx>
                        <w:txbxContent>
                          <w:p>
                            <w:pPr>
                              <w:rPr>
                                <w:szCs w:val="21"/>
                              </w:rPr>
                            </w:pPr>
                            <w:r>
                              <w:rPr>
                                <w:rFonts w:hint="eastAsia"/>
                                <w:szCs w:val="21"/>
                              </w:rPr>
                              <w:t>收集池</w:t>
                            </w:r>
                          </w:p>
                        </w:txbxContent>
                      </wps:txbx>
                      <wps:bodyPr upright="1"/>
                    </wps:wsp>
                  </a:graphicData>
                </a:graphic>
              </wp:anchor>
            </w:drawing>
          </mc:Choice>
          <mc:Fallback>
            <w:pict>
              <v:shape id="文本框 1212" o:spid="_x0000_s1026" o:spt="202" type="#_x0000_t202" style="position:absolute;left:0pt;margin-left:244.75pt;margin-top:1pt;height:55.5pt;width:26.25pt;z-index:251735040;mso-width-relative:page;mso-height-relative:page;" filled="f" stroked="t" coordsize="21600,21600" o:gfxdata="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le2BSdYAAAAJAQAADwAAAAAAAAABACAAAAAiAAAA&#10;ZHJzL2Rvd25yZXYueG1sUEsBAhQAFAAAAAgAh07iQKOpaO4JAgAAEQQAAA4AAAAAAAAAAQAgAAAA&#10;JQEAAGRycy9lMm9Eb2MueG1sUEsFBgAAAAAGAAYAWQEAAKAFAAAAAA==&#10;">
                <v:fill on="f" focussize="0,0"/>
                <v:stroke color="#000000" joinstyle="miter"/>
                <v:imagedata o:title=""/>
                <o:lock v:ext="edit" aspectratio="f"/>
                <v:textbox>
                  <w:txbxContent>
                    <w:p>
                      <w:pPr>
                        <w:rPr>
                          <w:szCs w:val="21"/>
                        </w:rPr>
                      </w:pPr>
                      <w:r>
                        <w:rPr>
                          <w:rFonts w:hint="eastAsia"/>
                          <w:szCs w:val="21"/>
                        </w:rPr>
                        <w:t>收集池</w:t>
                      </w:r>
                    </w:p>
                  </w:txbxContent>
                </v:textbox>
              </v:shape>
            </w:pict>
          </mc:Fallback>
        </mc:AlternateContent>
      </w:r>
    </w:p>
    <w:p>
      <w:pPr>
        <w:spacing w:line="500" w:lineRule="exact"/>
        <w:ind w:firstLine="480" w:firstLineChars="200"/>
        <w:rPr>
          <w:sz w:val="24"/>
        </w:rPr>
      </w:pPr>
      <w:r>
        <w:rPr>
          <w:sz w:val="24"/>
        </w:rPr>
        <mc:AlternateContent>
          <mc:Choice Requires="wps">
            <w:drawing>
              <wp:anchor distT="0" distB="0" distL="114300" distR="114300" simplePos="0" relativeHeight="251737088" behindDoc="0" locked="0" layoutInCell="1" allowOverlap="1">
                <wp:simplePos x="0" y="0"/>
                <wp:positionH relativeFrom="column">
                  <wp:posOffset>3061335</wp:posOffset>
                </wp:positionH>
                <wp:positionV relativeFrom="paragraph">
                  <wp:posOffset>14566265</wp:posOffset>
                </wp:positionV>
                <wp:extent cx="708025" cy="1270"/>
                <wp:effectExtent l="0" t="36830" r="15875" b="38100"/>
                <wp:wrapNone/>
                <wp:docPr id="448" name="自选图形 1214"/>
                <wp:cNvGraphicFramePr/>
                <a:graphic xmlns:a="http://schemas.openxmlformats.org/drawingml/2006/main">
                  <a:graphicData uri="http://schemas.microsoft.com/office/word/2010/wordprocessingShape">
                    <wps:wsp>
                      <wps:cNvCnPr/>
                      <wps:spPr>
                        <a:xfrm>
                          <a:off x="0" y="0"/>
                          <a:ext cx="708025" cy="127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1214" o:spid="_x0000_s1026" o:spt="32" type="#_x0000_t32" style="position:absolute;left:0pt;margin-left:241.05pt;margin-top:1146.95pt;height:0.1pt;width:55.75pt;z-index:251737088;mso-width-relative:page;mso-height-relative:page;" filled="f" stroked="t" coordsize="21600,21600" o:gfxdata="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PW0Oit0AAAANAQAADwAAAAAAAAABACAAAAAiAAAA&#10;ZHJzL2Rvd25yZXYueG1sUEsBAhQAFAAAAAgAh07iQDAR4IgCAgAA7gMAAA4AAAAAAAAAAQAgAAAA&#10;LAEAAGRycy9lMm9Eb2MueG1sUEsFBgAAAAAGAAYAWQEAAKAFAAAAAA==&#10;">
                <v:fill on="f" focussize="0,0"/>
                <v:stroke color="#000000" joinstyle="round" endarrow="block"/>
                <v:imagedata o:title=""/>
                <o:lock v:ext="edit" aspectratio="f"/>
              </v:shape>
            </w:pict>
          </mc:Fallback>
        </mc:AlternateContent>
      </w:r>
      <w:r>
        <w:rPr>
          <w:sz w:val="24"/>
        </w:rPr>
        <mc:AlternateContent>
          <mc:Choice Requires="wps">
            <w:drawing>
              <wp:anchor distT="0" distB="0" distL="114300" distR="114300" simplePos="0" relativeHeight="251747328" behindDoc="0" locked="0" layoutInCell="1" allowOverlap="1">
                <wp:simplePos x="0" y="0"/>
                <wp:positionH relativeFrom="column">
                  <wp:posOffset>4528820</wp:posOffset>
                </wp:positionH>
                <wp:positionV relativeFrom="paragraph">
                  <wp:posOffset>285750</wp:posOffset>
                </wp:positionV>
                <wp:extent cx="589280" cy="295275"/>
                <wp:effectExtent l="0" t="0" r="0" b="0"/>
                <wp:wrapNone/>
                <wp:docPr id="458" name="文本框 1224"/>
                <wp:cNvGraphicFramePr/>
                <a:graphic xmlns:a="http://schemas.openxmlformats.org/drawingml/2006/main">
                  <a:graphicData uri="http://schemas.microsoft.com/office/word/2010/wordprocessingShape">
                    <wps:wsp>
                      <wps:cNvSpPr txBox="1"/>
                      <wps:spPr>
                        <a:xfrm>
                          <a:off x="0" y="0"/>
                          <a:ext cx="589280" cy="295275"/>
                        </a:xfrm>
                        <a:prstGeom prst="rect">
                          <a:avLst/>
                        </a:prstGeom>
                        <a:noFill/>
                        <a:ln>
                          <a:noFill/>
                        </a:ln>
                      </wps:spPr>
                      <wps:txbx>
                        <w:txbxContent>
                          <w:p>
                            <w:pPr>
                              <w:jc w:val="center"/>
                              <w:rPr>
                                <w:szCs w:val="21"/>
                              </w:rPr>
                            </w:pPr>
                            <w:r>
                              <w:rPr>
                                <w:rFonts w:hint="eastAsia"/>
                                <w:szCs w:val="21"/>
                              </w:rPr>
                              <w:t>液体</w:t>
                            </w:r>
                          </w:p>
                        </w:txbxContent>
                      </wps:txbx>
                      <wps:bodyPr upright="1"/>
                    </wps:wsp>
                  </a:graphicData>
                </a:graphic>
              </wp:anchor>
            </w:drawing>
          </mc:Choice>
          <mc:Fallback>
            <w:pict>
              <v:shape id="文本框 1224" o:spid="_x0000_s1026" o:spt="202" type="#_x0000_t202" style="position:absolute;left:0pt;margin-left:356.6pt;margin-top:22.5pt;height:23.25pt;width:46.4pt;z-index:251747328;mso-width-relative:page;mso-height-relative:page;" filled="f" stroked="f" coordsize="21600,21600" o:gfxdata="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wrk8Y&#10;1wAAAAkBAAAPAAAAAAAAAAEAIAAAACIAAABkcnMvZG93bnJldi54bWxQSwECFAAUAAAACACHTuJA&#10;YG2L17ABAABSAwAADgAAAAAAAAABACAAAAAmAQAAZHJzL2Uyb0RvYy54bWxQSwUGAAAAAAYABgBZ&#10;AQAASAUAAAAA&#10;">
                <v:fill on="f" focussize="0,0"/>
                <v:stroke on="f"/>
                <v:imagedata o:title=""/>
                <o:lock v:ext="edit" aspectratio="f"/>
                <v:textbox>
                  <w:txbxContent>
                    <w:p>
                      <w:pPr>
                        <w:jc w:val="center"/>
                        <w:rPr>
                          <w:szCs w:val="21"/>
                        </w:rPr>
                      </w:pPr>
                      <w:r>
                        <w:rPr>
                          <w:rFonts w:hint="eastAsia"/>
                          <w:szCs w:val="21"/>
                        </w:rPr>
                        <w:t>液体</w:t>
                      </w:r>
                    </w:p>
                  </w:txbxContent>
                </v:textbox>
              </v:shape>
            </w:pict>
          </mc:Fallback>
        </mc:AlternateContent>
      </w:r>
      <w:r>
        <w:rPr>
          <w:sz w:val="24"/>
        </w:rPr>
        <mc:AlternateContent>
          <mc:Choice Requires="wps">
            <w:drawing>
              <wp:anchor distT="0" distB="0" distL="114300" distR="114300" simplePos="0" relativeHeight="251745280" behindDoc="0" locked="0" layoutInCell="1" allowOverlap="1">
                <wp:simplePos x="0" y="0"/>
                <wp:positionH relativeFrom="column">
                  <wp:posOffset>5118100</wp:posOffset>
                </wp:positionH>
                <wp:positionV relativeFrom="paragraph">
                  <wp:posOffset>180975</wp:posOffset>
                </wp:positionV>
                <wp:extent cx="866775" cy="266700"/>
                <wp:effectExtent l="4445" t="5080" r="5080" b="13970"/>
                <wp:wrapNone/>
                <wp:docPr id="456" name="文本框 1222"/>
                <wp:cNvGraphicFramePr/>
                <a:graphic xmlns:a="http://schemas.openxmlformats.org/drawingml/2006/main">
                  <a:graphicData uri="http://schemas.microsoft.com/office/word/2010/wordprocessingShape">
                    <wps:wsp>
                      <wps:cNvSpPr txBox="1"/>
                      <wps:spPr>
                        <a:xfrm>
                          <a:off x="0" y="0"/>
                          <a:ext cx="866775" cy="266700"/>
                        </a:xfrm>
                        <a:prstGeom prst="rect">
                          <a:avLst/>
                        </a:prstGeom>
                        <a:noFill/>
                        <a:ln w="9525" cap="flat" cmpd="sng">
                          <a:solidFill>
                            <a:srgbClr val="000000"/>
                          </a:solidFill>
                          <a:prstDash val="solid"/>
                          <a:miter/>
                          <a:headEnd type="none" w="med" len="med"/>
                          <a:tailEnd type="none" w="med" len="med"/>
                        </a:ln>
                      </wps:spPr>
                      <wps:txbx>
                        <w:txbxContent>
                          <w:p>
                            <w:pPr>
                              <w:jc w:val="center"/>
                              <w:rPr>
                                <w:szCs w:val="21"/>
                              </w:rPr>
                            </w:pPr>
                            <w:r>
                              <w:rPr>
                                <w:rFonts w:hint="eastAsia"/>
                                <w:szCs w:val="21"/>
                              </w:rPr>
                              <w:t>厌氧发酵</w:t>
                            </w:r>
                          </w:p>
                        </w:txbxContent>
                      </wps:txbx>
                      <wps:bodyPr upright="1"/>
                    </wps:wsp>
                  </a:graphicData>
                </a:graphic>
              </wp:anchor>
            </w:drawing>
          </mc:Choice>
          <mc:Fallback>
            <w:pict>
              <v:shape id="文本框 1222" o:spid="_x0000_s1026" o:spt="202" type="#_x0000_t202" style="position:absolute;left:0pt;margin-left:403pt;margin-top:14.25pt;height:21pt;width:68.25pt;z-index:251745280;mso-width-relative:page;mso-height-relative:page;" filled="f" stroked="t" coordsize="21600,21600" o:gfxdata="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ebF03XAAAACQEAAA8AAAAAAAAAAQAgAAAAIgAA&#10;AGRycy9kb3ducmV2LnhtbFBLAQIUABQAAAAIAIdO4kDTTDHJCQIAABEEAAAOAAAAAAAAAAEAIAAA&#10;ACYBAABkcnMvZTJvRG9jLnhtbFBLBQYAAAAABgAGAFkBAAChBQAAAAA=&#10;">
                <v:fill on="f" focussize="0,0"/>
                <v:stroke color="#000000" joinstyle="miter"/>
                <v:imagedata o:title=""/>
                <o:lock v:ext="edit" aspectratio="f"/>
                <v:textbox>
                  <w:txbxContent>
                    <w:p>
                      <w:pPr>
                        <w:jc w:val="center"/>
                        <w:rPr>
                          <w:szCs w:val="21"/>
                        </w:rPr>
                      </w:pPr>
                      <w:r>
                        <w:rPr>
                          <w:rFonts w:hint="eastAsia"/>
                          <w:szCs w:val="21"/>
                        </w:rPr>
                        <w:t>厌氧发酵</w:t>
                      </w:r>
                    </w:p>
                  </w:txbxContent>
                </v:textbox>
              </v:shape>
            </w:pict>
          </mc:Fallback>
        </mc:AlternateContent>
      </w:r>
      <w:r>
        <w:rPr>
          <w:sz w:val="24"/>
        </w:rPr>
        <mc:AlternateContent>
          <mc:Choice Requires="wps">
            <w:drawing>
              <wp:anchor distT="0" distB="0" distL="114300" distR="114300" simplePos="0" relativeHeight="251744256" behindDoc="0" locked="0" layoutInCell="1" allowOverlap="1">
                <wp:simplePos x="0" y="0"/>
                <wp:positionH relativeFrom="column">
                  <wp:posOffset>3061335</wp:posOffset>
                </wp:positionH>
                <wp:positionV relativeFrom="paragraph">
                  <wp:posOffset>14566265</wp:posOffset>
                </wp:positionV>
                <wp:extent cx="589280" cy="0"/>
                <wp:effectExtent l="0" t="38100" r="1270" b="38100"/>
                <wp:wrapNone/>
                <wp:docPr id="455" name="自选图形 1221"/>
                <wp:cNvGraphicFramePr/>
                <a:graphic xmlns:a="http://schemas.openxmlformats.org/drawingml/2006/main">
                  <a:graphicData uri="http://schemas.microsoft.com/office/word/2010/wordprocessingShape">
                    <wps:wsp>
                      <wps:cNvCnPr/>
                      <wps:spPr>
                        <a:xfrm>
                          <a:off x="0" y="0"/>
                          <a:ext cx="58928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1221" o:spid="_x0000_s1026" o:spt="32" type="#_x0000_t32" style="position:absolute;left:0pt;margin-left:241.05pt;margin-top:1146.95pt;height:0pt;width:46.4pt;z-index:251744256;mso-width-relative:page;mso-height-relative:page;" filled="f" stroked="t" coordsize="21600,21600" o:gfxdata="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KHHNrbAAAADQEAAA8AAAAAAAAAAQAgAAAAIgAAAGRycy9k&#10;b3ducmV2LnhtbFBLAQIUABQAAAAIAIdO4kAwDCL6/wEAAOsDAAAOAAAAAAAAAAEAIAAAACoBAABk&#10;cnMvZTJvRG9jLnhtbFBLBQYAAAAABgAGAFkBAACbBQAAAAA=&#10;">
                <v:fill on="f" focussize="0,0"/>
                <v:stroke color="#000000" joinstyle="round" endarrow="block"/>
                <v:imagedata o:title=""/>
                <o:lock v:ext="edit" aspectratio="f"/>
              </v:shape>
            </w:pict>
          </mc:Fallback>
        </mc:AlternateContent>
      </w:r>
      <w:r>
        <w:rPr>
          <w:sz w:val="24"/>
        </w:rPr>
        <mc:AlternateContent>
          <mc:Choice Requires="wps">
            <w:drawing>
              <wp:anchor distT="0" distB="0" distL="114300" distR="114300" simplePos="0" relativeHeight="251740160" behindDoc="0" locked="0" layoutInCell="1" allowOverlap="1">
                <wp:simplePos x="0" y="0"/>
                <wp:positionH relativeFrom="column">
                  <wp:posOffset>3061335</wp:posOffset>
                </wp:positionH>
                <wp:positionV relativeFrom="paragraph">
                  <wp:posOffset>14566265</wp:posOffset>
                </wp:positionV>
                <wp:extent cx="381000" cy="635"/>
                <wp:effectExtent l="0" t="37465" r="0" b="38100"/>
                <wp:wrapNone/>
                <wp:docPr id="451" name="自选图形 1217"/>
                <wp:cNvGraphicFramePr/>
                <a:graphic xmlns:a="http://schemas.openxmlformats.org/drawingml/2006/main">
                  <a:graphicData uri="http://schemas.microsoft.com/office/word/2010/wordprocessingShape">
                    <wps:wsp>
                      <wps:cNvCnPr/>
                      <wps:spPr>
                        <a:xfrm>
                          <a:off x="0" y="0"/>
                          <a:ext cx="381000" cy="63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1217" o:spid="_x0000_s1026" o:spt="32" type="#_x0000_t32" style="position:absolute;left:0pt;margin-left:241.05pt;margin-top:1146.95pt;height:0.05pt;width:30pt;z-index:251740160;mso-width-relative:page;mso-height-relative:page;" filled="f" stroked="t" coordsize="21600,21600" o:gfxdata="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zQqt0dsAAAANAQAADwAAAAAAAAABACAAAAAiAAAAZHJz&#10;L2Rvd25yZXYueG1sUEsBAhQAFAAAAAgAh07iQBdMAj4BAgAA7QMAAA4AAAAAAAAAAQAgAAAAKgEA&#10;AGRycy9lMm9Eb2MueG1sUEsFBgAAAAAGAAYAWQEAAJ0FAAAAAA==&#10;">
                <v:fill on="f" focussize="0,0"/>
                <v:stroke color="#000000" joinstyle="round" endarrow="block"/>
                <v:imagedata o:title=""/>
                <o:lock v:ext="edit" aspectratio="f"/>
              </v:shape>
            </w:pict>
          </mc:Fallback>
        </mc:AlternateContent>
      </w:r>
      <w:r>
        <w:rPr>
          <w:sz w:val="24"/>
        </w:rPr>
        <mc:AlternateContent>
          <mc:Choice Requires="wps">
            <w:drawing>
              <wp:anchor distT="0" distB="0" distL="114300" distR="114300" simplePos="0" relativeHeight="251738112" behindDoc="0" locked="0" layoutInCell="1" allowOverlap="1">
                <wp:simplePos x="0" y="0"/>
                <wp:positionH relativeFrom="column">
                  <wp:posOffset>3061335</wp:posOffset>
                </wp:positionH>
                <wp:positionV relativeFrom="paragraph">
                  <wp:posOffset>14566265</wp:posOffset>
                </wp:positionV>
                <wp:extent cx="381000" cy="635"/>
                <wp:effectExtent l="0" t="37465" r="0" b="38100"/>
                <wp:wrapNone/>
                <wp:docPr id="449" name="自选图形 1215"/>
                <wp:cNvGraphicFramePr/>
                <a:graphic xmlns:a="http://schemas.openxmlformats.org/drawingml/2006/main">
                  <a:graphicData uri="http://schemas.microsoft.com/office/word/2010/wordprocessingShape">
                    <wps:wsp>
                      <wps:cNvCnPr/>
                      <wps:spPr>
                        <a:xfrm>
                          <a:off x="0" y="0"/>
                          <a:ext cx="381000" cy="63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自选图形 1215" o:spid="_x0000_s1026" o:spt="32" type="#_x0000_t32" style="position:absolute;left:0pt;margin-left:241.05pt;margin-top:1146.95pt;height:0.05pt;width:30pt;z-index:251738112;mso-width-relative:page;mso-height-relative:page;" filled="f" stroked="t" coordsize="21600,21600" o:gfxdata="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NCq3R2wAAAA0BAAAPAAAAAAAAAAEAIAAAACIAAABk&#10;cnMvZG93bnJldi54bWxQSwECFAAUAAAACACHTuJAcqyrzAMCAADtAwAADgAAAAAAAAABACAAAAAq&#10;AQAAZHJzL2Uyb0RvYy54bWxQSwUGAAAAAAYABgBZAQAAnwUAAAAA&#10;">
                <v:fill on="f" focussize="0,0"/>
                <v:stroke color="#000000" joinstyle="round" endarrow="block"/>
                <v:imagedata o:title=""/>
                <o:lock v:ext="edit" aspectratio="f"/>
              </v:shape>
            </w:pict>
          </mc:Fallback>
        </mc:AlternateContent>
      </w:r>
    </w:p>
    <w:p>
      <w:pPr>
        <w:spacing w:line="500" w:lineRule="exact"/>
        <w:ind w:firstLine="480" w:firstLineChars="200"/>
        <w:rPr>
          <w:sz w:val="24"/>
        </w:rPr>
      </w:pPr>
    </w:p>
    <w:p>
      <w:pPr>
        <w:rPr>
          <w:rFonts w:hint="eastAsia" w:hAnsi="宋体"/>
          <w:sz w:val="24"/>
        </w:rPr>
      </w:pPr>
    </w:p>
    <w:p>
      <w:pPr>
        <w:tabs>
          <w:tab w:val="left" w:pos="624"/>
        </w:tabs>
        <w:spacing w:line="360" w:lineRule="auto"/>
        <w:jc w:val="center"/>
        <w:rPr>
          <w:b/>
          <w:sz w:val="24"/>
        </w:rPr>
      </w:pPr>
      <w:r>
        <w:rPr>
          <w:b/>
          <w:sz w:val="24"/>
        </w:rPr>
        <w:t>图2.2-2   项目</w:t>
      </w:r>
      <w:r>
        <w:rPr>
          <w:rFonts w:hint="eastAsia"/>
          <w:b/>
          <w:sz w:val="24"/>
        </w:rPr>
        <w:t>粪污处理</w:t>
      </w:r>
      <w:r>
        <w:rPr>
          <w:b/>
          <w:sz w:val="24"/>
        </w:rPr>
        <w:t>工艺</w:t>
      </w:r>
      <w:r>
        <w:rPr>
          <w:rFonts w:hint="eastAsia"/>
          <w:b/>
          <w:sz w:val="24"/>
        </w:rPr>
        <w:t>流程</w:t>
      </w:r>
      <w:r>
        <w:rPr>
          <w:b/>
          <w:sz w:val="24"/>
        </w:rPr>
        <w:t>图</w:t>
      </w:r>
    </w:p>
    <w:p>
      <w:pPr>
        <w:spacing w:line="500" w:lineRule="exact"/>
        <w:ind w:firstLine="480" w:firstLineChars="200"/>
        <w:rPr>
          <w:rFonts w:hint="eastAsia"/>
          <w:sz w:val="24"/>
        </w:rPr>
      </w:pPr>
      <w:r>
        <w:rPr>
          <w:sz w:val="24"/>
        </w:rPr>
        <w:t>本项目干湿（固液）分离工段</w:t>
      </w:r>
      <w:r>
        <w:rPr>
          <w:rFonts w:hint="eastAsia"/>
          <w:sz w:val="24"/>
        </w:rPr>
        <w:t>设有收集池，粪尿进入</w:t>
      </w:r>
      <w:r>
        <w:rPr>
          <w:sz w:val="24"/>
        </w:rPr>
        <w:t>收集池</w:t>
      </w:r>
      <w:r>
        <w:rPr>
          <w:rFonts w:hint="eastAsia"/>
          <w:sz w:val="24"/>
        </w:rPr>
        <w:t>后</w:t>
      </w:r>
      <w:r>
        <w:rPr>
          <w:sz w:val="24"/>
        </w:rPr>
        <w:t>，再通过无堵浆液泵将猪粪尿抽送至固液分离机，分离后的固态猪粪送至</w:t>
      </w:r>
      <w:r>
        <w:rPr>
          <w:rFonts w:hint="eastAsia"/>
          <w:sz w:val="24"/>
        </w:rPr>
        <w:t>固粪堆存区暂存后外售制</w:t>
      </w:r>
      <w:r>
        <w:rPr>
          <w:sz w:val="24"/>
        </w:rPr>
        <w:t>有机肥</w:t>
      </w:r>
      <w:r>
        <w:rPr>
          <w:rFonts w:hint="eastAsia"/>
          <w:sz w:val="24"/>
        </w:rPr>
        <w:t>；液体进入黑膜沼气池进行厌氧发酵。</w:t>
      </w:r>
    </w:p>
    <w:p>
      <w:pPr>
        <w:spacing w:line="500" w:lineRule="exact"/>
        <w:ind w:firstLine="480" w:firstLineChars="200"/>
        <w:rPr>
          <w:sz w:val="24"/>
        </w:rPr>
      </w:pPr>
      <w:r>
        <w:rPr>
          <w:rFonts w:hint="eastAsia"/>
          <w:sz w:val="24"/>
        </w:rPr>
        <w:t>黑膜沼气池厌氧发酵产生的沼液暂存于沼液暂存池，施肥季节用于农田施肥。厌氧发酵产生的沼渣通过管道送入固粪堆存区。固粪堆存区地面由上至下分别铺设不锈钢网、漏缝板，底部为斜坡，进入股份堆存区的沼渣堆放在碎石子地面上，水分在重力作用下经不锈钢网、漏缝板渗滤到底部斜坡上，由斜坡导流入废水收集管道，再汇集到废水收集池，去黑膜沼气池进一步处理（根据</w:t>
      </w:r>
      <w:r>
        <w:rPr>
          <w:sz w:val="24"/>
        </w:rPr>
        <w:t>建设项目已建成</w:t>
      </w:r>
      <w:r>
        <w:rPr>
          <w:rFonts w:hint="eastAsia"/>
          <w:sz w:val="24"/>
        </w:rPr>
        <w:t>此类工程</w:t>
      </w:r>
      <w:r>
        <w:rPr>
          <w:sz w:val="24"/>
        </w:rPr>
        <w:t>，沼渣渗滤液在导流的过程中基本蒸发完毕</w:t>
      </w:r>
      <w:r>
        <w:rPr>
          <w:rFonts w:hint="eastAsia"/>
          <w:sz w:val="24"/>
        </w:rPr>
        <w:t>）。</w:t>
      </w:r>
    </w:p>
    <w:p>
      <w:pPr>
        <w:pStyle w:val="4"/>
        <w:numPr>
          <w:ilvl w:val="0"/>
          <w:numId w:val="0"/>
        </w:numPr>
        <w:spacing w:before="0" w:after="0" w:line="520" w:lineRule="exact"/>
        <w:rPr>
          <w:sz w:val="24"/>
          <w:szCs w:val="24"/>
        </w:rPr>
      </w:pPr>
      <w:r>
        <w:rPr>
          <w:sz w:val="24"/>
          <w:szCs w:val="24"/>
        </w:rPr>
        <w:t xml:space="preserve">2.2.3.2 </w:t>
      </w:r>
      <w:r>
        <w:rPr>
          <w:rFonts w:hint="eastAsia"/>
          <w:sz w:val="24"/>
          <w:szCs w:val="24"/>
        </w:rPr>
        <w:t>猪舍、</w:t>
      </w:r>
      <w:r>
        <w:rPr>
          <w:sz w:val="24"/>
          <w:szCs w:val="24"/>
        </w:rPr>
        <w:t>粪污池除臭工艺</w:t>
      </w:r>
    </w:p>
    <w:p>
      <w:pPr>
        <w:topLinePunct/>
        <w:spacing w:line="520" w:lineRule="exact"/>
        <w:ind w:firstLine="480" w:firstLineChars="200"/>
        <w:rPr>
          <w:rFonts w:hAnsi="宋体"/>
          <w:sz w:val="24"/>
        </w:rPr>
      </w:pPr>
      <w:r>
        <w:rPr>
          <w:rFonts w:hAnsi="宋体"/>
          <w:sz w:val="24"/>
        </w:rPr>
        <w:t>①项目采用干清粪工艺，项目采用墙体集热板、猪舍内热交换</w:t>
      </w:r>
      <w:r>
        <w:rPr>
          <w:rFonts w:hint="eastAsia" w:hAnsi="宋体"/>
          <w:sz w:val="24"/>
        </w:rPr>
        <w:t>系统</w:t>
      </w:r>
      <w:r>
        <w:rPr>
          <w:rFonts w:hAnsi="宋体"/>
          <w:sz w:val="24"/>
        </w:rPr>
        <w:t>和</w:t>
      </w:r>
      <w:r>
        <w:rPr>
          <w:rFonts w:hint="eastAsia" w:hAnsi="宋体"/>
          <w:sz w:val="24"/>
        </w:rPr>
        <w:t>喷雾</w:t>
      </w:r>
      <w:r>
        <w:rPr>
          <w:rFonts w:hAnsi="宋体"/>
          <w:sz w:val="24"/>
        </w:rPr>
        <w:t>相结合进行猪舍内温度控制，降低舍内有害气体浓度。</w:t>
      </w:r>
    </w:p>
    <w:p>
      <w:pPr>
        <w:topLinePunct/>
        <w:spacing w:line="520" w:lineRule="exact"/>
        <w:ind w:firstLine="480" w:firstLineChars="200"/>
        <w:rPr>
          <w:rFonts w:hAnsi="宋体"/>
          <w:sz w:val="24"/>
        </w:rPr>
      </w:pPr>
      <w:r>
        <w:rPr>
          <w:rFonts w:hAnsi="宋体"/>
          <w:sz w:val="24"/>
        </w:rPr>
        <w:t>②在猪舍设置通风口、鼓风机等换气设备，定期进行通风换气，加快排除有害气体。</w:t>
      </w:r>
    </w:p>
    <w:p>
      <w:pPr>
        <w:topLinePunct/>
        <w:spacing w:line="520" w:lineRule="exact"/>
        <w:ind w:firstLine="480" w:firstLineChars="200"/>
        <w:rPr>
          <w:rFonts w:hAnsi="宋体"/>
          <w:sz w:val="24"/>
        </w:rPr>
      </w:pPr>
      <w:r>
        <w:rPr>
          <w:rFonts w:hAnsi="宋体"/>
          <w:sz w:val="24"/>
        </w:rPr>
        <w:t>③养殖场场区等消毒应采用环境友好的消毒剂和消毒措施，防止产生氯代有机物及其他二次污染物。</w:t>
      </w:r>
    </w:p>
    <w:p>
      <w:pPr>
        <w:topLinePunct/>
        <w:spacing w:line="520" w:lineRule="exact"/>
        <w:ind w:firstLine="480" w:firstLineChars="200"/>
        <w:rPr>
          <w:rFonts w:hAnsi="宋体"/>
          <w:sz w:val="24"/>
        </w:rPr>
      </w:pPr>
      <w:r>
        <w:rPr>
          <w:rFonts w:hAnsi="宋体"/>
          <w:sz w:val="24"/>
        </w:rPr>
        <w:t>④加强场区及场界的绿化，场区绿化以完全消灭裸露地面为原则，选择适宜吸臭植物种类，广</w:t>
      </w:r>
      <w:r>
        <w:rPr>
          <w:rFonts w:hint="eastAsia" w:hAnsi="宋体"/>
          <w:sz w:val="24"/>
        </w:rPr>
        <w:t>泛</w:t>
      </w:r>
      <w:r>
        <w:rPr>
          <w:rFonts w:hAnsi="宋体"/>
          <w:sz w:val="24"/>
        </w:rPr>
        <w:t>种花草树木，场界边缘地带种植双季槐等高大树种形成多层防护林带，以降低恶臭污染的影响程度。</w:t>
      </w:r>
    </w:p>
    <w:p>
      <w:pPr>
        <w:pStyle w:val="25"/>
        <w:spacing w:line="520" w:lineRule="exact"/>
        <w:ind w:firstLine="480"/>
        <w:rPr>
          <w:rFonts w:hAnsi="宋体"/>
          <w:kern w:val="0"/>
          <w:szCs w:val="20"/>
        </w:rPr>
      </w:pPr>
      <w:r>
        <w:rPr>
          <w:rFonts w:hAnsi="宋体"/>
          <w:kern w:val="0"/>
          <w:szCs w:val="20"/>
        </w:rPr>
        <w:t>⑤对猪舍、</w:t>
      </w:r>
      <w:r>
        <w:rPr>
          <w:rFonts w:hint="eastAsia" w:hAnsi="宋体"/>
          <w:kern w:val="0"/>
          <w:szCs w:val="20"/>
        </w:rPr>
        <w:t>收集池</w:t>
      </w:r>
      <w:r>
        <w:rPr>
          <w:rFonts w:hAnsi="宋体"/>
          <w:kern w:val="0"/>
          <w:szCs w:val="20"/>
        </w:rPr>
        <w:t>、</w:t>
      </w:r>
      <w:r>
        <w:rPr>
          <w:rFonts w:hint="eastAsia" w:hAnsi="宋体"/>
          <w:kern w:val="0"/>
          <w:szCs w:val="20"/>
        </w:rPr>
        <w:t>沼液储存池</w:t>
      </w:r>
      <w:r>
        <w:rPr>
          <w:rFonts w:hAnsi="宋体"/>
          <w:kern w:val="0"/>
          <w:szCs w:val="20"/>
        </w:rPr>
        <w:t>周边、</w:t>
      </w:r>
      <w:r>
        <w:rPr>
          <w:rFonts w:hint="eastAsia" w:hAnsi="宋体"/>
        </w:rPr>
        <w:t>堆肥发酵区</w:t>
      </w:r>
      <w:r>
        <w:rPr>
          <w:rFonts w:hAnsi="宋体"/>
          <w:kern w:val="0"/>
          <w:szCs w:val="20"/>
        </w:rPr>
        <w:t>喷洒除臭剂</w:t>
      </w:r>
      <w:r>
        <w:rPr>
          <w:rFonts w:hint="eastAsia" w:hAnsi="宋体"/>
          <w:kern w:val="0"/>
          <w:szCs w:val="20"/>
        </w:rPr>
        <w:t>。</w:t>
      </w:r>
    </w:p>
    <w:p>
      <w:pPr>
        <w:pStyle w:val="4"/>
        <w:numPr>
          <w:ilvl w:val="0"/>
          <w:numId w:val="0"/>
        </w:numPr>
        <w:spacing w:before="0" w:after="0" w:line="520" w:lineRule="exact"/>
        <w:rPr>
          <w:sz w:val="24"/>
          <w:szCs w:val="24"/>
        </w:rPr>
      </w:pPr>
      <w:r>
        <w:rPr>
          <w:sz w:val="24"/>
          <w:szCs w:val="24"/>
        </w:rPr>
        <w:t xml:space="preserve">2.2.3.3 </w:t>
      </w:r>
      <w:r>
        <w:rPr>
          <w:rFonts w:hint="eastAsia"/>
          <w:sz w:val="24"/>
          <w:szCs w:val="24"/>
        </w:rPr>
        <w:t>粪污水处理工艺</w:t>
      </w:r>
    </w:p>
    <w:p>
      <w:pPr>
        <w:topLinePunct/>
        <w:spacing w:line="520" w:lineRule="exact"/>
        <w:ind w:firstLine="480" w:firstLineChars="200"/>
        <w:rPr>
          <w:sz w:val="24"/>
        </w:rPr>
      </w:pPr>
      <w:r>
        <w:rPr>
          <w:rFonts w:hAnsi="宋体"/>
          <w:sz w:val="24"/>
        </w:rPr>
        <w:t>本项目粪污水处理工艺见图2.2-3。</w:t>
      </w:r>
    </w:p>
    <w:p>
      <w:pPr>
        <w:topLinePunct/>
        <w:rPr>
          <w:rFonts w:hint="eastAsia"/>
          <w:sz w:val="24"/>
        </w:rPr>
      </w:pPr>
      <w:r>
        <mc:AlternateContent>
          <mc:Choice Requires="wpg">
            <w:drawing>
              <wp:inline distT="0" distB="0" distL="114300" distR="114300">
                <wp:extent cx="5267325" cy="4734560"/>
                <wp:effectExtent l="0" t="0" r="9525" b="8255"/>
                <wp:docPr id="333" name="组合 30"/>
                <wp:cNvGraphicFramePr/>
                <a:graphic xmlns:a="http://schemas.openxmlformats.org/drawingml/2006/main">
                  <a:graphicData uri="http://schemas.microsoft.com/office/word/2010/wordprocessingGroup">
                    <wpg:wgp>
                      <wpg:cNvGrpSpPr>
                        <a:grpSpLocks noRot="1"/>
                      </wpg:cNvGrpSpPr>
                      <wpg:grpSpPr>
                        <a:xfrm>
                          <a:off x="0" y="0"/>
                          <a:ext cx="5267325" cy="4734560"/>
                          <a:chOff x="1047" y="2554"/>
                          <a:chExt cx="8295" cy="7824"/>
                        </a:xfrm>
                        <a:effectLst/>
                      </wpg:grpSpPr>
                      <wps:wsp>
                        <wps:cNvPr id="334" name="Rectangle 2509"/>
                        <wps:cNvSpPr/>
                        <wps:spPr>
                          <a:xfrm>
                            <a:off x="4587" y="2554"/>
                            <a:ext cx="1100" cy="583"/>
                          </a:xfrm>
                          <a:prstGeom prst="rect">
                            <a:avLst/>
                          </a:prstGeom>
                          <a:noFill/>
                          <a:ln>
                            <a:noFill/>
                          </a:ln>
                          <a:effectLst/>
                        </wps:spPr>
                        <wps:txbx>
                          <w:txbxContent>
                            <w:p>
                              <w:pPr>
                                <w:jc w:val="center"/>
                                <w:rPr>
                                  <w:rFonts w:ascii="宋体" w:hAnsi="宋体" w:cs="宋体"/>
                                  <w:szCs w:val="21"/>
                                </w:rPr>
                              </w:pPr>
                              <w:r>
                                <w:rPr>
                                  <w:rFonts w:hint="eastAsia" w:ascii="宋体" w:hAnsi="宋体" w:cs="宋体"/>
                                  <w:szCs w:val="21"/>
                                </w:rPr>
                                <w:t>猪舍</w:t>
                              </w:r>
                            </w:p>
                          </w:txbxContent>
                        </wps:txbx>
                        <wps:bodyPr upright="1"/>
                      </wps:wsp>
                      <wps:wsp>
                        <wps:cNvPr id="55" name="Line 2510"/>
                        <wps:cNvCnPr>
                          <a:stCxn id="1073744453" idx="3"/>
                        </wps:cNvCnPr>
                        <wps:spPr>
                          <a:xfrm>
                            <a:off x="8361" y="7775"/>
                            <a:ext cx="533" cy="24"/>
                          </a:xfrm>
                          <a:prstGeom prst="line">
                            <a:avLst/>
                          </a:prstGeom>
                          <a:ln w="9525" cap="flat" cmpd="sng">
                            <a:solidFill>
                              <a:srgbClr val="000000"/>
                            </a:solidFill>
                            <a:prstDash val="dash"/>
                            <a:headEnd type="none" w="med" len="med"/>
                            <a:tailEnd type="triangle" w="med" len="med"/>
                          </a:ln>
                          <a:effectLst/>
                        </wps:spPr>
                        <wps:bodyPr/>
                      </wps:wsp>
                      <wps:wsp>
                        <wps:cNvPr id="335" name="Rectangle 2511"/>
                        <wps:cNvSpPr/>
                        <wps:spPr>
                          <a:xfrm>
                            <a:off x="8895" y="6585"/>
                            <a:ext cx="447" cy="2592"/>
                          </a:xfrm>
                          <a:prstGeom prst="rect">
                            <a:avLst/>
                          </a:prstGeom>
                          <a:noFill/>
                          <a:ln w="9525" cap="flat" cmpd="sng">
                            <a:solidFill>
                              <a:srgbClr val="000000"/>
                            </a:solidFill>
                            <a:prstDash val="solid"/>
                            <a:miter/>
                            <a:headEnd type="none" w="med" len="med"/>
                            <a:tailEnd type="none" w="med" len="med"/>
                          </a:ln>
                          <a:effectLst/>
                        </wps:spPr>
                        <wps:txbx>
                          <w:txbxContent>
                            <w:p>
                              <w:pPr>
                                <w:rPr>
                                  <w:rFonts w:ascii="宋体" w:hAnsi="宋体"/>
                                  <w:szCs w:val="21"/>
                                </w:rPr>
                              </w:pPr>
                            </w:p>
                            <w:p>
                              <w:pPr>
                                <w:rPr>
                                  <w:rFonts w:ascii="宋体" w:hAnsi="宋体"/>
                                  <w:szCs w:val="21"/>
                                </w:rPr>
                              </w:pPr>
                              <w:r>
                                <w:rPr>
                                  <w:rFonts w:hint="eastAsia" w:ascii="宋体" w:hAnsi="宋体"/>
                                  <w:szCs w:val="21"/>
                                </w:rPr>
                                <w:t>固粪堆存区，</w:t>
                              </w:r>
                            </w:p>
                            <w:p>
                              <w:pPr>
                                <w:rPr>
                                  <w:rFonts w:ascii="宋体" w:hAnsi="宋体"/>
                                  <w:szCs w:val="21"/>
                                </w:rPr>
                              </w:pPr>
                              <w:r>
                                <w:rPr>
                                  <w:rFonts w:ascii="宋体" w:hAnsi="宋体"/>
                                  <w:szCs w:val="21"/>
                                </w:rPr>
                                <w:t>外售</w:t>
                              </w:r>
                            </w:p>
                          </w:txbxContent>
                        </wps:txbx>
                        <wps:bodyPr upright="1"/>
                      </wps:wsp>
                      <wps:wsp>
                        <wps:cNvPr id="336" name="Rectangle 2512"/>
                        <wps:cNvSpPr/>
                        <wps:spPr>
                          <a:xfrm>
                            <a:off x="6436" y="6538"/>
                            <a:ext cx="1250" cy="582"/>
                          </a:xfrm>
                          <a:prstGeom prst="rect">
                            <a:avLst/>
                          </a:prstGeom>
                          <a:noFill/>
                          <a:ln>
                            <a:noFill/>
                          </a:ln>
                          <a:effectLst/>
                        </wps:spPr>
                        <wps:txbx>
                          <w:txbxContent>
                            <w:p>
                              <w:pPr>
                                <w:rPr>
                                  <w:rFonts w:ascii="宋体" w:hAnsi="宋体" w:cs="宋体"/>
                                  <w:szCs w:val="21"/>
                                </w:rPr>
                              </w:pPr>
                              <w:r>
                                <w:rPr>
                                  <w:rFonts w:hint="eastAsia" w:ascii="宋体" w:hAnsi="宋体" w:cs="宋体"/>
                                  <w:szCs w:val="21"/>
                                </w:rPr>
                                <w:t>猪粪</w:t>
                              </w:r>
                            </w:p>
                          </w:txbxContent>
                        </wps:txbx>
                        <wps:bodyPr upright="1"/>
                      </wps:wsp>
                      <wps:wsp>
                        <wps:cNvPr id="337" name="Rectangle 2514"/>
                        <wps:cNvSpPr/>
                        <wps:spPr>
                          <a:xfrm>
                            <a:off x="2410" y="8222"/>
                            <a:ext cx="861" cy="665"/>
                          </a:xfrm>
                          <a:prstGeom prst="rect">
                            <a:avLst/>
                          </a:prstGeom>
                          <a:noFill/>
                          <a:ln>
                            <a:noFill/>
                          </a:ln>
                          <a:effectLst/>
                        </wps:spPr>
                        <wps:txbx>
                          <w:txbxContent>
                            <w:p>
                              <w:pPr>
                                <w:jc w:val="center"/>
                                <w:rPr>
                                  <w:rFonts w:ascii="宋体" w:hAnsi="宋体" w:cs="宋体"/>
                                  <w:szCs w:val="21"/>
                                </w:rPr>
                              </w:pPr>
                              <w:r>
                                <w:rPr>
                                  <w:rFonts w:hint="eastAsia" w:ascii="宋体" w:hAnsi="宋体" w:cs="宋体"/>
                                  <w:szCs w:val="21"/>
                                </w:rPr>
                                <w:t>沼气</w:t>
                              </w:r>
                            </w:p>
                          </w:txbxContent>
                        </wps:txbx>
                        <wps:bodyPr upright="1"/>
                      </wps:wsp>
                      <wps:wsp>
                        <wps:cNvPr id="338" name="Line 2515"/>
                        <wps:cNvCnPr>
                          <a:stCxn id="1073744453" idx="3"/>
                        </wps:cNvCnPr>
                        <wps:spPr>
                          <a:xfrm flipV="1">
                            <a:off x="2833" y="7710"/>
                            <a:ext cx="1" cy="543"/>
                          </a:xfrm>
                          <a:prstGeom prst="line">
                            <a:avLst/>
                          </a:prstGeom>
                          <a:ln w="9525" cap="flat" cmpd="sng">
                            <a:solidFill>
                              <a:srgbClr val="000000"/>
                            </a:solidFill>
                            <a:prstDash val="lgDash"/>
                            <a:headEnd type="none" w="med" len="med"/>
                            <a:tailEnd type="triangle" w="med" len="med"/>
                          </a:ln>
                          <a:effectLst/>
                        </wps:spPr>
                        <wps:bodyPr/>
                      </wps:wsp>
                      <wps:wsp>
                        <wps:cNvPr id="339" name="Line 2516"/>
                        <wps:cNvCnPr>
                          <a:stCxn id="1073744453" idx="3"/>
                        </wps:cNvCnPr>
                        <wps:spPr>
                          <a:xfrm flipV="1">
                            <a:off x="2949" y="6538"/>
                            <a:ext cx="1" cy="584"/>
                          </a:xfrm>
                          <a:prstGeom prst="line">
                            <a:avLst/>
                          </a:prstGeom>
                          <a:ln w="9525" cap="flat" cmpd="sng">
                            <a:solidFill>
                              <a:srgbClr val="000000"/>
                            </a:solidFill>
                            <a:prstDash val="lgDash"/>
                            <a:headEnd type="none" w="med" len="med"/>
                            <a:tailEnd type="triangle" w="med" len="med"/>
                          </a:ln>
                          <a:effectLst/>
                        </wps:spPr>
                        <wps:bodyPr/>
                      </wps:wsp>
                      <wps:wsp>
                        <wps:cNvPr id="340" name="Rectangle 2517"/>
                        <wps:cNvSpPr/>
                        <wps:spPr>
                          <a:xfrm>
                            <a:off x="4182" y="9786"/>
                            <a:ext cx="1761" cy="583"/>
                          </a:xfrm>
                          <a:prstGeom prst="rect">
                            <a:avLst/>
                          </a:prstGeom>
                          <a:noFill/>
                          <a:ln w="9525" cap="flat" cmpd="sng">
                            <a:solidFill>
                              <a:srgbClr val="000000"/>
                            </a:solidFill>
                            <a:prstDash val="solid"/>
                            <a:miter/>
                            <a:headEnd type="none" w="med" len="med"/>
                            <a:tailEnd type="none" w="med" len="med"/>
                          </a:ln>
                          <a:effectLst/>
                        </wps:spPr>
                        <wps:txbx>
                          <w:txbxContent>
                            <w:p>
                              <w:pPr>
                                <w:jc w:val="center"/>
                                <w:rPr>
                                  <w:rFonts w:ascii="宋体" w:hAnsi="宋体" w:cs="宋体"/>
                                  <w:szCs w:val="21"/>
                                </w:rPr>
                              </w:pPr>
                              <w:r>
                                <w:rPr>
                                  <w:rFonts w:hint="eastAsia" w:ascii="宋体" w:hAnsi="宋体" w:cs="宋体"/>
                                  <w:szCs w:val="21"/>
                                </w:rPr>
                                <w:t>沼液储存池</w:t>
                              </w:r>
                            </w:p>
                          </w:txbxContent>
                        </wps:txbx>
                        <wps:bodyPr upright="1"/>
                      </wps:wsp>
                      <wps:wsp>
                        <wps:cNvPr id="341" name="Line 2518"/>
                        <wps:cNvCnPr>
                          <a:stCxn id="1073744453" idx="3"/>
                        </wps:cNvCnPr>
                        <wps:spPr>
                          <a:xfrm>
                            <a:off x="5943" y="10090"/>
                            <a:ext cx="663" cy="1"/>
                          </a:xfrm>
                          <a:prstGeom prst="line">
                            <a:avLst/>
                          </a:prstGeom>
                          <a:ln w="9525" cap="flat" cmpd="sng">
                            <a:solidFill>
                              <a:srgbClr val="000000"/>
                            </a:solidFill>
                            <a:prstDash val="solid"/>
                            <a:headEnd type="none" w="med" len="med"/>
                            <a:tailEnd type="triangle" w="med" len="med"/>
                          </a:ln>
                          <a:effectLst/>
                        </wps:spPr>
                        <wps:bodyPr/>
                      </wps:wsp>
                      <wps:wsp>
                        <wps:cNvPr id="342" name="Rectangle 2519"/>
                        <wps:cNvSpPr/>
                        <wps:spPr>
                          <a:xfrm>
                            <a:off x="6523" y="9795"/>
                            <a:ext cx="1540" cy="583"/>
                          </a:xfrm>
                          <a:prstGeom prst="rect">
                            <a:avLst/>
                          </a:prstGeom>
                          <a:noFill/>
                          <a:ln>
                            <a:noFill/>
                          </a:ln>
                          <a:effectLst/>
                        </wps:spPr>
                        <wps:txbx>
                          <w:txbxContent>
                            <w:p>
                              <w:pPr>
                                <w:jc w:val="center"/>
                                <w:rPr>
                                  <w:rFonts w:ascii="宋体" w:hAnsi="宋体" w:cs="宋体"/>
                                  <w:szCs w:val="21"/>
                                </w:rPr>
                              </w:pPr>
                              <w:r>
                                <w:rPr>
                                  <w:rFonts w:hint="eastAsia" w:ascii="宋体" w:hAnsi="宋体" w:cs="宋体"/>
                                  <w:szCs w:val="21"/>
                                </w:rPr>
                                <w:t>做农肥</w:t>
                              </w:r>
                            </w:p>
                          </w:txbxContent>
                        </wps:txbx>
                        <wps:bodyPr upright="1"/>
                      </wps:wsp>
                      <wps:wsp>
                        <wps:cNvPr id="343" name="AutoShape 2520"/>
                        <wps:cNvCnPr>
                          <a:stCxn id="1073744453" idx="3"/>
                        </wps:cNvCnPr>
                        <wps:spPr>
                          <a:xfrm flipH="1">
                            <a:off x="8322" y="6939"/>
                            <a:ext cx="8" cy="1629"/>
                          </a:xfrm>
                          <a:prstGeom prst="straightConnector1">
                            <a:avLst/>
                          </a:prstGeom>
                          <a:ln w="9525" cap="flat" cmpd="sng">
                            <a:solidFill>
                              <a:srgbClr val="000000"/>
                            </a:solidFill>
                            <a:prstDash val="dash"/>
                            <a:headEnd type="none" w="med" len="med"/>
                            <a:tailEnd type="none" w="med" len="med"/>
                          </a:ln>
                          <a:effectLst/>
                        </wps:spPr>
                        <wps:bodyPr/>
                      </wps:wsp>
                      <wps:wsp>
                        <wps:cNvPr id="344" name="Rectangle 2523"/>
                        <wps:cNvSpPr/>
                        <wps:spPr>
                          <a:xfrm>
                            <a:off x="4242" y="4537"/>
                            <a:ext cx="1296" cy="583"/>
                          </a:xfrm>
                          <a:prstGeom prst="rect">
                            <a:avLst/>
                          </a:prstGeom>
                          <a:noFill/>
                          <a:ln>
                            <a:noFill/>
                          </a:ln>
                          <a:effectLst/>
                        </wps:spPr>
                        <wps:txbx>
                          <w:txbxContent>
                            <w:p>
                              <w:pPr>
                                <w:jc w:val="center"/>
                                <w:rPr>
                                  <w:rFonts w:ascii="宋体" w:hAnsi="宋体" w:cs="宋体"/>
                                  <w:szCs w:val="21"/>
                                </w:rPr>
                              </w:pPr>
                              <w:r>
                                <w:rPr>
                                  <w:rFonts w:hint="eastAsia" w:ascii="宋体" w:hAnsi="宋体" w:cs="宋体"/>
                                  <w:szCs w:val="21"/>
                                </w:rPr>
                                <w:t>粪尿</w:t>
                              </w:r>
                            </w:p>
                          </w:txbxContent>
                        </wps:txbx>
                        <wps:bodyPr upright="1"/>
                      </wps:wsp>
                      <wps:wsp>
                        <wps:cNvPr id="345" name="Line 2529"/>
                        <wps:cNvCnPr>
                          <a:stCxn id="1073744453" idx="3"/>
                        </wps:cNvCnPr>
                        <wps:spPr>
                          <a:xfrm>
                            <a:off x="5934" y="6922"/>
                            <a:ext cx="2400" cy="1"/>
                          </a:xfrm>
                          <a:prstGeom prst="line">
                            <a:avLst/>
                          </a:prstGeom>
                          <a:ln w="9525" cap="flat" cmpd="sng">
                            <a:solidFill>
                              <a:srgbClr val="000000"/>
                            </a:solidFill>
                            <a:prstDash val="dash"/>
                            <a:headEnd type="none" w="med" len="med"/>
                            <a:tailEnd type="triangle" w="med" len="med"/>
                          </a:ln>
                          <a:effectLst/>
                        </wps:spPr>
                        <wps:bodyPr/>
                      </wps:wsp>
                      <wps:wsp>
                        <wps:cNvPr id="346" name="Rectangle 2530"/>
                        <wps:cNvSpPr/>
                        <wps:spPr>
                          <a:xfrm>
                            <a:off x="4287" y="5092"/>
                            <a:ext cx="1675" cy="584"/>
                          </a:xfrm>
                          <a:prstGeom prst="rect">
                            <a:avLst/>
                          </a:prstGeom>
                          <a:noFill/>
                          <a:ln w="9525" cap="flat" cmpd="sng">
                            <a:solidFill>
                              <a:srgbClr val="000000"/>
                            </a:solidFill>
                            <a:prstDash val="solid"/>
                            <a:miter/>
                            <a:headEnd type="none" w="med" len="med"/>
                            <a:tailEnd type="none" w="med" len="med"/>
                          </a:ln>
                          <a:effectLst/>
                        </wps:spPr>
                        <wps:txbx>
                          <w:txbxContent>
                            <w:p>
                              <w:pPr>
                                <w:jc w:val="center"/>
                                <w:rPr>
                                  <w:rFonts w:ascii="宋体" w:hAnsi="宋体" w:cs="宋体"/>
                                  <w:szCs w:val="21"/>
                                </w:rPr>
                              </w:pPr>
                              <w:r>
                                <w:rPr>
                                  <w:rFonts w:hint="eastAsia" w:ascii="宋体" w:hAnsi="宋体" w:cs="宋体"/>
                                  <w:szCs w:val="21"/>
                                </w:rPr>
                                <w:t>收集池</w:t>
                              </w:r>
                            </w:p>
                          </w:txbxContent>
                        </wps:txbx>
                        <wps:bodyPr upright="1"/>
                      </wps:wsp>
                      <wps:wsp>
                        <wps:cNvPr id="347" name="Line 2532"/>
                        <wps:cNvCnPr>
                          <a:stCxn id="1073744453" idx="3"/>
                        </wps:cNvCnPr>
                        <wps:spPr>
                          <a:xfrm flipV="1">
                            <a:off x="5888" y="8472"/>
                            <a:ext cx="548" cy="21"/>
                          </a:xfrm>
                          <a:prstGeom prst="line">
                            <a:avLst/>
                          </a:prstGeom>
                          <a:ln w="9525" cap="flat" cmpd="sng">
                            <a:solidFill>
                              <a:srgbClr val="000000"/>
                            </a:solidFill>
                            <a:prstDash val="dash"/>
                            <a:headEnd type="none" w="med" len="med"/>
                            <a:tailEnd type="triangle" w="med" len="med"/>
                          </a:ln>
                          <a:effectLst/>
                        </wps:spPr>
                        <wps:bodyPr/>
                      </wps:wsp>
                      <wps:wsp>
                        <wps:cNvPr id="348" name="Rectangle 2534"/>
                        <wps:cNvSpPr/>
                        <wps:spPr>
                          <a:xfrm>
                            <a:off x="2047" y="6000"/>
                            <a:ext cx="2217" cy="810"/>
                          </a:xfrm>
                          <a:prstGeom prst="rect">
                            <a:avLst/>
                          </a:prstGeom>
                          <a:noFill/>
                          <a:ln>
                            <a:noFill/>
                          </a:ln>
                          <a:effectLst/>
                        </wps:spPr>
                        <wps:txbx>
                          <w:txbxContent>
                            <w:p>
                              <w:pPr>
                                <w:jc w:val="center"/>
                                <w:rPr>
                                  <w:rFonts w:ascii="宋体" w:hAnsi="宋体" w:cs="宋体"/>
                                  <w:szCs w:val="21"/>
                                </w:rPr>
                              </w:pPr>
                              <w:r>
                                <w:rPr>
                                  <w:rFonts w:hint="eastAsia" w:ascii="宋体" w:hAnsi="宋体" w:cs="宋体"/>
                                  <w:szCs w:val="21"/>
                                </w:rPr>
                                <w:t>伙房做饭、火炬燃烧</w:t>
                              </w:r>
                            </w:p>
                          </w:txbxContent>
                        </wps:txbx>
                        <wps:bodyPr upright="1"/>
                      </wps:wsp>
                      <wps:wsp>
                        <wps:cNvPr id="349" name="Rectangle 2537"/>
                        <wps:cNvSpPr/>
                        <wps:spPr>
                          <a:xfrm>
                            <a:off x="2427" y="4800"/>
                            <a:ext cx="1100" cy="583"/>
                          </a:xfrm>
                          <a:prstGeom prst="rect">
                            <a:avLst/>
                          </a:prstGeom>
                          <a:noFill/>
                          <a:ln>
                            <a:noFill/>
                          </a:ln>
                          <a:effectLst/>
                        </wps:spPr>
                        <wps:txbx>
                          <w:txbxContent>
                            <w:p>
                              <w:pPr>
                                <w:jc w:val="center"/>
                                <w:rPr>
                                  <w:rFonts w:ascii="宋体" w:hAnsi="宋体" w:cs="宋体"/>
                                  <w:szCs w:val="21"/>
                                </w:rPr>
                              </w:pPr>
                              <w:r>
                                <w:rPr>
                                  <w:rFonts w:hint="eastAsia" w:ascii="宋体" w:hAnsi="宋体" w:cs="宋体"/>
                                  <w:szCs w:val="21"/>
                                </w:rPr>
                                <w:t>燃烧</w:t>
                              </w:r>
                            </w:p>
                          </w:txbxContent>
                        </wps:txbx>
                        <wps:bodyPr upright="1"/>
                      </wps:wsp>
                      <wps:wsp>
                        <wps:cNvPr id="350" name="Line 2538"/>
                        <wps:cNvCnPr>
                          <a:stCxn id="1073744453" idx="3"/>
                        </wps:cNvCnPr>
                        <wps:spPr>
                          <a:xfrm>
                            <a:off x="1671" y="6539"/>
                            <a:ext cx="394" cy="584"/>
                          </a:xfrm>
                          <a:prstGeom prst="line">
                            <a:avLst/>
                          </a:prstGeom>
                          <a:ln w="9525" cap="flat" cmpd="sng">
                            <a:solidFill>
                              <a:srgbClr val="000000"/>
                            </a:solidFill>
                            <a:prstDash val="solid"/>
                            <a:headEnd type="none" w="med" len="med"/>
                            <a:tailEnd type="triangle" w="med" len="med"/>
                          </a:ln>
                          <a:effectLst/>
                        </wps:spPr>
                        <wps:bodyPr/>
                      </wps:wsp>
                      <wps:wsp>
                        <wps:cNvPr id="351" name="Rectangle 2539"/>
                        <wps:cNvSpPr/>
                        <wps:spPr>
                          <a:xfrm>
                            <a:off x="1047" y="6062"/>
                            <a:ext cx="1100" cy="583"/>
                          </a:xfrm>
                          <a:prstGeom prst="rect">
                            <a:avLst/>
                          </a:prstGeom>
                          <a:noFill/>
                          <a:ln>
                            <a:noFill/>
                          </a:ln>
                          <a:effectLst/>
                        </wps:spPr>
                        <wps:txbx>
                          <w:txbxContent>
                            <w:p>
                              <w:pPr>
                                <w:jc w:val="center"/>
                                <w:rPr>
                                  <w:rFonts w:ascii="宋体" w:hAnsi="宋体" w:cs="宋体"/>
                                  <w:szCs w:val="21"/>
                                </w:rPr>
                              </w:pPr>
                              <w:r>
                                <w:rPr>
                                  <w:rFonts w:hint="eastAsia" w:ascii="宋体" w:hAnsi="宋体" w:cs="宋体"/>
                                  <w:szCs w:val="21"/>
                                </w:rPr>
                                <w:t>脱硫剂</w:t>
                              </w:r>
                            </w:p>
                          </w:txbxContent>
                        </wps:txbx>
                        <wps:bodyPr upright="1"/>
                      </wps:wsp>
                      <wps:wsp>
                        <wps:cNvPr id="352" name="Line 2540"/>
                        <wps:cNvCnPr>
                          <a:stCxn id="1073744453" idx="3"/>
                        </wps:cNvCnPr>
                        <wps:spPr>
                          <a:xfrm>
                            <a:off x="2064" y="7698"/>
                            <a:ext cx="1" cy="1153"/>
                          </a:xfrm>
                          <a:prstGeom prst="line">
                            <a:avLst/>
                          </a:prstGeom>
                          <a:ln w="9525" cap="flat" cmpd="sng">
                            <a:solidFill>
                              <a:srgbClr val="000000"/>
                            </a:solidFill>
                            <a:prstDash val="lgDash"/>
                            <a:headEnd type="none" w="med" len="med"/>
                            <a:tailEnd type="triangle" w="med" len="med"/>
                          </a:ln>
                          <a:effectLst/>
                        </wps:spPr>
                        <wps:bodyPr/>
                      </wps:wsp>
                      <wps:wsp>
                        <wps:cNvPr id="353" name="Rectangle 2541"/>
                        <wps:cNvSpPr/>
                        <wps:spPr>
                          <a:xfrm>
                            <a:off x="1210" y="8827"/>
                            <a:ext cx="1410" cy="583"/>
                          </a:xfrm>
                          <a:prstGeom prst="rect">
                            <a:avLst/>
                          </a:prstGeom>
                          <a:noFill/>
                          <a:ln>
                            <a:noFill/>
                          </a:ln>
                          <a:effectLst/>
                        </wps:spPr>
                        <wps:txbx>
                          <w:txbxContent>
                            <w:p>
                              <w:pPr>
                                <w:jc w:val="center"/>
                                <w:rPr>
                                  <w:rFonts w:ascii="宋体" w:hAnsi="宋体" w:cs="宋体"/>
                                  <w:szCs w:val="21"/>
                                </w:rPr>
                              </w:pPr>
                              <w:r>
                                <w:rPr>
                                  <w:rFonts w:hint="eastAsia" w:ascii="宋体" w:hAnsi="宋体" w:cs="宋体"/>
                                  <w:szCs w:val="21"/>
                                </w:rPr>
                                <w:t>废脱硫剂</w:t>
                              </w:r>
                            </w:p>
                          </w:txbxContent>
                        </wps:txbx>
                        <wps:bodyPr upright="1"/>
                      </wps:wsp>
                      <wps:wsp>
                        <wps:cNvPr id="354" name="Line 2544"/>
                        <wps:cNvCnPr>
                          <a:stCxn id="1073744453" idx="3"/>
                        </wps:cNvCnPr>
                        <wps:spPr>
                          <a:xfrm flipH="1" flipV="1">
                            <a:off x="3933" y="9183"/>
                            <a:ext cx="441" cy="623"/>
                          </a:xfrm>
                          <a:prstGeom prst="line">
                            <a:avLst/>
                          </a:prstGeom>
                          <a:ln w="9525" cap="flat" cmpd="sng">
                            <a:solidFill>
                              <a:srgbClr val="000000"/>
                            </a:solidFill>
                            <a:prstDash val="lgDash"/>
                            <a:headEnd type="none" w="med" len="med"/>
                            <a:tailEnd type="triangle" w="med" len="med"/>
                          </a:ln>
                          <a:effectLst/>
                        </wps:spPr>
                        <wps:bodyPr/>
                      </wps:wsp>
                      <wps:wsp>
                        <wps:cNvPr id="355" name="Rectangle 2545"/>
                        <wps:cNvSpPr/>
                        <wps:spPr>
                          <a:xfrm>
                            <a:off x="2982" y="8951"/>
                            <a:ext cx="1378" cy="583"/>
                          </a:xfrm>
                          <a:prstGeom prst="rect">
                            <a:avLst/>
                          </a:prstGeom>
                          <a:noFill/>
                          <a:ln>
                            <a:noFill/>
                          </a:ln>
                          <a:effectLst/>
                        </wps:spPr>
                        <wps:txbx>
                          <w:txbxContent>
                            <w:p>
                              <w:pPr>
                                <w:jc w:val="center"/>
                                <w:rPr>
                                  <w:rFonts w:ascii="宋体" w:hAnsi="宋体" w:cs="宋体"/>
                                  <w:szCs w:val="21"/>
                                </w:rPr>
                              </w:pPr>
                              <w:r>
                                <w:rPr>
                                  <w:rFonts w:hint="eastAsia" w:ascii="宋体" w:hAnsi="宋体" w:cs="宋体"/>
                                  <w:szCs w:val="21"/>
                                </w:rPr>
                                <w:t>恶臭</w:t>
                              </w:r>
                            </w:p>
                          </w:txbxContent>
                        </wps:txbx>
                        <wps:bodyPr upright="1"/>
                      </wps:wsp>
                      <wps:wsp>
                        <wps:cNvPr id="356" name="Rectangle 2513"/>
                        <wps:cNvSpPr/>
                        <wps:spPr>
                          <a:xfrm>
                            <a:off x="4176" y="8177"/>
                            <a:ext cx="1692" cy="585"/>
                          </a:xfrm>
                          <a:prstGeom prst="rect">
                            <a:avLst/>
                          </a:prstGeom>
                          <a:noFill/>
                          <a:ln w="9525" cap="flat" cmpd="sng">
                            <a:solidFill>
                              <a:srgbClr val="000000"/>
                            </a:solidFill>
                            <a:prstDash val="solid"/>
                            <a:miter/>
                            <a:headEnd type="none" w="med" len="med"/>
                            <a:tailEnd type="none" w="med" len="med"/>
                          </a:ln>
                          <a:effectLst/>
                        </wps:spPr>
                        <wps:txbx>
                          <w:txbxContent>
                            <w:p>
                              <w:pPr>
                                <w:jc w:val="center"/>
                                <w:rPr>
                                  <w:rFonts w:ascii="宋体" w:hAnsi="宋体" w:cs="宋体"/>
                                  <w:szCs w:val="21"/>
                                </w:rPr>
                              </w:pPr>
                              <w:r>
                                <w:rPr>
                                  <w:rFonts w:hint="eastAsia" w:ascii="宋体" w:hAnsi="宋体" w:cs="宋体"/>
                                  <w:szCs w:val="21"/>
                                </w:rPr>
                                <w:t>黑膜沼气池</w:t>
                              </w:r>
                            </w:p>
                          </w:txbxContent>
                        </wps:txbx>
                        <wps:bodyPr upright="1"/>
                      </wps:wsp>
                      <wps:wsp>
                        <wps:cNvPr id="357" name="Rectangle 2521"/>
                        <wps:cNvSpPr/>
                        <wps:spPr>
                          <a:xfrm>
                            <a:off x="4242" y="3652"/>
                            <a:ext cx="1761" cy="584"/>
                          </a:xfrm>
                          <a:prstGeom prst="rect">
                            <a:avLst/>
                          </a:prstGeom>
                          <a:noFill/>
                          <a:ln w="9525" cap="flat" cmpd="sng">
                            <a:solidFill>
                              <a:srgbClr val="000000"/>
                            </a:solidFill>
                            <a:prstDash val="solid"/>
                            <a:miter/>
                            <a:headEnd type="none" w="med" len="med"/>
                            <a:tailEnd type="none" w="med" len="med"/>
                          </a:ln>
                          <a:effectLst/>
                        </wps:spPr>
                        <wps:txbx>
                          <w:txbxContent>
                            <w:p>
                              <w:pPr>
                                <w:jc w:val="center"/>
                                <w:rPr>
                                  <w:rFonts w:ascii="宋体" w:hAnsi="宋体" w:cs="宋体"/>
                                  <w:szCs w:val="21"/>
                                </w:rPr>
                              </w:pPr>
                              <w:r>
                                <w:rPr>
                                  <w:rFonts w:hint="eastAsia" w:ascii="宋体" w:hAnsi="宋体" w:cs="宋体"/>
                                  <w:szCs w:val="21"/>
                                </w:rPr>
                                <w:t>干清粪工艺</w:t>
                              </w:r>
                            </w:p>
                          </w:txbxContent>
                        </wps:txbx>
                        <wps:bodyPr upright="1"/>
                      </wps:wsp>
                      <wps:wsp>
                        <wps:cNvPr id="358" name="Line 2522"/>
                        <wps:cNvCnPr>
                          <a:stCxn id="1073744453" idx="3"/>
                        </wps:cNvCnPr>
                        <wps:spPr>
                          <a:xfrm>
                            <a:off x="5127" y="2998"/>
                            <a:ext cx="1" cy="663"/>
                          </a:xfrm>
                          <a:prstGeom prst="line">
                            <a:avLst/>
                          </a:prstGeom>
                          <a:ln w="9525" cap="flat" cmpd="sng">
                            <a:solidFill>
                              <a:srgbClr val="000000"/>
                            </a:solidFill>
                            <a:prstDash val="solid"/>
                            <a:headEnd type="none" w="med" len="med"/>
                            <a:tailEnd type="triangle" w="med" len="med"/>
                          </a:ln>
                          <a:effectLst/>
                        </wps:spPr>
                        <wps:bodyPr/>
                      </wps:wsp>
                      <wps:wsp>
                        <wps:cNvPr id="359" name="Line 2527"/>
                        <wps:cNvCnPr>
                          <a:stCxn id="1073744453" idx="3"/>
                        </wps:cNvCnPr>
                        <wps:spPr>
                          <a:xfrm flipH="1">
                            <a:off x="5127" y="4237"/>
                            <a:ext cx="4" cy="882"/>
                          </a:xfrm>
                          <a:prstGeom prst="line">
                            <a:avLst/>
                          </a:prstGeom>
                          <a:ln w="9525" cap="flat" cmpd="sng">
                            <a:solidFill>
                              <a:srgbClr val="000000"/>
                            </a:solidFill>
                            <a:prstDash val="solid"/>
                            <a:headEnd type="none" w="med" len="med"/>
                            <a:tailEnd type="triangle" w="med" len="med"/>
                          </a:ln>
                          <a:effectLst/>
                        </wps:spPr>
                        <wps:bodyPr/>
                      </wps:wsp>
                      <wps:wsp>
                        <wps:cNvPr id="360" name="Line 2535"/>
                        <wps:cNvCnPr>
                          <a:stCxn id="1073744453" idx="3"/>
                        </wps:cNvCnPr>
                        <wps:spPr>
                          <a:xfrm flipV="1">
                            <a:off x="2964" y="5380"/>
                            <a:ext cx="1" cy="584"/>
                          </a:xfrm>
                          <a:prstGeom prst="line">
                            <a:avLst/>
                          </a:prstGeom>
                          <a:ln w="9525" cap="flat" cmpd="sng">
                            <a:solidFill>
                              <a:srgbClr val="000000"/>
                            </a:solidFill>
                            <a:prstDash val="lgDash"/>
                            <a:headEnd type="none" w="med" len="med"/>
                            <a:tailEnd type="triangle" w="med" len="med"/>
                          </a:ln>
                          <a:effectLst/>
                        </wps:spPr>
                        <wps:bodyPr/>
                      </wps:wsp>
                      <wps:wsp>
                        <wps:cNvPr id="361" name="Rectangle 2536"/>
                        <wps:cNvSpPr/>
                        <wps:spPr>
                          <a:xfrm>
                            <a:off x="1896" y="7124"/>
                            <a:ext cx="1142" cy="585"/>
                          </a:xfrm>
                          <a:prstGeom prst="rect">
                            <a:avLst/>
                          </a:prstGeom>
                          <a:noFill/>
                          <a:ln w="9525" cap="flat" cmpd="sng">
                            <a:solidFill>
                              <a:srgbClr val="000000"/>
                            </a:solidFill>
                            <a:prstDash val="solid"/>
                            <a:miter/>
                            <a:headEnd type="none" w="med" len="med"/>
                            <a:tailEnd type="none" w="med" len="med"/>
                          </a:ln>
                          <a:effectLst/>
                        </wps:spPr>
                        <wps:txbx>
                          <w:txbxContent>
                            <w:p>
                              <w:pPr>
                                <w:jc w:val="center"/>
                                <w:rPr>
                                  <w:rFonts w:ascii="宋体" w:hAnsi="宋体" w:cs="宋体"/>
                                  <w:szCs w:val="21"/>
                                </w:rPr>
                              </w:pPr>
                              <w:r>
                                <w:rPr>
                                  <w:rFonts w:hint="eastAsia" w:ascii="宋体" w:hAnsi="宋体" w:cs="宋体"/>
                                  <w:szCs w:val="21"/>
                                </w:rPr>
                                <w:t>净化</w:t>
                              </w:r>
                            </w:p>
                          </w:txbxContent>
                        </wps:txbx>
                        <wps:bodyPr upright="1"/>
                      </wps:wsp>
                      <wps:wsp>
                        <wps:cNvPr id="362" name="Line 2551"/>
                        <wps:cNvCnPr>
                          <a:stCxn id="1073744453" idx="3"/>
                        </wps:cNvCnPr>
                        <wps:spPr>
                          <a:xfrm flipH="1">
                            <a:off x="5097" y="7288"/>
                            <a:ext cx="9" cy="895"/>
                          </a:xfrm>
                          <a:prstGeom prst="line">
                            <a:avLst/>
                          </a:prstGeom>
                          <a:ln w="9525" cap="flat" cmpd="sng">
                            <a:solidFill>
                              <a:srgbClr val="000000"/>
                            </a:solidFill>
                            <a:prstDash val="solid"/>
                            <a:headEnd type="none" w="med" len="med"/>
                            <a:tailEnd type="triangle" w="med" len="med"/>
                          </a:ln>
                          <a:effectLst/>
                        </wps:spPr>
                        <wps:bodyPr/>
                      </wps:wsp>
                      <wps:wsp>
                        <wps:cNvPr id="363" name="Rectangle 2530"/>
                        <wps:cNvSpPr/>
                        <wps:spPr>
                          <a:xfrm>
                            <a:off x="4240" y="6620"/>
                            <a:ext cx="1675" cy="584"/>
                          </a:xfrm>
                          <a:prstGeom prst="rect">
                            <a:avLst/>
                          </a:prstGeom>
                          <a:noFill/>
                          <a:ln w="9525" cap="flat" cmpd="sng">
                            <a:solidFill>
                              <a:srgbClr val="000000"/>
                            </a:solidFill>
                            <a:prstDash val="solid"/>
                            <a:miter/>
                            <a:headEnd type="none" w="med" len="med"/>
                            <a:tailEnd type="none" w="med" len="med"/>
                          </a:ln>
                          <a:effectLst/>
                        </wps:spPr>
                        <wps:txbx>
                          <w:txbxContent>
                            <w:p>
                              <w:pPr>
                                <w:jc w:val="center"/>
                                <w:rPr>
                                  <w:rFonts w:ascii="宋体" w:hAnsi="宋体" w:cs="宋体"/>
                                  <w:szCs w:val="21"/>
                                </w:rPr>
                              </w:pPr>
                              <w:r>
                                <w:rPr>
                                  <w:rFonts w:hint="eastAsia" w:ascii="宋体" w:hAnsi="宋体" w:cs="宋体"/>
                                  <w:szCs w:val="21"/>
                                </w:rPr>
                                <w:t>固液分离机</w:t>
                              </w:r>
                            </w:p>
                          </w:txbxContent>
                        </wps:txbx>
                        <wps:bodyPr upright="1"/>
                      </wps:wsp>
                      <wps:wsp>
                        <wps:cNvPr id="364" name="Line 2527"/>
                        <wps:cNvCnPr/>
                        <wps:spPr>
                          <a:xfrm>
                            <a:off x="5110" y="5722"/>
                            <a:ext cx="2" cy="945"/>
                          </a:xfrm>
                          <a:prstGeom prst="line">
                            <a:avLst/>
                          </a:prstGeom>
                          <a:ln w="9525" cap="flat" cmpd="sng">
                            <a:solidFill>
                              <a:srgbClr val="000000"/>
                            </a:solidFill>
                            <a:prstDash val="solid"/>
                            <a:headEnd type="none" w="med" len="med"/>
                            <a:tailEnd type="triangle" w="med" len="med"/>
                          </a:ln>
                          <a:effectLst/>
                        </wps:spPr>
                        <wps:bodyPr/>
                      </wps:wsp>
                      <wps:wsp>
                        <wps:cNvPr id="365" name="Rectangle 2523"/>
                        <wps:cNvSpPr/>
                        <wps:spPr>
                          <a:xfrm>
                            <a:off x="4146" y="7376"/>
                            <a:ext cx="1296" cy="583"/>
                          </a:xfrm>
                          <a:prstGeom prst="rect">
                            <a:avLst/>
                          </a:prstGeom>
                          <a:noFill/>
                          <a:ln>
                            <a:noFill/>
                          </a:ln>
                          <a:effectLst/>
                        </wps:spPr>
                        <wps:txbx>
                          <w:txbxContent>
                            <w:p>
                              <w:pPr>
                                <w:jc w:val="center"/>
                                <w:rPr>
                                  <w:rFonts w:ascii="宋体" w:hAnsi="宋体" w:cs="宋体"/>
                                  <w:szCs w:val="21"/>
                                </w:rPr>
                              </w:pPr>
                              <w:r>
                                <w:rPr>
                                  <w:rFonts w:hint="eastAsia" w:ascii="宋体" w:hAnsi="宋体" w:cs="宋体"/>
                                  <w:szCs w:val="21"/>
                                </w:rPr>
                                <w:t>废水</w:t>
                              </w:r>
                            </w:p>
                          </w:txbxContent>
                        </wps:txbx>
                        <wps:bodyPr upright="1"/>
                      </wps:wsp>
                      <wps:wsp>
                        <wps:cNvPr id="366" name="Rectangle 2533"/>
                        <wps:cNvSpPr/>
                        <wps:spPr>
                          <a:xfrm>
                            <a:off x="4167" y="9021"/>
                            <a:ext cx="1042" cy="749"/>
                          </a:xfrm>
                          <a:prstGeom prst="rect">
                            <a:avLst/>
                          </a:prstGeom>
                          <a:noFill/>
                          <a:ln>
                            <a:noFill/>
                          </a:ln>
                          <a:effectLst/>
                        </wps:spPr>
                        <wps:txbx>
                          <w:txbxContent>
                            <w:p>
                              <w:pPr>
                                <w:ind w:firstLine="210" w:firstLineChars="100"/>
                                <w:rPr>
                                  <w:rFonts w:ascii="宋体" w:hAnsi="宋体" w:cs="宋体"/>
                                  <w:szCs w:val="21"/>
                                </w:rPr>
                              </w:pPr>
                              <w:r>
                                <w:rPr>
                                  <w:rFonts w:hint="eastAsia" w:ascii="宋体" w:hAnsi="宋体" w:cs="宋体"/>
                                  <w:szCs w:val="21"/>
                                </w:rPr>
                                <w:t>沼液</w:t>
                              </w:r>
                            </w:p>
                          </w:txbxContent>
                        </wps:txbx>
                        <wps:bodyPr upright="1"/>
                      </wps:wsp>
                      <wps:wsp>
                        <wps:cNvPr id="367" name="Line 2532"/>
                        <wps:cNvCnPr>
                          <a:stCxn id="78" idx="3"/>
                        </wps:cNvCnPr>
                        <wps:spPr>
                          <a:xfrm>
                            <a:off x="5868" y="8470"/>
                            <a:ext cx="2503" cy="26"/>
                          </a:xfrm>
                          <a:prstGeom prst="line">
                            <a:avLst/>
                          </a:prstGeom>
                          <a:ln w="9525" cap="flat" cmpd="sng">
                            <a:solidFill>
                              <a:srgbClr val="000000"/>
                            </a:solidFill>
                            <a:prstDash val="dash"/>
                            <a:headEnd type="none" w="med" len="med"/>
                            <a:tailEnd type="triangle" w="med" len="med"/>
                          </a:ln>
                          <a:effectLst/>
                        </wps:spPr>
                        <wps:bodyPr/>
                      </wps:wsp>
                      <wps:wsp>
                        <wps:cNvPr id="368" name="Rectangle 2533"/>
                        <wps:cNvSpPr/>
                        <wps:spPr>
                          <a:xfrm>
                            <a:off x="6222" y="8078"/>
                            <a:ext cx="1042" cy="749"/>
                          </a:xfrm>
                          <a:prstGeom prst="rect">
                            <a:avLst/>
                          </a:prstGeom>
                          <a:noFill/>
                          <a:ln>
                            <a:noFill/>
                          </a:ln>
                          <a:effectLst/>
                        </wps:spPr>
                        <wps:txbx>
                          <w:txbxContent>
                            <w:p>
                              <w:pPr>
                                <w:ind w:firstLine="210" w:firstLineChars="100"/>
                                <w:rPr>
                                  <w:rFonts w:ascii="宋体" w:hAnsi="宋体" w:cs="宋体"/>
                                  <w:szCs w:val="21"/>
                                </w:rPr>
                              </w:pPr>
                              <w:r>
                                <w:rPr>
                                  <w:rFonts w:hint="eastAsia" w:ascii="宋体" w:hAnsi="宋体" w:cs="宋体"/>
                                  <w:szCs w:val="21"/>
                                </w:rPr>
                                <w:t>沼渣</w:t>
                              </w:r>
                            </w:p>
                          </w:txbxContent>
                        </wps:txbx>
                        <wps:bodyPr upright="1"/>
                      </wps:wsp>
                      <wps:wsp>
                        <wps:cNvPr id="369" name="Line 2551"/>
                        <wps:cNvCnPr/>
                        <wps:spPr>
                          <a:xfrm flipH="1">
                            <a:off x="5078" y="8794"/>
                            <a:ext cx="9" cy="896"/>
                          </a:xfrm>
                          <a:prstGeom prst="line">
                            <a:avLst/>
                          </a:prstGeom>
                          <a:ln w="9525" cap="flat" cmpd="sng">
                            <a:solidFill>
                              <a:srgbClr val="000000"/>
                            </a:solidFill>
                            <a:prstDash val="solid"/>
                            <a:headEnd type="none" w="med" len="med"/>
                            <a:tailEnd type="triangle" w="med" len="med"/>
                          </a:ln>
                          <a:effectLst/>
                        </wps:spPr>
                        <wps:bodyPr/>
                      </wps:wsp>
                      <wps:wsp>
                        <wps:cNvPr id="370" name="Line 2551"/>
                        <wps:cNvCnPr/>
                        <wps:spPr>
                          <a:xfrm flipH="1">
                            <a:off x="3218" y="8479"/>
                            <a:ext cx="938" cy="19"/>
                          </a:xfrm>
                          <a:prstGeom prst="line">
                            <a:avLst/>
                          </a:prstGeom>
                          <a:ln w="9525" cap="flat" cmpd="sng">
                            <a:solidFill>
                              <a:srgbClr val="000000"/>
                            </a:solidFill>
                            <a:prstDash val="solid"/>
                            <a:headEnd type="none" w="med" len="med"/>
                            <a:tailEnd type="triangle" w="med" len="med"/>
                          </a:ln>
                          <a:effectLst/>
                        </wps:spPr>
                        <wps:bodyPr/>
                      </wps:wsp>
                    </wpg:wgp>
                  </a:graphicData>
                </a:graphic>
              </wp:inline>
            </w:drawing>
          </mc:Choice>
          <mc:Fallback>
            <w:pict>
              <v:group id="组合 30" o:spid="_x0000_s1026" o:spt="203" style="height:372.8pt;width:414.75pt;" coordorigin="1047,2554" coordsize="8295,7824" o:gfxdata="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">
                <o:lock v:ext="edit" rotation="t" aspectratio="f"/>
                <v:rect id="Rectangle 2509" o:spid="_x0000_s1026" o:spt="1" style="position:absolute;left:4587;top:2554;height:583;width:1100;" filled="f" stroked="f" coordsize="21600,21600" o:gfxdata="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S/PsC/&#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jc w:val="center"/>
                          <w:rPr>
                            <w:rFonts w:ascii="宋体" w:hAnsi="宋体" w:cs="宋体"/>
                            <w:szCs w:val="21"/>
                          </w:rPr>
                        </w:pPr>
                        <w:r>
                          <w:rPr>
                            <w:rFonts w:hint="eastAsia" w:ascii="宋体" w:hAnsi="宋体" w:cs="宋体"/>
                            <w:szCs w:val="21"/>
                          </w:rPr>
                          <w:t>猪舍</w:t>
                        </w:r>
                      </w:p>
                    </w:txbxContent>
                  </v:textbox>
                </v:rect>
                <v:line id="Line 2510" o:spid="_x0000_s1026" o:spt="20" style="position:absolute;left:8361;top:7775;height:24;width:533;" filled="f" stroked="t" coordsize="21600,21600" o:gfxdata="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qpkp&#10;wAAAANsAAAAPAAAAAAAAAAEAIAAAACIAAABkcnMvZG93bnJldi54bWxQSwECFAAUAAAACACHTuJA&#10;My8FnjsAAAA5AAAAEAAAAAAAAAABACAAAAAPAQAAZHJzL3NoYXBleG1sLnhtbFBLBQYAAAAABgAG&#10;AFsBAAC5AwAAAAA=&#10;">
                  <v:fill on="f" focussize="0,0"/>
                  <v:stroke color="#000000" joinstyle="round" dashstyle="dash" endarrow="block"/>
                  <v:imagedata o:title=""/>
                  <o:lock v:ext="edit" aspectratio="f"/>
                </v:line>
                <v:rect id="Rectangle 2511" o:spid="_x0000_s1026" o:spt="1" style="position:absolute;left:8895;top:6585;height:2592;width:447;" filled="f" stroked="t" coordsize="21600,21600" o:gfxdata="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3Dc1r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pPr>
                          <w:rPr>
                            <w:rFonts w:ascii="宋体" w:hAnsi="宋体"/>
                            <w:szCs w:val="21"/>
                          </w:rPr>
                        </w:pPr>
                      </w:p>
                      <w:p>
                        <w:pPr>
                          <w:rPr>
                            <w:rFonts w:ascii="宋体" w:hAnsi="宋体"/>
                            <w:szCs w:val="21"/>
                          </w:rPr>
                        </w:pPr>
                        <w:r>
                          <w:rPr>
                            <w:rFonts w:hint="eastAsia" w:ascii="宋体" w:hAnsi="宋体"/>
                            <w:szCs w:val="21"/>
                          </w:rPr>
                          <w:t>固粪堆存区，</w:t>
                        </w:r>
                      </w:p>
                      <w:p>
                        <w:pPr>
                          <w:rPr>
                            <w:rFonts w:ascii="宋体" w:hAnsi="宋体"/>
                            <w:szCs w:val="21"/>
                          </w:rPr>
                        </w:pPr>
                        <w:r>
                          <w:rPr>
                            <w:rFonts w:ascii="宋体" w:hAnsi="宋体"/>
                            <w:szCs w:val="21"/>
                          </w:rPr>
                          <w:t>外售</w:t>
                        </w:r>
                      </w:p>
                    </w:txbxContent>
                  </v:textbox>
                </v:rect>
                <v:rect id="Rectangle 2512" o:spid="_x0000_s1026" o:spt="1" style="position:absolute;left:6436;top:6538;height:582;width:1250;" filled="f" stroked="f" coordsize="21600,21600" o:gfxdata="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IQUs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pPr>
                          <w:rPr>
                            <w:rFonts w:ascii="宋体" w:hAnsi="宋体" w:cs="宋体"/>
                            <w:szCs w:val="21"/>
                          </w:rPr>
                        </w:pPr>
                        <w:r>
                          <w:rPr>
                            <w:rFonts w:hint="eastAsia" w:ascii="宋体" w:hAnsi="宋体" w:cs="宋体"/>
                            <w:szCs w:val="21"/>
                          </w:rPr>
                          <w:t>猪粪</w:t>
                        </w:r>
                      </w:p>
                    </w:txbxContent>
                  </v:textbox>
                </v:rect>
                <v:rect id="Rectangle 2514" o:spid="_x0000_s1026" o:spt="1" style="position:absolute;left:2410;top:8222;height:665;width:861;" filled="f" stroked="f" coordsize="21600,21600" o:gfxdata="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RtoLe/&#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jc w:val="center"/>
                          <w:rPr>
                            <w:rFonts w:ascii="宋体" w:hAnsi="宋体" w:cs="宋体"/>
                            <w:szCs w:val="21"/>
                          </w:rPr>
                        </w:pPr>
                        <w:r>
                          <w:rPr>
                            <w:rFonts w:hint="eastAsia" w:ascii="宋体" w:hAnsi="宋体" w:cs="宋体"/>
                            <w:szCs w:val="21"/>
                          </w:rPr>
                          <w:t>沼气</w:t>
                        </w:r>
                      </w:p>
                    </w:txbxContent>
                  </v:textbox>
                </v:rect>
                <v:line id="Line 2515" o:spid="_x0000_s1026" o:spt="20" style="position:absolute;left:2833;top:7710;flip:y;height:543;width:1;" filled="f" stroked="t" coordsize="21600,21600" o:gfxdata="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S6zh7sAAADc&#10;AAAADwAAAAAAAAABACAAAAAiAAAAZHJzL2Rvd25yZXYueG1sUEsBAhQAFAAAAAgAh07iQDMvBZ47&#10;AAAAOQAAABAAAAAAAAAAAQAgAAAACgEAAGRycy9zaGFwZXhtbC54bWxQSwUGAAAAAAYABgBbAQAA&#10;tAMAAAAA&#10;">
                  <v:fill on="f" focussize="0,0"/>
                  <v:stroke color="#000000" joinstyle="round" dashstyle="longDash" endarrow="block"/>
                  <v:imagedata o:title=""/>
                  <o:lock v:ext="edit" aspectratio="f"/>
                </v:line>
                <v:line id="Line 2516" o:spid="_x0000_s1026" o:spt="20" style="position:absolute;left:2949;top:6538;flip:y;height:584;width:1;" filled="f" stroked="t" coordsize="21600,21600" o:gfxdata="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YhYcvQAA&#10;ANwAAAAPAAAAAAAAAAEAIAAAACIAAABkcnMvZG93bnJldi54bWxQSwECFAAUAAAACACHTuJAMy8F&#10;njsAAAA5AAAAEAAAAAAAAAABACAAAAAMAQAAZHJzL3NoYXBleG1sLnhtbFBLBQYAAAAABgAGAFsB&#10;AAC2AwAAAAA=&#10;">
                  <v:fill on="f" focussize="0,0"/>
                  <v:stroke color="#000000" joinstyle="round" dashstyle="longDash" endarrow="block"/>
                  <v:imagedata o:title=""/>
                  <o:lock v:ext="edit" aspectratio="f"/>
                </v:line>
                <v:rect id="Rectangle 2517" o:spid="_x0000_s1026" o:spt="1" style="position:absolute;left:4182;top:9786;height:583;width:1761;" filled="f" stroked="t" coordsize="21600,21600" o:gfxdata="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wEMM7sAAADc&#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w:txbxContent>
                      <w:p>
                        <w:pPr>
                          <w:jc w:val="center"/>
                          <w:rPr>
                            <w:rFonts w:ascii="宋体" w:hAnsi="宋体" w:cs="宋体"/>
                            <w:szCs w:val="21"/>
                          </w:rPr>
                        </w:pPr>
                        <w:r>
                          <w:rPr>
                            <w:rFonts w:hint="eastAsia" w:ascii="宋体" w:hAnsi="宋体" w:cs="宋体"/>
                            <w:szCs w:val="21"/>
                          </w:rPr>
                          <w:t>沼液储存池</w:t>
                        </w:r>
                      </w:p>
                    </w:txbxContent>
                  </v:textbox>
                </v:rect>
                <v:line id="Line 2518" o:spid="_x0000_s1026" o:spt="20" style="position:absolute;left:5943;top:10090;height:1;width:663;" filled="f" stroked="t" coordsize="21600,21600" o:gfxdata="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yX4wM&#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Rectangle 2519" o:spid="_x0000_s1026" o:spt="1" style="position:absolute;left:6523;top:9795;height:583;width:1540;" filled="f" stroked="f" coordsize="21600,21600" o:gfxdata="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BxwU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ascii="宋体" w:hAnsi="宋体" w:cs="宋体"/>
                            <w:szCs w:val="21"/>
                          </w:rPr>
                        </w:pPr>
                        <w:r>
                          <w:rPr>
                            <w:rFonts w:hint="eastAsia" w:ascii="宋体" w:hAnsi="宋体" w:cs="宋体"/>
                            <w:szCs w:val="21"/>
                          </w:rPr>
                          <w:t>做农肥</w:t>
                        </w:r>
                      </w:p>
                    </w:txbxContent>
                  </v:textbox>
                </v:rect>
                <v:shape id="AutoShape 2520" o:spid="_x0000_s1026" o:spt="32" type="#_x0000_t32" style="position:absolute;left:8322;top:6939;flip:x;height:1629;width:8;" filled="f" stroked="t" coordsize="21600,21600" o:gfxdata="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GG4L74A&#10;AADcAAAADwAAAAAAAAABACAAAAAiAAAAZHJzL2Rvd25yZXYueG1sUEsBAhQAFAAAAAgAh07iQDMv&#10;BZ47AAAAOQAAABAAAAAAAAAAAQAgAAAADQEAAGRycy9zaGFwZXhtbC54bWxQSwUGAAAAAAYABgBb&#10;AQAAtwMAAAAA&#10;">
                  <v:fill on="f" focussize="0,0"/>
                  <v:stroke color="#000000" joinstyle="round" dashstyle="dash"/>
                  <v:imagedata o:title=""/>
                  <o:lock v:ext="edit" aspectratio="f"/>
                </v:shape>
                <v:rect id="Rectangle 2523" o:spid="_x0000_s1026" o:spt="1" style="position:absolute;left:4242;top:4537;height:583;width:1296;" filled="f" stroked="f" coordsize="21600,21600" o:gfxdata="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suU29&#10;wAAAANwAAAAPAAAAAAAAAAEAIAAAACIAAABkcnMvZG93bnJldi54bWxQSwECFAAUAAAACACHTuJA&#10;My8FnjsAAAA5AAAAEAAAAAAAAAABACAAAAAPAQAAZHJzL3NoYXBleG1sLnhtbFBLBQYAAAAABgAG&#10;AFsBAAC5AwAAAAA=&#10;">
                  <v:fill on="f" focussize="0,0"/>
                  <v:stroke on="f"/>
                  <v:imagedata o:title=""/>
                  <o:lock v:ext="edit" aspectratio="f"/>
                  <v:textbox>
                    <w:txbxContent>
                      <w:p>
                        <w:pPr>
                          <w:jc w:val="center"/>
                          <w:rPr>
                            <w:rFonts w:ascii="宋体" w:hAnsi="宋体" w:cs="宋体"/>
                            <w:szCs w:val="21"/>
                          </w:rPr>
                        </w:pPr>
                        <w:r>
                          <w:rPr>
                            <w:rFonts w:hint="eastAsia" w:ascii="宋体" w:hAnsi="宋体" w:cs="宋体"/>
                            <w:szCs w:val="21"/>
                          </w:rPr>
                          <w:t>粪尿</w:t>
                        </w:r>
                      </w:p>
                    </w:txbxContent>
                  </v:textbox>
                </v:rect>
                <v:line id="Line 2529" o:spid="_x0000_s1026" o:spt="20" style="position:absolute;left:5934;top:6922;height:1;width:2400;" filled="f" stroked="t" coordsize="21600,21600" o:gfxdata="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pXg&#10;b8EAAADcAAAADwAAAAAAAAABACAAAAAiAAAAZHJzL2Rvd25yZXYueG1sUEsBAhQAFAAAAAgAh07i&#10;QDMvBZ47AAAAOQAAABAAAAAAAAAAAQAgAAAAEAEAAGRycy9zaGFwZXhtbC54bWxQSwUGAAAAAAYA&#10;BgBbAQAAugMAAAAA&#10;">
                  <v:fill on="f" focussize="0,0"/>
                  <v:stroke color="#000000" joinstyle="round" dashstyle="dash" endarrow="block"/>
                  <v:imagedata o:title=""/>
                  <o:lock v:ext="edit" aspectratio="f"/>
                </v:line>
                <v:rect id="Rectangle 2530" o:spid="_x0000_s1026" o:spt="1" style="position:absolute;left:4287;top:5092;height:584;width:1675;" filled="f" stroked="t" coordsize="21600,21600" o:gfxdata="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6Qx3L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pPr>
                          <w:jc w:val="center"/>
                          <w:rPr>
                            <w:rFonts w:ascii="宋体" w:hAnsi="宋体" w:cs="宋体"/>
                            <w:szCs w:val="21"/>
                          </w:rPr>
                        </w:pPr>
                        <w:r>
                          <w:rPr>
                            <w:rFonts w:hint="eastAsia" w:ascii="宋体" w:hAnsi="宋体" w:cs="宋体"/>
                            <w:szCs w:val="21"/>
                          </w:rPr>
                          <w:t>收集池</w:t>
                        </w:r>
                      </w:p>
                    </w:txbxContent>
                  </v:textbox>
                </v:rect>
                <v:line id="Line 2532" o:spid="_x0000_s1026" o:spt="20" style="position:absolute;left:5888;top:8472;flip:y;height:21;width:548;" filled="f" stroked="t" coordsize="21600,21600" o:gfxdata="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EYGX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line>
                <v:rect id="Rectangle 2534" o:spid="_x0000_s1026" o:spt="1" style="position:absolute;left:2047;top:6000;height:810;width:2217;" filled="f" stroked="f" coordsize="21600,21600" o:gfxdata="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30R7i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jc w:val="center"/>
                          <w:rPr>
                            <w:rFonts w:ascii="宋体" w:hAnsi="宋体" w:cs="宋体"/>
                            <w:szCs w:val="21"/>
                          </w:rPr>
                        </w:pPr>
                        <w:r>
                          <w:rPr>
                            <w:rFonts w:hint="eastAsia" w:ascii="宋体" w:hAnsi="宋体" w:cs="宋体"/>
                            <w:szCs w:val="21"/>
                          </w:rPr>
                          <w:t>伙房做饭、火炬燃烧</w:t>
                        </w:r>
                      </w:p>
                    </w:txbxContent>
                  </v:textbox>
                </v:rect>
                <v:rect id="Rectangle 2537" o:spid="_x0000_s1026" o:spt="1" style="position:absolute;left:2427;top:4800;height:583;width:1100;" filled="f" stroked="f" coordsize="21600,21600" o:gfxdata="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K44iO/&#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jc w:val="center"/>
                          <w:rPr>
                            <w:rFonts w:ascii="宋体" w:hAnsi="宋体" w:cs="宋体"/>
                            <w:szCs w:val="21"/>
                          </w:rPr>
                        </w:pPr>
                        <w:r>
                          <w:rPr>
                            <w:rFonts w:hint="eastAsia" w:ascii="宋体" w:hAnsi="宋体" w:cs="宋体"/>
                            <w:szCs w:val="21"/>
                          </w:rPr>
                          <w:t>燃烧</w:t>
                        </w:r>
                      </w:p>
                    </w:txbxContent>
                  </v:textbox>
                </v:rect>
                <v:line id="Line 2538" o:spid="_x0000_s1026" o:spt="20" style="position:absolute;left:1671;top:6539;height:584;width:394;" filled="f" stroked="t" coordsize="21600,21600" o:gfxdata="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yr9K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Rectangle 2539" o:spid="_x0000_s1026" o:spt="1" style="position:absolute;left:1047;top:6062;height:583;width:1100;" filled="f" stroked="f" coordsize="21600,21600" o:gfxdata="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kXePi/&#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jc w:val="center"/>
                          <w:rPr>
                            <w:rFonts w:ascii="宋体" w:hAnsi="宋体" w:cs="宋体"/>
                            <w:szCs w:val="21"/>
                          </w:rPr>
                        </w:pPr>
                        <w:r>
                          <w:rPr>
                            <w:rFonts w:hint="eastAsia" w:ascii="宋体" w:hAnsi="宋体" w:cs="宋体"/>
                            <w:szCs w:val="21"/>
                          </w:rPr>
                          <w:t>脱硫剂</w:t>
                        </w:r>
                      </w:p>
                    </w:txbxContent>
                  </v:textbox>
                </v:rect>
                <v:line id="Line 2540" o:spid="_x0000_s1026" o:spt="20" style="position:absolute;left:2064;top:7698;height:1153;width:1;" filled="f" stroked="t" coordsize="21600,21600" o:gfxdata="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p9Xva8AAAA&#10;3AAAAA8AAAAAAAAAAQAgAAAAIgAAAGRycy9kb3ducmV2LnhtbFBLAQIUABQAAAAIAIdO4kAzLwWe&#10;OwAAADkAAAAQAAAAAAAAAAEAIAAAAAsBAABkcnMvc2hhcGV4bWwueG1sUEsFBgAAAAAGAAYAWwEA&#10;ALUDAAAAAA==&#10;">
                  <v:fill on="f" focussize="0,0"/>
                  <v:stroke color="#000000" joinstyle="round" dashstyle="longDash" endarrow="block"/>
                  <v:imagedata o:title=""/>
                  <o:lock v:ext="edit" aspectratio="f"/>
                </v:line>
                <v:rect id="Rectangle 2541" o:spid="_x0000_s1026" o:spt="1" style="position:absolute;left:1210;top:8827;height:583;width:1410;" filled="f" stroked="f" coordsize="21600,21600" o:gfxdata="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aJQxS/&#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jc w:val="center"/>
                          <w:rPr>
                            <w:rFonts w:ascii="宋体" w:hAnsi="宋体" w:cs="宋体"/>
                            <w:szCs w:val="21"/>
                          </w:rPr>
                        </w:pPr>
                        <w:r>
                          <w:rPr>
                            <w:rFonts w:hint="eastAsia" w:ascii="宋体" w:hAnsi="宋体" w:cs="宋体"/>
                            <w:szCs w:val="21"/>
                          </w:rPr>
                          <w:t>废脱硫剂</w:t>
                        </w:r>
                      </w:p>
                    </w:txbxContent>
                  </v:textbox>
                </v:rect>
                <v:line id="Line 2544" o:spid="_x0000_s1026" o:spt="20" style="position:absolute;left:3933;top:9183;flip:x y;height:623;width:441;" filled="f" stroked="t" coordsize="21600,21600" o:gfxdata="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O07x&#10;wAAAANwAAAAPAAAAAAAAAAEAIAAAACIAAABkcnMvZG93bnJldi54bWxQSwECFAAUAAAACACHTuJA&#10;My8FnjsAAAA5AAAAEAAAAAAAAAABACAAAAAPAQAAZHJzL3NoYXBleG1sLnhtbFBLBQYAAAAABgAG&#10;AFsBAAC5AwAAAAA=&#10;">
                  <v:fill on="f" focussize="0,0"/>
                  <v:stroke color="#000000" joinstyle="round" dashstyle="longDash" endarrow="block"/>
                  <v:imagedata o:title=""/>
                  <o:lock v:ext="edit" aspectratio="f"/>
                </v:line>
                <v:rect id="Rectangle 2545" o:spid="_x0000_s1026" o:spt="1" style="position:absolute;left:2982;top:8951;height:583;width:1378;" filled="f" stroked="f" coordsize="21600,21600" o:gfxdata="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GLH77&#10;wAAAANwAAAAPAAAAAAAAAAEAIAAAACIAAABkcnMvZG93bnJldi54bWxQSwECFAAUAAAACACHTuJA&#10;My8FnjsAAAA5AAAAEAAAAAAAAAABACAAAAAPAQAAZHJzL3NoYXBleG1sLnhtbFBLBQYAAAAABgAG&#10;AFsBAAC5AwAAAAA=&#10;">
                  <v:fill on="f" focussize="0,0"/>
                  <v:stroke on="f"/>
                  <v:imagedata o:title=""/>
                  <o:lock v:ext="edit" aspectratio="f"/>
                  <v:textbox>
                    <w:txbxContent>
                      <w:p>
                        <w:pPr>
                          <w:jc w:val="center"/>
                          <w:rPr>
                            <w:rFonts w:ascii="宋体" w:hAnsi="宋体" w:cs="宋体"/>
                            <w:szCs w:val="21"/>
                          </w:rPr>
                        </w:pPr>
                        <w:r>
                          <w:rPr>
                            <w:rFonts w:hint="eastAsia" w:ascii="宋体" w:hAnsi="宋体" w:cs="宋体"/>
                            <w:szCs w:val="21"/>
                          </w:rPr>
                          <w:t>恶臭</w:t>
                        </w:r>
                      </w:p>
                    </w:txbxContent>
                  </v:textbox>
                </v:rect>
                <v:rect id="Rectangle 2513" o:spid="_x0000_s1026" o:spt="1" style="position:absolute;left:4176;top:8177;height:585;width:1692;" filled="f" stroked="t" coordsize="21600,21600" o:gfxdata="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facB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pPr>
                          <w:jc w:val="center"/>
                          <w:rPr>
                            <w:rFonts w:ascii="宋体" w:hAnsi="宋体" w:cs="宋体"/>
                            <w:szCs w:val="21"/>
                          </w:rPr>
                        </w:pPr>
                        <w:r>
                          <w:rPr>
                            <w:rFonts w:hint="eastAsia" w:ascii="宋体" w:hAnsi="宋体" w:cs="宋体"/>
                            <w:szCs w:val="21"/>
                          </w:rPr>
                          <w:t>黑膜沼气池</w:t>
                        </w:r>
                      </w:p>
                    </w:txbxContent>
                  </v:textbox>
                </v:rect>
                <v:rect id="Rectangle 2521" o:spid="_x0000_s1026" o:spt="1" style="position:absolute;left:4242;top:3652;height:584;width:1761;" filled="f" stroked="t" coordsize="21600,21600" o:gfxdata="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ECmr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pPr>
                          <w:jc w:val="center"/>
                          <w:rPr>
                            <w:rFonts w:ascii="宋体" w:hAnsi="宋体" w:cs="宋体"/>
                            <w:szCs w:val="21"/>
                          </w:rPr>
                        </w:pPr>
                        <w:r>
                          <w:rPr>
                            <w:rFonts w:hint="eastAsia" w:ascii="宋体" w:hAnsi="宋体" w:cs="宋体"/>
                            <w:szCs w:val="21"/>
                          </w:rPr>
                          <w:t>干清粪工艺</w:t>
                        </w:r>
                      </w:p>
                    </w:txbxContent>
                  </v:textbox>
                </v:rect>
                <v:line id="Line 2522" o:spid="_x0000_s1026" o:spt="20" style="position:absolute;left:5127;top:2998;height:663;width:1;" filled="f" stroked="t" coordsize="21600,21600" o:gfxdata="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vLNM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Line 2527" o:spid="_x0000_s1026" o:spt="20" style="position:absolute;left:5127;top:4237;flip:x;height:882;width:4;" filled="f" stroked="t" coordsize="21600,21600" o:gfxdata="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wThpn&#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Line 2535" o:spid="_x0000_s1026" o:spt="20" style="position:absolute;left:2964;top:5380;flip:y;height:584;width:1;" filled="f" stroked="t" coordsize="21600,21600" o:gfxdata="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OuQnLsAAADc&#10;AAAADwAAAAAAAAABACAAAAAiAAAAZHJzL2Rvd25yZXYueG1sUEsBAhQAFAAAAAgAh07iQDMvBZ47&#10;AAAAOQAAABAAAAAAAAAAAQAgAAAACgEAAGRycy9zaGFwZXhtbC54bWxQSwUGAAAAAAYABgBbAQAA&#10;tAMAAAAA&#10;">
                  <v:fill on="f" focussize="0,0"/>
                  <v:stroke color="#000000" joinstyle="round" dashstyle="longDash" endarrow="block"/>
                  <v:imagedata o:title=""/>
                  <o:lock v:ext="edit" aspectratio="f"/>
                </v:line>
                <v:rect id="Rectangle 2536" o:spid="_x0000_s1026" o:spt="1" style="position:absolute;left:1896;top:7124;height:585;width:1142;" filled="f" stroked="t" coordsize="21600,21600" o:gfxdata="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j1yL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pPr>
                          <w:jc w:val="center"/>
                          <w:rPr>
                            <w:rFonts w:ascii="宋体" w:hAnsi="宋体" w:cs="宋体"/>
                            <w:szCs w:val="21"/>
                          </w:rPr>
                        </w:pPr>
                        <w:r>
                          <w:rPr>
                            <w:rFonts w:hint="eastAsia" w:ascii="宋体" w:hAnsi="宋体" w:cs="宋体"/>
                            <w:szCs w:val="21"/>
                          </w:rPr>
                          <w:t>净化</w:t>
                        </w:r>
                      </w:p>
                    </w:txbxContent>
                  </v:textbox>
                </v:rect>
                <v:line id="Line 2551" o:spid="_x0000_s1026" o:spt="20" style="position:absolute;left:5097;top:7288;flip:x;height:895;width:9;" filled="f" stroked="t" coordsize="21600,21600" o:gfxdata="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whkKr&#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Rectangle 2530" o:spid="_x0000_s1026" o:spt="1" style="position:absolute;left:4240;top:6620;height:584;width:1675;" filled="f" stroked="t" coordsize="21600,21600" o:gfxdata="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GbOJL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pPr>
                          <w:jc w:val="center"/>
                          <w:rPr>
                            <w:rFonts w:ascii="宋体" w:hAnsi="宋体" w:cs="宋体"/>
                            <w:szCs w:val="21"/>
                          </w:rPr>
                        </w:pPr>
                        <w:r>
                          <w:rPr>
                            <w:rFonts w:hint="eastAsia" w:ascii="宋体" w:hAnsi="宋体" w:cs="宋体"/>
                            <w:szCs w:val="21"/>
                          </w:rPr>
                          <w:t>固液分离机</w:t>
                        </w:r>
                      </w:p>
                    </w:txbxContent>
                  </v:textbox>
                </v:rect>
                <v:line id="Line 2527" o:spid="_x0000_s1026" o:spt="20" style="position:absolute;left:5110;top:5722;height:945;width:2;" filled="f" stroked="t" coordsize="21600,21600" o:gfxdata="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mdc/S/&#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Rectangle 2523" o:spid="_x0000_s1026" o:spt="1" style="position:absolute;left:4146;top:7376;height:583;width:1296;" filled="f" stroked="f" coordsize="21600,21600" o:gfxdata="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EC0R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jc w:val="center"/>
                          <w:rPr>
                            <w:rFonts w:ascii="宋体" w:hAnsi="宋体" w:cs="宋体"/>
                            <w:szCs w:val="21"/>
                          </w:rPr>
                        </w:pPr>
                        <w:r>
                          <w:rPr>
                            <w:rFonts w:hint="eastAsia" w:ascii="宋体" w:hAnsi="宋体" w:cs="宋体"/>
                            <w:szCs w:val="21"/>
                          </w:rPr>
                          <w:t>废水</w:t>
                        </w:r>
                      </w:p>
                    </w:txbxContent>
                  </v:textbox>
                </v:rect>
                <v:rect id="Rectangle 2533" o:spid="_x0000_s1026" o:spt="1" style="position:absolute;left:4167;top:9021;height:749;width:1042;" filled="f" stroked="f" coordsize="21600,21600" o:gfxdata="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iSKjG/&#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ind w:firstLine="210" w:firstLineChars="100"/>
                          <w:rPr>
                            <w:rFonts w:ascii="宋体" w:hAnsi="宋体" w:cs="宋体"/>
                            <w:szCs w:val="21"/>
                          </w:rPr>
                        </w:pPr>
                        <w:r>
                          <w:rPr>
                            <w:rFonts w:hint="eastAsia" w:ascii="宋体" w:hAnsi="宋体" w:cs="宋体"/>
                            <w:szCs w:val="21"/>
                          </w:rPr>
                          <w:t>沼液</w:t>
                        </w:r>
                      </w:p>
                    </w:txbxContent>
                  </v:textbox>
                </v:rect>
                <v:line id="Line 2532" o:spid="_x0000_s1026" o:spt="20" style="position:absolute;left:5868;top:8470;height:26;width:2503;" filled="f" stroked="t" coordsize="21600,21600" o:gfxdata="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r6H&#10;48EAAADcAAAADwAAAAAAAAABACAAAAAiAAAAZHJzL2Rvd25yZXYueG1sUEsBAhQAFAAAAAgAh07i&#10;QDMvBZ47AAAAOQAAABAAAAAAAAAAAQAgAAAAEAEAAGRycy9zaGFwZXhtbC54bWxQSwUGAAAAAAYA&#10;BgBbAQAAugMAAAAA&#10;">
                  <v:fill on="f" focussize="0,0"/>
                  <v:stroke color="#000000" joinstyle="round" dashstyle="dash" endarrow="block"/>
                  <v:imagedata o:title=""/>
                  <o:lock v:ext="edit" aspectratio="f"/>
                </v:line>
                <v:rect id="Rectangle 2533" o:spid="_x0000_s1026" o:spt="1" style="position:absolute;left:6222;top:8078;height:749;width:1042;" filled="f" stroked="f" coordsize="21600,21600" o:gfxdata="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ZBG9i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ind w:firstLine="210" w:firstLineChars="100"/>
                          <w:rPr>
                            <w:rFonts w:ascii="宋体" w:hAnsi="宋体" w:cs="宋体"/>
                            <w:szCs w:val="21"/>
                          </w:rPr>
                        </w:pPr>
                        <w:r>
                          <w:rPr>
                            <w:rFonts w:hint="eastAsia" w:ascii="宋体" w:hAnsi="宋体" w:cs="宋体"/>
                            <w:szCs w:val="21"/>
                          </w:rPr>
                          <w:t>沼渣</w:t>
                        </w:r>
                      </w:p>
                    </w:txbxContent>
                  </v:textbox>
                </v:rect>
                <v:line id="Line 2551" o:spid="_x0000_s1026" o:spt="20" style="position:absolute;left:5078;top:8794;flip:x;height:896;width:9;" filled="f" stroked="t" coordsize="21600,21600" o:gfxdata="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ItDa&#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Line 2551" o:spid="_x0000_s1026" o:spt="20" style="position:absolute;left:3218;top:8479;flip:x;height:19;width:938;" filled="f" stroked="t" coordsize="21600,21600" o:gfxdata="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we+a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w10:wrap type="none"/>
                <w10:anchorlock/>
              </v:group>
            </w:pict>
          </mc:Fallback>
        </mc:AlternateContent>
      </w:r>
    </w:p>
    <w:p>
      <w:pPr>
        <w:tabs>
          <w:tab w:val="left" w:pos="624"/>
        </w:tabs>
        <w:spacing w:line="360" w:lineRule="auto"/>
        <w:jc w:val="center"/>
        <w:rPr>
          <w:b/>
          <w:sz w:val="24"/>
        </w:rPr>
      </w:pPr>
      <w:r>
        <w:rPr>
          <w:rFonts w:hint="eastAsia"/>
          <w:b/>
          <w:sz w:val="24"/>
        </w:rPr>
        <w:t>图</w:t>
      </w:r>
      <w:r>
        <w:rPr>
          <w:b/>
          <w:sz w:val="24"/>
        </w:rPr>
        <w:t>2</w:t>
      </w:r>
      <w:r>
        <w:rPr>
          <w:rFonts w:hint="eastAsia"/>
          <w:b/>
          <w:sz w:val="24"/>
        </w:rPr>
        <w:t>.2</w:t>
      </w:r>
      <w:r>
        <w:rPr>
          <w:b/>
          <w:sz w:val="24"/>
        </w:rPr>
        <w:t xml:space="preserve">-3    </w:t>
      </w:r>
      <w:r>
        <w:rPr>
          <w:rFonts w:hAnsi="宋体"/>
          <w:b/>
          <w:sz w:val="24"/>
        </w:rPr>
        <w:t>污水处理工艺</w:t>
      </w:r>
    </w:p>
    <w:p>
      <w:pPr>
        <w:tabs>
          <w:tab w:val="left" w:pos="624"/>
        </w:tabs>
        <w:spacing w:line="360" w:lineRule="auto"/>
        <w:rPr>
          <w:b/>
          <w:sz w:val="24"/>
        </w:rPr>
      </w:pPr>
      <w:r>
        <w:rPr>
          <w:b/>
          <w:sz w:val="24"/>
        </w:rPr>
        <w:t>工艺简述：</w:t>
      </w:r>
    </w:p>
    <w:p>
      <w:pPr>
        <w:tabs>
          <w:tab w:val="left" w:pos="624"/>
        </w:tabs>
        <w:spacing w:line="520" w:lineRule="exact"/>
        <w:ind w:firstLine="480" w:firstLineChars="200"/>
        <w:rPr>
          <w:rFonts w:hAnsi="宋体"/>
          <w:sz w:val="24"/>
        </w:rPr>
      </w:pPr>
      <w:r>
        <w:rPr>
          <w:rFonts w:hint="eastAsia"/>
          <w:sz w:val="24"/>
        </w:rPr>
        <w:t>在选用粪污处理工艺时，根据养殖场的养殖种类、养殖规模、粪污收集方式、当地的自然地理环境条件、排放去向等因素确定工艺路线及处理目标，本工程设计结合《畜禽养殖业污染治理工程技术规范》（HJ497-2009）中要求对污水进行处理</w:t>
      </w:r>
      <w:r>
        <w:rPr>
          <w:rFonts w:hint="eastAsia" w:hAnsi="宋体"/>
          <w:sz w:val="24"/>
        </w:rPr>
        <w:t>。</w:t>
      </w:r>
    </w:p>
    <w:p>
      <w:pPr>
        <w:tabs>
          <w:tab w:val="left" w:pos="624"/>
        </w:tabs>
        <w:spacing w:line="520" w:lineRule="exact"/>
        <w:ind w:firstLine="480" w:firstLineChars="200"/>
        <w:rPr>
          <w:color w:val="auto"/>
          <w:sz w:val="24"/>
          <w:highlight w:val="none"/>
        </w:rPr>
      </w:pPr>
      <w:r>
        <w:rPr>
          <w:rFonts w:hint="eastAsia"/>
          <w:sz w:val="24"/>
        </w:rPr>
        <w:t>本项目粪污处理系统</w:t>
      </w:r>
      <w:r>
        <w:rPr>
          <w:sz w:val="24"/>
        </w:rPr>
        <w:t>的核心技术是</w:t>
      </w:r>
      <w:r>
        <w:rPr>
          <w:rFonts w:ascii="宋体" w:hAnsi="宋体"/>
          <w:sz w:val="24"/>
        </w:rPr>
        <w:t>“</w:t>
      </w:r>
      <w:r>
        <w:rPr>
          <w:rFonts w:hint="eastAsia" w:ascii="宋体" w:hAnsi="宋体"/>
          <w:sz w:val="24"/>
        </w:rPr>
        <w:t>黑膜沼气池</w:t>
      </w:r>
      <w:r>
        <w:rPr>
          <w:rFonts w:ascii="宋体" w:hAnsi="宋体"/>
          <w:sz w:val="24"/>
        </w:rPr>
        <w:t>”</w:t>
      </w:r>
      <w:r>
        <w:rPr>
          <w:rFonts w:hint="eastAsia" w:ascii="宋体" w:hAnsi="宋体"/>
          <w:sz w:val="24"/>
        </w:rPr>
        <w:t>，</w:t>
      </w:r>
      <w:r>
        <w:rPr>
          <w:rFonts w:ascii="宋体" w:hAnsi="宋体"/>
          <w:sz w:val="24"/>
        </w:rPr>
        <w:t>粪便污水</w:t>
      </w:r>
      <w:r>
        <w:rPr>
          <w:rFonts w:hint="eastAsia" w:ascii="宋体" w:hAnsi="宋体"/>
          <w:sz w:val="24"/>
        </w:rPr>
        <w:t>经</w:t>
      </w:r>
      <w:r>
        <w:rPr>
          <w:rFonts w:ascii="宋体" w:hAnsi="宋体"/>
          <w:sz w:val="24"/>
        </w:rPr>
        <w:t>固液分离后进入</w:t>
      </w:r>
      <w:r>
        <w:rPr>
          <w:rFonts w:hint="eastAsia" w:ascii="宋体" w:hAnsi="宋体"/>
          <w:sz w:val="24"/>
        </w:rPr>
        <w:t>黑膜</w:t>
      </w:r>
      <w:r>
        <w:rPr>
          <w:rFonts w:ascii="宋体" w:hAnsi="宋体"/>
          <w:sz w:val="24"/>
        </w:rPr>
        <w:t>沼气池，在沼气池内进行厌氧发酵，经厌氧发酵去除</w:t>
      </w:r>
      <w:r>
        <w:rPr>
          <w:rFonts w:hint="eastAsia" w:ascii="宋体" w:hAnsi="宋体"/>
          <w:sz w:val="24"/>
        </w:rPr>
        <w:t>了</w:t>
      </w:r>
      <w:r>
        <w:rPr>
          <w:rFonts w:ascii="宋体" w:hAnsi="宋体"/>
          <w:sz w:val="24"/>
        </w:rPr>
        <w:t>大部分有</w:t>
      </w:r>
      <w:r>
        <w:rPr>
          <w:sz w:val="24"/>
        </w:rPr>
        <w:t>机物，设计发酵周期为</w:t>
      </w:r>
      <w:r>
        <w:rPr>
          <w:rFonts w:hint="eastAsia"/>
          <w:sz w:val="24"/>
        </w:rPr>
        <w:t>3</w:t>
      </w:r>
      <w:r>
        <w:rPr>
          <w:sz w:val="24"/>
        </w:rPr>
        <w:t>0天，发酵</w:t>
      </w:r>
      <w:r>
        <w:rPr>
          <w:rFonts w:hint="eastAsia"/>
          <w:sz w:val="24"/>
        </w:rPr>
        <w:t>结束后</w:t>
      </w:r>
      <w:r>
        <w:rPr>
          <w:sz w:val="24"/>
        </w:rPr>
        <w:t>，沼渣进入</w:t>
      </w:r>
      <w:r>
        <w:rPr>
          <w:rFonts w:hint="eastAsia"/>
          <w:sz w:val="24"/>
        </w:rPr>
        <w:t>固粪堆存区，</w:t>
      </w:r>
      <w:r>
        <w:rPr>
          <w:sz w:val="24"/>
        </w:rPr>
        <w:t>经</w:t>
      </w:r>
      <w:r>
        <w:rPr>
          <w:rFonts w:hint="eastAsia"/>
          <w:sz w:val="24"/>
        </w:rPr>
        <w:t>10d的</w:t>
      </w:r>
      <w:r>
        <w:rPr>
          <w:sz w:val="24"/>
        </w:rPr>
        <w:t>自然</w:t>
      </w:r>
      <w:r>
        <w:rPr>
          <w:rFonts w:hint="eastAsia"/>
          <w:sz w:val="24"/>
        </w:rPr>
        <w:t>风干</w:t>
      </w:r>
      <w:r>
        <w:rPr>
          <w:sz w:val="24"/>
        </w:rPr>
        <w:t>至含水率</w:t>
      </w:r>
      <w:r>
        <w:rPr>
          <w:rFonts w:hint="eastAsia"/>
          <w:sz w:val="24"/>
        </w:rPr>
        <w:t>60</w:t>
      </w:r>
      <w:r>
        <w:rPr>
          <w:sz w:val="24"/>
        </w:rPr>
        <w:t>%</w:t>
      </w:r>
      <w:r>
        <w:rPr>
          <w:rFonts w:hint="eastAsia"/>
          <w:sz w:val="24"/>
        </w:rPr>
        <w:t>左右</w:t>
      </w:r>
      <w:r>
        <w:rPr>
          <w:sz w:val="24"/>
        </w:rPr>
        <w:t>，作为有机肥</w:t>
      </w:r>
      <w:r>
        <w:rPr>
          <w:rFonts w:hint="eastAsia"/>
          <w:sz w:val="24"/>
        </w:rPr>
        <w:t>基料</w:t>
      </w:r>
      <w:r>
        <w:rPr>
          <w:sz w:val="24"/>
        </w:rPr>
        <w:t>打包出厂</w:t>
      </w:r>
      <w:r>
        <w:rPr>
          <w:rFonts w:hint="eastAsia"/>
          <w:sz w:val="24"/>
        </w:rPr>
        <w:t>外售</w:t>
      </w:r>
      <w:r>
        <w:rPr>
          <w:sz w:val="24"/>
        </w:rPr>
        <w:t>。厌氧发酵产生的沼气经净化后，用于伙房灶台，</w:t>
      </w:r>
      <w:r>
        <w:rPr>
          <w:color w:val="auto"/>
          <w:sz w:val="24"/>
          <w:highlight w:val="none"/>
        </w:rPr>
        <w:t>多余</w:t>
      </w:r>
      <w:r>
        <w:rPr>
          <w:rFonts w:hint="eastAsia"/>
          <w:color w:val="auto"/>
          <w:sz w:val="24"/>
          <w:highlight w:val="none"/>
        </w:rPr>
        <w:t>利用火炬燃烧器燃烧</w:t>
      </w:r>
      <w:r>
        <w:rPr>
          <w:color w:val="auto"/>
          <w:sz w:val="24"/>
          <w:highlight w:val="none"/>
        </w:rPr>
        <w:t>。</w:t>
      </w:r>
    </w:p>
    <w:p>
      <w:pPr>
        <w:pStyle w:val="25"/>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auto"/>
          <w:highlight w:val="none"/>
        </w:rPr>
      </w:pPr>
      <w:r>
        <w:rPr>
          <w:rFonts w:hint="eastAsia" w:ascii="宋体" w:hAnsi="宋体"/>
          <w:color w:val="auto"/>
          <w:highlight w:val="none"/>
        </w:rPr>
        <w:t>黑膜</w:t>
      </w:r>
      <w:r>
        <w:rPr>
          <w:rFonts w:hint="eastAsia"/>
          <w:color w:val="auto"/>
          <w:highlight w:val="none"/>
        </w:rPr>
        <w:t>沼气池</w:t>
      </w:r>
      <w:r>
        <w:rPr>
          <w:color w:val="auto"/>
          <w:highlight w:val="none"/>
        </w:rPr>
        <w:t>：</w:t>
      </w:r>
      <w:r>
        <w:rPr>
          <w:rFonts w:hint="eastAsia"/>
          <w:color w:val="auto"/>
          <w:highlight w:val="none"/>
        </w:rPr>
        <w:t>设计</w:t>
      </w:r>
      <w:r>
        <w:rPr>
          <w:color w:val="auto"/>
          <w:highlight w:val="none"/>
        </w:rPr>
        <w:t>容积1200m</w:t>
      </w:r>
      <w:r>
        <w:rPr>
          <w:color w:val="auto"/>
          <w:highlight w:val="none"/>
          <w:vertAlign w:val="superscript"/>
        </w:rPr>
        <w:t>3</w:t>
      </w:r>
      <w:r>
        <w:rPr>
          <w:color w:val="auto"/>
          <w:highlight w:val="none"/>
        </w:rPr>
        <w:t>，主要</w:t>
      </w:r>
      <w:r>
        <w:rPr>
          <w:rFonts w:hint="eastAsia"/>
          <w:color w:val="auto"/>
          <w:highlight w:val="none"/>
        </w:rPr>
        <w:t>处理</w:t>
      </w:r>
      <w:r>
        <w:rPr>
          <w:color w:val="auto"/>
          <w:highlight w:val="none"/>
        </w:rPr>
        <w:t>经固液分离后的粪污水</w:t>
      </w:r>
      <w:r>
        <w:rPr>
          <w:rFonts w:hint="eastAsia"/>
          <w:color w:val="auto"/>
          <w:highlight w:val="none"/>
        </w:rPr>
        <w:t>；</w:t>
      </w:r>
      <w:r>
        <w:rPr>
          <w:color w:val="auto"/>
          <w:highlight w:val="none"/>
        </w:rPr>
        <w:t>沼液储存池：沼液储存池1个，</w:t>
      </w:r>
      <w:r>
        <w:rPr>
          <w:rFonts w:hint="eastAsia"/>
          <w:color w:val="auto"/>
          <w:highlight w:val="none"/>
        </w:rPr>
        <w:t>设计容积6500</w:t>
      </w:r>
      <w:r>
        <w:rPr>
          <w:color w:val="auto"/>
          <w:highlight w:val="none"/>
        </w:rPr>
        <w:t>m</w:t>
      </w:r>
      <w:r>
        <w:rPr>
          <w:color w:val="auto"/>
          <w:highlight w:val="none"/>
          <w:vertAlign w:val="superscript"/>
        </w:rPr>
        <w:t>3</w:t>
      </w:r>
      <w:r>
        <w:rPr>
          <w:color w:val="auto"/>
          <w:highlight w:val="none"/>
        </w:rPr>
        <w:t>，主要用于在非施肥季节期间储存沼液。</w:t>
      </w:r>
    </w:p>
    <w:p>
      <w:pPr>
        <w:pStyle w:val="25"/>
        <w:keepNext w:val="0"/>
        <w:keepLines w:val="0"/>
        <w:pageBreakBefore w:val="0"/>
        <w:widowControl w:val="0"/>
        <w:kinsoku/>
        <w:wordWrap/>
        <w:overflowPunct/>
        <w:topLinePunct w:val="0"/>
        <w:autoSpaceDE/>
        <w:autoSpaceDN/>
        <w:bidi w:val="0"/>
        <w:adjustRightInd/>
        <w:snapToGrid/>
        <w:spacing w:line="500" w:lineRule="exact"/>
        <w:ind w:firstLine="0" w:firstLineChars="0"/>
        <w:textAlignment w:val="auto"/>
      </w:pPr>
      <w:r>
        <w:rPr>
          <w:bCs/>
          <w:color w:val="auto"/>
          <w:highlight w:val="none"/>
        </w:rPr>
        <w:t>本项目</w:t>
      </w:r>
      <w:r>
        <w:rPr>
          <w:rFonts w:hint="eastAsia"/>
          <w:bCs/>
          <w:color w:val="auto"/>
          <w:highlight w:val="none"/>
        </w:rPr>
        <w:t>黑膜</w:t>
      </w:r>
      <w:r>
        <w:rPr>
          <w:bCs/>
          <w:color w:val="auto"/>
          <w:highlight w:val="none"/>
        </w:rPr>
        <w:t>沼气池采用常温发酵，沼气池主体工程位于地下，塘口、底部用</w:t>
      </w:r>
      <w:r>
        <w:rPr>
          <w:bCs/>
        </w:rPr>
        <w:t>HDPE黑膜密封，采用全封闭结构，沼气池内的温度能保持常温发酵。废水处理产生的沼气经配套净化装置净化后，部分供给职工食堂使用，剩余部分全部</w:t>
      </w:r>
      <w:r>
        <w:rPr>
          <w:rFonts w:hint="eastAsia"/>
          <w:bCs/>
        </w:rPr>
        <w:t>利用火炬燃烧</w:t>
      </w:r>
      <w:r>
        <w:rPr>
          <w:bCs/>
        </w:rPr>
        <w:t>；沼液在非施肥季节储存于沼液储存池，满足《畜禽养殖业污染防治技术规范》（HJ/T 81-2001）相关要求，</w:t>
      </w:r>
      <w:r>
        <w:rPr>
          <w:rFonts w:hint="eastAsia"/>
          <w:bCs/>
        </w:rPr>
        <w:t>黑膜</w:t>
      </w:r>
      <w:r>
        <w:rPr>
          <w:bCs/>
        </w:rPr>
        <w:t>沼气池结构见图</w:t>
      </w:r>
      <w:r>
        <w:rPr>
          <w:rFonts w:hint="eastAsia"/>
          <w:bCs/>
        </w:rPr>
        <w:t>2</w:t>
      </w:r>
      <w:r>
        <w:rPr>
          <w:bCs/>
        </w:rPr>
        <w:t>.2-4</w:t>
      </w:r>
      <w:r>
        <w:rPr>
          <w:rFonts w:hint="eastAsia"/>
          <w:bCs/>
        </w:rPr>
        <w:t>、5。</w:t>
      </w:r>
    </w:p>
    <w:p>
      <w:r>
        <w:drawing>
          <wp:inline distT="0" distB="0" distL="114300" distR="114300">
            <wp:extent cx="5544820" cy="2734945"/>
            <wp:effectExtent l="0" t="0" r="17780" b="8255"/>
            <wp:docPr id="76" name="图片 22" descr="盖泻湖剖面图-附报告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2" descr="盖泻湖剖面图-附报告书"/>
                    <pic:cNvPicPr>
                      <a:picLocks noChangeAspect="1"/>
                    </pic:cNvPicPr>
                  </pic:nvPicPr>
                  <pic:blipFill>
                    <a:blip r:embed="rId33"/>
                    <a:stretch>
                      <a:fillRect/>
                    </a:stretch>
                  </pic:blipFill>
                  <pic:spPr>
                    <a:xfrm>
                      <a:off x="0" y="0"/>
                      <a:ext cx="5544820" cy="2734945"/>
                    </a:xfrm>
                    <a:prstGeom prst="rect">
                      <a:avLst/>
                    </a:prstGeom>
                    <a:noFill/>
                    <a:ln>
                      <a:noFill/>
                    </a:ln>
                  </pic:spPr>
                </pic:pic>
              </a:graphicData>
            </a:graphic>
          </wp:inline>
        </w:drawing>
      </w:r>
    </w:p>
    <w:p>
      <w:pPr>
        <w:jc w:val="center"/>
        <w:rPr>
          <w:b/>
          <w:sz w:val="24"/>
        </w:rPr>
      </w:pPr>
      <w:r>
        <w:rPr>
          <w:rFonts w:hint="eastAsia"/>
          <w:b/>
          <w:sz w:val="24"/>
        </w:rPr>
        <w:t>图2.2</w:t>
      </w:r>
      <w:r>
        <w:rPr>
          <w:b/>
          <w:sz w:val="24"/>
        </w:rPr>
        <w:t xml:space="preserve">-4  </w:t>
      </w:r>
      <w:r>
        <w:rPr>
          <w:rFonts w:hint="eastAsia"/>
          <w:b/>
          <w:sz w:val="24"/>
        </w:rPr>
        <w:t>黑膜剖面图</w:t>
      </w:r>
    </w:p>
    <w:p>
      <w:pPr>
        <w:jc w:val="center"/>
        <w:rPr>
          <w:b/>
          <w:sz w:val="28"/>
          <w:szCs w:val="28"/>
        </w:rPr>
      </w:pPr>
      <w:r>
        <w:rPr>
          <w:rFonts w:hint="eastAsia"/>
          <w:b/>
          <w:sz w:val="28"/>
          <w:szCs w:val="28"/>
        </w:rPr>
        <w:drawing>
          <wp:inline distT="0" distB="0" distL="114300" distR="114300">
            <wp:extent cx="5539740" cy="2779395"/>
            <wp:effectExtent l="0" t="0" r="3810" b="1905"/>
            <wp:docPr id="77" name="图片 23" descr="QQ图片201707211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3" descr="QQ图片20170721100002"/>
                    <pic:cNvPicPr>
                      <a:picLocks noChangeAspect="1"/>
                    </pic:cNvPicPr>
                  </pic:nvPicPr>
                  <pic:blipFill>
                    <a:blip r:embed="rId34"/>
                    <a:stretch>
                      <a:fillRect/>
                    </a:stretch>
                  </pic:blipFill>
                  <pic:spPr>
                    <a:xfrm>
                      <a:off x="0" y="0"/>
                      <a:ext cx="5539740" cy="2779395"/>
                    </a:xfrm>
                    <a:prstGeom prst="rect">
                      <a:avLst/>
                    </a:prstGeom>
                    <a:noFill/>
                    <a:ln>
                      <a:noFill/>
                    </a:ln>
                  </pic:spPr>
                </pic:pic>
              </a:graphicData>
            </a:graphic>
          </wp:inline>
        </w:drawing>
      </w:r>
    </w:p>
    <w:p>
      <w:pPr>
        <w:jc w:val="center"/>
        <w:rPr>
          <w:b/>
          <w:sz w:val="24"/>
        </w:rPr>
      </w:pPr>
      <w:r>
        <w:rPr>
          <w:rFonts w:hint="eastAsia"/>
          <w:b/>
          <w:sz w:val="24"/>
        </w:rPr>
        <w:t>图2.2</w:t>
      </w:r>
      <w:r>
        <w:rPr>
          <w:b/>
          <w:sz w:val="24"/>
        </w:rPr>
        <w:t xml:space="preserve">-5   </w:t>
      </w:r>
      <w:r>
        <w:rPr>
          <w:rFonts w:hint="eastAsia"/>
          <w:b/>
          <w:sz w:val="24"/>
        </w:rPr>
        <w:t>黑膜</w:t>
      </w:r>
      <w:r>
        <w:rPr>
          <w:b/>
          <w:sz w:val="24"/>
        </w:rPr>
        <w:t>内部结构图</w:t>
      </w:r>
    </w:p>
    <w:p>
      <w:pPr>
        <w:pStyle w:val="4"/>
        <w:numPr>
          <w:ilvl w:val="0"/>
          <w:numId w:val="0"/>
        </w:numPr>
        <w:spacing w:before="0" w:after="0" w:line="520" w:lineRule="exact"/>
        <w:rPr>
          <w:sz w:val="24"/>
          <w:szCs w:val="24"/>
        </w:rPr>
      </w:pPr>
      <w:r>
        <w:rPr>
          <w:sz w:val="24"/>
          <w:szCs w:val="24"/>
        </w:rPr>
        <w:t>2.2.3.4沼气利用工程</w:t>
      </w:r>
    </w:p>
    <w:p>
      <w:pPr>
        <w:autoSpaceDE w:val="0"/>
        <w:autoSpaceDN w:val="0"/>
        <w:adjustRightInd w:val="0"/>
        <w:snapToGrid w:val="0"/>
        <w:spacing w:line="520" w:lineRule="exact"/>
        <w:ind w:firstLine="480" w:firstLineChars="200"/>
        <w:rPr>
          <w:sz w:val="24"/>
          <w:highlight w:val="yellow"/>
        </w:rPr>
      </w:pPr>
      <w:r>
        <w:rPr>
          <w:rFonts w:hAnsi="宋体"/>
          <w:sz w:val="24"/>
        </w:rPr>
        <w:t>根据《畜禽养殖业污染防治技术政策》（环发[2010]151号）中有关内容，厌氧发酵产生的沼气应进行收集，并根据利用途径进行脱水、脱硫等净化处理。沼气宜作为燃料直接利用。</w:t>
      </w:r>
      <w:r>
        <w:rPr>
          <w:rFonts w:hint="eastAsia"/>
          <w:sz w:val="24"/>
        </w:rPr>
        <w:t>根据其他养殖场</w:t>
      </w:r>
      <w:r>
        <w:rPr>
          <w:sz w:val="24"/>
        </w:rPr>
        <w:t>实际</w:t>
      </w:r>
      <w:r>
        <w:rPr>
          <w:sz w:val="24"/>
          <w:highlight w:val="none"/>
        </w:rPr>
        <w:t>运营</w:t>
      </w:r>
      <w:r>
        <w:rPr>
          <w:color w:val="auto"/>
          <w:sz w:val="24"/>
          <w:highlight w:val="none"/>
        </w:rPr>
        <w:t>经验，每去除1kgCOD可产生0.25m</w:t>
      </w:r>
      <w:r>
        <w:rPr>
          <w:color w:val="auto"/>
          <w:sz w:val="24"/>
          <w:highlight w:val="none"/>
          <w:vertAlign w:val="superscript"/>
        </w:rPr>
        <w:t>3</w:t>
      </w:r>
      <w:r>
        <w:rPr>
          <w:color w:val="auto"/>
          <w:sz w:val="24"/>
          <w:highlight w:val="none"/>
        </w:rPr>
        <w:t>沼气进行计算，</w:t>
      </w:r>
      <w:r>
        <w:rPr>
          <w:rFonts w:hint="eastAsia"/>
          <w:color w:val="auto"/>
          <w:sz w:val="24"/>
          <w:highlight w:val="none"/>
        </w:rPr>
        <w:t>本项目全年沼气产生量为</w:t>
      </w:r>
      <w:r>
        <w:rPr>
          <w:rFonts w:hint="eastAsia"/>
          <w:color w:val="auto"/>
          <w:sz w:val="24"/>
          <w:highlight w:val="none"/>
          <w:lang w:eastAsia="zh-CN"/>
        </w:rPr>
        <w:t>29456.25</w:t>
      </w:r>
      <w:r>
        <w:rPr>
          <w:color w:val="auto"/>
          <w:sz w:val="24"/>
          <w:highlight w:val="none"/>
        </w:rPr>
        <w:t>m</w:t>
      </w:r>
      <w:r>
        <w:rPr>
          <w:color w:val="auto"/>
          <w:sz w:val="24"/>
          <w:highlight w:val="none"/>
          <w:vertAlign w:val="superscript"/>
        </w:rPr>
        <w:t>3</w:t>
      </w:r>
      <w:r>
        <w:rPr>
          <w:color w:val="auto"/>
          <w:sz w:val="24"/>
          <w:highlight w:val="none"/>
        </w:rPr>
        <w:t>/a</w:t>
      </w:r>
      <w:r>
        <w:rPr>
          <w:rFonts w:hint="eastAsia"/>
          <w:color w:val="auto"/>
          <w:sz w:val="24"/>
          <w:highlight w:val="none"/>
        </w:rPr>
        <w:t>，其中</w:t>
      </w:r>
      <w:r>
        <w:rPr>
          <w:color w:val="auto"/>
          <w:sz w:val="24"/>
          <w:highlight w:val="none"/>
        </w:rPr>
        <w:t>夏季沼气产生量为</w:t>
      </w:r>
      <w:r>
        <w:rPr>
          <w:rFonts w:hint="eastAsia"/>
          <w:color w:val="auto"/>
          <w:sz w:val="24"/>
          <w:highlight w:val="none"/>
          <w:lang w:val="en-US" w:eastAsia="zh-CN"/>
        </w:rPr>
        <w:t>105.86</w:t>
      </w:r>
      <w:r>
        <w:rPr>
          <w:color w:val="auto"/>
          <w:sz w:val="24"/>
          <w:highlight w:val="none"/>
        </w:rPr>
        <w:t>m</w:t>
      </w:r>
      <w:r>
        <w:rPr>
          <w:color w:val="auto"/>
          <w:sz w:val="24"/>
          <w:highlight w:val="none"/>
          <w:vertAlign w:val="superscript"/>
        </w:rPr>
        <w:t>3</w:t>
      </w:r>
      <w:r>
        <w:rPr>
          <w:color w:val="auto"/>
          <w:sz w:val="24"/>
          <w:highlight w:val="none"/>
        </w:rPr>
        <w:t>/d、其他季节沼气产生量为</w:t>
      </w:r>
      <w:r>
        <w:rPr>
          <w:rFonts w:hint="eastAsia"/>
          <w:color w:val="auto"/>
          <w:sz w:val="24"/>
          <w:highlight w:val="none"/>
          <w:lang w:val="en-US" w:eastAsia="zh-CN"/>
        </w:rPr>
        <w:t>70.69</w:t>
      </w:r>
      <w:r>
        <w:rPr>
          <w:color w:val="auto"/>
          <w:sz w:val="24"/>
          <w:highlight w:val="none"/>
        </w:rPr>
        <w:t>m</w:t>
      </w:r>
      <w:r>
        <w:rPr>
          <w:color w:val="auto"/>
          <w:sz w:val="24"/>
          <w:highlight w:val="none"/>
          <w:vertAlign w:val="superscript"/>
        </w:rPr>
        <w:t>3</w:t>
      </w:r>
      <w:r>
        <w:rPr>
          <w:color w:val="auto"/>
          <w:sz w:val="24"/>
          <w:highlight w:val="none"/>
        </w:rPr>
        <w:t>/d。</w:t>
      </w:r>
    </w:p>
    <w:p>
      <w:pPr>
        <w:spacing w:line="500" w:lineRule="exact"/>
        <w:ind w:firstLine="480" w:firstLineChars="200"/>
        <w:rPr>
          <w:sz w:val="24"/>
        </w:rPr>
      </w:pPr>
      <w:r>
        <w:rPr>
          <w:sz w:val="24"/>
        </w:rPr>
        <w:t>沼气在使用前需要进行脱硫处理，沼气利用前所采取的措施如图2.2-6。</w:t>
      </w:r>
    </w:p>
    <w:p>
      <w:pPr>
        <w:topLinePunct/>
        <w:spacing w:line="500" w:lineRule="exact"/>
        <w:rPr>
          <w:rFonts w:hint="eastAsia"/>
        </w:rPr>
      </w:pPr>
      <w:r>
        <mc:AlternateContent>
          <mc:Choice Requires="wpg">
            <w:drawing>
              <wp:anchor distT="0" distB="0" distL="114300" distR="114300" simplePos="0" relativeHeight="251717632" behindDoc="0" locked="0" layoutInCell="1" allowOverlap="1">
                <wp:simplePos x="0" y="0"/>
                <wp:positionH relativeFrom="column">
                  <wp:posOffset>1115060</wp:posOffset>
                </wp:positionH>
                <wp:positionV relativeFrom="paragraph">
                  <wp:posOffset>-20599400</wp:posOffset>
                </wp:positionV>
                <wp:extent cx="3631565" cy="21774785"/>
                <wp:effectExtent l="5080" t="0" r="20955" b="18415"/>
                <wp:wrapNone/>
                <wp:docPr id="429" name="组合 167"/>
                <wp:cNvGraphicFramePr/>
                <a:graphic xmlns:a="http://schemas.openxmlformats.org/drawingml/2006/main">
                  <a:graphicData uri="http://schemas.microsoft.com/office/word/2010/wordprocessingGroup">
                    <wpg:wgp>
                      <wpg:cNvGrpSpPr/>
                      <wpg:grpSpPr>
                        <a:xfrm>
                          <a:off x="0" y="0"/>
                          <a:ext cx="3631565" cy="21774785"/>
                          <a:chOff x="2725" y="726199"/>
                          <a:chExt cx="4965" cy="32577"/>
                        </a:xfrm>
                      </wpg:grpSpPr>
                      <wps:wsp>
                        <wps:cNvPr id="420" name="Line 1893"/>
                        <wps:cNvCnPr/>
                        <wps:spPr>
                          <a:xfrm>
                            <a:off x="3394" y="757827"/>
                            <a:ext cx="537" cy="1"/>
                          </a:xfrm>
                          <a:prstGeom prst="line">
                            <a:avLst/>
                          </a:prstGeom>
                          <a:ln w="9525" cap="flat" cmpd="sng">
                            <a:solidFill>
                              <a:srgbClr val="000000"/>
                            </a:solidFill>
                            <a:prstDash val="solid"/>
                            <a:headEnd type="none" w="med" len="med"/>
                            <a:tailEnd type="triangle" w="med" len="med"/>
                          </a:ln>
                        </wps:spPr>
                        <wps:bodyPr upright="1"/>
                      </wps:wsp>
                      <wps:wsp>
                        <wps:cNvPr id="421" name="Rectangle 1894"/>
                        <wps:cNvSpPr/>
                        <wps:spPr>
                          <a:xfrm>
                            <a:off x="2725" y="757576"/>
                            <a:ext cx="637" cy="4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line="400" w:lineRule="exact"/>
                                <w:jc w:val="center"/>
                                <w:rPr>
                                  <w:rFonts w:ascii="宋体" w:hAnsi="宋体"/>
                                  <w:szCs w:val="21"/>
                                </w:rPr>
                              </w:pPr>
                              <w:r>
                                <w:rPr>
                                  <w:rFonts w:hint="eastAsia" w:ascii="宋体" w:hAnsi="宋体"/>
                                  <w:szCs w:val="21"/>
                                </w:rPr>
                                <w:t>沼气</w:t>
                              </w:r>
                            </w:p>
                          </w:txbxContent>
                        </wps:txbx>
                        <wps:bodyPr vert="horz" lIns="0" tIns="0" rIns="0" bIns="0" anchor="t" upright="1"/>
                      </wps:wsp>
                      <wps:wsp>
                        <wps:cNvPr id="422" name="Rectangle 1895"/>
                        <wps:cNvSpPr/>
                        <wps:spPr>
                          <a:xfrm>
                            <a:off x="3908" y="757560"/>
                            <a:ext cx="1515" cy="507"/>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djustRightInd w:val="0"/>
                                <w:snapToGrid w:val="0"/>
                                <w:spacing w:line="400" w:lineRule="exact"/>
                                <w:jc w:val="center"/>
                                <w:rPr>
                                  <w:rFonts w:ascii="宋体" w:hAnsi="宋体"/>
                                  <w:szCs w:val="21"/>
                                </w:rPr>
                              </w:pPr>
                              <w:r>
                                <w:rPr>
                                  <w:rFonts w:hint="eastAsia" w:ascii="宋体" w:hAnsi="宋体"/>
                                  <w:szCs w:val="21"/>
                                </w:rPr>
                                <w:t>脱水、脱硫器</w:t>
                              </w:r>
                            </w:p>
                          </w:txbxContent>
                        </wps:txbx>
                        <wps:bodyPr vert="horz" lIns="0" tIns="0" rIns="0" bIns="0" anchor="t" upright="1"/>
                      </wps:wsp>
                      <wps:wsp>
                        <wps:cNvPr id="423" name="Line 1896"/>
                        <wps:cNvCnPr/>
                        <wps:spPr>
                          <a:xfrm>
                            <a:off x="5444" y="757811"/>
                            <a:ext cx="569" cy="1"/>
                          </a:xfrm>
                          <a:prstGeom prst="line">
                            <a:avLst/>
                          </a:prstGeom>
                          <a:ln w="9525" cap="flat" cmpd="sng">
                            <a:solidFill>
                              <a:srgbClr val="000000"/>
                            </a:solidFill>
                            <a:prstDash val="solid"/>
                            <a:headEnd type="none" w="med" len="med"/>
                            <a:tailEnd type="triangle" w="med" len="med"/>
                          </a:ln>
                        </wps:spPr>
                        <wps:bodyPr upright="1"/>
                      </wps:wsp>
                      <wps:wsp>
                        <wps:cNvPr id="424" name="Rectangle 1901"/>
                        <wps:cNvSpPr/>
                        <wps:spPr>
                          <a:xfrm>
                            <a:off x="6107" y="757642"/>
                            <a:ext cx="1583" cy="411"/>
                          </a:xfrm>
                          <a:prstGeom prst="rect">
                            <a:avLst/>
                          </a:prstGeom>
                          <a:solidFill>
                            <a:srgbClr val="FFFFFF"/>
                          </a:solidFill>
                          <a:ln w="9525" cap="flat" cmpd="sng">
                            <a:solidFill>
                              <a:srgbClr val="FFFFFF"/>
                            </a:solidFill>
                            <a:prstDash val="solid"/>
                            <a:miter/>
                            <a:headEnd type="none" w="med" len="med"/>
                            <a:tailEnd type="none" w="med" len="med"/>
                          </a:ln>
                        </wps:spPr>
                        <wps:txbx>
                          <w:txbxContent>
                            <w:p>
                              <w:pPr>
                                <w:adjustRightInd w:val="0"/>
                                <w:snapToGrid w:val="0"/>
                                <w:spacing w:line="400" w:lineRule="exact"/>
                                <w:rPr>
                                  <w:rFonts w:hint="eastAsia" w:ascii="宋体" w:hAnsi="宋体"/>
                                  <w:szCs w:val="21"/>
                                </w:rPr>
                              </w:pPr>
                              <w:r>
                                <w:rPr>
                                  <w:rFonts w:hint="eastAsia" w:ascii="宋体" w:hAnsi="宋体"/>
                                  <w:szCs w:val="21"/>
                                </w:rPr>
                                <w:t>食堂、火炬燃烧</w:t>
                              </w:r>
                            </w:p>
                          </w:txbxContent>
                        </wps:txbx>
                        <wps:bodyPr vert="horz" lIns="0" tIns="0" rIns="0" bIns="0" anchor="t" upright="1"/>
                      </wps:wsp>
                      <wps:wsp>
                        <wps:cNvPr id="425" name="AutoShape 1902"/>
                        <wps:cNvCnPr/>
                        <wps:spPr>
                          <a:xfrm>
                            <a:off x="5244" y="726527"/>
                            <a:ext cx="1" cy="386"/>
                          </a:xfrm>
                          <a:prstGeom prst="straightConnector1">
                            <a:avLst/>
                          </a:prstGeom>
                          <a:ln w="9525" cap="flat" cmpd="sng">
                            <a:solidFill>
                              <a:srgbClr val="000000"/>
                            </a:solidFill>
                            <a:prstDash val="dash"/>
                            <a:headEnd type="none" w="med" len="med"/>
                            <a:tailEnd type="triangle" w="med" len="med"/>
                          </a:ln>
                        </wps:spPr>
                        <wps:bodyPr/>
                      </wps:wsp>
                      <wps:wsp>
                        <wps:cNvPr id="426" name="Rectangle 1903"/>
                        <wps:cNvSpPr/>
                        <wps:spPr>
                          <a:xfrm>
                            <a:off x="4087" y="758450"/>
                            <a:ext cx="967" cy="326"/>
                          </a:xfrm>
                          <a:prstGeom prst="rect">
                            <a:avLst/>
                          </a:prstGeom>
                          <a:noFill/>
                          <a:ln w="9525" cap="flat" cmpd="sng">
                            <a:solidFill>
                              <a:srgbClr val="FFFFFF"/>
                            </a:solidFill>
                            <a:prstDash val="solid"/>
                            <a:miter/>
                            <a:headEnd type="none" w="med" len="med"/>
                            <a:tailEnd type="none" w="med" len="med"/>
                          </a:ln>
                        </wps:spPr>
                        <wps:txbx>
                          <w:txbxContent>
                            <w:p>
                              <w:pPr>
                                <w:adjustRightInd w:val="0"/>
                                <w:snapToGrid w:val="0"/>
                                <w:spacing w:line="400" w:lineRule="exact"/>
                                <w:jc w:val="center"/>
                                <w:rPr>
                                  <w:rFonts w:ascii="宋体" w:hAnsi="宋体"/>
                                  <w:szCs w:val="21"/>
                                </w:rPr>
                              </w:pPr>
                              <w:r>
                                <w:rPr>
                                  <w:rFonts w:hint="eastAsia" w:ascii="宋体" w:hAnsi="宋体"/>
                                  <w:szCs w:val="21"/>
                                </w:rPr>
                                <w:t>废脱硫剂</w:t>
                              </w:r>
                            </w:p>
                          </w:txbxContent>
                        </wps:txbx>
                        <wps:bodyPr vert="horz" lIns="0" tIns="0" rIns="0" bIns="0" anchor="t" upright="1"/>
                      </wps:wsp>
                      <wps:wsp>
                        <wps:cNvPr id="427" name="AutoShape 1904"/>
                        <wps:cNvCnPr/>
                        <wps:spPr>
                          <a:xfrm flipV="1">
                            <a:off x="5244" y="726199"/>
                            <a:ext cx="1" cy="329"/>
                          </a:xfrm>
                          <a:prstGeom prst="straightConnector1">
                            <a:avLst/>
                          </a:prstGeom>
                          <a:ln w="9525" cap="flat" cmpd="sng">
                            <a:solidFill>
                              <a:srgbClr val="000000"/>
                            </a:solidFill>
                            <a:prstDash val="dash"/>
                            <a:headEnd type="none" w="med" len="med"/>
                            <a:tailEnd type="triangle" w="med" len="med"/>
                          </a:ln>
                        </wps:spPr>
                        <wps:bodyPr/>
                      </wps:wsp>
                      <wps:wsp>
                        <wps:cNvPr id="428" name="Rectangle 1905"/>
                        <wps:cNvSpPr/>
                        <wps:spPr>
                          <a:xfrm>
                            <a:off x="6625" y="756970"/>
                            <a:ext cx="700" cy="32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adjustRightInd w:val="0"/>
                                <w:snapToGrid w:val="0"/>
                                <w:spacing w:line="320" w:lineRule="exact"/>
                                <w:jc w:val="center"/>
                                <w:rPr>
                                  <w:rFonts w:ascii="宋体" w:hAnsi="宋体"/>
                                  <w:szCs w:val="21"/>
                                </w:rPr>
                              </w:pPr>
                              <w:r>
                                <w:rPr>
                                  <w:rFonts w:hint="eastAsia" w:ascii="宋体" w:hAnsi="宋体"/>
                                  <w:szCs w:val="21"/>
                                </w:rPr>
                                <w:t>废气</w:t>
                              </w:r>
                            </w:p>
                          </w:txbxContent>
                        </wps:txbx>
                        <wps:bodyPr vert="horz" lIns="0" tIns="0" rIns="0" bIns="0" anchor="t" upright="1"/>
                      </wps:wsp>
                    </wpg:wgp>
                  </a:graphicData>
                </a:graphic>
              </wp:anchor>
            </w:drawing>
          </mc:Choice>
          <mc:Fallback>
            <w:pict>
              <v:group id="组合 167" o:spid="_x0000_s1026" o:spt="203" style="position:absolute;left:0pt;margin-left:87.8pt;margin-top:-1622pt;height:1714.55pt;width:285.95pt;z-index:251717632;mso-width-relative:page;mso-height-relative:page;" coordorigin="2725,726199" coordsize="4965,32577" o:gfxdata="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">
                <o:lock v:ext="edit" aspectratio="f"/>
                <v:line id="Line 1893" o:spid="_x0000_s1026" o:spt="20" style="position:absolute;left:3394;top:757827;height:1;width:537;" filled="f" stroked="t" coordsize="21600,21600" o:gfxdata="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BmAVK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rect id="Rectangle 1894" o:spid="_x0000_s1026" o:spt="1" style="position:absolute;left:2725;top:757576;height:480;width:637;" fillcolor="#FFFFFF" filled="t" stroked="t" coordsize="21600,21600" o:gfxdata="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H1PD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pPr>
                          <w:adjustRightInd w:val="0"/>
                          <w:snapToGrid w:val="0"/>
                          <w:spacing w:line="400" w:lineRule="exact"/>
                          <w:jc w:val="center"/>
                          <w:rPr>
                            <w:rFonts w:ascii="宋体" w:hAnsi="宋体"/>
                            <w:szCs w:val="21"/>
                          </w:rPr>
                        </w:pPr>
                        <w:r>
                          <w:rPr>
                            <w:rFonts w:hint="eastAsia" w:ascii="宋体" w:hAnsi="宋体"/>
                            <w:szCs w:val="21"/>
                          </w:rPr>
                          <w:t>沼气</w:t>
                        </w:r>
                      </w:p>
                    </w:txbxContent>
                  </v:textbox>
                </v:rect>
                <v:rect id="Rectangle 1895" o:spid="_x0000_s1026" o:spt="1" style="position:absolute;left:3908;top:757560;height:507;width:1515;" fillcolor="#FFFFFF" filled="t" stroked="t" coordsize="21600,21600" o:gfxdata="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K/Re7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0mm,0mm,0mm,0mm">
                    <w:txbxContent>
                      <w:p>
                        <w:pPr>
                          <w:adjustRightInd w:val="0"/>
                          <w:snapToGrid w:val="0"/>
                          <w:spacing w:line="400" w:lineRule="exact"/>
                          <w:jc w:val="center"/>
                          <w:rPr>
                            <w:rFonts w:ascii="宋体" w:hAnsi="宋体"/>
                            <w:szCs w:val="21"/>
                          </w:rPr>
                        </w:pPr>
                        <w:r>
                          <w:rPr>
                            <w:rFonts w:hint="eastAsia" w:ascii="宋体" w:hAnsi="宋体"/>
                            <w:szCs w:val="21"/>
                          </w:rPr>
                          <w:t>脱水、脱硫器</w:t>
                        </w:r>
                      </w:p>
                    </w:txbxContent>
                  </v:textbox>
                </v:rect>
                <v:line id="Line 1896" o:spid="_x0000_s1026" o:spt="20" style="position:absolute;left:5444;top:757811;height:1;width:569;" filled="f" stroked="t" coordsize="21600,21600" o:gfxdata="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wtJ8l&#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Rectangle 1901" o:spid="_x0000_s1026" o:spt="1" style="position:absolute;left:6107;top:757642;height:411;width:1583;" fillcolor="#FFFFFF" filled="t" stroked="t" coordsize="21600,21600" o:gfxdata="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ro2Su8AAAA&#10;3AAAAA8AAAAAAAAAAQAgAAAAIgAAAGRycy9kb3ducmV2LnhtbFBLAQIUABQAAAAIAIdO4kAzLwWe&#10;OwAAADkAAAAQAAAAAAAAAAEAIAAAAAsBAABkcnMvc2hhcGV4bWwueG1sUEsFBgAAAAAGAAYAWwEA&#10;ALUDAAAAAA==&#10;">
                  <v:fill on="t" focussize="0,0"/>
                  <v:stroke color="#FFFFFF" joinstyle="miter"/>
                  <v:imagedata o:title=""/>
                  <o:lock v:ext="edit" aspectratio="f"/>
                  <v:textbox inset="0mm,0mm,0mm,0mm">
                    <w:txbxContent>
                      <w:p>
                        <w:pPr>
                          <w:adjustRightInd w:val="0"/>
                          <w:snapToGrid w:val="0"/>
                          <w:spacing w:line="400" w:lineRule="exact"/>
                          <w:rPr>
                            <w:rFonts w:hint="eastAsia" w:ascii="宋体" w:hAnsi="宋体"/>
                            <w:szCs w:val="21"/>
                          </w:rPr>
                        </w:pPr>
                        <w:r>
                          <w:rPr>
                            <w:rFonts w:hint="eastAsia" w:ascii="宋体" w:hAnsi="宋体"/>
                            <w:szCs w:val="21"/>
                          </w:rPr>
                          <w:t>食堂、火炬燃烧</w:t>
                        </w:r>
                      </w:p>
                    </w:txbxContent>
                  </v:textbox>
                </v:rect>
                <v:shape id="AutoShape 1902" o:spid="_x0000_s1026" o:spt="32" type="#_x0000_t32" style="position:absolute;left:5244;top:726527;height:386;width:1;" filled="f" stroked="t" coordsize="21600,21600" o:gfxdata="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sbpL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shape>
                <v:rect id="Rectangle 1903" o:spid="_x0000_s1026" o:spt="1" style="position:absolute;left:4087;top:758450;height:326;width:967;" filled="f" stroked="t" coordsize="21600,21600" o:gfxdata="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8KP8b4A&#10;AADcAAAADwAAAAAAAAABACAAAAAiAAAAZHJzL2Rvd25yZXYueG1sUEsBAhQAFAAAAAgAh07iQDMv&#10;BZ47AAAAOQAAABAAAAAAAAAAAQAgAAAADQEAAGRycy9zaGFwZXhtbC54bWxQSwUGAAAAAAYABgBb&#10;AQAAtwMAAAAA&#10;">
                  <v:fill on="f" focussize="0,0"/>
                  <v:stroke color="#FFFFFF" joinstyle="miter"/>
                  <v:imagedata o:title=""/>
                  <o:lock v:ext="edit" aspectratio="f"/>
                  <v:textbox inset="0mm,0mm,0mm,0mm">
                    <w:txbxContent>
                      <w:p>
                        <w:pPr>
                          <w:adjustRightInd w:val="0"/>
                          <w:snapToGrid w:val="0"/>
                          <w:spacing w:line="400" w:lineRule="exact"/>
                          <w:jc w:val="center"/>
                          <w:rPr>
                            <w:rFonts w:ascii="宋体" w:hAnsi="宋体"/>
                            <w:szCs w:val="21"/>
                          </w:rPr>
                        </w:pPr>
                        <w:r>
                          <w:rPr>
                            <w:rFonts w:hint="eastAsia" w:ascii="宋体" w:hAnsi="宋体"/>
                            <w:szCs w:val="21"/>
                          </w:rPr>
                          <w:t>废脱硫剂</w:t>
                        </w:r>
                      </w:p>
                    </w:txbxContent>
                  </v:textbox>
                </v:rect>
                <v:shape id="AutoShape 1904" o:spid="_x0000_s1026" o:spt="32" type="#_x0000_t32" style="position:absolute;left:5244;top:726199;flip:y;height:329;width:1;" filled="f" stroked="t" coordsize="21600,21600" o:gfxdata="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Fxf/7sAAADc&#10;AAAADwAAAAAAAAABACAAAAAiAAAAZHJzL2Rvd25yZXYueG1sUEsBAhQAFAAAAAgAh07iQDMvBZ47&#10;AAAAOQAAABAAAAAAAAAAAQAgAAAACgEAAGRycy9zaGFwZXhtbC54bWxQSwUGAAAAAAYABgBbAQAA&#10;tAMAAAAA&#10;">
                  <v:fill on="f" focussize="0,0"/>
                  <v:stroke color="#000000" joinstyle="round" dashstyle="dash" endarrow="block"/>
                  <v:imagedata o:title=""/>
                  <o:lock v:ext="edit" aspectratio="f"/>
                </v:shape>
                <v:rect id="Rectangle 1905" o:spid="_x0000_s1026" o:spt="1" style="position:absolute;left:6625;top:756970;height:325;width:700;" fillcolor="#FFFFFF" filled="t" stroked="t" coordsize="21600,21600" o:gfxdata="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7pdMuugAAANwA&#10;AAAPAAAAAAAAAAEAIAAAACIAAABkcnMvZG93bnJldi54bWxQSwECFAAUAAAACACHTuJAMy8FnjsA&#10;AAA5AAAAEAAAAAAAAAABACAAAAAJAQAAZHJzL3NoYXBleG1sLnhtbFBLBQYAAAAABgAGAFsBAACz&#10;AwAAAAA=&#10;">
                  <v:fill on="t" focussize="0,0"/>
                  <v:stroke color="#FFFFFF" joinstyle="miter"/>
                  <v:imagedata o:title=""/>
                  <o:lock v:ext="edit" aspectratio="f"/>
                  <v:textbox inset="0mm,0mm,0mm,0mm">
                    <w:txbxContent>
                      <w:p>
                        <w:pPr>
                          <w:adjustRightInd w:val="0"/>
                          <w:snapToGrid w:val="0"/>
                          <w:spacing w:line="320" w:lineRule="exact"/>
                          <w:jc w:val="center"/>
                          <w:rPr>
                            <w:rFonts w:ascii="宋体" w:hAnsi="宋体"/>
                            <w:szCs w:val="21"/>
                          </w:rPr>
                        </w:pPr>
                        <w:r>
                          <w:rPr>
                            <w:rFonts w:hint="eastAsia" w:ascii="宋体" w:hAnsi="宋体"/>
                            <w:szCs w:val="21"/>
                          </w:rPr>
                          <w:t>废气</w:t>
                        </w:r>
                      </w:p>
                    </w:txbxContent>
                  </v:textbox>
                </v:rect>
              </v:group>
            </w:pict>
          </mc:Fallback>
        </mc:AlternateContent>
      </w:r>
    </w:p>
    <w:p>
      <w:pPr>
        <w:topLinePunct/>
        <w:spacing w:line="500" w:lineRule="exact"/>
      </w:pPr>
    </w:p>
    <w:p>
      <w:pPr>
        <w:autoSpaceDE w:val="0"/>
        <w:autoSpaceDN w:val="0"/>
        <w:adjustRightInd w:val="0"/>
        <w:snapToGrid w:val="0"/>
        <w:spacing w:line="360" w:lineRule="auto"/>
        <w:ind w:firstLine="420" w:firstLineChars="200"/>
      </w:pPr>
    </w:p>
    <w:p>
      <w:pPr>
        <w:spacing w:line="500" w:lineRule="exact"/>
        <w:ind w:firstLine="480" w:firstLineChars="200"/>
        <w:rPr>
          <w:rFonts w:hAnsi="宋体"/>
          <w:sz w:val="24"/>
        </w:rPr>
      </w:pPr>
    </w:p>
    <w:p>
      <w:pPr>
        <w:spacing w:line="500" w:lineRule="exact"/>
        <w:ind w:firstLine="120" w:firstLineChars="50"/>
        <w:jc w:val="center"/>
        <w:rPr>
          <w:b/>
          <w:sz w:val="24"/>
        </w:rPr>
      </w:pPr>
      <w:r>
        <w:rPr>
          <w:rFonts w:hAnsi="宋体"/>
          <w:b/>
          <w:sz w:val="24"/>
        </w:rPr>
        <w:t>图</w:t>
      </w:r>
      <w:r>
        <w:rPr>
          <w:b/>
          <w:sz w:val="24"/>
        </w:rPr>
        <w:t xml:space="preserve">2.2-6     </w:t>
      </w:r>
      <w:r>
        <w:rPr>
          <w:rFonts w:hAnsi="宋体"/>
          <w:b/>
          <w:sz w:val="24"/>
        </w:rPr>
        <w:t>沼气利用流程及产污环节图</w:t>
      </w:r>
    </w:p>
    <w:p>
      <w:pPr>
        <w:widowControl/>
        <w:spacing w:line="520" w:lineRule="exact"/>
        <w:ind w:firstLine="480" w:firstLineChars="200"/>
        <w:rPr>
          <w:sz w:val="24"/>
        </w:rPr>
      </w:pPr>
      <w:r>
        <w:rPr>
          <w:rFonts w:hAnsi="宋体"/>
          <w:sz w:val="24"/>
        </w:rPr>
        <w:t>沼气从</w:t>
      </w:r>
      <w:r>
        <w:rPr>
          <w:rFonts w:hint="eastAsia" w:hAnsi="宋体"/>
          <w:sz w:val="24"/>
        </w:rPr>
        <w:t>黑膜沼气池</w:t>
      </w:r>
      <w:r>
        <w:rPr>
          <w:rFonts w:hAnsi="宋体"/>
          <w:sz w:val="24"/>
        </w:rPr>
        <w:t>流入管道，首先经过冷凝水去除罐和脱硫装置，其目的是净化沼气。净化后的沼气从</w:t>
      </w:r>
      <w:r>
        <w:rPr>
          <w:rFonts w:hint="eastAsia" w:hAnsi="宋体"/>
          <w:sz w:val="24"/>
        </w:rPr>
        <w:t>直接</w:t>
      </w:r>
      <w:r>
        <w:rPr>
          <w:rFonts w:hAnsi="宋体"/>
          <w:sz w:val="24"/>
        </w:rPr>
        <w:t>进入后续沼气利用系统。</w:t>
      </w:r>
    </w:p>
    <w:p>
      <w:pPr>
        <w:widowControl/>
        <w:spacing w:line="520" w:lineRule="exact"/>
        <w:jc w:val="left"/>
        <w:rPr>
          <w:rFonts w:hAnsi="宋体"/>
          <w:sz w:val="24"/>
        </w:rPr>
      </w:pPr>
      <w:r>
        <w:rPr>
          <w:rFonts w:hAnsi="宋体"/>
          <w:sz w:val="24"/>
        </w:rPr>
        <w:t>（1）脱水器（气水分离器）</w:t>
      </w:r>
    </w:p>
    <w:p>
      <w:pPr>
        <w:topLinePunct/>
        <w:spacing w:line="520" w:lineRule="exact"/>
        <w:ind w:firstLine="480" w:firstLineChars="200"/>
        <w:rPr>
          <w:sz w:val="24"/>
        </w:rPr>
      </w:pPr>
      <w:r>
        <w:rPr>
          <w:sz w:val="24"/>
        </w:rPr>
        <w:t>沼气是高湿度气体，H</w:t>
      </w:r>
      <w:r>
        <w:rPr>
          <w:sz w:val="24"/>
          <w:vertAlign w:val="subscript"/>
        </w:rPr>
        <w:t>2</w:t>
      </w:r>
      <w:r>
        <w:rPr>
          <w:sz w:val="24"/>
        </w:rPr>
        <w:t>S平均含量为0.034%，需要进行脱水脱硫处理，以防止对沼气输送管道的腐蚀影响。经采用专用沼气脱硫剂脱硫后，硫去除率可达到95%以上，经核算沼气净化后H</w:t>
      </w:r>
      <w:r>
        <w:rPr>
          <w:sz w:val="24"/>
          <w:vertAlign w:val="subscript"/>
        </w:rPr>
        <w:t>2</w:t>
      </w:r>
      <w:r>
        <w:rPr>
          <w:sz w:val="24"/>
        </w:rPr>
        <w:t>S含量为1</w:t>
      </w:r>
      <w:r>
        <w:rPr>
          <w:rFonts w:hint="eastAsia"/>
          <w:sz w:val="24"/>
        </w:rPr>
        <w:t>2</w:t>
      </w:r>
      <w:r>
        <w:rPr>
          <w:sz w:val="24"/>
        </w:rPr>
        <w:t>mg/m</w:t>
      </w:r>
      <w:r>
        <w:rPr>
          <w:sz w:val="24"/>
          <w:vertAlign w:val="superscript"/>
        </w:rPr>
        <w:t>3</w:t>
      </w:r>
      <w:r>
        <w:rPr>
          <w:sz w:val="24"/>
        </w:rPr>
        <w:t>。</w:t>
      </w:r>
    </w:p>
    <w:p>
      <w:pPr>
        <w:spacing w:line="520" w:lineRule="exact"/>
        <w:rPr>
          <w:sz w:val="24"/>
        </w:rPr>
      </w:pPr>
      <w:r>
        <w:rPr>
          <w:sz w:val="24"/>
        </w:rPr>
        <w:t>（2）脱硫（硫化氢的去除）</w:t>
      </w:r>
    </w:p>
    <w:p>
      <w:pPr>
        <w:spacing w:line="520" w:lineRule="exact"/>
        <w:ind w:firstLine="480" w:firstLineChars="200"/>
        <w:rPr>
          <w:sz w:val="24"/>
        </w:rPr>
      </w:pPr>
      <w:r>
        <w:rPr>
          <w:sz w:val="24"/>
        </w:rPr>
        <w:t>本工程采用干法脱硫。干法脱硫是在圆柱状脱硫内装填一定高度的脱硫剂，沼气自下而上通过脱硫剂，H</w:t>
      </w:r>
      <w:r>
        <w:rPr>
          <w:sz w:val="24"/>
          <w:vertAlign w:val="subscript"/>
        </w:rPr>
        <w:t>2</w:t>
      </w:r>
      <w:r>
        <w:rPr>
          <w:sz w:val="24"/>
        </w:rPr>
        <w:t>S被去除，实现脱硫过程。一般干法脱硫常用的脱硫剂为氧化铁，其粒状为圆柱状。氧化铁干法脱硫的原理分为氧化反应和还原再生反应两部分，具体如下：</w:t>
      </w:r>
    </w:p>
    <w:p>
      <w:pPr>
        <w:spacing w:line="520" w:lineRule="exact"/>
        <w:ind w:firstLine="480" w:firstLineChars="200"/>
        <w:rPr>
          <w:sz w:val="24"/>
        </w:rPr>
      </w:pPr>
      <w:r>
        <w:rPr>
          <w:sz w:val="24"/>
        </w:rPr>
        <w:t>Fe</w:t>
      </w:r>
      <w:r>
        <w:rPr>
          <w:sz w:val="24"/>
          <w:vertAlign w:val="subscript"/>
        </w:rPr>
        <w:t>2</w:t>
      </w:r>
      <w:r>
        <w:rPr>
          <w:sz w:val="24"/>
        </w:rPr>
        <w:t>O</w:t>
      </w:r>
      <w:r>
        <w:rPr>
          <w:sz w:val="24"/>
          <w:vertAlign w:val="subscript"/>
        </w:rPr>
        <w:t>3</w:t>
      </w:r>
      <w:r>
        <w:rPr>
          <w:sz w:val="24"/>
        </w:rPr>
        <w:t>·H</w:t>
      </w:r>
      <w:r>
        <w:rPr>
          <w:sz w:val="24"/>
          <w:vertAlign w:val="subscript"/>
        </w:rPr>
        <w:t>2</w:t>
      </w:r>
      <w:r>
        <w:rPr>
          <w:sz w:val="24"/>
        </w:rPr>
        <w:t>O+3H</w:t>
      </w:r>
      <w:r>
        <w:rPr>
          <w:sz w:val="24"/>
          <w:vertAlign w:val="subscript"/>
        </w:rPr>
        <w:t>2</w:t>
      </w:r>
      <w:r>
        <w:rPr>
          <w:sz w:val="24"/>
        </w:rPr>
        <w:t>S=Fe</w:t>
      </w:r>
      <w:r>
        <w:rPr>
          <w:sz w:val="24"/>
          <w:vertAlign w:val="subscript"/>
        </w:rPr>
        <w:t>2</w:t>
      </w:r>
      <w:r>
        <w:rPr>
          <w:sz w:val="24"/>
        </w:rPr>
        <w:t>S</w:t>
      </w:r>
      <w:r>
        <w:rPr>
          <w:sz w:val="24"/>
          <w:vertAlign w:val="subscript"/>
        </w:rPr>
        <w:t>3</w:t>
      </w:r>
      <w:r>
        <w:rPr>
          <w:sz w:val="24"/>
        </w:rPr>
        <w:t>·H</w:t>
      </w:r>
      <w:r>
        <w:rPr>
          <w:sz w:val="24"/>
          <w:vertAlign w:val="subscript"/>
        </w:rPr>
        <w:t>2</w:t>
      </w:r>
      <w:r>
        <w:rPr>
          <w:sz w:val="24"/>
        </w:rPr>
        <w:t>O+3H</w:t>
      </w:r>
      <w:r>
        <w:rPr>
          <w:sz w:val="24"/>
          <w:vertAlign w:val="subscript"/>
        </w:rPr>
        <w:t>2</w:t>
      </w:r>
      <w:r>
        <w:rPr>
          <w:sz w:val="24"/>
        </w:rPr>
        <w:t>O</w:t>
      </w:r>
    </w:p>
    <w:p>
      <w:pPr>
        <w:widowControl/>
        <w:spacing w:line="520" w:lineRule="exact"/>
        <w:ind w:firstLine="480" w:firstLineChars="200"/>
        <w:jc w:val="left"/>
        <w:rPr>
          <w:sz w:val="24"/>
        </w:rPr>
      </w:pPr>
      <w:r>
        <w:rPr>
          <w:sz w:val="24"/>
        </w:rPr>
        <w:t>由上面的反应方程式可以看出，Fe</w:t>
      </w:r>
      <w:r>
        <w:rPr>
          <w:sz w:val="24"/>
          <w:vertAlign w:val="subscript"/>
        </w:rPr>
        <w:t>2</w:t>
      </w:r>
      <w:r>
        <w:rPr>
          <w:sz w:val="24"/>
        </w:rPr>
        <w:t>O</w:t>
      </w:r>
      <w:r>
        <w:rPr>
          <w:sz w:val="24"/>
          <w:vertAlign w:val="subscript"/>
        </w:rPr>
        <w:t>3</w:t>
      </w:r>
      <w:r>
        <w:rPr>
          <w:sz w:val="24"/>
        </w:rPr>
        <w:t>吸收H</w:t>
      </w:r>
      <w:r>
        <w:rPr>
          <w:sz w:val="24"/>
          <w:vertAlign w:val="subscript"/>
        </w:rPr>
        <w:t>2</w:t>
      </w:r>
      <w:r>
        <w:rPr>
          <w:sz w:val="24"/>
        </w:rPr>
        <w:t>S变成Fe</w:t>
      </w:r>
      <w:r>
        <w:rPr>
          <w:sz w:val="24"/>
          <w:vertAlign w:val="subscript"/>
        </w:rPr>
        <w:t>2</w:t>
      </w:r>
      <w:r>
        <w:rPr>
          <w:sz w:val="24"/>
        </w:rPr>
        <w:t>S</w:t>
      </w:r>
      <w:r>
        <w:rPr>
          <w:sz w:val="24"/>
          <w:vertAlign w:val="subscript"/>
        </w:rPr>
        <w:t>3</w:t>
      </w:r>
      <w:r>
        <w:rPr>
          <w:sz w:val="24"/>
        </w:rPr>
        <w:t>，随着沼气的不断产生，氧化铁吸收H</w:t>
      </w:r>
      <w:r>
        <w:rPr>
          <w:sz w:val="24"/>
          <w:vertAlign w:val="subscript"/>
        </w:rPr>
        <w:t>2</w:t>
      </w:r>
      <w:r>
        <w:rPr>
          <w:sz w:val="24"/>
        </w:rPr>
        <w:t>S，当吸收H</w:t>
      </w:r>
      <w:r>
        <w:rPr>
          <w:sz w:val="24"/>
          <w:vertAlign w:val="subscript"/>
        </w:rPr>
        <w:t>2</w:t>
      </w:r>
      <w:r>
        <w:rPr>
          <w:sz w:val="24"/>
        </w:rPr>
        <w:t>S达到一定的量，H</w:t>
      </w:r>
      <w:r>
        <w:rPr>
          <w:sz w:val="24"/>
          <w:vertAlign w:val="subscript"/>
        </w:rPr>
        <w:t>2</w:t>
      </w:r>
      <w:r>
        <w:rPr>
          <w:sz w:val="24"/>
        </w:rPr>
        <w:t>S的去除率将大大降低，直至失效。Fe</w:t>
      </w:r>
      <w:r>
        <w:rPr>
          <w:sz w:val="24"/>
          <w:vertAlign w:val="subscript"/>
        </w:rPr>
        <w:t>2</w:t>
      </w:r>
      <w:r>
        <w:rPr>
          <w:sz w:val="24"/>
        </w:rPr>
        <w:t>S</w:t>
      </w:r>
      <w:r>
        <w:rPr>
          <w:sz w:val="24"/>
          <w:vertAlign w:val="subscript"/>
        </w:rPr>
        <w:t>3</w:t>
      </w:r>
      <w:r>
        <w:rPr>
          <w:sz w:val="24"/>
        </w:rPr>
        <w:t>是可以还原再生的，与O</w:t>
      </w:r>
      <w:r>
        <w:rPr>
          <w:sz w:val="24"/>
          <w:vertAlign w:val="subscript"/>
        </w:rPr>
        <w:t>2</w:t>
      </w:r>
      <w:r>
        <w:rPr>
          <w:sz w:val="24"/>
        </w:rPr>
        <w:t>和H</w:t>
      </w:r>
      <w:r>
        <w:rPr>
          <w:sz w:val="24"/>
          <w:vertAlign w:val="subscript"/>
        </w:rPr>
        <w:t>2</w:t>
      </w:r>
      <w:r>
        <w:rPr>
          <w:sz w:val="24"/>
        </w:rPr>
        <w:t>O发生化学反应可还原为Fe</w:t>
      </w:r>
      <w:r>
        <w:rPr>
          <w:sz w:val="24"/>
          <w:vertAlign w:val="subscript"/>
        </w:rPr>
        <w:t>2</w:t>
      </w:r>
      <w:r>
        <w:rPr>
          <w:sz w:val="24"/>
        </w:rPr>
        <w:t>O</w:t>
      </w:r>
      <w:r>
        <w:rPr>
          <w:sz w:val="24"/>
          <w:vertAlign w:val="subscript"/>
        </w:rPr>
        <w:t>3</w:t>
      </w:r>
      <w:r>
        <w:rPr>
          <w:sz w:val="24"/>
        </w:rPr>
        <w:t>，原理如下：</w:t>
      </w:r>
    </w:p>
    <w:p>
      <w:pPr>
        <w:widowControl/>
        <w:spacing w:line="520" w:lineRule="exact"/>
        <w:ind w:firstLine="480" w:firstLineChars="200"/>
        <w:jc w:val="left"/>
        <w:rPr>
          <w:sz w:val="24"/>
        </w:rPr>
      </w:pPr>
      <w:r>
        <w:rPr>
          <w:sz w:val="24"/>
        </w:rPr>
        <w:t>2Fe</w:t>
      </w:r>
      <w:r>
        <w:rPr>
          <w:sz w:val="24"/>
          <w:vertAlign w:val="subscript"/>
        </w:rPr>
        <w:t>2</w:t>
      </w:r>
      <w:r>
        <w:rPr>
          <w:sz w:val="24"/>
        </w:rPr>
        <w:t>S</w:t>
      </w:r>
      <w:r>
        <w:rPr>
          <w:sz w:val="24"/>
          <w:vertAlign w:val="subscript"/>
        </w:rPr>
        <w:t>3</w:t>
      </w:r>
      <w:r>
        <w:rPr>
          <w:sz w:val="24"/>
        </w:rPr>
        <w:t>·H</w:t>
      </w:r>
      <w:r>
        <w:rPr>
          <w:sz w:val="24"/>
          <w:vertAlign w:val="subscript"/>
        </w:rPr>
        <w:t>2</w:t>
      </w:r>
      <w:r>
        <w:rPr>
          <w:sz w:val="24"/>
        </w:rPr>
        <w:t>O+3O</w:t>
      </w:r>
      <w:r>
        <w:rPr>
          <w:sz w:val="24"/>
          <w:vertAlign w:val="subscript"/>
        </w:rPr>
        <w:t>2</w:t>
      </w:r>
      <w:r>
        <w:rPr>
          <w:sz w:val="24"/>
        </w:rPr>
        <w:t>＝2Fe</w:t>
      </w:r>
      <w:r>
        <w:rPr>
          <w:sz w:val="24"/>
          <w:vertAlign w:val="subscript"/>
        </w:rPr>
        <w:t>2</w:t>
      </w:r>
      <w:r>
        <w:rPr>
          <w:sz w:val="24"/>
        </w:rPr>
        <w:t>O</w:t>
      </w:r>
      <w:r>
        <w:rPr>
          <w:sz w:val="24"/>
          <w:vertAlign w:val="subscript"/>
        </w:rPr>
        <w:t>3</w:t>
      </w:r>
      <w:r>
        <w:rPr>
          <w:sz w:val="24"/>
        </w:rPr>
        <w:t>·H</w:t>
      </w:r>
      <w:r>
        <w:rPr>
          <w:sz w:val="24"/>
          <w:vertAlign w:val="subscript"/>
        </w:rPr>
        <w:t>2</w:t>
      </w:r>
      <w:r>
        <w:rPr>
          <w:sz w:val="24"/>
        </w:rPr>
        <w:t>O+6S</w:t>
      </w:r>
    </w:p>
    <w:p>
      <w:pPr>
        <w:widowControl/>
        <w:spacing w:line="520" w:lineRule="exact"/>
        <w:ind w:firstLine="480" w:firstLineChars="200"/>
        <w:jc w:val="left"/>
        <w:rPr>
          <w:sz w:val="24"/>
        </w:rPr>
      </w:pPr>
      <w:r>
        <w:rPr>
          <w:sz w:val="24"/>
        </w:rPr>
        <w:t>综合以上两反应式，</w:t>
      </w:r>
      <w:bookmarkStart w:id="236" w:name="baidusnap0"/>
      <w:bookmarkEnd w:id="236"/>
      <w:r>
        <w:rPr>
          <w:sz w:val="24"/>
        </w:rPr>
        <w:t>沼气脱硫反应式如下：</w:t>
      </w:r>
    </w:p>
    <w:p>
      <w:pPr>
        <w:widowControl/>
        <w:spacing w:line="520" w:lineRule="exact"/>
        <w:ind w:firstLine="480" w:firstLineChars="200"/>
        <w:jc w:val="left"/>
        <w:rPr>
          <w:sz w:val="24"/>
        </w:rPr>
      </w:pPr>
      <w:r>
        <w:rPr>
          <w:sz w:val="24"/>
        </w:rPr>
        <w:t>H</w:t>
      </w:r>
      <w:r>
        <w:rPr>
          <w:sz w:val="24"/>
          <w:vertAlign w:val="subscript"/>
        </w:rPr>
        <w:t>2</w:t>
      </w:r>
      <w:r>
        <w:rPr>
          <w:sz w:val="24"/>
        </w:rPr>
        <w:t>S+1/2O</w:t>
      </w:r>
      <w:r>
        <w:rPr>
          <w:sz w:val="24"/>
          <w:vertAlign w:val="subscript"/>
        </w:rPr>
        <w:t>2</w:t>
      </w:r>
      <w:r>
        <w:rPr>
          <w:sz w:val="24"/>
        </w:rPr>
        <w:t>＝S+H</w:t>
      </w:r>
      <w:r>
        <w:rPr>
          <w:sz w:val="24"/>
          <w:vertAlign w:val="subscript"/>
        </w:rPr>
        <w:t>2</w:t>
      </w:r>
      <w:r>
        <w:rPr>
          <w:sz w:val="24"/>
        </w:rPr>
        <w:t>O（反应条件是Fe</w:t>
      </w:r>
      <w:r>
        <w:rPr>
          <w:sz w:val="24"/>
          <w:vertAlign w:val="subscript"/>
        </w:rPr>
        <w:t>2</w:t>
      </w:r>
      <w:r>
        <w:rPr>
          <w:sz w:val="24"/>
        </w:rPr>
        <w:t>O</w:t>
      </w:r>
      <w:r>
        <w:rPr>
          <w:sz w:val="24"/>
          <w:vertAlign w:val="subscript"/>
        </w:rPr>
        <w:t>3</w:t>
      </w:r>
      <w:r>
        <w:rPr>
          <w:sz w:val="24"/>
        </w:rPr>
        <w:t>·H</w:t>
      </w:r>
      <w:r>
        <w:rPr>
          <w:sz w:val="24"/>
          <w:vertAlign w:val="subscript"/>
        </w:rPr>
        <w:t>2</w:t>
      </w:r>
      <w:r>
        <w:rPr>
          <w:sz w:val="24"/>
        </w:rPr>
        <w:t>O）</w:t>
      </w:r>
    </w:p>
    <w:p>
      <w:pPr>
        <w:widowControl/>
        <w:spacing w:line="520" w:lineRule="exact"/>
        <w:ind w:firstLine="480" w:firstLineChars="200"/>
        <w:jc w:val="left"/>
        <w:rPr>
          <w:sz w:val="24"/>
        </w:rPr>
      </w:pPr>
      <w:r>
        <w:rPr>
          <w:sz w:val="24"/>
        </w:rPr>
        <w:t>由以上化学反应方程式可以看出，Fe</w:t>
      </w:r>
      <w:r>
        <w:rPr>
          <w:sz w:val="24"/>
          <w:vertAlign w:val="subscript"/>
        </w:rPr>
        <w:t>2</w:t>
      </w:r>
      <w:r>
        <w:rPr>
          <w:sz w:val="24"/>
        </w:rPr>
        <w:t>O</w:t>
      </w:r>
      <w:r>
        <w:rPr>
          <w:sz w:val="24"/>
          <w:vertAlign w:val="subscript"/>
        </w:rPr>
        <w:t>3</w:t>
      </w:r>
      <w:r>
        <w:rPr>
          <w:sz w:val="24"/>
        </w:rPr>
        <w:t>吸收H</w:t>
      </w:r>
      <w:r>
        <w:rPr>
          <w:sz w:val="24"/>
          <w:vertAlign w:val="subscript"/>
        </w:rPr>
        <w:t>2</w:t>
      </w:r>
      <w:r>
        <w:rPr>
          <w:sz w:val="24"/>
        </w:rPr>
        <w:t>S变成Fe</w:t>
      </w:r>
      <w:r>
        <w:rPr>
          <w:sz w:val="24"/>
          <w:vertAlign w:val="subscript"/>
        </w:rPr>
        <w:t>2</w:t>
      </w:r>
      <w:r>
        <w:rPr>
          <w:sz w:val="24"/>
        </w:rPr>
        <w:t>S</w:t>
      </w:r>
      <w:r>
        <w:rPr>
          <w:sz w:val="24"/>
          <w:vertAlign w:val="subscript"/>
        </w:rPr>
        <w:t>3</w:t>
      </w:r>
      <w:r>
        <w:rPr>
          <w:sz w:val="24"/>
        </w:rPr>
        <w:t>，Fe</w:t>
      </w:r>
      <w:r>
        <w:rPr>
          <w:sz w:val="24"/>
          <w:vertAlign w:val="subscript"/>
        </w:rPr>
        <w:t>2</w:t>
      </w:r>
      <w:r>
        <w:rPr>
          <w:sz w:val="24"/>
        </w:rPr>
        <w:t>S</w:t>
      </w:r>
      <w:r>
        <w:rPr>
          <w:sz w:val="24"/>
          <w:vertAlign w:val="subscript"/>
        </w:rPr>
        <w:t>3</w:t>
      </w:r>
      <w:r>
        <w:rPr>
          <w:sz w:val="24"/>
        </w:rPr>
        <w:t>要还原成Fe</w:t>
      </w:r>
      <w:r>
        <w:rPr>
          <w:sz w:val="24"/>
          <w:vertAlign w:val="subscript"/>
        </w:rPr>
        <w:t>2</w:t>
      </w:r>
      <w:r>
        <w:rPr>
          <w:sz w:val="24"/>
        </w:rPr>
        <w:t>O</w:t>
      </w:r>
      <w:r>
        <w:rPr>
          <w:sz w:val="24"/>
          <w:vertAlign w:val="subscript"/>
        </w:rPr>
        <w:t>3</w:t>
      </w:r>
      <w:r>
        <w:rPr>
          <w:sz w:val="24"/>
        </w:rPr>
        <w:t>，需要O</w:t>
      </w:r>
      <w:r>
        <w:rPr>
          <w:sz w:val="24"/>
          <w:vertAlign w:val="subscript"/>
        </w:rPr>
        <w:t>2</w:t>
      </w:r>
      <w:r>
        <w:rPr>
          <w:sz w:val="24"/>
        </w:rPr>
        <w:t>，通过鼓风机在脱硫之前向沼气中投加空气即可满足脱硫剂还原对O</w:t>
      </w:r>
      <w:r>
        <w:rPr>
          <w:sz w:val="24"/>
          <w:vertAlign w:val="subscript"/>
        </w:rPr>
        <w:t>2</w:t>
      </w:r>
      <w:r>
        <w:rPr>
          <w:sz w:val="24"/>
        </w:rPr>
        <w:t>的要求。</w:t>
      </w:r>
    </w:p>
    <w:p>
      <w:pPr>
        <w:spacing w:line="520" w:lineRule="exact"/>
        <w:ind w:firstLine="480" w:firstLineChars="200"/>
        <w:rPr>
          <w:sz w:val="24"/>
        </w:rPr>
      </w:pPr>
      <w:r>
        <w:rPr>
          <w:sz w:val="24"/>
        </w:rPr>
        <w:t>因此，在沼气进入脱硫通过脱硫剂时，同时鼓入空气，脱硫剂吸收H</w:t>
      </w:r>
      <w:r>
        <w:rPr>
          <w:sz w:val="24"/>
          <w:vertAlign w:val="subscript"/>
        </w:rPr>
        <w:t>2</w:t>
      </w:r>
      <w:r>
        <w:rPr>
          <w:sz w:val="24"/>
        </w:rPr>
        <w:t>S失效，空气中的O</w:t>
      </w:r>
      <w:r>
        <w:rPr>
          <w:sz w:val="24"/>
          <w:vertAlign w:val="subscript"/>
        </w:rPr>
        <w:t>2</w:t>
      </w:r>
      <w:r>
        <w:rPr>
          <w:sz w:val="24"/>
        </w:rPr>
        <w:t>将失效的脱硫剂还原再生成Fe</w:t>
      </w:r>
      <w:r>
        <w:rPr>
          <w:sz w:val="24"/>
          <w:vertAlign w:val="subscript"/>
        </w:rPr>
        <w:t>2</w:t>
      </w:r>
      <w:r>
        <w:rPr>
          <w:sz w:val="24"/>
        </w:rPr>
        <w:t>O</w:t>
      </w:r>
      <w:r>
        <w:rPr>
          <w:sz w:val="24"/>
          <w:vertAlign w:val="subscript"/>
        </w:rPr>
        <w:t>3</w:t>
      </w:r>
      <w:r>
        <w:rPr>
          <w:sz w:val="24"/>
        </w:rPr>
        <w:t>，此工艺即为沼气干法脱硫的连续再生工艺。</w:t>
      </w:r>
    </w:p>
    <w:p>
      <w:pPr>
        <w:spacing w:line="520" w:lineRule="exact"/>
        <w:ind w:firstLine="480" w:firstLineChars="200"/>
        <w:rPr>
          <w:sz w:val="24"/>
        </w:rPr>
      </w:pPr>
      <w:r>
        <w:rPr>
          <w:sz w:val="24"/>
        </w:rPr>
        <w:t>Fe</w:t>
      </w:r>
      <w:r>
        <w:rPr>
          <w:sz w:val="24"/>
          <w:vertAlign w:val="subscript"/>
        </w:rPr>
        <w:t>2</w:t>
      </w:r>
      <w:r>
        <w:rPr>
          <w:sz w:val="24"/>
        </w:rPr>
        <w:t>O</w:t>
      </w:r>
      <w:r>
        <w:rPr>
          <w:sz w:val="24"/>
          <w:vertAlign w:val="subscript"/>
        </w:rPr>
        <w:t>3</w:t>
      </w:r>
      <w:r>
        <w:rPr>
          <w:sz w:val="24"/>
        </w:rPr>
        <w:t>脱硫剂为条状多孔结构固体，对 H</w:t>
      </w:r>
      <w:r>
        <w:rPr>
          <w:sz w:val="24"/>
          <w:vertAlign w:val="subscript"/>
        </w:rPr>
        <w:t>2</w:t>
      </w:r>
      <w:r>
        <w:rPr>
          <w:sz w:val="24"/>
        </w:rPr>
        <w:t>S能进行快速的不可逆化学吸附，数秒内可将 H</w:t>
      </w:r>
      <w:r>
        <w:rPr>
          <w:sz w:val="24"/>
          <w:vertAlign w:val="subscript"/>
        </w:rPr>
        <w:t>2</w:t>
      </w:r>
      <w:r>
        <w:rPr>
          <w:sz w:val="24"/>
        </w:rPr>
        <w:t>S脱除到1×10</w:t>
      </w:r>
      <w:r>
        <w:rPr>
          <w:sz w:val="24"/>
          <w:vertAlign w:val="superscript"/>
        </w:rPr>
        <w:t>- 6</w:t>
      </w:r>
      <w:r>
        <w:rPr>
          <w:sz w:val="24"/>
        </w:rPr>
        <w:t>以下。脱硫剂工作一定时间后，其活性会逐渐下降，脱硫效果逐渐变差。当脱硫装置出口沼气中H</w:t>
      </w:r>
      <w:r>
        <w:rPr>
          <w:sz w:val="24"/>
          <w:vertAlign w:val="subscript"/>
        </w:rPr>
        <w:t>2</w:t>
      </w:r>
      <w:r>
        <w:rPr>
          <w:sz w:val="24"/>
        </w:rPr>
        <w:t>S的含量超过 20mg/m</w:t>
      </w:r>
      <w:r>
        <w:rPr>
          <w:sz w:val="24"/>
          <w:vertAlign w:val="superscript"/>
        </w:rPr>
        <w:t>3</w:t>
      </w:r>
      <w:r>
        <w:rPr>
          <w:sz w:val="24"/>
        </w:rPr>
        <w:t>时，就需要对脱硫剂进行处理。当脱硫剂中硫未达到30%时，脱硫剂可进行再生；若脱硫剂硫容超过30%时，就要更新脱硫剂。项目一年更换一次脱硫剂。</w:t>
      </w:r>
    </w:p>
    <w:p>
      <w:pPr>
        <w:spacing w:line="520" w:lineRule="exact"/>
        <w:ind w:firstLine="480" w:firstLineChars="200"/>
        <w:rPr>
          <w:highlight w:val="none"/>
        </w:rPr>
      </w:pPr>
      <w:r>
        <w:rPr>
          <w:sz w:val="24"/>
        </w:rPr>
        <w:t>干法脱硫装置包括要包括主体钢结构、脱硫剂填料、观察窗、压力表、温度表等组</w:t>
      </w:r>
      <w:r>
        <w:rPr>
          <w:sz w:val="24"/>
          <w:highlight w:val="none"/>
        </w:rPr>
        <w:t>件。项目干法脱硫装置设计规模为40m</w:t>
      </w:r>
      <w:r>
        <w:rPr>
          <w:sz w:val="24"/>
          <w:highlight w:val="none"/>
          <w:vertAlign w:val="superscript"/>
        </w:rPr>
        <w:t>3</w:t>
      </w:r>
      <w:r>
        <w:rPr>
          <w:sz w:val="24"/>
          <w:highlight w:val="none"/>
        </w:rPr>
        <w:t>/h，操作压力≤15kpa，阻力≤15kpa，净化率≥95%。</w:t>
      </w:r>
    </w:p>
    <w:p>
      <w:pPr>
        <w:spacing w:line="520" w:lineRule="exact"/>
        <w:ind w:firstLine="480" w:firstLineChars="200"/>
        <w:rPr>
          <w:color w:val="000000"/>
          <w:highlight w:val="none"/>
        </w:rPr>
      </w:pPr>
      <w:r>
        <w:rPr>
          <w:color w:val="000000"/>
          <w:sz w:val="24"/>
          <w:highlight w:val="none"/>
        </w:rPr>
        <w:t>本项目脱硫剂由供应厂商统一提供，废脱硫剂由供应厂商统一回收处置。</w:t>
      </w:r>
    </w:p>
    <w:p>
      <w:pPr>
        <w:spacing w:line="520" w:lineRule="exact"/>
        <w:ind w:firstLine="480" w:firstLineChars="200"/>
        <w:rPr>
          <w:sz w:val="24"/>
          <w:highlight w:val="none"/>
        </w:rPr>
      </w:pPr>
      <w:r>
        <w:rPr>
          <w:sz w:val="24"/>
          <w:highlight w:val="none"/>
        </w:rPr>
        <w:t>（3）沼气利用方案</w:t>
      </w:r>
    </w:p>
    <w:p>
      <w:pPr>
        <w:spacing w:line="520" w:lineRule="exact"/>
        <w:ind w:firstLine="480" w:firstLineChars="200"/>
        <w:rPr>
          <w:sz w:val="24"/>
          <w:highlight w:val="none"/>
        </w:rPr>
      </w:pPr>
      <w:r>
        <w:rPr>
          <w:sz w:val="24"/>
          <w:highlight w:val="none"/>
        </w:rPr>
        <w:t>项目运营后夏季沼气产生量为</w:t>
      </w:r>
      <w:r>
        <w:rPr>
          <w:rFonts w:hint="eastAsia"/>
          <w:sz w:val="24"/>
          <w:highlight w:val="none"/>
          <w:lang w:eastAsia="zh-CN"/>
        </w:rPr>
        <w:t>105.86</w:t>
      </w:r>
      <w:r>
        <w:rPr>
          <w:sz w:val="24"/>
          <w:highlight w:val="none"/>
        </w:rPr>
        <w:t>m</w:t>
      </w:r>
      <w:r>
        <w:rPr>
          <w:sz w:val="24"/>
          <w:highlight w:val="none"/>
          <w:vertAlign w:val="superscript"/>
        </w:rPr>
        <w:t>3</w:t>
      </w:r>
      <w:r>
        <w:rPr>
          <w:sz w:val="24"/>
          <w:highlight w:val="none"/>
        </w:rPr>
        <w:t>/d、其他季节沼气产生量为</w:t>
      </w:r>
      <w:r>
        <w:rPr>
          <w:rFonts w:hint="eastAsia"/>
          <w:sz w:val="24"/>
          <w:highlight w:val="none"/>
          <w:lang w:eastAsia="zh-CN"/>
        </w:rPr>
        <w:t>70.69</w:t>
      </w:r>
      <w:r>
        <w:rPr>
          <w:sz w:val="24"/>
          <w:highlight w:val="none"/>
        </w:rPr>
        <w:t>m</w:t>
      </w:r>
      <w:r>
        <w:rPr>
          <w:sz w:val="24"/>
          <w:highlight w:val="none"/>
          <w:vertAlign w:val="superscript"/>
        </w:rPr>
        <w:t>3</w:t>
      </w:r>
      <w:r>
        <w:rPr>
          <w:sz w:val="24"/>
          <w:highlight w:val="none"/>
        </w:rPr>
        <w:t>/d，年总产气量为</w:t>
      </w:r>
      <w:r>
        <w:rPr>
          <w:rFonts w:hint="eastAsia"/>
          <w:sz w:val="24"/>
          <w:highlight w:val="none"/>
          <w:lang w:eastAsia="zh-CN"/>
        </w:rPr>
        <w:t>29456.25</w:t>
      </w:r>
      <w:r>
        <w:rPr>
          <w:sz w:val="24"/>
          <w:highlight w:val="none"/>
        </w:rPr>
        <w:t>m</w:t>
      </w:r>
      <w:r>
        <w:rPr>
          <w:sz w:val="24"/>
          <w:highlight w:val="none"/>
          <w:vertAlign w:val="superscript"/>
        </w:rPr>
        <w:t>3</w:t>
      </w:r>
      <w:r>
        <w:rPr>
          <w:sz w:val="24"/>
          <w:highlight w:val="none"/>
        </w:rPr>
        <w:t>/a，沼气优先用于食堂灶台，</w:t>
      </w:r>
      <w:r>
        <w:rPr>
          <w:rFonts w:hint="eastAsia"/>
          <w:sz w:val="24"/>
          <w:highlight w:val="none"/>
        </w:rPr>
        <w:t>剩余</w:t>
      </w:r>
      <w:r>
        <w:rPr>
          <w:sz w:val="24"/>
          <w:highlight w:val="none"/>
        </w:rPr>
        <w:t>部分</w:t>
      </w:r>
      <w:r>
        <w:rPr>
          <w:rFonts w:hint="eastAsia"/>
          <w:sz w:val="24"/>
          <w:highlight w:val="none"/>
        </w:rPr>
        <w:t>火炬燃烧</w:t>
      </w:r>
      <w:r>
        <w:rPr>
          <w:sz w:val="24"/>
          <w:highlight w:val="none"/>
        </w:rPr>
        <w:t>。</w:t>
      </w:r>
    </w:p>
    <w:p>
      <w:pPr>
        <w:numPr>
          <w:ilvl w:val="0"/>
          <w:numId w:val="4"/>
        </w:numPr>
        <w:spacing w:line="520" w:lineRule="exact"/>
        <w:rPr>
          <w:sz w:val="24"/>
          <w:highlight w:val="none"/>
        </w:rPr>
      </w:pPr>
      <w:r>
        <w:rPr>
          <w:sz w:val="24"/>
          <w:highlight w:val="none"/>
        </w:rPr>
        <w:t>食堂灶台</w:t>
      </w:r>
    </w:p>
    <w:p>
      <w:pPr>
        <w:spacing w:line="520" w:lineRule="exact"/>
        <w:ind w:firstLine="480" w:firstLineChars="200"/>
        <w:rPr>
          <w:sz w:val="24"/>
        </w:rPr>
      </w:pPr>
      <w:r>
        <w:rPr>
          <w:sz w:val="24"/>
        </w:rPr>
        <w:t>经查阅相关资料，项目职工食堂人均用沼气量按0.8m</w:t>
      </w:r>
      <w:r>
        <w:rPr>
          <w:sz w:val="24"/>
          <w:vertAlign w:val="superscript"/>
        </w:rPr>
        <w:t>3</w:t>
      </w:r>
      <w:r>
        <w:rPr>
          <w:sz w:val="24"/>
        </w:rPr>
        <w:t>/d，项目劳动定员10人，项目食堂灶台沼气用量为8m</w:t>
      </w:r>
      <w:r>
        <w:rPr>
          <w:sz w:val="24"/>
          <w:vertAlign w:val="superscript"/>
        </w:rPr>
        <w:t>3</w:t>
      </w:r>
      <w:r>
        <w:rPr>
          <w:sz w:val="24"/>
        </w:rPr>
        <w:t>/d，</w:t>
      </w:r>
      <w:r>
        <w:rPr>
          <w:rFonts w:hint="eastAsia"/>
          <w:sz w:val="24"/>
        </w:rPr>
        <w:t>2920</w:t>
      </w:r>
      <w:r>
        <w:rPr>
          <w:sz w:val="24"/>
        </w:rPr>
        <w:t>m</w:t>
      </w:r>
      <w:r>
        <w:rPr>
          <w:sz w:val="24"/>
          <w:vertAlign w:val="superscript"/>
        </w:rPr>
        <w:t>3</w:t>
      </w:r>
      <w:r>
        <w:rPr>
          <w:sz w:val="24"/>
        </w:rPr>
        <w:t>/a。</w:t>
      </w:r>
    </w:p>
    <w:p>
      <w:pPr>
        <w:numPr>
          <w:ilvl w:val="0"/>
          <w:numId w:val="4"/>
        </w:numPr>
        <w:spacing w:line="520" w:lineRule="exact"/>
        <w:rPr>
          <w:sz w:val="24"/>
        </w:rPr>
      </w:pPr>
      <w:r>
        <w:rPr>
          <w:rFonts w:hint="eastAsia"/>
          <w:sz w:val="24"/>
        </w:rPr>
        <w:t>火炬燃烧</w:t>
      </w:r>
    </w:p>
    <w:p>
      <w:pPr>
        <w:adjustRightInd w:val="0"/>
        <w:snapToGrid w:val="0"/>
        <w:spacing w:line="520" w:lineRule="exact"/>
        <w:ind w:firstLine="480" w:firstLineChars="200"/>
        <w:rPr>
          <w:sz w:val="24"/>
          <w:szCs w:val="22"/>
        </w:rPr>
      </w:pPr>
      <w:r>
        <w:rPr>
          <w:sz w:val="24"/>
          <w:szCs w:val="22"/>
        </w:rPr>
        <w:t>产生的沼气除食堂灶台外，还剩余</w:t>
      </w:r>
      <w:r>
        <w:rPr>
          <w:rFonts w:hint="eastAsia"/>
          <w:sz w:val="24"/>
          <w:szCs w:val="22"/>
          <w:lang w:eastAsia="zh-CN"/>
        </w:rPr>
        <w:t>26536.25</w:t>
      </w:r>
      <w:r>
        <w:rPr>
          <w:sz w:val="24"/>
          <w:szCs w:val="22"/>
        </w:rPr>
        <w:t>m</w:t>
      </w:r>
      <w:r>
        <w:rPr>
          <w:sz w:val="24"/>
          <w:szCs w:val="22"/>
          <w:vertAlign w:val="superscript"/>
        </w:rPr>
        <w:t>3</w:t>
      </w:r>
      <w:r>
        <w:rPr>
          <w:sz w:val="24"/>
          <w:szCs w:val="22"/>
        </w:rPr>
        <w:t>/a，计划将这部分沼气经火炬燃烧器放空燃烧。</w:t>
      </w:r>
      <w:r>
        <w:rPr>
          <w:sz w:val="24"/>
        </w:rPr>
        <w:t>沼气利用平衡图见图2.2-7。</w:t>
      </w:r>
    </w:p>
    <w:p>
      <w:pPr>
        <w:rPr>
          <w:rFonts w:hint="eastAsia"/>
          <w:b/>
          <w:snapToGrid w:val="0"/>
          <w:kern w:val="0"/>
          <w:sz w:val="24"/>
        </w:rPr>
      </w:pPr>
      <w:r>
        <w:rPr>
          <w:b/>
          <w:snapToGrid w:val="0"/>
          <w:kern w:val="0"/>
          <w:sz w:val="24"/>
        </w:rPr>
        <mc:AlternateContent>
          <mc:Choice Requires="wpc">
            <w:drawing>
              <wp:inline distT="0" distB="0" distL="114300" distR="114300">
                <wp:extent cx="5544820" cy="2539365"/>
                <wp:effectExtent l="0" t="0" r="0" b="13335"/>
                <wp:docPr id="299" name="画布 107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74" name="矩形 1080"/>
                        <wps:cNvSpPr/>
                        <wps:spPr>
                          <a:xfrm>
                            <a:off x="278130" y="1116330"/>
                            <a:ext cx="923925" cy="255905"/>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沼气产生量</w:t>
                              </w:r>
                            </w:p>
                          </w:txbxContent>
                        </wps:txbx>
                        <wps:bodyPr upright="1"/>
                      </wps:wsp>
                      <wps:wsp>
                        <wps:cNvPr id="275" name="自选图形 1081"/>
                        <wps:cNvCnPr/>
                        <wps:spPr>
                          <a:xfrm>
                            <a:off x="1202055" y="1263015"/>
                            <a:ext cx="523875" cy="4445"/>
                          </a:xfrm>
                          <a:prstGeom prst="straightConnector1">
                            <a:avLst/>
                          </a:prstGeom>
                          <a:ln w="9525" cap="flat" cmpd="sng">
                            <a:solidFill>
                              <a:srgbClr val="000000"/>
                            </a:solidFill>
                            <a:prstDash val="solid"/>
                            <a:headEnd type="none" w="med" len="med"/>
                            <a:tailEnd type="triangle" w="med" len="med"/>
                          </a:ln>
                        </wps:spPr>
                        <wps:bodyPr/>
                      </wps:wsp>
                      <wps:wsp>
                        <wps:cNvPr id="276" name="自选图形 1082"/>
                        <wps:cNvCnPr/>
                        <wps:spPr>
                          <a:xfrm>
                            <a:off x="1725295" y="570230"/>
                            <a:ext cx="635" cy="1398270"/>
                          </a:xfrm>
                          <a:prstGeom prst="straightConnector1">
                            <a:avLst/>
                          </a:prstGeom>
                          <a:ln w="9525" cap="flat" cmpd="sng">
                            <a:solidFill>
                              <a:srgbClr val="000000"/>
                            </a:solidFill>
                            <a:prstDash val="solid"/>
                            <a:headEnd type="none" w="med" len="med"/>
                            <a:tailEnd type="none" w="med" len="med"/>
                          </a:ln>
                        </wps:spPr>
                        <wps:bodyPr/>
                      </wps:wsp>
                      <wps:wsp>
                        <wps:cNvPr id="277" name="自选图形 1083"/>
                        <wps:cNvCnPr/>
                        <wps:spPr>
                          <a:xfrm>
                            <a:off x="1725930" y="600075"/>
                            <a:ext cx="551815" cy="635"/>
                          </a:xfrm>
                          <a:prstGeom prst="straightConnector1">
                            <a:avLst/>
                          </a:prstGeom>
                          <a:ln w="9525" cap="flat" cmpd="sng">
                            <a:solidFill>
                              <a:srgbClr val="000000"/>
                            </a:solidFill>
                            <a:prstDash val="solid"/>
                            <a:headEnd type="none" w="med" len="med"/>
                            <a:tailEnd type="triangle" w="med" len="med"/>
                          </a:ln>
                        </wps:spPr>
                        <wps:bodyPr/>
                      </wps:wsp>
                      <wps:wsp>
                        <wps:cNvPr id="278" name="自选图形 1084"/>
                        <wps:cNvCnPr/>
                        <wps:spPr>
                          <a:xfrm>
                            <a:off x="1725930" y="1967865"/>
                            <a:ext cx="551815" cy="635"/>
                          </a:xfrm>
                          <a:prstGeom prst="straightConnector1">
                            <a:avLst/>
                          </a:prstGeom>
                          <a:ln w="9525" cap="flat" cmpd="sng">
                            <a:solidFill>
                              <a:srgbClr val="000000"/>
                            </a:solidFill>
                            <a:prstDash val="solid"/>
                            <a:headEnd type="none" w="med" len="med"/>
                            <a:tailEnd type="triangle" w="med" len="med"/>
                          </a:ln>
                        </wps:spPr>
                        <wps:bodyPr/>
                      </wps:wsp>
                      <wps:wsp>
                        <wps:cNvPr id="279" name="矩形 1085"/>
                        <wps:cNvSpPr/>
                        <wps:spPr>
                          <a:xfrm>
                            <a:off x="2277745" y="513715"/>
                            <a:ext cx="96266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夏季沼气量</w:t>
                              </w:r>
                            </w:p>
                          </w:txbxContent>
                        </wps:txbx>
                        <wps:bodyPr upright="1"/>
                      </wps:wsp>
                      <wps:wsp>
                        <wps:cNvPr id="280" name="矩形 1086"/>
                        <wps:cNvSpPr/>
                        <wps:spPr>
                          <a:xfrm>
                            <a:off x="2277745" y="1845945"/>
                            <a:ext cx="1038860" cy="257175"/>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非夏季沼气量</w:t>
                              </w:r>
                            </w:p>
                          </w:txbxContent>
                        </wps:txbx>
                        <wps:bodyPr upright="1"/>
                      </wps:wsp>
                      <wps:wsp>
                        <wps:cNvPr id="281" name="自选图形 1089"/>
                        <wps:cNvCnPr/>
                        <wps:spPr>
                          <a:xfrm>
                            <a:off x="3240405" y="675005"/>
                            <a:ext cx="551815" cy="635"/>
                          </a:xfrm>
                          <a:prstGeom prst="straightConnector1">
                            <a:avLst/>
                          </a:prstGeom>
                          <a:ln w="9525" cap="flat" cmpd="sng">
                            <a:solidFill>
                              <a:srgbClr val="000000"/>
                            </a:solidFill>
                            <a:prstDash val="solid"/>
                            <a:headEnd type="none" w="med" len="med"/>
                            <a:tailEnd type="triangle" w="med" len="med"/>
                          </a:ln>
                        </wps:spPr>
                        <wps:bodyPr/>
                      </wps:wsp>
                      <wps:wsp>
                        <wps:cNvPr id="282" name="自选图形 1090"/>
                        <wps:cNvCnPr/>
                        <wps:spPr>
                          <a:xfrm>
                            <a:off x="3792220" y="198755"/>
                            <a:ext cx="635" cy="1002030"/>
                          </a:xfrm>
                          <a:prstGeom prst="straightConnector1">
                            <a:avLst/>
                          </a:prstGeom>
                          <a:ln w="9525" cap="flat" cmpd="sng">
                            <a:solidFill>
                              <a:srgbClr val="000000"/>
                            </a:solidFill>
                            <a:prstDash val="solid"/>
                            <a:headEnd type="none" w="med" len="med"/>
                            <a:tailEnd type="none" w="med" len="med"/>
                          </a:ln>
                        </wps:spPr>
                        <wps:bodyPr/>
                      </wps:wsp>
                      <wps:wsp>
                        <wps:cNvPr id="283" name="自选图形 1091"/>
                        <wps:cNvCnPr/>
                        <wps:spPr>
                          <a:xfrm>
                            <a:off x="3792220" y="198755"/>
                            <a:ext cx="467360" cy="0"/>
                          </a:xfrm>
                          <a:prstGeom prst="straightConnector1">
                            <a:avLst/>
                          </a:prstGeom>
                          <a:ln w="9525" cap="flat" cmpd="sng">
                            <a:solidFill>
                              <a:srgbClr val="000000"/>
                            </a:solidFill>
                            <a:prstDash val="solid"/>
                            <a:headEnd type="none" w="med" len="med"/>
                            <a:tailEnd type="triangle" w="med" len="med"/>
                          </a:ln>
                        </wps:spPr>
                        <wps:bodyPr/>
                      </wps:wsp>
                      <wps:wsp>
                        <wps:cNvPr id="284" name="自选图形 1092"/>
                        <wps:cNvCnPr/>
                        <wps:spPr>
                          <a:xfrm>
                            <a:off x="3792220" y="1200785"/>
                            <a:ext cx="467360" cy="635"/>
                          </a:xfrm>
                          <a:prstGeom prst="straightConnector1">
                            <a:avLst/>
                          </a:prstGeom>
                          <a:ln w="9525" cap="flat" cmpd="sng">
                            <a:solidFill>
                              <a:srgbClr val="000000"/>
                            </a:solidFill>
                            <a:prstDash val="solid"/>
                            <a:headEnd type="none" w="med" len="med"/>
                            <a:tailEnd type="triangle" w="med" len="med"/>
                          </a:ln>
                        </wps:spPr>
                        <wps:bodyPr/>
                      </wps:wsp>
                      <wps:wsp>
                        <wps:cNvPr id="285" name="矩形 1093"/>
                        <wps:cNvSpPr/>
                        <wps:spPr>
                          <a:xfrm>
                            <a:off x="4259580" y="94615"/>
                            <a:ext cx="6096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食堂</w:t>
                              </w:r>
                            </w:p>
                          </w:txbxContent>
                        </wps:txbx>
                        <wps:bodyPr upright="1"/>
                      </wps:wsp>
                      <wps:wsp>
                        <wps:cNvPr id="286" name="矩形 1094"/>
                        <wps:cNvSpPr/>
                        <wps:spPr>
                          <a:xfrm>
                            <a:off x="4259580" y="1061085"/>
                            <a:ext cx="9525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火炬燃烧</w:t>
                              </w:r>
                            </w:p>
                          </w:txbxContent>
                        </wps:txbx>
                        <wps:bodyPr upright="1"/>
                      </wps:wsp>
                      <wps:wsp>
                        <wps:cNvPr id="287" name="矩形 1096"/>
                        <wps:cNvSpPr/>
                        <wps:spPr>
                          <a:xfrm>
                            <a:off x="1630680" y="313690"/>
                            <a:ext cx="685165" cy="256540"/>
                          </a:xfrm>
                          <a:prstGeom prst="rect">
                            <a:avLst/>
                          </a:prstGeom>
                          <a:noFill/>
                          <a:ln>
                            <a:noFill/>
                          </a:ln>
                        </wps:spPr>
                        <wps:txbx>
                          <w:txbxContent>
                            <w:p>
                              <w:pPr>
                                <w:rPr>
                                  <w:rFonts w:hint="eastAsia" w:eastAsia="宋体"/>
                                  <w:lang w:eastAsia="zh-CN"/>
                                </w:rPr>
                              </w:pPr>
                              <w:r>
                                <w:rPr>
                                  <w:rFonts w:hint="eastAsia"/>
                                  <w:lang w:eastAsia="zh-CN"/>
                                </w:rPr>
                                <w:t>105.86</w:t>
                              </w:r>
                            </w:p>
                          </w:txbxContent>
                        </wps:txbx>
                        <wps:bodyPr upright="1"/>
                      </wps:wsp>
                      <wps:wsp>
                        <wps:cNvPr id="288" name="矩形 1097"/>
                        <wps:cNvSpPr/>
                        <wps:spPr>
                          <a:xfrm>
                            <a:off x="1725930" y="1696720"/>
                            <a:ext cx="664210" cy="256540"/>
                          </a:xfrm>
                          <a:prstGeom prst="rect">
                            <a:avLst/>
                          </a:prstGeom>
                          <a:noFill/>
                          <a:ln>
                            <a:noFill/>
                          </a:ln>
                        </wps:spPr>
                        <wps:txbx>
                          <w:txbxContent>
                            <w:p>
                              <w:pPr>
                                <w:rPr>
                                  <w:rFonts w:hint="eastAsia" w:eastAsia="宋体"/>
                                  <w:lang w:eastAsia="zh-CN"/>
                                </w:rPr>
                              </w:pPr>
                              <w:r>
                                <w:rPr>
                                  <w:rFonts w:hint="eastAsia"/>
                                  <w:lang w:eastAsia="zh-CN"/>
                                </w:rPr>
                                <w:t>70.69</w:t>
                              </w:r>
                            </w:p>
                          </w:txbxContent>
                        </wps:txbx>
                        <wps:bodyPr upright="1"/>
                      </wps:wsp>
                      <wps:wsp>
                        <wps:cNvPr id="289" name="矩形 1098"/>
                        <wps:cNvSpPr/>
                        <wps:spPr>
                          <a:xfrm>
                            <a:off x="3792220" y="0"/>
                            <a:ext cx="542290" cy="256540"/>
                          </a:xfrm>
                          <a:prstGeom prst="rect">
                            <a:avLst/>
                          </a:prstGeom>
                          <a:noFill/>
                          <a:ln>
                            <a:noFill/>
                          </a:ln>
                        </wps:spPr>
                        <wps:txbx>
                          <w:txbxContent>
                            <w:p>
                              <w:pPr>
                                <w:rPr>
                                  <w:rFonts w:hint="eastAsia"/>
                                </w:rPr>
                              </w:pPr>
                              <w:r>
                                <w:rPr>
                                  <w:rFonts w:hint="eastAsia"/>
                                </w:rPr>
                                <w:t>8</w:t>
                              </w:r>
                            </w:p>
                          </w:txbxContent>
                        </wps:txbx>
                        <wps:bodyPr upright="1"/>
                      </wps:wsp>
                      <wps:wsp>
                        <wps:cNvPr id="290" name="矩形 1099"/>
                        <wps:cNvSpPr/>
                        <wps:spPr>
                          <a:xfrm>
                            <a:off x="3726180" y="958850"/>
                            <a:ext cx="665480" cy="256540"/>
                          </a:xfrm>
                          <a:prstGeom prst="rect">
                            <a:avLst/>
                          </a:prstGeom>
                          <a:noFill/>
                          <a:ln>
                            <a:noFill/>
                          </a:ln>
                        </wps:spPr>
                        <wps:txbx>
                          <w:txbxContent>
                            <w:p>
                              <w:pPr>
                                <w:rPr>
                                  <w:rFonts w:hint="default" w:eastAsia="宋体"/>
                                  <w:lang w:val="en-US" w:eastAsia="zh-CN"/>
                                </w:rPr>
                              </w:pPr>
                              <w:r>
                                <w:rPr>
                                  <w:rFonts w:hint="eastAsia"/>
                                  <w:lang w:val="en-US" w:eastAsia="zh-CN"/>
                                </w:rPr>
                                <w:t>97.86</w:t>
                              </w:r>
                            </w:p>
                          </w:txbxContent>
                        </wps:txbx>
                        <wps:bodyPr upright="1"/>
                      </wps:wsp>
                      <wps:wsp>
                        <wps:cNvPr id="291" name="自选图形 1100"/>
                        <wps:cNvCnPr/>
                        <wps:spPr>
                          <a:xfrm>
                            <a:off x="3316605" y="1998980"/>
                            <a:ext cx="565150" cy="635"/>
                          </a:xfrm>
                          <a:prstGeom prst="straightConnector1">
                            <a:avLst/>
                          </a:prstGeom>
                          <a:ln w="9525" cap="flat" cmpd="sng">
                            <a:solidFill>
                              <a:srgbClr val="000000"/>
                            </a:solidFill>
                            <a:prstDash val="solid"/>
                            <a:headEnd type="none" w="med" len="med"/>
                            <a:tailEnd type="triangle" w="med" len="med"/>
                          </a:ln>
                        </wps:spPr>
                        <wps:bodyPr/>
                      </wps:wsp>
                      <wps:wsp>
                        <wps:cNvPr id="292" name="矩形 1102"/>
                        <wps:cNvSpPr/>
                        <wps:spPr>
                          <a:xfrm>
                            <a:off x="3859530" y="2195195"/>
                            <a:ext cx="661035" cy="256540"/>
                          </a:xfrm>
                          <a:prstGeom prst="rect">
                            <a:avLst/>
                          </a:prstGeom>
                          <a:noFill/>
                          <a:ln>
                            <a:noFill/>
                          </a:ln>
                        </wps:spPr>
                        <wps:txbx>
                          <w:txbxContent>
                            <w:p>
                              <w:pPr>
                                <w:rPr>
                                  <w:rFonts w:hint="default" w:eastAsia="宋体"/>
                                  <w:lang w:val="en-US" w:eastAsia="zh-CN"/>
                                </w:rPr>
                              </w:pPr>
                              <w:r>
                                <w:rPr>
                                  <w:rFonts w:hint="eastAsia"/>
                                  <w:lang w:val="en-US" w:eastAsia="zh-CN"/>
                                </w:rPr>
                                <w:t>62.69</w:t>
                              </w:r>
                            </w:p>
                          </w:txbxContent>
                        </wps:txbx>
                        <wps:bodyPr upright="1"/>
                      </wps:wsp>
                      <wps:wsp>
                        <wps:cNvPr id="293" name="自选图形 1104"/>
                        <wps:cNvCnPr/>
                        <wps:spPr>
                          <a:xfrm>
                            <a:off x="3896995" y="2451735"/>
                            <a:ext cx="533400" cy="635"/>
                          </a:xfrm>
                          <a:prstGeom prst="straightConnector1">
                            <a:avLst/>
                          </a:prstGeom>
                          <a:ln w="9525" cap="flat" cmpd="sng">
                            <a:solidFill>
                              <a:srgbClr val="000000"/>
                            </a:solidFill>
                            <a:prstDash val="solid"/>
                            <a:headEnd type="none" w="med" len="med"/>
                            <a:tailEnd type="triangle" w="med" len="med"/>
                          </a:ln>
                        </wps:spPr>
                        <wps:bodyPr/>
                      </wps:wsp>
                      <wps:wsp>
                        <wps:cNvPr id="294" name="自选图形 1105"/>
                        <wps:cNvCnPr/>
                        <wps:spPr>
                          <a:xfrm>
                            <a:off x="3896995" y="1562735"/>
                            <a:ext cx="533400" cy="635"/>
                          </a:xfrm>
                          <a:prstGeom prst="straightConnector1">
                            <a:avLst/>
                          </a:prstGeom>
                          <a:ln w="9525" cap="flat" cmpd="sng">
                            <a:solidFill>
                              <a:srgbClr val="000000"/>
                            </a:solidFill>
                            <a:prstDash val="solid"/>
                            <a:headEnd type="none" w="med" len="med"/>
                            <a:tailEnd type="triangle" w="med" len="med"/>
                          </a:ln>
                        </wps:spPr>
                        <wps:bodyPr/>
                      </wps:wsp>
                      <wps:wsp>
                        <wps:cNvPr id="295" name="矩形 1106"/>
                        <wps:cNvSpPr/>
                        <wps:spPr>
                          <a:xfrm>
                            <a:off x="4411980" y="2249170"/>
                            <a:ext cx="981075"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火炬燃烧</w:t>
                              </w:r>
                            </w:p>
                            <w:p/>
                          </w:txbxContent>
                        </wps:txbx>
                        <wps:bodyPr upright="1"/>
                      </wps:wsp>
                      <wps:wsp>
                        <wps:cNvPr id="296" name="矩形 1107"/>
                        <wps:cNvSpPr/>
                        <wps:spPr>
                          <a:xfrm>
                            <a:off x="4411980" y="1440180"/>
                            <a:ext cx="609600" cy="256540"/>
                          </a:xfrm>
                          <a:prstGeom prst="rect">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食堂</w:t>
                              </w:r>
                            </w:p>
                          </w:txbxContent>
                        </wps:txbx>
                        <wps:bodyPr upright="1"/>
                      </wps:wsp>
                      <wps:wsp>
                        <wps:cNvPr id="297" name="矩形 1108"/>
                        <wps:cNvSpPr/>
                        <wps:spPr>
                          <a:xfrm>
                            <a:off x="3896995" y="1284605"/>
                            <a:ext cx="542290" cy="256540"/>
                          </a:xfrm>
                          <a:prstGeom prst="rect">
                            <a:avLst/>
                          </a:prstGeom>
                          <a:noFill/>
                          <a:ln>
                            <a:noFill/>
                          </a:ln>
                        </wps:spPr>
                        <wps:txbx>
                          <w:txbxContent>
                            <w:p>
                              <w:pPr>
                                <w:rPr>
                                  <w:rFonts w:hint="eastAsia"/>
                                </w:rPr>
                              </w:pPr>
                              <w:r>
                                <w:rPr>
                                  <w:rFonts w:hint="eastAsia"/>
                                </w:rPr>
                                <w:t>8</w:t>
                              </w:r>
                            </w:p>
                          </w:txbxContent>
                        </wps:txbx>
                        <wps:bodyPr upright="1"/>
                      </wps:wsp>
                      <wps:wsp>
                        <wps:cNvPr id="298" name="自选图形 1347"/>
                        <wps:cNvCnPr/>
                        <wps:spPr>
                          <a:xfrm>
                            <a:off x="3907155" y="1562735"/>
                            <a:ext cx="0" cy="914400"/>
                          </a:xfrm>
                          <a:prstGeom prst="straightConnector1">
                            <a:avLst/>
                          </a:prstGeom>
                          <a:ln w="9525" cap="flat" cmpd="sng">
                            <a:solidFill>
                              <a:srgbClr val="000000"/>
                            </a:solidFill>
                            <a:prstDash val="solid"/>
                            <a:headEnd type="none" w="med" len="med"/>
                            <a:tailEnd type="none" w="med" len="med"/>
                          </a:ln>
                        </wps:spPr>
                        <wps:bodyPr/>
                      </wps:wsp>
                    </wpc:wpc>
                  </a:graphicData>
                </a:graphic>
              </wp:inline>
            </w:drawing>
          </mc:Choice>
          <mc:Fallback>
            <w:pict>
              <v:group id="画布 1079" o:spid="_x0000_s1026" o:spt="203" style="height:199.95pt;width:436.6pt;" coordsize="5544820,2539365" editas="canvas" o:gfxdata="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">
                <o:lock v:ext="edit" aspectratio="f"/>
                <v:shape id="画布 1079" o:spid="_x0000_s1026" style="position:absolute;left:0;top:0;height:2539365;width:5544820;" filled="f" stroked="f" coordsize="21600,21600" o:gfxdata="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">
                  <v:fill on="f" focussize="0,0"/>
                  <v:stroke on="f"/>
                  <v:imagedata o:title=""/>
                  <o:lock v:ext="edit" aspectratio="t"/>
                </v:shape>
                <v:rect id="矩形 1080" o:spid="_x0000_s1026" o:spt="1" style="position:absolute;left:278130;top:1116330;height:255905;width:923925;" fillcolor="#FFFFFF" filled="t" stroked="t" coordsize="21600,21600" o:gfxdata="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D+TGA3VAAAABQEAAA8AAAAAAAAAAQAgAAAAIgAA&#10;AGRycy9kb3ducmV2LnhtbFBLAQIUABQAAAAIAIdO4kDRmHWqCwIAADgEAAAOAAAAAAAAAAEAIAAA&#10;ACQBAABkcnMvZTJvRG9jLnhtbFBLBQYAAAAABgAGAFkBAAChBQAAAAA=&#10;">
                  <v:fill on="t" focussize="0,0"/>
                  <v:stroke color="#000000" joinstyle="miter"/>
                  <v:imagedata o:title=""/>
                  <o:lock v:ext="edit" aspectratio="f"/>
                  <v:textbox>
                    <w:txbxContent>
                      <w:p>
                        <w:r>
                          <w:rPr>
                            <w:rFonts w:hint="eastAsia"/>
                          </w:rPr>
                          <w:t>沼气产生量</w:t>
                        </w:r>
                      </w:p>
                    </w:txbxContent>
                  </v:textbox>
                </v:rect>
                <v:shape id="自选图形 1081" o:spid="_x0000_s1026" o:spt="32" type="#_x0000_t32" style="position:absolute;left:1202055;top:1263015;height:4445;width:523875;" filled="f" stroked="t" coordsize="21600,21600" o:gfxdata="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N7+W91wAAAAUBAAAPAAAAAAAAAAEAIAAA&#10;ACIAAABkcnMvZG93bnJldi54bWxQSwECFAAUAAAACACHTuJA7Djy6g0CAAD6AwAADgAAAAAAAAAB&#10;ACAAAAAmAQAAZHJzL2Uyb0RvYy54bWxQSwUGAAAAAAYABgBZAQAApQUAAAAA&#10;">
                  <v:fill on="f" focussize="0,0"/>
                  <v:stroke color="#000000" joinstyle="round" endarrow="block"/>
                  <v:imagedata o:title=""/>
                  <o:lock v:ext="edit" aspectratio="f"/>
                </v:shape>
                <v:shape id="自选图形 1082" o:spid="_x0000_s1026" o:spt="32" type="#_x0000_t32" style="position:absolute;left:1725295;top:570230;height:1398270;width:635;" filled="f" stroked="t" coordsize="21600,21600" o:gfxdata="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&#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krj3HWAAAABQEAAA8AAAAAAAAAAQAgAAAAIgAAAGRy&#10;cy9kb3ducmV2LnhtbFBLAQIUABQAAAAIAIdO4kDgTe9pBwIAAPUDAAAOAAAAAAAAAAEAIAAAACUB&#10;AABkcnMvZTJvRG9jLnhtbFBLBQYAAAAABgAGAFkBAACeBQAAAAA=&#10;">
                  <v:fill on="f" focussize="0,0"/>
                  <v:stroke color="#000000" joinstyle="round"/>
                  <v:imagedata o:title=""/>
                  <o:lock v:ext="edit" aspectratio="f"/>
                </v:shape>
                <v:shape id="自选图形 1083" o:spid="_x0000_s1026" o:spt="32" type="#_x0000_t32" style="position:absolute;left:1725930;top:600075;height:635;width:551815;" filled="f" stroked="t" coordsize="21600,21600" o:gfxdata="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je/lvdcAAAAFAQAADwAAAAAAAAABACAA&#10;AAAiAAAAZHJzL2Rvd25yZXYueG1sUEsBAhQAFAAAAAgAh07iQEJxKdwOAgAA+AMAAA4AAAAAAAAA&#10;AQAgAAAAJgEAAGRycy9lMm9Eb2MueG1sUEsFBgAAAAAGAAYAWQEAAKYFAAAAAA==&#10;">
                  <v:fill on="f" focussize="0,0"/>
                  <v:stroke color="#000000" joinstyle="round" endarrow="block"/>
                  <v:imagedata o:title=""/>
                  <o:lock v:ext="edit" aspectratio="f"/>
                </v:shape>
                <v:shape id="自选图形 1084" o:spid="_x0000_s1026" o:spt="32" type="#_x0000_t32" style="position:absolute;left:1725930;top:1967865;height:635;width:551815;" filled="f" stroked="t" coordsize="21600,21600" o:gfxdata="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N7+W91wAAAAUBAAAPAAAAAAAAAAEA&#10;IAAAACIAAABkcnMvZG93bnJldi54bWxQSwECFAAUAAAACACHTuJAJfwuTxACAAD5AwAADgAAAAAA&#10;AAABACAAAAAmAQAAZHJzL2Uyb0RvYy54bWxQSwUGAAAAAAYABgBZAQAAqAUAAAAA&#10;">
                  <v:fill on="f" focussize="0,0"/>
                  <v:stroke color="#000000" joinstyle="round" endarrow="block"/>
                  <v:imagedata o:title=""/>
                  <o:lock v:ext="edit" aspectratio="f"/>
                </v:shape>
                <v:rect id="矩形 1085" o:spid="_x0000_s1026" o:spt="1" style="position:absolute;left:2277745;top:513715;height:256540;width:962660;" fillcolor="#FFFFFF" filled="t" stroked="t" coordsize="21600,21600" o:gfxdata="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P5MYDdUAAAAFAQAADwAAAAAAAAAB&#10;ACAAAAAiAAAAZHJzL2Rvd25yZXYueG1sUEsBAhQAFAAAAAgAh07iQBSZWgETAgAAOAQAAA4AAAAA&#10;AAAAAQAgAAAAJAEAAGRycy9lMm9Eb2MueG1sUEsFBgAAAAAGAAYAWQEAAKkFAAAAAA==&#10;">
                  <v:fill on="t" focussize="0,0"/>
                  <v:stroke color="#000000" joinstyle="miter"/>
                  <v:imagedata o:title=""/>
                  <o:lock v:ext="edit" aspectratio="f"/>
                  <v:textbox>
                    <w:txbxContent>
                      <w:p>
                        <w:r>
                          <w:rPr>
                            <w:rFonts w:hint="eastAsia"/>
                          </w:rPr>
                          <w:t>夏季沼气量</w:t>
                        </w:r>
                      </w:p>
                    </w:txbxContent>
                  </v:textbox>
                </v:rect>
                <v:rect id="矩形 1086" o:spid="_x0000_s1026" o:spt="1" style="position:absolute;left:2277745;top:1845945;height:257175;width:1038860;" fillcolor="#FFFFFF" filled="t" stroked="t" coordsize="21600,21600" o:gfxdata="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kxgN1QAAAAUBAAAPAAAAAAAAAAEA&#10;IAAAACIAAABkcnMvZG93bnJldi54bWxQSwECFAAUAAAACACHTuJANYMWjxICAAA6BAAADgAAAAAA&#10;AAABACAAAAAkAQAAZHJzL2Uyb0RvYy54bWxQSwUGAAAAAAYABgBZAQAAqAUAAAAA&#10;">
                  <v:fill on="t" focussize="0,0"/>
                  <v:stroke color="#000000" joinstyle="miter"/>
                  <v:imagedata o:title=""/>
                  <o:lock v:ext="edit" aspectratio="f"/>
                  <v:textbox>
                    <w:txbxContent>
                      <w:p>
                        <w:r>
                          <w:rPr>
                            <w:rFonts w:hint="eastAsia"/>
                          </w:rPr>
                          <w:t>非夏季沼气量</w:t>
                        </w:r>
                      </w:p>
                    </w:txbxContent>
                  </v:textbox>
                </v:rect>
                <v:shape id="自选图形 1089" o:spid="_x0000_s1026" o:spt="32" type="#_x0000_t32" style="position:absolute;left:3240405;top:675005;height:635;width:551815;" filled="f" stroked="t" coordsize="21600,21600" o:gfxdata="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3v5b3XAAAABQEAAA8AAAAAAAAAAQAgAAAA&#10;IgAAAGRycy9kb3ducmV2LnhtbFBLAQIUABQAAAAIAIdO4kCs3890DAIAAPgDAAAOAAAAAAAAAAEA&#10;IAAAACYBAABkcnMvZTJvRG9jLnhtbFBLBQYAAAAABgAGAFkBAACkBQAAAAA=&#10;">
                  <v:fill on="f" focussize="0,0"/>
                  <v:stroke color="#000000" joinstyle="round" endarrow="block"/>
                  <v:imagedata o:title=""/>
                  <o:lock v:ext="edit" aspectratio="f"/>
                </v:shape>
                <v:shape id="自选图形 1090" o:spid="_x0000_s1026" o:spt="32" type="#_x0000_t32" style="position:absolute;left:3792220;top:198755;height:1002030;width:635;" filled="f" stroked="t" coordsize="21600,21600" o:gfxdata="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2SuPcdYAAAAFAQAADwAAAAAAAAABACAAAAAiAAAAZHJz&#10;L2Rvd25yZXYueG1sUEsBAhQAFAAAAAgAh07iQA8nZyAGAgAA9QMAAA4AAAAAAAAAAQAgAAAAJQEA&#10;AGRycy9lMm9Eb2MueG1sUEsFBgAAAAAGAAYAWQEAAJ0FAAAAAA==&#10;">
                  <v:fill on="f" focussize="0,0"/>
                  <v:stroke color="#000000" joinstyle="round"/>
                  <v:imagedata o:title=""/>
                  <o:lock v:ext="edit" aspectratio="f"/>
                </v:shape>
                <v:shape id="自选图形 1091" o:spid="_x0000_s1026" o:spt="32" type="#_x0000_t32" style="position:absolute;left:3792220;top:198755;height:0;width:467360;" filled="f" stroked="t" coordsize="21600,21600" o:gfxdata="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je/lvdcAAAAFAQAADwAAAAAAAAABACAA&#10;AAAiAAAAZHJzL2Rvd25yZXYueG1sUEsBAhQAFAAAAAgAh07iQOc9vNsOAgAA9gMAAA4AAAAAAAAA&#10;AQAgAAAAJgEAAGRycy9lMm9Eb2MueG1sUEsFBgAAAAAGAAYAWQEAAKYFAAAAAA==&#10;">
                  <v:fill on="f" focussize="0,0"/>
                  <v:stroke color="#000000" joinstyle="round" endarrow="block"/>
                  <v:imagedata o:title=""/>
                  <o:lock v:ext="edit" aspectratio="f"/>
                </v:shape>
                <v:shape id="自选图形 1092" o:spid="_x0000_s1026" o:spt="32" type="#_x0000_t32" style="position:absolute;left:3792220;top:1200785;height:635;width:467360;" filled="f" stroked="t" coordsize="21600,21600" o:gfxdata="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3v5b3XAAAABQEAAA8AAAAAAAAAAQAg&#10;AAAAIgAAAGRycy9kb3ducmV2LnhtbFBLAQIUABQAAAAIAIdO4kCJdRlPDwIAAPkDAAAOAAAAAAAA&#10;AAEAIAAAACYBAABkcnMvZTJvRG9jLnhtbFBLBQYAAAAABgAGAFkBAACnBQAAAAA=&#10;">
                  <v:fill on="f" focussize="0,0"/>
                  <v:stroke color="#000000" joinstyle="round" endarrow="block"/>
                  <v:imagedata o:title=""/>
                  <o:lock v:ext="edit" aspectratio="f"/>
                </v:shape>
                <v:rect id="矩形 1093" o:spid="_x0000_s1026" o:spt="1" style="position:absolute;left:4259580;top:94615;height:256540;width:609600;" fillcolor="#FFFFFF" filled="t" stroked="t" coordsize="21600,21600" o:gfxdata="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5MYDdUAAAAFAQAADwAAAAAAAAABACAA&#10;AAAiAAAAZHJzL2Rvd25yZXYueG1sUEsBAhQAFAAAAAgAh07iQEOgCTMQAgAANwQAAA4AAAAAAAAA&#10;AQAgAAAAJAEAAGRycy9lMm9Eb2MueG1sUEsFBgAAAAAGAAYAWQEAAKYFAAAAAA==&#10;">
                  <v:fill on="t" focussize="0,0"/>
                  <v:stroke color="#000000" joinstyle="miter"/>
                  <v:imagedata o:title=""/>
                  <o:lock v:ext="edit" aspectratio="f"/>
                  <v:textbox>
                    <w:txbxContent>
                      <w:p>
                        <w:r>
                          <w:rPr>
                            <w:rFonts w:hint="eastAsia"/>
                          </w:rPr>
                          <w:t>食堂</w:t>
                        </w:r>
                      </w:p>
                    </w:txbxContent>
                  </v:textbox>
                </v:rect>
                <v:rect id="矩形 1094" o:spid="_x0000_s1026" o:spt="1" style="position:absolute;left:4259580;top:1061085;height:256540;width:952500;" fillcolor="#FFFFFF" filled="t" stroked="t" coordsize="21600,21600" o:gfxdata="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5MYDdUAAAAFAQAADwAAAAAAAAABACAA&#10;AAAiAAAAZHJzL2Rvd25yZXYueG1sUEsBAhQAFAAAAAgAh07iQGkNq2QQAgAAOQQAAA4AAAAAAAAA&#10;AQAgAAAAJAEAAGRycy9lMm9Eb2MueG1sUEsFBgAAAAAGAAYAWQEAAKYFAAAAAA==&#10;">
                  <v:fill on="t" focussize="0,0"/>
                  <v:stroke color="#000000" joinstyle="miter"/>
                  <v:imagedata o:title=""/>
                  <o:lock v:ext="edit" aspectratio="f"/>
                  <v:textbox>
                    <w:txbxContent>
                      <w:p>
                        <w:r>
                          <w:rPr>
                            <w:rFonts w:hint="eastAsia"/>
                          </w:rPr>
                          <w:t>火炬燃烧</w:t>
                        </w:r>
                      </w:p>
                    </w:txbxContent>
                  </v:textbox>
                </v:rect>
                <v:rect id="矩形 1096" o:spid="_x0000_s1026" o:spt="1" style="position:absolute;left:1630680;top:313690;height:256540;width:685165;" filled="f" stroked="f" coordsize="21600,21600" o:gfxdata="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Prz&#10;AtjXAAAABQEAAA8AAAAAAAAAAQAgAAAAIgAAAGRycy9kb3ducmV2LnhtbFBLAQIUABQAAAAIAIdO&#10;4kBSdTpIsgEAAFADAAAOAAAAAAAAAAEAIAAAACYBAABkcnMvZTJvRG9jLnhtbFBLBQYAAAAABgAG&#10;AFkBAABKBQAAAAA=&#10;">
                  <v:fill on="f" focussize="0,0"/>
                  <v:stroke on="f"/>
                  <v:imagedata o:title=""/>
                  <o:lock v:ext="edit" aspectratio="f"/>
                  <v:textbox>
                    <w:txbxContent>
                      <w:p>
                        <w:pPr>
                          <w:rPr>
                            <w:rFonts w:hint="eastAsia" w:eastAsia="宋体"/>
                            <w:lang w:eastAsia="zh-CN"/>
                          </w:rPr>
                        </w:pPr>
                        <w:r>
                          <w:rPr>
                            <w:rFonts w:hint="eastAsia"/>
                            <w:lang w:eastAsia="zh-CN"/>
                          </w:rPr>
                          <w:t>105.86</w:t>
                        </w:r>
                      </w:p>
                    </w:txbxContent>
                  </v:textbox>
                </v:rect>
                <v:rect id="矩形 1097" o:spid="_x0000_s1026" o:spt="1" style="position:absolute;left:1725930;top:1696720;height:256540;width:664210;" filled="f" stroked="f" coordsize="21600,21600" o:gfxdata="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vMC&#10;2NcAAAAFAQAADwAAAAAAAAABACAAAAAiAAAAZHJzL2Rvd25yZXYueG1sUEsBAhQAFAAAAAgAh07i&#10;QI/NbEixAQAAUQMAAA4AAAAAAAAAAQAgAAAAJgEAAGRycy9lMm9Eb2MueG1sUEsFBgAAAAAGAAYA&#10;WQEAAEkFAAAAAA==&#10;">
                  <v:fill on="f" focussize="0,0"/>
                  <v:stroke on="f"/>
                  <v:imagedata o:title=""/>
                  <o:lock v:ext="edit" aspectratio="f"/>
                  <v:textbox>
                    <w:txbxContent>
                      <w:p>
                        <w:pPr>
                          <w:rPr>
                            <w:rFonts w:hint="eastAsia" w:eastAsia="宋体"/>
                            <w:lang w:eastAsia="zh-CN"/>
                          </w:rPr>
                        </w:pPr>
                        <w:r>
                          <w:rPr>
                            <w:rFonts w:hint="eastAsia"/>
                            <w:lang w:eastAsia="zh-CN"/>
                          </w:rPr>
                          <w:t>70.69</w:t>
                        </w:r>
                      </w:p>
                    </w:txbxContent>
                  </v:textbox>
                </v:rect>
                <v:rect id="矩形 1098" o:spid="_x0000_s1026" o:spt="1" style="position:absolute;left:3792220;top:0;height:256540;width:542290;" filled="f" stroked="f" coordsize="21600,21600" o:gfxdata="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68wLY1wAA&#10;AAUBAAAPAAAAAAAAAAEAIAAAACIAAABkcnMvZG93bnJldi54bWxQSwECFAAUAAAACACHTuJAQkAm&#10;cK0BAABLAwAADgAAAAAAAAABACAAAAAmAQAAZHJzL2Uyb0RvYy54bWxQSwUGAAAAAAYABgBZAQAA&#10;RQUAAAAA&#10;">
                  <v:fill on="f" focussize="0,0"/>
                  <v:stroke on="f"/>
                  <v:imagedata o:title=""/>
                  <o:lock v:ext="edit" aspectratio="f"/>
                  <v:textbox>
                    <w:txbxContent>
                      <w:p>
                        <w:pPr>
                          <w:rPr>
                            <w:rFonts w:hint="eastAsia"/>
                          </w:rPr>
                        </w:pPr>
                        <w:r>
                          <w:rPr>
                            <w:rFonts w:hint="eastAsia"/>
                          </w:rPr>
                          <w:t>8</w:t>
                        </w:r>
                      </w:p>
                    </w:txbxContent>
                  </v:textbox>
                </v:rect>
                <v:rect id="矩形 1099" o:spid="_x0000_s1026" o:spt="1" style="position:absolute;left:3726180;top:958850;height:256540;width:665480;" filled="f" stroked="f" coordsize="21600,21600" o:gfxdata="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vMC2NcA&#10;AAAFAQAADwAAAAAAAAABACAAAAAiAAAAZHJzL2Rvd25yZXYueG1sUEsBAhQAFAAAAAgAh07iQBUc&#10;WnmuAQAAUAMAAA4AAAAAAAAAAQAgAAAAJgEAAGRycy9lMm9Eb2MueG1sUEsFBgAAAAAGAAYAWQEA&#10;AEYFAAAAAA==&#10;">
                  <v:fill on="f" focussize="0,0"/>
                  <v:stroke on="f"/>
                  <v:imagedata o:title=""/>
                  <o:lock v:ext="edit" aspectratio="f"/>
                  <v:textbox>
                    <w:txbxContent>
                      <w:p>
                        <w:pPr>
                          <w:rPr>
                            <w:rFonts w:hint="default" w:eastAsia="宋体"/>
                            <w:lang w:val="en-US" w:eastAsia="zh-CN"/>
                          </w:rPr>
                        </w:pPr>
                        <w:r>
                          <w:rPr>
                            <w:rFonts w:hint="eastAsia"/>
                            <w:lang w:val="en-US" w:eastAsia="zh-CN"/>
                          </w:rPr>
                          <w:t>97.86</w:t>
                        </w:r>
                      </w:p>
                    </w:txbxContent>
                  </v:textbox>
                </v:rect>
                <v:shape id="自选图形 1100" o:spid="_x0000_s1026" o:spt="32" type="#_x0000_t32" style="position:absolute;left:3316605;top:1998980;height:635;width:565150;" filled="f" stroked="t" coordsize="21600,21600" o:gfxdata="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3v5b3XAAAABQEAAA8AAAAAAAAAAQAgAAAA&#10;IgAAAGRycy9kb3ducmV2LnhtbFBLAQIUABQAAAAIAIdO4kADcdR1DAIAAPkDAAAOAAAAAAAAAAEA&#10;IAAAACYBAABkcnMvZTJvRG9jLnhtbFBLBQYAAAAABgAGAFkBAACkBQAAAAA=&#10;">
                  <v:fill on="f" focussize="0,0"/>
                  <v:stroke color="#000000" joinstyle="round" endarrow="block"/>
                  <v:imagedata o:title=""/>
                  <o:lock v:ext="edit" aspectratio="f"/>
                </v:shape>
                <v:rect id="矩形 1102" o:spid="_x0000_s1026" o:spt="1" style="position:absolute;left:3859530;top:2195195;height:256540;width:661035;" filled="f" stroked="f" coordsize="21600,21600" o:gfxdata="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Prz&#10;AtjXAAAABQEAAA8AAAAAAAAAAQAgAAAAIgAAAGRycy9kb3ducmV2LnhtbFBLAQIUABQAAAAIAIdO&#10;4kCQRy3jsgEAAFEDAAAOAAAAAAAAAAEAIAAAACYBAABkcnMvZTJvRG9jLnhtbFBLBQYAAAAABgAG&#10;AFkBAABKBQAAAAA=&#10;">
                  <v:fill on="f" focussize="0,0"/>
                  <v:stroke on="f"/>
                  <v:imagedata o:title=""/>
                  <o:lock v:ext="edit" aspectratio="f"/>
                  <v:textbox>
                    <w:txbxContent>
                      <w:p>
                        <w:pPr>
                          <w:rPr>
                            <w:rFonts w:hint="default" w:eastAsia="宋体"/>
                            <w:lang w:val="en-US" w:eastAsia="zh-CN"/>
                          </w:rPr>
                        </w:pPr>
                        <w:r>
                          <w:rPr>
                            <w:rFonts w:hint="eastAsia"/>
                            <w:lang w:val="en-US" w:eastAsia="zh-CN"/>
                          </w:rPr>
                          <w:t>62.69</w:t>
                        </w:r>
                      </w:p>
                    </w:txbxContent>
                  </v:textbox>
                </v:rect>
                <v:shape id="自选图形 1104" o:spid="_x0000_s1026" o:spt="32" type="#_x0000_t32" style="position:absolute;left:3896995;top:2451735;height:635;width:533400;" filled="f" stroked="t" coordsize="21600,21600" o:gfxdata="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N7+W91wAAAAUBAAAPAAAAAAAAAAEA&#10;IAAAACIAAABkcnMvZG93bnJldi54bWxQSwECFAAUAAAACACHTuJArzXaFxACAAD5AwAADgAAAAAA&#10;AAABACAAAAAmAQAAZHJzL2Uyb0RvYy54bWxQSwUGAAAAAAYABgBZAQAAqAUAAAAA&#10;">
                  <v:fill on="f" focussize="0,0"/>
                  <v:stroke color="#000000" joinstyle="round" endarrow="block"/>
                  <v:imagedata o:title=""/>
                  <o:lock v:ext="edit" aspectratio="f"/>
                </v:shape>
                <v:shape id="自选图形 1105" o:spid="_x0000_s1026" o:spt="32" type="#_x0000_t32" style="position:absolute;left:3896995;top:1562735;height:635;width:533400;" filled="f" stroked="t" coordsize="21600,21600" o:gfxdata="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je/lvdcAAAAFAQAADwAAAAAAAAAB&#10;ACAAAAAiAAAAZHJzL2Rvd25yZXYueG1sUEsBAhQAFAAAAAgAh07iQC/uxa4RAgAA+QMAAA4AAAAA&#10;AAAAAQAgAAAAJgEAAGRycy9lMm9Eb2MueG1sUEsFBgAAAAAGAAYAWQEAAKkFAAAAAA==&#10;">
                  <v:fill on="f" focussize="0,0"/>
                  <v:stroke color="#000000" joinstyle="round" endarrow="block"/>
                  <v:imagedata o:title=""/>
                  <o:lock v:ext="edit" aspectratio="f"/>
                </v:shape>
                <v:rect id="矩形 1106" o:spid="_x0000_s1026" o:spt="1" style="position:absolute;left:4411980;top:2249170;height:256540;width:981075;" fillcolor="#FFFFFF" filled="t" stroked="t" coordsize="21600,21600" o:gfxdata="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5MYDdUAAAAFAQAADwAAAAAAAAABACAA&#10;AAAiAAAAZHJzL2Rvd25yZXYueG1sUEsBAhQAFAAAAAgAh07iQBiaVZsQAgAAOQQAAA4AAAAAAAAA&#10;AQAgAAAAJAEAAGRycy9lMm9Eb2MueG1sUEsFBgAAAAAGAAYAWQEAAKYFAAAAAA==&#10;">
                  <v:fill on="t" focussize="0,0"/>
                  <v:stroke color="#000000" joinstyle="miter"/>
                  <v:imagedata o:title=""/>
                  <o:lock v:ext="edit" aspectratio="f"/>
                  <v:textbox>
                    <w:txbxContent>
                      <w:p>
                        <w:r>
                          <w:rPr>
                            <w:rFonts w:hint="eastAsia"/>
                          </w:rPr>
                          <w:t>火炬燃烧</w:t>
                        </w:r>
                      </w:p>
                      <w:p/>
                    </w:txbxContent>
                  </v:textbox>
                </v:rect>
                <v:rect id="矩形 1107" o:spid="_x0000_s1026" o:spt="1" style="position:absolute;left:4411980;top:1440180;height:256540;width:609600;" fillcolor="#FFFFFF" filled="t" stroked="t" coordsize="21600,21600" o:gfxdata="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D+TGA3VAAAABQEAAA8AAAAAAAAAAQAg&#10;AAAAIgAAAGRycy9kb3ducmV2LnhtbFBLAQIUABQAAAAIAIdO4kAj7Vi5EQIAADkEAAAOAAAAAAAA&#10;AAEAIAAAACQBAABkcnMvZTJvRG9jLnhtbFBLBQYAAAAABgAGAFkBAACnBQAAAAA=&#10;">
                  <v:fill on="t" focussize="0,0"/>
                  <v:stroke color="#000000" joinstyle="miter"/>
                  <v:imagedata o:title=""/>
                  <o:lock v:ext="edit" aspectratio="f"/>
                  <v:textbox>
                    <w:txbxContent>
                      <w:p>
                        <w:r>
                          <w:rPr>
                            <w:rFonts w:hint="eastAsia"/>
                          </w:rPr>
                          <w:t>食堂</w:t>
                        </w:r>
                      </w:p>
                    </w:txbxContent>
                  </v:textbox>
                </v:rect>
                <v:rect id="矩形 1108" o:spid="_x0000_s1026" o:spt="1" style="position:absolute;left:3896995;top:1284605;height:256540;width:542290;" filled="f" stroked="f" coordsize="21600,21600" o:gfxdata="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vMC2NcAAAAFAQAADwAAAAAAAAABACAAAAAiAAAAZHJzL2Rvd25yZXYueG1sUEsBAhQAFAAAAAgA&#10;h07iQHIxg820AQAAUQMAAA4AAAAAAAAAAQAgAAAAJgEAAGRycy9lMm9Eb2MueG1sUEsFBgAAAAAG&#10;AAYAWQEAAEwFAAAAAA==&#10;">
                  <v:fill on="f" focussize="0,0"/>
                  <v:stroke on="f"/>
                  <v:imagedata o:title=""/>
                  <o:lock v:ext="edit" aspectratio="f"/>
                  <v:textbox>
                    <w:txbxContent>
                      <w:p>
                        <w:pPr>
                          <w:rPr>
                            <w:rFonts w:hint="eastAsia"/>
                          </w:rPr>
                        </w:pPr>
                        <w:r>
                          <w:rPr>
                            <w:rFonts w:hint="eastAsia"/>
                          </w:rPr>
                          <w:t>8</w:t>
                        </w:r>
                      </w:p>
                    </w:txbxContent>
                  </v:textbox>
                </v:rect>
                <v:shape id="自选图形 1347" o:spid="_x0000_s1026" o:spt="32" type="#_x0000_t32" style="position:absolute;left:3907155;top:1562735;height:914400;width:0;" filled="f" stroked="t" coordsize="21600,21600" o:gfxdata="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ZK49x1gAAAAUBAAAPAAAAAAAAAAEAIAAAACIAAABk&#10;cnMvZG93bnJldi54bWxQSwECFAAUAAAACACHTuJAEQ5cQAgCAADzAwAADgAAAAAAAAABACAAAAAl&#10;AQAAZHJzL2Uyb0RvYy54bWxQSwUGAAAAAAYABgBZAQAAnwUAAAAA&#10;">
                  <v:fill on="f" focussize="0,0"/>
                  <v:stroke color="#000000" joinstyle="round"/>
                  <v:imagedata o:title=""/>
                  <o:lock v:ext="edit" aspectratio="f"/>
                </v:shape>
                <w10:wrap type="none"/>
                <w10:anchorlock/>
              </v:group>
            </w:pict>
          </mc:Fallback>
        </mc:AlternateContent>
      </w:r>
    </w:p>
    <w:p>
      <w:pPr>
        <w:spacing w:line="520" w:lineRule="exact"/>
        <w:jc w:val="center"/>
        <w:rPr>
          <w:rFonts w:hint="eastAsia"/>
          <w:b/>
          <w:snapToGrid w:val="0"/>
          <w:kern w:val="0"/>
          <w:sz w:val="24"/>
        </w:rPr>
      </w:pPr>
      <w:r>
        <w:rPr>
          <w:b/>
          <w:snapToGrid w:val="0"/>
          <w:kern w:val="0"/>
          <w:sz w:val="24"/>
        </w:rPr>
        <w:t>图2.2-7      沼气利用平衡图</w:t>
      </w:r>
      <w:r>
        <w:rPr>
          <w:rFonts w:hint="eastAsia"/>
          <w:b/>
          <w:snapToGrid w:val="0"/>
          <w:kern w:val="0"/>
          <w:sz w:val="24"/>
        </w:rPr>
        <w:t>（</w:t>
      </w:r>
      <w:r>
        <w:rPr>
          <w:b/>
          <w:snapToGrid w:val="0"/>
          <w:kern w:val="0"/>
          <w:sz w:val="24"/>
        </w:rPr>
        <w:t>m</w:t>
      </w:r>
      <w:r>
        <w:rPr>
          <w:b/>
          <w:snapToGrid w:val="0"/>
          <w:kern w:val="0"/>
          <w:sz w:val="24"/>
          <w:vertAlign w:val="superscript"/>
        </w:rPr>
        <w:t>3</w:t>
      </w:r>
      <w:r>
        <w:rPr>
          <w:b/>
          <w:snapToGrid w:val="0"/>
          <w:kern w:val="0"/>
          <w:sz w:val="24"/>
        </w:rPr>
        <w:t>/d</w:t>
      </w:r>
      <w:r>
        <w:rPr>
          <w:rFonts w:hint="eastAsia"/>
          <w:b/>
          <w:snapToGrid w:val="0"/>
          <w:kern w:val="0"/>
          <w:sz w:val="24"/>
        </w:rPr>
        <w:t>）</w:t>
      </w:r>
    </w:p>
    <w:p>
      <w:pPr>
        <w:pStyle w:val="4"/>
        <w:numPr>
          <w:ilvl w:val="0"/>
          <w:numId w:val="0"/>
        </w:numPr>
        <w:spacing w:before="0" w:after="0" w:line="520" w:lineRule="exact"/>
        <w:rPr>
          <w:sz w:val="24"/>
          <w:szCs w:val="24"/>
        </w:rPr>
      </w:pPr>
      <w:r>
        <w:rPr>
          <w:sz w:val="24"/>
          <w:szCs w:val="24"/>
        </w:rPr>
        <w:t>2.2.3.5有机肥</w:t>
      </w:r>
      <w:r>
        <w:rPr>
          <w:rFonts w:hint="eastAsia"/>
          <w:sz w:val="24"/>
          <w:szCs w:val="24"/>
        </w:rPr>
        <w:t>基料</w:t>
      </w:r>
      <w:r>
        <w:rPr>
          <w:sz w:val="24"/>
          <w:szCs w:val="24"/>
        </w:rPr>
        <w:t>发酵工艺</w:t>
      </w:r>
    </w:p>
    <w:p>
      <w:pPr>
        <w:spacing w:line="520" w:lineRule="exact"/>
        <w:rPr>
          <w:sz w:val="24"/>
        </w:rPr>
      </w:pPr>
      <w:r>
        <w:rPr>
          <w:sz w:val="24"/>
        </w:rPr>
        <w:t>（1）堆肥工艺比较</w:t>
      </w:r>
    </w:p>
    <w:p>
      <w:pPr>
        <w:spacing w:line="520" w:lineRule="exact"/>
        <w:ind w:firstLine="480" w:firstLineChars="200"/>
        <w:rPr>
          <w:sz w:val="24"/>
        </w:rPr>
      </w:pPr>
      <w:r>
        <w:rPr>
          <w:sz w:val="24"/>
        </w:rPr>
        <w:t>根据堆肥技术的复杂程度以及使用情况，目前我国主要有三大类堆肥系统：条垛式、静态垛式和反应器系统。</w:t>
      </w:r>
    </w:p>
    <w:p>
      <w:pPr>
        <w:spacing w:line="500" w:lineRule="exact"/>
        <w:ind w:firstLine="480" w:firstLineChars="200"/>
        <w:rPr>
          <w:sz w:val="24"/>
        </w:rPr>
      </w:pPr>
      <w:r>
        <w:rPr>
          <w:sz w:val="24"/>
        </w:rPr>
        <w:t>项目选用专门的铲车翻堆机定期翻堆，操作简单，同时该铲车翻堆机还具有破碎的功能，可增大物料的充氧量，更有利于好氧堆肥。为减小气候条件对堆肥的影响，项目固粪处置区采用</w:t>
      </w:r>
      <w:r>
        <w:rPr>
          <w:rFonts w:hint="eastAsia"/>
          <w:sz w:val="24"/>
        </w:rPr>
        <w:t>全</w:t>
      </w:r>
      <w:r>
        <w:rPr>
          <w:sz w:val="24"/>
        </w:rPr>
        <w:t>封闭场棚结构（顶部架设彩瓦拱棚、</w:t>
      </w:r>
      <w:r>
        <w:rPr>
          <w:rFonts w:hint="eastAsia"/>
          <w:sz w:val="24"/>
        </w:rPr>
        <w:t>四</w:t>
      </w:r>
      <w:r>
        <w:rPr>
          <w:sz w:val="24"/>
        </w:rPr>
        <w:t>面设置围挡</w:t>
      </w:r>
      <w:r>
        <w:rPr>
          <w:rFonts w:hint="eastAsia"/>
          <w:sz w:val="24"/>
        </w:rPr>
        <w:t>进行封闭</w:t>
      </w:r>
      <w:r>
        <w:rPr>
          <w:sz w:val="24"/>
        </w:rPr>
        <w:t>、地面水泥硬化），受气候条件影响的程度降低；在固粪处置区通过喷洒植物型除臭剂对恶臭气体进行脱除，操作简单；公司对堆肥发酵场进行了改进，通过整合治污区，合理配置资源，一定程度上减小了堆肥所需的占地面积，同时还减少了运输粪便带来的环境污染。</w:t>
      </w:r>
    </w:p>
    <w:p>
      <w:pPr>
        <w:spacing w:line="500" w:lineRule="exact"/>
        <w:ind w:firstLine="480" w:firstLineChars="200"/>
        <w:rPr>
          <w:sz w:val="24"/>
        </w:rPr>
      </w:pPr>
      <w:r>
        <w:rPr>
          <w:sz w:val="24"/>
        </w:rPr>
        <w:t>因此本项目采用改良后的条垛堆肥方式。</w:t>
      </w:r>
    </w:p>
    <w:p>
      <w:pPr>
        <w:spacing w:line="520" w:lineRule="exact"/>
        <w:rPr>
          <w:sz w:val="24"/>
        </w:rPr>
      </w:pPr>
      <w:r>
        <w:rPr>
          <w:sz w:val="24"/>
        </w:rPr>
        <w:t>（2）堆肥工艺介绍</w:t>
      </w:r>
    </w:p>
    <w:p>
      <w:pPr>
        <w:adjustRightInd w:val="0"/>
        <w:snapToGrid w:val="0"/>
        <w:spacing w:line="520" w:lineRule="exact"/>
        <w:ind w:firstLine="480" w:firstLineChars="200"/>
        <w:rPr>
          <w:sz w:val="24"/>
        </w:rPr>
      </w:pPr>
      <w:r>
        <w:rPr>
          <w:sz w:val="24"/>
        </w:rPr>
        <w:t>本次项目采用改良条垛堆肥工艺进行粪污堆肥处理，处理工艺如下：</w:t>
      </w:r>
    </w:p>
    <w:p>
      <w:pPr>
        <w:adjustRightInd w:val="0"/>
        <w:snapToGrid w:val="0"/>
        <w:spacing w:line="520" w:lineRule="exact"/>
        <w:ind w:firstLine="480" w:firstLineChars="200"/>
        <w:rPr>
          <w:sz w:val="24"/>
        </w:rPr>
      </w:pPr>
      <w:r>
        <w:rPr>
          <w:sz w:val="24"/>
        </w:rPr>
        <w:fldChar w:fldCharType="begin"/>
      </w:r>
      <w:r>
        <w:rPr>
          <w:sz w:val="24"/>
        </w:rPr>
        <w:instrText xml:space="preserve"> = 1 \* GB3 </w:instrText>
      </w:r>
      <w:r>
        <w:rPr>
          <w:sz w:val="24"/>
        </w:rPr>
        <w:fldChar w:fldCharType="separate"/>
      </w:r>
      <w:r>
        <w:rPr>
          <w:rFonts w:hint="eastAsia" w:ascii="宋体" w:hAnsi="宋体" w:cs="宋体"/>
          <w:sz w:val="24"/>
        </w:rPr>
        <w:t>①</w:t>
      </w:r>
      <w:r>
        <w:rPr>
          <w:sz w:val="24"/>
        </w:rPr>
        <w:fldChar w:fldCharType="end"/>
      </w:r>
      <w:r>
        <w:rPr>
          <w:sz w:val="24"/>
        </w:rPr>
        <w:t>原料预处理</w:t>
      </w:r>
    </w:p>
    <w:p>
      <w:pPr>
        <w:spacing w:line="520" w:lineRule="exact"/>
        <w:ind w:firstLine="480" w:firstLineChars="200"/>
        <w:rPr>
          <w:sz w:val="24"/>
        </w:rPr>
      </w:pPr>
      <w:r>
        <w:rPr>
          <w:sz w:val="24"/>
        </w:rPr>
        <w:t>堆肥过程中，合理的碳氮比是高效堆肥发酵的前提。碳素是堆肥微生物的基本能量来源，也是微生物细胞构成的基本材料。堆肥微生物在分解含碳有机物的同时，利用部分氮素来构建自身细胞体，氮是构成细胞中蛋白质、核酸、氨基酸、酶、辅酶的重要组成部分。经过长期的实际生产与研究经验，对猪粪堆肥的C/N比设为28，本项目利用比较廉价且有机物含量高、吸附能力强的谷糠为辅料进行碳氮比调节。</w:t>
      </w:r>
    </w:p>
    <w:p>
      <w:pPr>
        <w:adjustRightInd w:val="0"/>
        <w:snapToGrid w:val="0"/>
        <w:spacing w:line="520" w:lineRule="exact"/>
        <w:ind w:firstLine="480" w:firstLineChars="200"/>
        <w:rPr>
          <w:sz w:val="24"/>
        </w:rPr>
      </w:pPr>
      <w:r>
        <w:rPr>
          <w:sz w:val="24"/>
        </w:rPr>
        <w:t>场区运营初期产生的新鲜猪粪经晾晒后，添加菌种进行发酵；后续产生的新鲜猪粪与初期产生的半成品有机肥基料混合发酵。</w:t>
      </w:r>
    </w:p>
    <w:p>
      <w:pPr>
        <w:adjustRightInd w:val="0"/>
        <w:snapToGrid w:val="0"/>
        <w:spacing w:line="520" w:lineRule="exact"/>
        <w:ind w:firstLine="480" w:firstLineChars="200"/>
        <w:rPr>
          <w:sz w:val="24"/>
        </w:rPr>
      </w:pPr>
      <w:r>
        <w:rPr>
          <w:sz w:val="24"/>
        </w:rPr>
        <w:fldChar w:fldCharType="begin"/>
      </w:r>
      <w:r>
        <w:rPr>
          <w:sz w:val="24"/>
        </w:rPr>
        <w:instrText xml:space="preserve"> = 2 \* GB3 </w:instrText>
      </w:r>
      <w:r>
        <w:rPr>
          <w:sz w:val="24"/>
        </w:rPr>
        <w:fldChar w:fldCharType="separate"/>
      </w:r>
      <w:r>
        <w:rPr>
          <w:rFonts w:hint="eastAsia" w:ascii="宋体" w:hAnsi="宋体" w:cs="宋体"/>
          <w:sz w:val="24"/>
        </w:rPr>
        <w:t>②</w:t>
      </w:r>
      <w:r>
        <w:rPr>
          <w:sz w:val="24"/>
        </w:rPr>
        <w:fldChar w:fldCharType="end"/>
      </w:r>
      <w:r>
        <w:rPr>
          <w:sz w:val="24"/>
        </w:rPr>
        <w:t>发酵</w:t>
      </w:r>
    </w:p>
    <w:p>
      <w:pPr>
        <w:adjustRightInd w:val="0"/>
        <w:snapToGrid w:val="0"/>
        <w:spacing w:line="520" w:lineRule="exact"/>
        <w:ind w:firstLine="480" w:firstLineChars="200"/>
        <w:rPr>
          <w:sz w:val="24"/>
        </w:rPr>
      </w:pPr>
      <w:r>
        <w:rPr>
          <w:sz w:val="24"/>
        </w:rPr>
        <w:t>本项目发酵为好氧发酵，发酵时间为15天。好氧发酵是在有氧气存在的条件下，利用好氧微生物的外酶将物料分解为溶解性有机质，溶解性有机质可以渗入微生物细胞内，微生物通过新陈代谢把一部分溶解性有机质氧化为简单的无机物，为微生物的生命活动提供能量，其余溶解性有机物被转化为营养物质，形成新的细胞体，使微生物不断繁殖，从而促进物料中可被生物降解的有机质向稳定的腐殖质转化。</w:t>
      </w:r>
    </w:p>
    <w:p>
      <w:pPr>
        <w:adjustRightInd w:val="0"/>
        <w:snapToGrid w:val="0"/>
        <w:spacing w:line="520" w:lineRule="exact"/>
        <w:ind w:firstLine="480" w:firstLineChars="200"/>
        <w:rPr>
          <w:sz w:val="24"/>
        </w:rPr>
      </w:pPr>
      <w:r>
        <w:rPr>
          <w:sz w:val="24"/>
        </w:rPr>
        <w:t>本项目混合后的物料用铲车翻堆机在发酵区堆成条垛状，条垛每条宽约1.8m，高1.2—1.6m。每天用铲车翻堆机翻堆一次，使物料充氧充分，可使堆体在1—3天内温度上升至25—45℃，堆体温度达到60—70℃后发酵稳定，物料中纤维素和木质素也开始分解，腐殖质开始形成。堆体温度最高能达到80℃，充分发酵后温度逐步降低。</w:t>
      </w:r>
    </w:p>
    <w:p>
      <w:pPr>
        <w:adjustRightInd w:val="0"/>
        <w:snapToGrid w:val="0"/>
        <w:spacing w:line="520" w:lineRule="exact"/>
        <w:ind w:firstLine="480" w:firstLineChars="200"/>
        <w:rPr>
          <w:sz w:val="24"/>
        </w:rPr>
      </w:pPr>
      <w:r>
        <w:rPr>
          <w:sz w:val="24"/>
        </w:rPr>
        <w:t>翻堆的同时可将物料充分混合均匀，经发酵后的物料含水率约为40%。</w:t>
      </w:r>
    </w:p>
    <w:p>
      <w:pPr>
        <w:adjustRightInd w:val="0"/>
        <w:snapToGrid w:val="0"/>
        <w:spacing w:line="520" w:lineRule="exact"/>
        <w:ind w:firstLine="480" w:firstLineChars="200"/>
        <w:rPr>
          <w:sz w:val="24"/>
        </w:rPr>
      </w:pPr>
      <w:r>
        <w:rPr>
          <w:sz w:val="24"/>
        </w:rPr>
        <w:t xml:space="preserve">本项目堆肥发酵过程分为4个阶段： </w:t>
      </w:r>
    </w:p>
    <w:p>
      <w:pPr>
        <w:adjustRightInd w:val="0"/>
        <w:snapToGrid w:val="0"/>
        <w:spacing w:line="520" w:lineRule="exact"/>
        <w:ind w:firstLine="480" w:firstLineChars="200"/>
        <w:rPr>
          <w:sz w:val="24"/>
        </w:rPr>
      </w:pPr>
      <w:r>
        <w:rPr>
          <w:sz w:val="24"/>
        </w:rPr>
        <w:t>A、升温阶段</w:t>
      </w:r>
    </w:p>
    <w:p>
      <w:pPr>
        <w:adjustRightInd w:val="0"/>
        <w:snapToGrid w:val="0"/>
        <w:spacing w:line="520" w:lineRule="exact"/>
        <w:ind w:firstLine="480" w:firstLineChars="200"/>
        <w:rPr>
          <w:sz w:val="24"/>
        </w:rPr>
      </w:pPr>
      <w:r>
        <w:rPr>
          <w:sz w:val="24"/>
        </w:rPr>
        <w:t>这个过程一般指堆肥过程的初期，在该阶段，堆肥温度逐步从环境温度上升到45℃左右，主导微生物以嗜温性微生物为主，包括细菌、真菌和放线菌，分解底物以糖类和淀粉为主，期间能发现真菌的子实体，也有动物及原生动物参与分解。</w:t>
      </w:r>
    </w:p>
    <w:p>
      <w:pPr>
        <w:adjustRightInd w:val="0"/>
        <w:snapToGrid w:val="0"/>
        <w:spacing w:line="520" w:lineRule="exact"/>
        <w:ind w:firstLine="480" w:firstLineChars="200"/>
        <w:rPr>
          <w:sz w:val="24"/>
        </w:rPr>
      </w:pPr>
      <w:r>
        <w:rPr>
          <w:sz w:val="24"/>
        </w:rPr>
        <w:t>B、高温阶段</w:t>
      </w:r>
    </w:p>
    <w:p>
      <w:pPr>
        <w:adjustRightInd w:val="0"/>
        <w:snapToGrid w:val="0"/>
        <w:spacing w:line="520" w:lineRule="exact"/>
        <w:ind w:firstLine="480" w:firstLineChars="200"/>
        <w:rPr>
          <w:sz w:val="24"/>
        </w:rPr>
      </w:pPr>
      <w:r>
        <w:rPr>
          <w:sz w:val="24"/>
        </w:rPr>
        <w:t>堆温升至45℃以上即进入高温阶段，在这一阶段，嗜温微生物受到抑制甚至死亡，而嗜热微生物则上升为主导微生物。堆肥中残留的和新生成的可溶性有机物质继续被氧化分解，复杂的有机物如半纤维素-纤维素和蛋白质也开始被强烈分解。微生物的活动交替出现，通常在50℃左右时最活跃的是嗜热性真菌和放线菌，温度上升到60℃时真菌几乎完全停止活动，仅有嗜热性细菌和放线菌活动，温度升到70℃时大多数嗜热性微生物已不再适应，并大批进入休眠和死亡阶段。</w:t>
      </w:r>
    </w:p>
    <w:p>
      <w:pPr>
        <w:adjustRightInd w:val="0"/>
        <w:snapToGrid w:val="0"/>
        <w:spacing w:line="520" w:lineRule="exact"/>
        <w:ind w:firstLine="480" w:firstLineChars="200"/>
        <w:rPr>
          <w:sz w:val="24"/>
        </w:rPr>
      </w:pPr>
      <w:r>
        <w:rPr>
          <w:sz w:val="24"/>
        </w:rPr>
        <w:t>项目采用现代化的工艺生产有机肥基料，最佳温度为55℃，这是因为大多数微生物在该温度范围内最活跃，最易分解有机物，而病原菌和寄生虫大多数可被杀死。</w:t>
      </w:r>
    </w:p>
    <w:p>
      <w:pPr>
        <w:adjustRightInd w:val="0"/>
        <w:snapToGrid w:val="0"/>
        <w:spacing w:line="520" w:lineRule="exact"/>
        <w:ind w:firstLine="480" w:firstLineChars="200"/>
        <w:rPr>
          <w:sz w:val="24"/>
        </w:rPr>
      </w:pPr>
      <w:r>
        <w:rPr>
          <w:sz w:val="24"/>
        </w:rPr>
        <w:t>C、降温阶段</w:t>
      </w:r>
    </w:p>
    <w:p>
      <w:pPr>
        <w:adjustRightInd w:val="0"/>
        <w:snapToGrid w:val="0"/>
        <w:spacing w:line="520" w:lineRule="exact"/>
        <w:ind w:firstLine="480" w:firstLineChars="200"/>
        <w:rPr>
          <w:sz w:val="24"/>
        </w:rPr>
      </w:pPr>
      <w:r>
        <w:rPr>
          <w:sz w:val="24"/>
        </w:rPr>
        <w:t>高温阶段必然造成微生物的死亡和活动减少，自然进入低温阶段。在这一阶段，嗜温性微生物又开始占据优势，对残余较难分解的有机物作进一步的分解，但微生物活性普遍下降，堆体发热量减少，温度开始下降，有机物趋于稳定化，需氧量大大减少，堆肥进入腐熟或后熟阶段。</w:t>
      </w:r>
    </w:p>
    <w:p>
      <w:pPr>
        <w:adjustRightInd w:val="0"/>
        <w:snapToGrid w:val="0"/>
        <w:spacing w:line="520" w:lineRule="exact"/>
        <w:ind w:firstLine="480" w:firstLineChars="200"/>
        <w:rPr>
          <w:sz w:val="24"/>
        </w:rPr>
      </w:pPr>
      <w:r>
        <w:rPr>
          <w:sz w:val="24"/>
        </w:rPr>
        <w:t>D、腐熟保肥阶段</w:t>
      </w:r>
    </w:p>
    <w:p>
      <w:pPr>
        <w:adjustRightInd w:val="0"/>
        <w:snapToGrid w:val="0"/>
        <w:spacing w:line="520" w:lineRule="exact"/>
        <w:ind w:firstLine="480" w:firstLineChars="200"/>
        <w:rPr>
          <w:sz w:val="24"/>
        </w:rPr>
      </w:pPr>
      <w:r>
        <w:rPr>
          <w:sz w:val="24"/>
        </w:rPr>
        <w:t>有机物大部分已经分解和稳定，温度下降，为了保持已形成的腐殖质和微量的氮、磷、钾肥等，要使腐熟的肥料保持平衡。堆肥腐熟后，体积缩小，堆温下降至稍高于气温，应将堆体压紧，有机成分处于厌氧条件下，防止出现矿质化，以利于肥力的保存。</w:t>
      </w:r>
    </w:p>
    <w:p>
      <w:pPr>
        <w:spacing w:line="520" w:lineRule="exact"/>
        <w:ind w:firstLine="480" w:firstLineChars="200"/>
        <w:rPr>
          <w:sz w:val="24"/>
        </w:rPr>
      </w:pPr>
      <w:r>
        <w:rPr>
          <w:sz w:val="24"/>
        </w:rPr>
        <w:t>发酵后的固体有机肥</w:t>
      </w:r>
      <w:r>
        <w:rPr>
          <w:rFonts w:hint="eastAsia"/>
          <w:sz w:val="24"/>
        </w:rPr>
        <w:t>基料</w:t>
      </w:r>
      <w:r>
        <w:rPr>
          <w:sz w:val="24"/>
        </w:rPr>
        <w:t>，经过腐熟度检测、质量检测、安全检测后在发酵场通过自然风干、晾晒等方法把含水量降至30%以下，然后进行人工装袋，外售。</w:t>
      </w:r>
    </w:p>
    <w:p>
      <w:pPr>
        <w:spacing w:line="520" w:lineRule="exact"/>
        <w:ind w:firstLine="480" w:firstLineChars="200"/>
        <w:rPr>
          <w:sz w:val="24"/>
        </w:rPr>
      </w:pPr>
      <w:r>
        <w:rPr>
          <w:sz w:val="24"/>
        </w:rPr>
        <w:t>本项目拟选取</w:t>
      </w:r>
      <w:r>
        <w:rPr>
          <w:rFonts w:hint="eastAsia"/>
          <w:sz w:val="24"/>
        </w:rPr>
        <w:t>堆肥</w:t>
      </w:r>
      <w:r>
        <w:rPr>
          <w:sz w:val="24"/>
        </w:rPr>
        <w:t>工艺流程如下：</w:t>
      </w:r>
    </w:p>
    <w:p>
      <w:pPr>
        <w:rPr>
          <w:sz w:val="24"/>
        </w:rPr>
      </w:pPr>
      <w:r>
        <w:rPr>
          <w:sz w:val="24"/>
        </w:rPr>
        <mc:AlternateContent>
          <mc:Choice Requires="wpc">
            <w:drawing>
              <wp:inline distT="0" distB="0" distL="114300" distR="114300">
                <wp:extent cx="5525770" cy="1103630"/>
                <wp:effectExtent l="0" t="0" r="0" b="0"/>
                <wp:docPr id="162" name="画布 50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45" name="Text Box 502"/>
                        <wps:cNvSpPr txBox="1"/>
                        <wps:spPr>
                          <a:xfrm>
                            <a:off x="47625" y="271145"/>
                            <a:ext cx="1047115" cy="377190"/>
                          </a:xfrm>
                          <a:prstGeom prst="rect">
                            <a:avLst/>
                          </a:prstGeom>
                          <a:noFill/>
                          <a:ln>
                            <a:noFill/>
                          </a:ln>
                        </wps:spPr>
                        <wps:txbx>
                          <w:txbxContent>
                            <w:p>
                              <w:pPr>
                                <w:spacing w:line="0" w:lineRule="atLeast"/>
                                <w:jc w:val="center"/>
                                <w:rPr>
                                  <w:rFonts w:ascii="宋体" w:hAnsi="宋体"/>
                                  <w:szCs w:val="21"/>
                                </w:rPr>
                              </w:pPr>
                              <w:r>
                                <w:rPr>
                                  <w:rFonts w:hint="eastAsia" w:ascii="宋体" w:hAnsi="宋体"/>
                                  <w:szCs w:val="21"/>
                                </w:rPr>
                                <w:t>半成品有机肥基料</w:t>
                              </w:r>
                            </w:p>
                          </w:txbxContent>
                        </wps:txbx>
                        <wps:bodyPr lIns="0" tIns="0" rIns="0" bIns="0" upright="1"/>
                      </wps:wsp>
                      <wps:wsp>
                        <wps:cNvPr id="146" name="Line 503"/>
                        <wps:cNvCnPr/>
                        <wps:spPr>
                          <a:xfrm rot="-5400000" flipH="1">
                            <a:off x="1250950" y="102870"/>
                            <a:ext cx="635" cy="584200"/>
                          </a:xfrm>
                          <a:prstGeom prst="line">
                            <a:avLst/>
                          </a:prstGeom>
                          <a:ln w="9525" cap="flat" cmpd="sng">
                            <a:solidFill>
                              <a:srgbClr val="000000"/>
                            </a:solidFill>
                            <a:prstDash val="solid"/>
                            <a:headEnd type="none" w="med" len="med"/>
                            <a:tailEnd type="triangle" w="med" len="med"/>
                          </a:ln>
                        </wps:spPr>
                        <wps:bodyPr upright="1"/>
                      </wps:wsp>
                      <wps:wsp>
                        <wps:cNvPr id="147" name="Line 505"/>
                        <wps:cNvCnPr/>
                        <wps:spPr>
                          <a:xfrm rot="-5400000" flipH="1">
                            <a:off x="1370965" y="291465"/>
                            <a:ext cx="635" cy="804545"/>
                          </a:xfrm>
                          <a:prstGeom prst="line">
                            <a:avLst/>
                          </a:prstGeom>
                          <a:ln w="9525" cap="flat" cmpd="sng">
                            <a:solidFill>
                              <a:srgbClr val="000000"/>
                            </a:solidFill>
                            <a:prstDash val="solid"/>
                            <a:headEnd type="none" w="med" len="med"/>
                            <a:tailEnd type="triangle" w="med" len="med"/>
                          </a:ln>
                        </wps:spPr>
                        <wps:bodyPr upright="1"/>
                      </wps:wsp>
                      <wps:wsp>
                        <wps:cNvPr id="148" name="Text Box 506"/>
                        <wps:cNvSpPr txBox="1"/>
                        <wps:spPr>
                          <a:xfrm>
                            <a:off x="1788795" y="602615"/>
                            <a:ext cx="490220" cy="2463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0" w:lineRule="atLeast"/>
                                <w:jc w:val="center"/>
                                <w:rPr>
                                  <w:rFonts w:ascii="宋体" w:hAnsi="宋体"/>
                                  <w:szCs w:val="21"/>
                                </w:rPr>
                              </w:pPr>
                              <w:r>
                                <w:rPr>
                                  <w:rFonts w:hint="eastAsia" w:ascii="宋体" w:hAnsi="宋体"/>
                                  <w:szCs w:val="21"/>
                                </w:rPr>
                                <w:t>混料</w:t>
                              </w:r>
                            </w:p>
                          </w:txbxContent>
                        </wps:txbx>
                        <wps:bodyPr upright="1"/>
                      </wps:wsp>
                      <wps:wsp>
                        <wps:cNvPr id="149" name="Text Box 507"/>
                        <wps:cNvSpPr txBox="1"/>
                        <wps:spPr>
                          <a:xfrm>
                            <a:off x="2545715" y="602615"/>
                            <a:ext cx="908685" cy="2463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szCs w:val="21"/>
                                </w:rPr>
                              </w:pPr>
                              <w:r>
                                <w:rPr>
                                  <w:rFonts w:hint="eastAsia" w:ascii="宋体" w:hAnsi="宋体"/>
                                  <w:szCs w:val="21"/>
                                </w:rPr>
                                <w:t>条垛发酵堆</w:t>
                              </w:r>
                            </w:p>
                          </w:txbxContent>
                        </wps:txbx>
                        <wps:bodyPr upright="1"/>
                      </wps:wsp>
                      <wps:wsp>
                        <wps:cNvPr id="150" name="Line 508"/>
                        <wps:cNvCnPr/>
                        <wps:spPr>
                          <a:xfrm>
                            <a:off x="1520825" y="387350"/>
                            <a:ext cx="7620" cy="615950"/>
                          </a:xfrm>
                          <a:prstGeom prst="line">
                            <a:avLst/>
                          </a:prstGeom>
                          <a:ln w="9525" cap="flat" cmpd="sng">
                            <a:solidFill>
                              <a:srgbClr val="000000"/>
                            </a:solidFill>
                            <a:prstDash val="solid"/>
                            <a:headEnd type="none" w="med" len="med"/>
                            <a:tailEnd type="none" w="med" len="med"/>
                          </a:ln>
                        </wps:spPr>
                        <wps:bodyPr upright="1"/>
                      </wps:wsp>
                      <wps:wsp>
                        <wps:cNvPr id="151" name="Line 509"/>
                        <wps:cNvCnPr/>
                        <wps:spPr>
                          <a:xfrm>
                            <a:off x="2282825" y="728345"/>
                            <a:ext cx="270510" cy="0"/>
                          </a:xfrm>
                          <a:prstGeom prst="line">
                            <a:avLst/>
                          </a:prstGeom>
                          <a:ln w="9525" cap="flat" cmpd="sng">
                            <a:solidFill>
                              <a:srgbClr val="000000"/>
                            </a:solidFill>
                            <a:prstDash val="solid"/>
                            <a:headEnd type="none" w="med" len="med"/>
                            <a:tailEnd type="triangle" w="med" len="med"/>
                          </a:ln>
                        </wps:spPr>
                        <wps:bodyPr upright="1"/>
                      </wps:wsp>
                      <wps:wsp>
                        <wps:cNvPr id="152" name="Text Box 510"/>
                        <wps:cNvSpPr txBox="1"/>
                        <wps:spPr>
                          <a:xfrm>
                            <a:off x="324485" y="575310"/>
                            <a:ext cx="720725" cy="307340"/>
                          </a:xfrm>
                          <a:prstGeom prst="rect">
                            <a:avLst/>
                          </a:prstGeom>
                          <a:noFill/>
                          <a:ln>
                            <a:noFill/>
                          </a:ln>
                        </wps:spPr>
                        <wps:txbx>
                          <w:txbxContent>
                            <w:p>
                              <w:pPr>
                                <w:spacing w:line="0" w:lineRule="atLeast"/>
                                <w:jc w:val="center"/>
                                <w:rPr>
                                  <w:rFonts w:ascii="宋体" w:hAnsi="宋体"/>
                                  <w:szCs w:val="21"/>
                                </w:rPr>
                              </w:pPr>
                              <w:r>
                                <w:rPr>
                                  <w:rFonts w:hint="eastAsia" w:ascii="宋体" w:hAnsi="宋体"/>
                                  <w:szCs w:val="21"/>
                                </w:rPr>
                                <w:t>猪粪</w:t>
                              </w:r>
                            </w:p>
                          </w:txbxContent>
                        </wps:txbx>
                        <wps:bodyPr lIns="0" tIns="45720" rIns="0" bIns="45720" upright="1"/>
                      </wps:wsp>
                      <wps:wsp>
                        <wps:cNvPr id="153" name="Rectangle 514"/>
                        <wps:cNvSpPr/>
                        <wps:spPr>
                          <a:xfrm>
                            <a:off x="1637665" y="490855"/>
                            <a:ext cx="2629535" cy="494030"/>
                          </a:xfrm>
                          <a:prstGeom prst="rect">
                            <a:avLst/>
                          </a:prstGeom>
                          <a:noFill/>
                          <a:ln w="9525" cap="flat" cmpd="sng">
                            <a:solidFill>
                              <a:srgbClr val="000000"/>
                            </a:solidFill>
                            <a:prstDash val="dash"/>
                            <a:miter/>
                            <a:headEnd type="none" w="med" len="med"/>
                            <a:tailEnd type="none" w="med" len="med"/>
                          </a:ln>
                        </wps:spPr>
                        <wps:bodyPr upright="1"/>
                      </wps:wsp>
                      <wps:wsp>
                        <wps:cNvPr id="154" name="Line 515"/>
                        <wps:cNvCnPr/>
                        <wps:spPr>
                          <a:xfrm flipV="1">
                            <a:off x="3067050" y="231140"/>
                            <a:ext cx="1270" cy="300990"/>
                          </a:xfrm>
                          <a:prstGeom prst="line">
                            <a:avLst/>
                          </a:prstGeom>
                          <a:ln w="9525" cap="flat" cmpd="sng">
                            <a:solidFill>
                              <a:srgbClr val="000000"/>
                            </a:solidFill>
                            <a:prstDash val="dash"/>
                            <a:headEnd type="none" w="med" len="med"/>
                            <a:tailEnd type="triangle" w="med" len="med"/>
                          </a:ln>
                        </wps:spPr>
                        <wps:bodyPr upright="1"/>
                      </wps:wsp>
                      <wps:wsp>
                        <wps:cNvPr id="155" name="Rectangle 516"/>
                        <wps:cNvSpPr/>
                        <wps:spPr>
                          <a:xfrm>
                            <a:off x="2733675" y="33020"/>
                            <a:ext cx="573405" cy="242570"/>
                          </a:xfrm>
                          <a:prstGeom prst="rect">
                            <a:avLst/>
                          </a:prstGeom>
                          <a:noFill/>
                          <a:ln>
                            <a:noFill/>
                          </a:ln>
                        </wps:spPr>
                        <wps:txbx>
                          <w:txbxContent>
                            <w:p>
                              <w:pPr>
                                <w:spacing w:line="0" w:lineRule="atLeast"/>
                                <w:jc w:val="center"/>
                                <w:rPr>
                                  <w:rFonts w:ascii="宋体" w:hAnsi="宋体"/>
                                  <w:szCs w:val="21"/>
                                </w:rPr>
                              </w:pPr>
                              <w:r>
                                <w:rPr>
                                  <w:rFonts w:hint="eastAsia" w:ascii="宋体" w:hAnsi="宋体"/>
                                  <w:szCs w:val="21"/>
                                </w:rPr>
                                <w:t>恶臭</w:t>
                              </w:r>
                            </w:p>
                          </w:txbxContent>
                        </wps:txbx>
                        <wps:bodyPr lIns="0" tIns="0" rIns="0" bIns="0" upright="1"/>
                      </wps:wsp>
                      <wps:wsp>
                        <wps:cNvPr id="156" name="Line 512"/>
                        <wps:cNvCnPr/>
                        <wps:spPr>
                          <a:xfrm>
                            <a:off x="3454400" y="730250"/>
                            <a:ext cx="257175" cy="635"/>
                          </a:xfrm>
                          <a:prstGeom prst="line">
                            <a:avLst/>
                          </a:prstGeom>
                          <a:ln w="9525" cap="flat" cmpd="sng">
                            <a:solidFill>
                              <a:srgbClr val="000000"/>
                            </a:solidFill>
                            <a:prstDash val="solid"/>
                            <a:headEnd type="none" w="med" len="med"/>
                            <a:tailEnd type="triangle" w="med" len="med"/>
                          </a:ln>
                        </wps:spPr>
                        <wps:bodyPr upright="1"/>
                      </wps:wsp>
                      <wps:wsp>
                        <wps:cNvPr id="157" name="Text Box 513"/>
                        <wps:cNvSpPr txBox="1"/>
                        <wps:spPr>
                          <a:xfrm>
                            <a:off x="4448175" y="608330"/>
                            <a:ext cx="934720" cy="2463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240" w:lineRule="exact"/>
                                <w:jc w:val="center"/>
                                <w:rPr>
                                  <w:szCs w:val="21"/>
                                </w:rPr>
                              </w:pPr>
                              <w:r>
                                <w:rPr>
                                  <w:rFonts w:hint="eastAsia" w:ascii="宋体" w:hAnsi="宋体"/>
                                  <w:szCs w:val="21"/>
                                </w:rPr>
                                <w:t>外售</w:t>
                              </w:r>
                            </w:p>
                          </w:txbxContent>
                        </wps:txbx>
                        <wps:bodyPr upright="1"/>
                      </wps:wsp>
                      <wps:wsp>
                        <wps:cNvPr id="158" name="Line 503"/>
                        <wps:cNvCnPr/>
                        <wps:spPr>
                          <a:xfrm rot="-5400000" flipH="1">
                            <a:off x="1196975" y="674370"/>
                            <a:ext cx="635" cy="584200"/>
                          </a:xfrm>
                          <a:prstGeom prst="line">
                            <a:avLst/>
                          </a:prstGeom>
                          <a:ln w="9525" cap="flat" cmpd="sng">
                            <a:solidFill>
                              <a:srgbClr val="000000"/>
                            </a:solidFill>
                            <a:prstDash val="solid"/>
                            <a:headEnd type="none" w="med" len="med"/>
                            <a:tailEnd type="triangle" w="med" len="med"/>
                          </a:ln>
                        </wps:spPr>
                        <wps:bodyPr upright="1"/>
                      </wps:wsp>
                      <wps:wsp>
                        <wps:cNvPr id="159" name="Text Box 506"/>
                        <wps:cNvSpPr txBox="1"/>
                        <wps:spPr>
                          <a:xfrm>
                            <a:off x="3695700" y="608330"/>
                            <a:ext cx="490220" cy="24638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0" w:lineRule="atLeast"/>
                                <w:jc w:val="center"/>
                                <w:rPr>
                                  <w:rFonts w:ascii="宋体" w:hAnsi="宋体"/>
                                  <w:szCs w:val="21"/>
                                </w:rPr>
                              </w:pPr>
                              <w:r>
                                <w:rPr>
                                  <w:rFonts w:hint="eastAsia" w:ascii="宋体" w:hAnsi="宋体"/>
                                  <w:szCs w:val="21"/>
                                </w:rPr>
                                <w:t>翻抛</w:t>
                              </w:r>
                            </w:p>
                          </w:txbxContent>
                        </wps:txbx>
                        <wps:bodyPr upright="1"/>
                      </wps:wsp>
                      <wps:wsp>
                        <wps:cNvPr id="160" name="Line 512"/>
                        <wps:cNvCnPr/>
                        <wps:spPr>
                          <a:xfrm>
                            <a:off x="4200525" y="726440"/>
                            <a:ext cx="257175" cy="635"/>
                          </a:xfrm>
                          <a:prstGeom prst="line">
                            <a:avLst/>
                          </a:prstGeom>
                          <a:ln w="9525" cap="flat" cmpd="sng">
                            <a:solidFill>
                              <a:srgbClr val="000000"/>
                            </a:solidFill>
                            <a:prstDash val="solid"/>
                            <a:headEnd type="none" w="med" len="med"/>
                            <a:tailEnd type="triangle" w="med" len="med"/>
                          </a:ln>
                        </wps:spPr>
                        <wps:bodyPr upright="1"/>
                      </wps:wsp>
                      <wps:wsp>
                        <wps:cNvPr id="161" name="Text Box 510"/>
                        <wps:cNvSpPr txBox="1"/>
                        <wps:spPr>
                          <a:xfrm>
                            <a:off x="356870" y="806450"/>
                            <a:ext cx="720725" cy="297180"/>
                          </a:xfrm>
                          <a:prstGeom prst="rect">
                            <a:avLst/>
                          </a:prstGeom>
                          <a:noFill/>
                          <a:ln>
                            <a:noFill/>
                          </a:ln>
                        </wps:spPr>
                        <wps:txbx>
                          <w:txbxContent>
                            <w:p>
                              <w:pPr>
                                <w:spacing w:line="0" w:lineRule="atLeast"/>
                                <w:jc w:val="center"/>
                                <w:rPr>
                                  <w:rFonts w:ascii="宋体" w:hAnsi="宋体"/>
                                  <w:szCs w:val="21"/>
                                </w:rPr>
                              </w:pPr>
                              <w:r>
                                <w:rPr>
                                  <w:rFonts w:hint="eastAsia" w:ascii="宋体" w:hAnsi="宋体"/>
                                  <w:szCs w:val="21"/>
                                </w:rPr>
                                <w:t>发酵菌种</w:t>
                              </w:r>
                            </w:p>
                          </w:txbxContent>
                        </wps:txbx>
                        <wps:bodyPr lIns="0" tIns="45720" rIns="0" bIns="45720" upright="1"/>
                      </wps:wsp>
                    </wpc:wpc>
                  </a:graphicData>
                </a:graphic>
              </wp:inline>
            </w:drawing>
          </mc:Choice>
          <mc:Fallback>
            <w:pict>
              <v:group id="画布 500" o:spid="_x0000_s1026" o:spt="203" style="height:86.9pt;width:435.1pt;" coordsize="5525770,1103630" editas="canvas" o:gfxdata="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">
                <o:lock v:ext="edit" aspectratio="f"/>
                <v:shape id="画布 500" o:spid="_x0000_s1026" style="position:absolute;left:0;top:0;height:1103630;width:5525770;" filled="f" stroked="f" coordsize="21600,21600" o:gfxdata="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">
                  <v:fill on="f" focussize="0,0"/>
                  <v:stroke on="f"/>
                  <v:imagedata o:title=""/>
                  <o:lock v:ext="edit" aspectratio="t"/>
                </v:shape>
                <v:shape id="Text Box 502" o:spid="_x0000_s1026" o:spt="202" type="#_x0000_t202" style="position:absolute;left:47625;top:271145;height:377190;width:1047115;" filled="f" stroked="f" coordsize="21600,21600" o:gfxdata="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B&#10;H1tE1QAAAAUBAAAPAAAAAAAAAAEAIAAAACIAAABkcnMvZG93bnJldi54bWxQSwECFAAUAAAACACH&#10;TuJAlIS4hLUBAAB+AwAADgAAAAAAAAABACAAAAAkAQAAZHJzL2Uyb0RvYy54bWxQSwUGAAAAAAYA&#10;BgBZAQAASwUAAAAA&#10;">
                  <v:fill on="f" focussize="0,0"/>
                  <v:stroke on="f"/>
                  <v:imagedata o:title=""/>
                  <o:lock v:ext="edit" aspectratio="f"/>
                  <v:textbox inset="0mm,0mm,0mm,0mm">
                    <w:txbxContent>
                      <w:p>
                        <w:pPr>
                          <w:spacing w:line="0" w:lineRule="atLeast"/>
                          <w:jc w:val="center"/>
                          <w:rPr>
                            <w:rFonts w:ascii="宋体" w:hAnsi="宋体"/>
                            <w:szCs w:val="21"/>
                          </w:rPr>
                        </w:pPr>
                        <w:r>
                          <w:rPr>
                            <w:rFonts w:hint="eastAsia" w:ascii="宋体" w:hAnsi="宋体"/>
                            <w:szCs w:val="21"/>
                          </w:rPr>
                          <w:t>半成品有机肥基料</w:t>
                        </w:r>
                      </w:p>
                    </w:txbxContent>
                  </v:textbox>
                </v:shape>
                <v:line id="Line 503" o:spid="_x0000_s1026" o:spt="20" style="position:absolute;left:1250950;top:102870;flip:x;height:584200;width:635;rotation:5898240f;" filled="f" stroked="t" coordsize="21600,21600" o:gfxdata="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Bd3wKrUAAAABQEAAA8AAAAAAAAAAQAgAAAAIgAAAGRycy9kb3ducmV2&#10;LnhtbFBLAQIUABQAAAAIAIdO4kBVMy+6AAIAAAYEAAAOAAAAAAAAAAEAIAAAACMBAABkcnMvZTJv&#10;RG9jLnhtbFBLBQYAAAAABgAGAFkBAACVBQAAAAA=&#10;">
                  <v:fill on="f" focussize="0,0"/>
                  <v:stroke color="#000000" joinstyle="round" endarrow="block"/>
                  <v:imagedata o:title=""/>
                  <o:lock v:ext="edit" aspectratio="f"/>
                </v:line>
                <v:line id="Line 505" o:spid="_x0000_s1026" o:spt="20" style="position:absolute;left:1370965;top:291465;flip:x;height:804545;width:635;rotation:5898240f;" filled="f" stroked="t" coordsize="21600,21600" o:gfxdata="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Xd8Cq1AAAAAUBAAAPAAAAAAAAAAEAIAAAACIAAABkcnMvZG93bnJl&#10;di54bWxQSwECFAAUAAAACACHTuJAqxKw1AECAAAGBAAADgAAAAAAAAABACAAAAAjAQAAZHJzL2Uy&#10;b0RvYy54bWxQSwUGAAAAAAYABgBZAQAAlgUAAAAA&#10;">
                  <v:fill on="f" focussize="0,0"/>
                  <v:stroke color="#000000" joinstyle="round" endarrow="block"/>
                  <v:imagedata o:title=""/>
                  <o:lock v:ext="edit" aspectratio="f"/>
                </v:line>
                <v:shape id="Text Box 506" o:spid="_x0000_s1026" o:spt="202" type="#_x0000_t202" style="position:absolute;left:1788795;top:602615;height:246380;width:490220;" fillcolor="#FFFFFF" filled="t" stroked="t" coordsize="21600,21600" o:gfxdata="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n5FHf9UAAAAFAQAADwAAAAAAAAABACAAAAAiAAAA&#10;ZHJzL2Rvd25yZXYueG1sUEsBAhQAFAAAAAgAh07iQNqKNuYKAgAAQwQAAA4AAAAAAAAAAQAgAAAA&#10;JAEAAGRycy9lMm9Eb2MueG1sUEsFBgAAAAAGAAYAWQEAAKAFAAAAAA==&#10;">
                  <v:fill on="t" focussize="0,0"/>
                  <v:stroke color="#000000" joinstyle="miter"/>
                  <v:imagedata o:title=""/>
                  <o:lock v:ext="edit" aspectratio="f"/>
                  <v:textbox>
                    <w:txbxContent>
                      <w:p>
                        <w:pPr>
                          <w:spacing w:line="0" w:lineRule="atLeast"/>
                          <w:jc w:val="center"/>
                          <w:rPr>
                            <w:rFonts w:ascii="宋体" w:hAnsi="宋体"/>
                            <w:szCs w:val="21"/>
                          </w:rPr>
                        </w:pPr>
                        <w:r>
                          <w:rPr>
                            <w:rFonts w:hint="eastAsia" w:ascii="宋体" w:hAnsi="宋体"/>
                            <w:szCs w:val="21"/>
                          </w:rPr>
                          <w:t>混料</w:t>
                        </w:r>
                      </w:p>
                    </w:txbxContent>
                  </v:textbox>
                </v:shape>
                <v:shape id="Text Box 507" o:spid="_x0000_s1026" o:spt="202" type="#_x0000_t202" style="position:absolute;left:2545715;top:602615;height:246380;width:908685;" fillcolor="#FFFFFF" filled="t" stroked="t" coordsize="21600,21600" o:gfxdata="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&#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RR3/VAAAABQEAAA8AAAAAAAAAAQAgAAAAIgAAAGRy&#10;cy9kb3ducmV2LnhtbFBLAQIUABQAAAAIAIdO4kDwQTkOCAIAAEMEAAAOAAAAAAAAAAEAIAAAACQB&#10;AABkcnMvZTJvRG9jLnhtbFBLBQYAAAAABgAGAFkBAACeBQAAAAA=&#10;">
                  <v:fill on="t" focussize="0,0"/>
                  <v:stroke color="#000000" joinstyle="miter"/>
                  <v:imagedata o:title=""/>
                  <o:lock v:ext="edit" aspectratio="f"/>
                  <v:textbox>
                    <w:txbxContent>
                      <w:p>
                        <w:pPr>
                          <w:rPr>
                            <w:szCs w:val="21"/>
                          </w:rPr>
                        </w:pPr>
                        <w:r>
                          <w:rPr>
                            <w:rFonts w:hint="eastAsia" w:ascii="宋体" w:hAnsi="宋体"/>
                            <w:szCs w:val="21"/>
                          </w:rPr>
                          <w:t>条垛发酵堆</w:t>
                        </w:r>
                      </w:p>
                    </w:txbxContent>
                  </v:textbox>
                </v:shape>
                <v:line id="Line 508" o:spid="_x0000_s1026" o:spt="20" style="position:absolute;left:1520825;top:387350;height:615950;width:7620;" filled="f" stroked="t" coordsize="21600,21600" o:gfxdata="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fnlcf9QA&#10;AAAFAQAADwAAAAAAAAABACAAAAAiAAAAZHJzL2Rvd25yZXYueG1sUEsBAhQAFAAAAAgAh07iQEaf&#10;1l3qAQAA6gMAAA4AAAAAAAAAAQAgAAAAIwEAAGRycy9lMm9Eb2MueG1sUEsFBgAAAAAGAAYAWQEA&#10;AH8FAAAAAA==&#10;">
                  <v:fill on="f" focussize="0,0"/>
                  <v:stroke color="#000000" joinstyle="round"/>
                  <v:imagedata o:title=""/>
                  <o:lock v:ext="edit" aspectratio="f"/>
                </v:line>
                <v:line id="Line 509" o:spid="_x0000_s1026" o:spt="20" style="position:absolute;left:2282825;top:728345;height:0;width:270510;" filled="f" stroked="t" coordsize="21600,21600" o:gfxdata="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TQ3/H9YAAAAFAQAADwAAAAAAAAABACAAAAAiAAAAZHJzL2Rvd25yZXYueG1sUEsBAhQAFAAA&#10;AAgAh07iQGUceATxAQAA6wMAAA4AAAAAAAAAAQAgAAAAJQEAAGRycy9lMm9Eb2MueG1sUEsFBgAA&#10;AAAGAAYAWQEAAIgFAAAAAA==&#10;">
                  <v:fill on="f" focussize="0,0"/>
                  <v:stroke color="#000000" joinstyle="round" endarrow="block"/>
                  <v:imagedata o:title=""/>
                  <o:lock v:ext="edit" aspectratio="f"/>
                </v:line>
                <v:shape id="Text Box 510" o:spid="_x0000_s1026" o:spt="202" type="#_x0000_t202" style="position:absolute;left:324485;top:575310;height:307340;width:720725;" filled="f" stroked="f" coordsize="21600,21600" o:gfxdata="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B7fFm9YAAAAFAQAADwAAAAAAAAABACAAAAAiAAAAZHJzL2Rvd25yZXYueG1sUEsBAhQA&#10;FAAAAAgAh07iQOSjTkO7AQAAhgMAAA4AAAAAAAAAAQAgAAAAJQEAAGRycy9lMm9Eb2MueG1sUEsF&#10;BgAAAAAGAAYAWQEAAFIFAAAAAA==&#10;">
                  <v:fill on="f" focussize="0,0"/>
                  <v:stroke on="f"/>
                  <v:imagedata o:title=""/>
                  <o:lock v:ext="edit" aspectratio="f"/>
                  <v:textbox inset="0mm,1.27mm,0mm,1.27mm">
                    <w:txbxContent>
                      <w:p>
                        <w:pPr>
                          <w:spacing w:line="0" w:lineRule="atLeast"/>
                          <w:jc w:val="center"/>
                          <w:rPr>
                            <w:rFonts w:ascii="宋体" w:hAnsi="宋体"/>
                            <w:szCs w:val="21"/>
                          </w:rPr>
                        </w:pPr>
                        <w:r>
                          <w:rPr>
                            <w:rFonts w:hint="eastAsia" w:ascii="宋体" w:hAnsi="宋体"/>
                            <w:szCs w:val="21"/>
                          </w:rPr>
                          <w:t>猪粪</w:t>
                        </w:r>
                      </w:p>
                    </w:txbxContent>
                  </v:textbox>
                </v:shape>
                <v:rect id="Rectangle 514" o:spid="_x0000_s1026" o:spt="1" style="position:absolute;left:1637665;top:490855;height:494030;width:2629535;" filled="f" stroked="t" coordsize="21600,21600" o:gfxdata="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zlg6nTAAAABQEAAA8AAAAAAAAAAQAgAAAAIgAAAGRycy9kb3ducmV2LnhtbFBL&#10;AQIUABQAAAAIAIdO4kBex0mF+wEAAAYEAAAOAAAAAAAAAAEAIAAAACIBAABkcnMvZTJvRG9jLnht&#10;bFBLBQYAAAAABgAGAFkBAACPBQAAAAA=&#10;">
                  <v:fill on="f" focussize="0,0"/>
                  <v:stroke color="#000000" joinstyle="miter" dashstyle="dash"/>
                  <v:imagedata o:title=""/>
                  <o:lock v:ext="edit" aspectratio="f"/>
                </v:rect>
                <v:line id="Line 515" o:spid="_x0000_s1026" o:spt="20" style="position:absolute;left:3067050;top:231140;flip:y;height:300990;width:1270;" filled="f" stroked="t" coordsize="21600,21600" o:gfxdata="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Ut8vJ1AAAAAUBAAAPAAAAAAAAAAEAIAAAACIAAABkcnMvZG93bnJldi54bWxQ&#10;SwECFAAUAAAACACHTuJApQxhvfsBAAD3AwAADgAAAAAAAAABACAAAAAjAQAAZHJzL2Uyb0RvYy54&#10;bWxQSwUGAAAAAAYABgBZAQAAkAUAAAAA&#10;">
                  <v:fill on="f" focussize="0,0"/>
                  <v:stroke color="#000000" joinstyle="round" dashstyle="dash" endarrow="block"/>
                  <v:imagedata o:title=""/>
                  <o:lock v:ext="edit" aspectratio="f"/>
                </v:line>
                <v:rect id="Rectangle 516" o:spid="_x0000_s1026" o:spt="1" style="position:absolute;left:2733675;top:33020;height:242570;width:573405;" filled="f" stroked="f" coordsize="21600,21600" o:gfxdata="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B&#10;FjX21wAAAAUBAAAPAAAAAAAAAAEAIAAAACIAAABkcnMvZG93bnJldi54bWxQSwECFAAUAAAACACH&#10;TuJAMGH0ZbMBAAB1AwAADgAAAAAAAAABACAAAAAmAQAAZHJzL2Uyb0RvYy54bWxQSwUGAAAAAAYA&#10;BgBZAQAASwUAAAAA&#10;">
                  <v:fill on="f" focussize="0,0"/>
                  <v:stroke on="f"/>
                  <v:imagedata o:title=""/>
                  <o:lock v:ext="edit" aspectratio="f"/>
                  <v:textbox inset="0mm,0mm,0mm,0mm">
                    <w:txbxContent>
                      <w:p>
                        <w:pPr>
                          <w:spacing w:line="0" w:lineRule="atLeast"/>
                          <w:jc w:val="center"/>
                          <w:rPr>
                            <w:rFonts w:ascii="宋体" w:hAnsi="宋体"/>
                            <w:szCs w:val="21"/>
                          </w:rPr>
                        </w:pPr>
                        <w:r>
                          <w:rPr>
                            <w:rFonts w:hint="eastAsia" w:ascii="宋体" w:hAnsi="宋体"/>
                            <w:szCs w:val="21"/>
                          </w:rPr>
                          <w:t>恶臭</w:t>
                        </w:r>
                      </w:p>
                    </w:txbxContent>
                  </v:textbox>
                </v:rect>
                <v:line id="Line 512" o:spid="_x0000_s1026" o:spt="20" style="position:absolute;left:3454400;top:730250;height:635;width:257175;" filled="f" stroked="t" coordsize="21600,21600" o:gfxdata="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E0N/x/WAAAABQEAAA8AAAAAAAAAAQAgAAAAIgAAAGRycy9kb3ducmV2LnhtbFBLAQIUABQA&#10;AAAIAIdO4kAIKdlv8gEAAO0DAAAOAAAAAAAAAAEAIAAAACUBAABkcnMvZTJvRG9jLnhtbFBLBQYA&#10;AAAABgAGAFkBAACJBQAAAAA=&#10;">
                  <v:fill on="f" focussize="0,0"/>
                  <v:stroke color="#000000" joinstyle="round" endarrow="block"/>
                  <v:imagedata o:title=""/>
                  <o:lock v:ext="edit" aspectratio="f"/>
                </v:line>
                <v:shape id="Text Box 513" o:spid="_x0000_s1026" o:spt="202" type="#_x0000_t202" style="position:absolute;left:4448175;top:608330;height:246380;width:934720;" fillcolor="#FFFFFF" filled="t" stroked="t" coordsize="21600,21600" o:gfxdata="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&#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RR3/VAAAABQEAAA8AAAAAAAAAAQAgAAAAIgAAAGRy&#10;cy9kb3ducmV2LnhtbFBLAQIUABQAAAAIAIdO4kC/YQGWCAIAAEMEAAAOAAAAAAAAAAEAIAAAACQB&#10;AABkcnMvZTJvRG9jLnhtbFBLBQYAAAAABgAGAFkBAACeBQAAAAA=&#10;">
                  <v:fill on="t" focussize="0,0"/>
                  <v:stroke color="#000000" joinstyle="miter"/>
                  <v:imagedata o:title=""/>
                  <o:lock v:ext="edit" aspectratio="f"/>
                  <v:textbox>
                    <w:txbxContent>
                      <w:p>
                        <w:pPr>
                          <w:spacing w:line="240" w:lineRule="exact"/>
                          <w:jc w:val="center"/>
                          <w:rPr>
                            <w:szCs w:val="21"/>
                          </w:rPr>
                        </w:pPr>
                        <w:r>
                          <w:rPr>
                            <w:rFonts w:hint="eastAsia" w:ascii="宋体" w:hAnsi="宋体"/>
                            <w:szCs w:val="21"/>
                          </w:rPr>
                          <w:t>外售</w:t>
                        </w:r>
                      </w:p>
                    </w:txbxContent>
                  </v:textbox>
                </v:shape>
                <v:line id="Line 503" o:spid="_x0000_s1026" o:spt="20" style="position:absolute;left:1196975;top:674370;flip:x;height:584200;width:635;rotation:5898240f;" filled="f" stroked="t" coordsize="21600,21600" o:gfxdata="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F3fAqtQAAAAFAQAADwAAAAAAAAABACAAAAAiAAAAZHJzL2Rvd25y&#10;ZXYueG1sUEsBAhQAFAAAAAgAh07iQFJ9s2oCAgAABgQAAA4AAAAAAAAAAQAgAAAAIwEAAGRycy9l&#10;Mm9Eb2MueG1sUEsFBgAAAAAGAAYAWQEAAJcFAAAAAA==&#10;">
                  <v:fill on="f" focussize="0,0"/>
                  <v:stroke color="#000000" joinstyle="round" endarrow="block"/>
                  <v:imagedata o:title=""/>
                  <o:lock v:ext="edit" aspectratio="f"/>
                </v:line>
                <v:shape id="Text Box 506" o:spid="_x0000_s1026" o:spt="202" type="#_x0000_t202" style="position:absolute;left:3695700;top:608330;height:246380;width:490220;" fillcolor="#FFFFFF" filled="t" stroked="t" coordsize="21600,21600" o:gfxdata="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fkUd/1QAAAAUBAAAPAAAAAAAAAAEAIAAAACIAAABk&#10;cnMvZG93bnJldi54bWxQSwECFAAUAAAACACHTuJALNAnCQkCAABDBAAADgAAAAAAAAABACAAAAAk&#10;AQAAZHJzL2Uyb0RvYy54bWxQSwUGAAAAAAYABgBZAQAAnwUAAAAA&#10;">
                  <v:fill on="t" focussize="0,0"/>
                  <v:stroke color="#000000" joinstyle="miter"/>
                  <v:imagedata o:title=""/>
                  <o:lock v:ext="edit" aspectratio="f"/>
                  <v:textbox>
                    <w:txbxContent>
                      <w:p>
                        <w:pPr>
                          <w:spacing w:line="0" w:lineRule="atLeast"/>
                          <w:jc w:val="center"/>
                          <w:rPr>
                            <w:rFonts w:ascii="宋体" w:hAnsi="宋体"/>
                            <w:szCs w:val="21"/>
                          </w:rPr>
                        </w:pPr>
                        <w:r>
                          <w:rPr>
                            <w:rFonts w:hint="eastAsia" w:ascii="宋体" w:hAnsi="宋体"/>
                            <w:szCs w:val="21"/>
                          </w:rPr>
                          <w:t>翻抛</w:t>
                        </w:r>
                      </w:p>
                    </w:txbxContent>
                  </v:textbox>
                </v:shape>
                <v:line id="Line 512" o:spid="_x0000_s1026" o:spt="20" style="position:absolute;left:4200525;top:726440;height:635;width:257175;" filled="f" stroked="t" coordsize="21600,21600" o:gfxdata="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NDf8f1gAAAAUBAAAPAAAAAAAAAAEAIAAAACIAAABkcnMvZG93bnJldi54bWxQSwECFAAUAAAA&#10;CACHTuJAaxW49fABAADtAwAADgAAAAAAAAABACAAAAAlAQAAZHJzL2Uyb0RvYy54bWxQSwUGAAAA&#10;AAYABgBZAQAAhwUAAAAA&#10;">
                  <v:fill on="f" focussize="0,0"/>
                  <v:stroke color="#000000" joinstyle="round" endarrow="block"/>
                  <v:imagedata o:title=""/>
                  <o:lock v:ext="edit" aspectratio="f"/>
                </v:line>
                <v:shape id="Text Box 510" o:spid="_x0000_s1026" o:spt="202" type="#_x0000_t202" style="position:absolute;left:356870;top:806450;height:297180;width:720725;" filled="f" stroked="f" coordsize="21600,21600" o:gfxdata="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B7fFm9YAAAAFAQAADwAAAAAAAAABACAAAAAiAAAAZHJzL2Rvd25yZXYueG1sUEsBAhQA&#10;FAAAAAgAh07iQBYnDzK7AQAAhgMAAA4AAAAAAAAAAQAgAAAAJQEAAGRycy9lMm9Eb2MueG1sUEsF&#10;BgAAAAAGAAYAWQEAAFIFAAAAAA==&#10;">
                  <v:fill on="f" focussize="0,0"/>
                  <v:stroke on="f"/>
                  <v:imagedata o:title=""/>
                  <o:lock v:ext="edit" aspectratio="f"/>
                  <v:textbox inset="0mm,1.27mm,0mm,1.27mm">
                    <w:txbxContent>
                      <w:p>
                        <w:pPr>
                          <w:spacing w:line="0" w:lineRule="atLeast"/>
                          <w:jc w:val="center"/>
                          <w:rPr>
                            <w:rFonts w:ascii="宋体" w:hAnsi="宋体"/>
                            <w:szCs w:val="21"/>
                          </w:rPr>
                        </w:pPr>
                        <w:r>
                          <w:rPr>
                            <w:rFonts w:hint="eastAsia" w:ascii="宋体" w:hAnsi="宋体"/>
                            <w:szCs w:val="21"/>
                          </w:rPr>
                          <w:t>发酵菌种</w:t>
                        </w:r>
                      </w:p>
                    </w:txbxContent>
                  </v:textbox>
                </v:shape>
                <w10:wrap type="none"/>
                <w10:anchorlock/>
              </v:group>
            </w:pict>
          </mc:Fallback>
        </mc:AlternateContent>
      </w:r>
    </w:p>
    <w:p>
      <w:pPr>
        <w:spacing w:after="72" w:afterLines="30" w:line="500" w:lineRule="exact"/>
        <w:jc w:val="center"/>
        <w:rPr>
          <w:b/>
          <w:sz w:val="24"/>
        </w:rPr>
      </w:pPr>
      <w:r>
        <w:rPr>
          <w:b/>
          <w:sz w:val="24"/>
        </w:rPr>
        <w:t xml:space="preserve">图2.2-8   </w:t>
      </w:r>
      <w:r>
        <w:rPr>
          <w:rFonts w:hint="eastAsia"/>
          <w:b/>
          <w:sz w:val="24"/>
        </w:rPr>
        <w:t>固粪处理（堆肥）</w:t>
      </w:r>
      <w:r>
        <w:rPr>
          <w:b/>
          <w:sz w:val="24"/>
        </w:rPr>
        <w:t>工艺流程及产污环节图</w:t>
      </w:r>
    </w:p>
    <w:p>
      <w:pPr>
        <w:spacing w:line="520" w:lineRule="exact"/>
        <w:ind w:firstLine="480" w:firstLineChars="200"/>
        <w:rPr>
          <w:sz w:val="24"/>
        </w:rPr>
      </w:pPr>
      <w:r>
        <w:rPr>
          <w:sz w:val="24"/>
        </w:rPr>
        <w:t>本项目设置1个</w:t>
      </w:r>
      <w:r>
        <w:rPr>
          <w:rFonts w:hint="eastAsia"/>
          <w:sz w:val="24"/>
        </w:rPr>
        <w:t>固粪暂存区</w:t>
      </w:r>
      <w:r>
        <w:rPr>
          <w:sz w:val="24"/>
        </w:rPr>
        <w:t>，</w:t>
      </w:r>
      <w:r>
        <w:rPr>
          <w:rFonts w:hint="eastAsia"/>
          <w:sz w:val="24"/>
        </w:rPr>
        <w:t>固粪暂存区四面设置围挡，顶部设置顶棚，地面水泥混凝土硬化，能够有效起到防风、防雨、防渗的三防作用（具体布设见附图四厂区平面布置图）</w:t>
      </w:r>
      <w:r>
        <w:rPr>
          <w:sz w:val="24"/>
        </w:rPr>
        <w:t>。</w:t>
      </w:r>
    </w:p>
    <w:p>
      <w:pPr>
        <w:spacing w:line="500" w:lineRule="exact"/>
        <w:ind w:firstLine="480" w:firstLineChars="200"/>
        <w:rPr>
          <w:sz w:val="24"/>
        </w:rPr>
      </w:pPr>
      <w:r>
        <w:rPr>
          <w:sz w:val="24"/>
          <w:highlight w:val="none"/>
        </w:rPr>
        <w:t>项目猪粪、沼渣暂存依托项目固粪暂存区存放，根据后续分析，本次项目固粪暂存区猪粪量为</w:t>
      </w:r>
      <w:r>
        <w:rPr>
          <w:rFonts w:hint="eastAsia"/>
          <w:bCs/>
          <w:sz w:val="24"/>
          <w:highlight w:val="none"/>
          <w:lang w:eastAsia="zh-CN"/>
        </w:rPr>
        <w:t>344.414</w:t>
      </w:r>
      <w:r>
        <w:rPr>
          <w:sz w:val="24"/>
          <w:highlight w:val="none"/>
        </w:rPr>
        <w:t>t/a（含水率55%）。通过接种少量菌种（约</w:t>
      </w:r>
      <w:r>
        <w:rPr>
          <w:rFonts w:hint="eastAsia"/>
          <w:sz w:val="24"/>
          <w:highlight w:val="none"/>
        </w:rPr>
        <w:t>2</w:t>
      </w:r>
      <w:r>
        <w:rPr>
          <w:sz w:val="24"/>
          <w:highlight w:val="none"/>
        </w:rPr>
        <w:t>.0t/a）和发酵的半成品猪粪发酵生成有机肥基料，发酵后的固体有机肥基料，经过腐熟度检测、质量检测、安全检测后在通过自然风干、晾晒等方法把含水量降至30%以下，</w:t>
      </w:r>
      <w:r>
        <w:rPr>
          <w:sz w:val="24"/>
        </w:rPr>
        <w:t>最终有机肥基料的产量为</w:t>
      </w:r>
      <w:r>
        <w:rPr>
          <w:rFonts w:hint="eastAsia"/>
          <w:sz w:val="24"/>
          <w:lang w:eastAsia="zh-CN"/>
        </w:rPr>
        <w:t>102.2907</w:t>
      </w:r>
      <w:r>
        <w:rPr>
          <w:sz w:val="24"/>
        </w:rPr>
        <w:t>t/a。有机肥基料暂存在</w:t>
      </w:r>
      <w:r>
        <w:rPr>
          <w:rFonts w:hint="eastAsia"/>
          <w:sz w:val="24"/>
        </w:rPr>
        <w:t>固粪暂存区</w:t>
      </w:r>
      <w:r>
        <w:rPr>
          <w:sz w:val="24"/>
        </w:rPr>
        <w:t>中设置的成品堆放区堆存直接装车拉走外售。</w:t>
      </w:r>
    </w:p>
    <w:p>
      <w:pPr>
        <w:spacing w:line="520" w:lineRule="exact"/>
        <w:ind w:firstLine="480" w:firstLineChars="200"/>
        <w:rPr>
          <w:rFonts w:hAnsi="宋体"/>
          <w:sz w:val="24"/>
        </w:rPr>
      </w:pPr>
      <w:r>
        <w:rPr>
          <w:rFonts w:hAnsi="宋体"/>
          <w:sz w:val="24"/>
        </w:rPr>
        <w:t>（3）有机肥</w:t>
      </w:r>
      <w:r>
        <w:rPr>
          <w:rFonts w:hint="eastAsia" w:hAnsi="宋体"/>
          <w:sz w:val="24"/>
        </w:rPr>
        <w:t>基料</w:t>
      </w:r>
      <w:r>
        <w:rPr>
          <w:rFonts w:hAnsi="宋体"/>
          <w:sz w:val="24"/>
        </w:rPr>
        <w:t>标准</w:t>
      </w:r>
    </w:p>
    <w:p>
      <w:pPr>
        <w:spacing w:line="520" w:lineRule="exact"/>
        <w:ind w:firstLine="480" w:firstLineChars="200"/>
        <w:rPr>
          <w:rFonts w:hAnsi="宋体"/>
          <w:sz w:val="24"/>
        </w:rPr>
      </w:pPr>
      <w:r>
        <w:rPr>
          <w:rFonts w:hAnsi="宋体"/>
          <w:sz w:val="24"/>
        </w:rPr>
        <w:t>本项目有机肥</w:t>
      </w:r>
      <w:r>
        <w:rPr>
          <w:rFonts w:hint="eastAsia" w:hAnsi="宋体"/>
          <w:sz w:val="24"/>
        </w:rPr>
        <w:t>基料</w:t>
      </w:r>
      <w:r>
        <w:rPr>
          <w:rFonts w:hAnsi="宋体"/>
          <w:sz w:val="24"/>
        </w:rPr>
        <w:t>标准见表2.2-14。</w:t>
      </w:r>
    </w:p>
    <w:p>
      <w:pPr>
        <w:spacing w:line="520" w:lineRule="exact"/>
        <w:ind w:firstLine="480" w:firstLineChars="200"/>
        <w:rPr>
          <w:rFonts w:hAnsi="宋体"/>
          <w:sz w:val="24"/>
        </w:rPr>
      </w:pPr>
    </w:p>
    <w:p>
      <w:pPr>
        <w:spacing w:line="520" w:lineRule="exact"/>
        <w:ind w:firstLine="480" w:firstLineChars="200"/>
        <w:rPr>
          <w:rFonts w:hAnsi="宋体"/>
          <w:sz w:val="24"/>
        </w:rPr>
      </w:pPr>
    </w:p>
    <w:p>
      <w:pPr>
        <w:spacing w:line="520" w:lineRule="exact"/>
        <w:ind w:firstLine="1928" w:firstLineChars="800"/>
        <w:rPr>
          <w:rFonts w:hAnsi="宋体"/>
          <w:b/>
          <w:sz w:val="24"/>
        </w:rPr>
      </w:pPr>
      <w:r>
        <w:rPr>
          <w:rFonts w:hAnsi="宋体"/>
          <w:b/>
          <w:sz w:val="24"/>
        </w:rPr>
        <w:t>表2.2-14      有机肥</w:t>
      </w:r>
      <w:r>
        <w:rPr>
          <w:rFonts w:hint="eastAsia" w:hAnsi="宋体"/>
          <w:b/>
          <w:sz w:val="24"/>
        </w:rPr>
        <w:t>基料</w:t>
      </w:r>
      <w:r>
        <w:rPr>
          <w:rFonts w:hAnsi="宋体"/>
          <w:b/>
          <w:sz w:val="24"/>
        </w:rPr>
        <w:t>标准一览表</w:t>
      </w:r>
    </w:p>
    <w:tbl>
      <w:tblPr>
        <w:tblStyle w:val="1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986"/>
        <w:gridCol w:w="696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110" w:type="pct"/>
            <w:noWrap w:val="0"/>
            <w:vAlign w:val="center"/>
          </w:tcPr>
          <w:p>
            <w:pPr>
              <w:ind w:firstLine="422" w:firstLineChars="200"/>
              <w:rPr>
                <w:b/>
                <w:szCs w:val="21"/>
              </w:rPr>
            </w:pPr>
            <w:r>
              <w:rPr>
                <w:b/>
                <w:szCs w:val="21"/>
              </w:rPr>
              <w:t>项目</w:t>
            </w:r>
          </w:p>
        </w:tc>
        <w:tc>
          <w:tcPr>
            <w:tcW w:w="3890" w:type="pct"/>
            <w:noWrap w:val="0"/>
            <w:vAlign w:val="center"/>
          </w:tcPr>
          <w:p>
            <w:pPr>
              <w:ind w:firstLine="422" w:firstLineChars="200"/>
              <w:jc w:val="center"/>
              <w:rPr>
                <w:b/>
                <w:szCs w:val="21"/>
              </w:rPr>
            </w:pPr>
            <w:r>
              <w:rPr>
                <w:b/>
                <w:szCs w:val="21"/>
              </w:rPr>
              <w:t>产品标准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10" w:type="pct"/>
            <w:noWrap w:val="0"/>
            <w:vAlign w:val="center"/>
          </w:tcPr>
          <w:p>
            <w:pPr>
              <w:rPr>
                <w:szCs w:val="21"/>
              </w:rPr>
            </w:pPr>
            <w:r>
              <w:rPr>
                <w:szCs w:val="21"/>
              </w:rPr>
              <w:t>产品形态、形状</w:t>
            </w:r>
          </w:p>
        </w:tc>
        <w:tc>
          <w:tcPr>
            <w:tcW w:w="3890" w:type="pct"/>
            <w:noWrap w:val="0"/>
            <w:vAlign w:val="center"/>
          </w:tcPr>
          <w:p>
            <w:pPr>
              <w:ind w:firstLine="420" w:firstLineChars="200"/>
              <w:jc w:val="center"/>
              <w:rPr>
                <w:szCs w:val="21"/>
              </w:rPr>
            </w:pPr>
            <w:r>
              <w:rPr>
                <w:szCs w:val="21"/>
              </w:rPr>
              <w:t>固态、粉状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10" w:type="pct"/>
            <w:noWrap w:val="0"/>
            <w:vAlign w:val="center"/>
          </w:tcPr>
          <w:p>
            <w:pPr>
              <w:rPr>
                <w:szCs w:val="21"/>
              </w:rPr>
            </w:pPr>
            <w:r>
              <w:rPr>
                <w:szCs w:val="21"/>
              </w:rPr>
              <w:t>产品外观</w:t>
            </w:r>
          </w:p>
        </w:tc>
        <w:tc>
          <w:tcPr>
            <w:tcW w:w="3890" w:type="pct"/>
            <w:noWrap w:val="0"/>
            <w:vAlign w:val="center"/>
          </w:tcPr>
          <w:p>
            <w:pPr>
              <w:ind w:firstLine="420" w:firstLineChars="200"/>
              <w:jc w:val="center"/>
              <w:rPr>
                <w:szCs w:val="21"/>
              </w:rPr>
            </w:pPr>
            <w:r>
              <w:rPr>
                <w:szCs w:val="21"/>
              </w:rPr>
              <w:t>茶褐色或黑褐色、无恶臭、质地松散，具有泥土气味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10" w:type="pct"/>
            <w:vMerge w:val="restart"/>
            <w:noWrap w:val="0"/>
            <w:vAlign w:val="center"/>
          </w:tcPr>
          <w:p>
            <w:pPr>
              <w:rPr>
                <w:szCs w:val="21"/>
              </w:rPr>
            </w:pPr>
            <w:r>
              <w:rPr>
                <w:szCs w:val="21"/>
              </w:rPr>
              <w:t>产品性能指标</w:t>
            </w:r>
          </w:p>
        </w:tc>
        <w:tc>
          <w:tcPr>
            <w:tcW w:w="3890" w:type="pct"/>
            <w:noWrap w:val="0"/>
            <w:vAlign w:val="center"/>
          </w:tcPr>
          <w:p>
            <w:pPr>
              <w:ind w:firstLine="420" w:firstLineChars="200"/>
              <w:jc w:val="center"/>
              <w:rPr>
                <w:szCs w:val="21"/>
              </w:rPr>
            </w:pPr>
            <w:r>
              <w:rPr>
                <w:szCs w:val="21"/>
              </w:rPr>
              <w:t>含水率≤30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10" w:type="pct"/>
            <w:vMerge w:val="continue"/>
            <w:noWrap w:val="0"/>
            <w:vAlign w:val="center"/>
          </w:tcPr>
          <w:p>
            <w:pPr>
              <w:ind w:firstLine="420" w:firstLineChars="200"/>
              <w:rPr>
                <w:szCs w:val="21"/>
              </w:rPr>
            </w:pPr>
          </w:p>
        </w:tc>
        <w:tc>
          <w:tcPr>
            <w:tcW w:w="3890" w:type="pct"/>
            <w:noWrap w:val="0"/>
            <w:vAlign w:val="center"/>
          </w:tcPr>
          <w:p>
            <w:pPr>
              <w:ind w:firstLine="420" w:firstLineChars="200"/>
              <w:jc w:val="center"/>
              <w:rPr>
                <w:szCs w:val="21"/>
              </w:rPr>
            </w:pPr>
            <w:r>
              <w:rPr>
                <w:szCs w:val="21"/>
              </w:rPr>
              <w:t>碳氮比（C/N）≤20：1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10" w:type="pct"/>
            <w:vMerge w:val="continue"/>
            <w:noWrap w:val="0"/>
            <w:vAlign w:val="center"/>
          </w:tcPr>
          <w:p>
            <w:pPr>
              <w:ind w:firstLine="420" w:firstLineChars="200"/>
              <w:rPr>
                <w:szCs w:val="21"/>
              </w:rPr>
            </w:pPr>
          </w:p>
        </w:tc>
        <w:tc>
          <w:tcPr>
            <w:tcW w:w="3890" w:type="pct"/>
            <w:noWrap w:val="0"/>
            <w:vAlign w:val="center"/>
          </w:tcPr>
          <w:p>
            <w:pPr>
              <w:ind w:firstLine="420" w:firstLineChars="200"/>
              <w:jc w:val="center"/>
              <w:rPr>
                <w:szCs w:val="21"/>
              </w:rPr>
            </w:pPr>
            <w:r>
              <w:rPr>
                <w:szCs w:val="21"/>
              </w:rPr>
              <w:t>腐熟度≥</w:t>
            </w:r>
            <w:r>
              <w:rPr>
                <w:rFonts w:hint="eastAsia" w:ascii="宋体" w:hAnsi="宋体" w:cs="宋体"/>
                <w:szCs w:val="21"/>
              </w:rPr>
              <w:t>Ⅳ</w:t>
            </w:r>
            <w:r>
              <w:rPr>
                <w:szCs w:val="21"/>
              </w:rPr>
              <w:t>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10" w:type="pct"/>
            <w:vMerge w:val="continue"/>
            <w:noWrap w:val="0"/>
            <w:vAlign w:val="center"/>
          </w:tcPr>
          <w:p>
            <w:pPr>
              <w:ind w:firstLine="420" w:firstLineChars="200"/>
              <w:rPr>
                <w:szCs w:val="21"/>
              </w:rPr>
            </w:pPr>
          </w:p>
        </w:tc>
        <w:tc>
          <w:tcPr>
            <w:tcW w:w="3890" w:type="pct"/>
            <w:noWrap w:val="0"/>
            <w:vAlign w:val="center"/>
          </w:tcPr>
          <w:p>
            <w:pPr>
              <w:ind w:firstLine="420" w:firstLineChars="200"/>
              <w:jc w:val="center"/>
              <w:rPr>
                <w:szCs w:val="21"/>
              </w:rPr>
            </w:pPr>
            <w:r>
              <w:rPr>
                <w:szCs w:val="21"/>
              </w:rPr>
              <w:t>含盐量1%～2%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10" w:type="pct"/>
            <w:vMerge w:val="continue"/>
            <w:noWrap w:val="0"/>
            <w:vAlign w:val="center"/>
          </w:tcPr>
          <w:p>
            <w:pPr>
              <w:ind w:firstLine="420" w:firstLineChars="200"/>
              <w:rPr>
                <w:szCs w:val="21"/>
              </w:rPr>
            </w:pPr>
          </w:p>
        </w:tc>
        <w:tc>
          <w:tcPr>
            <w:tcW w:w="3890" w:type="pct"/>
            <w:noWrap w:val="0"/>
            <w:vAlign w:val="center"/>
          </w:tcPr>
          <w:p>
            <w:pPr>
              <w:ind w:firstLine="420" w:firstLineChars="200"/>
              <w:jc w:val="center"/>
              <w:rPr>
                <w:szCs w:val="21"/>
              </w:rPr>
            </w:pPr>
            <w:r>
              <w:rPr>
                <w:szCs w:val="21"/>
              </w:rPr>
              <w:t>蛔虫卵死亡率≥95%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10" w:type="pct"/>
            <w:vMerge w:val="continue"/>
            <w:noWrap w:val="0"/>
            <w:vAlign w:val="center"/>
          </w:tcPr>
          <w:p>
            <w:pPr>
              <w:ind w:firstLine="420" w:firstLineChars="200"/>
              <w:rPr>
                <w:szCs w:val="21"/>
              </w:rPr>
            </w:pPr>
          </w:p>
        </w:tc>
        <w:tc>
          <w:tcPr>
            <w:tcW w:w="3890" w:type="pct"/>
            <w:noWrap w:val="0"/>
            <w:vAlign w:val="center"/>
          </w:tcPr>
          <w:p>
            <w:pPr>
              <w:ind w:firstLine="420" w:firstLineChars="200"/>
              <w:jc w:val="center"/>
              <w:rPr>
                <w:szCs w:val="21"/>
              </w:rPr>
            </w:pPr>
            <w:r>
              <w:rPr>
                <w:szCs w:val="21"/>
              </w:rPr>
              <w:t>粪大肠菌群数≤105个/kg</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10" w:type="pct"/>
            <w:vMerge w:val="continue"/>
            <w:noWrap w:val="0"/>
            <w:vAlign w:val="center"/>
          </w:tcPr>
          <w:p>
            <w:pPr>
              <w:ind w:firstLine="420" w:firstLineChars="200"/>
              <w:rPr>
                <w:szCs w:val="21"/>
              </w:rPr>
            </w:pPr>
          </w:p>
        </w:tc>
        <w:tc>
          <w:tcPr>
            <w:tcW w:w="3890" w:type="pct"/>
            <w:noWrap w:val="0"/>
            <w:vAlign w:val="center"/>
          </w:tcPr>
          <w:p>
            <w:pPr>
              <w:ind w:firstLine="420" w:firstLineChars="200"/>
              <w:jc w:val="center"/>
              <w:rPr>
                <w:szCs w:val="21"/>
              </w:rPr>
            </w:pPr>
            <w:r>
              <w:rPr>
                <w:szCs w:val="21"/>
              </w:rPr>
              <w:t>苍蝇：有效地控制苍蝇孽生，堆体周围无活的蛆、蛹或新羽化的成蝇</w:t>
            </w:r>
          </w:p>
        </w:tc>
      </w:tr>
    </w:tbl>
    <w:p>
      <w:pPr>
        <w:spacing w:line="520" w:lineRule="exact"/>
        <w:ind w:firstLine="480" w:firstLineChars="200"/>
        <w:rPr>
          <w:sz w:val="24"/>
        </w:rPr>
      </w:pPr>
      <w:r>
        <w:rPr>
          <w:sz w:val="24"/>
        </w:rPr>
        <w:t>发酵生产的有机肥基料应能够满足《畜禽粪便无害化处理技术规范》（NY/T1168-2006）中表1粪便无害化卫生学要求以及《畜禽养殖业污染治理工程技术规范》（HJ 497－2009）中第8.2.7款要求。</w:t>
      </w:r>
    </w:p>
    <w:p>
      <w:pPr>
        <w:pStyle w:val="4"/>
        <w:numPr>
          <w:ilvl w:val="0"/>
          <w:numId w:val="0"/>
        </w:numPr>
        <w:spacing w:before="0" w:after="0" w:line="520" w:lineRule="exact"/>
        <w:rPr>
          <w:sz w:val="24"/>
          <w:szCs w:val="24"/>
        </w:rPr>
      </w:pPr>
      <w:r>
        <w:rPr>
          <w:sz w:val="24"/>
          <w:szCs w:val="24"/>
        </w:rPr>
        <w:t>2.2.3.4 病死猪处理工程</w:t>
      </w:r>
    </w:p>
    <w:p>
      <w:pPr>
        <w:pStyle w:val="25"/>
        <w:spacing w:line="520" w:lineRule="exact"/>
        <w:ind w:firstLine="480"/>
        <w:rPr>
          <w:bCs/>
          <w:kern w:val="0"/>
        </w:rPr>
      </w:pPr>
      <w:r>
        <w:rPr>
          <w:bCs/>
          <w:iCs/>
        </w:rPr>
        <w:t>病猪进入隔离猪舍进行注射治疗；一旦发现疫猪（疫死猪），</w:t>
      </w:r>
      <w:r>
        <w:rPr>
          <w:bCs/>
          <w:kern w:val="0"/>
        </w:rPr>
        <w:t>第一时间对疫猪及所在猪舍进行隔离，并向场内防疫部及</w:t>
      </w:r>
      <w:r>
        <w:rPr>
          <w:rFonts w:hint="eastAsia"/>
          <w:bCs/>
          <w:kern w:val="0"/>
        </w:rPr>
        <w:t>正阳县</w:t>
      </w:r>
      <w:r>
        <w:rPr>
          <w:bCs/>
          <w:kern w:val="0"/>
        </w:rPr>
        <w:t>动物卫生监督所汇报，在卫生监督所的监督指导下进行安全填埋处理，并对猪舍进行消毒，防止疫情扩散。</w:t>
      </w:r>
    </w:p>
    <w:p>
      <w:pPr>
        <w:widowControl/>
        <w:spacing w:line="520" w:lineRule="exact"/>
        <w:ind w:firstLine="480" w:firstLineChars="200"/>
        <w:rPr>
          <w:bCs/>
          <w:iCs/>
          <w:sz w:val="24"/>
        </w:rPr>
      </w:pPr>
      <w:r>
        <w:rPr>
          <w:bCs/>
          <w:iCs/>
          <w:sz w:val="24"/>
        </w:rPr>
        <w:t>根据《畜禽养殖业污染防治技术政策》（环发[2010]151号）中有关内容，畜禽尸体应按照有关卫生防疫规定单独进行妥善处置。染疫畜禽及其排泄物、染疫畜禽产品，病死或者死因不明的畜禽尸体等污染物，应就地进行无害化处理，严禁随意丢弃，严禁出售或作为饲料再利用。</w:t>
      </w:r>
    </w:p>
    <w:p>
      <w:pPr>
        <w:spacing w:line="520" w:lineRule="exact"/>
        <w:ind w:firstLine="480" w:firstLineChars="200"/>
        <w:rPr>
          <w:sz w:val="24"/>
        </w:rPr>
      </w:pPr>
      <w:r>
        <w:rPr>
          <w:rFonts w:hint="eastAsia"/>
          <w:sz w:val="24"/>
        </w:rPr>
        <w:t>本项目营运期间产生的病死猪尸体委托正阳畜禽无害化处理有限公司进行处理</w:t>
      </w:r>
      <w:r>
        <w:rPr>
          <w:sz w:val="24"/>
        </w:rPr>
        <w:t>。</w:t>
      </w:r>
    </w:p>
    <w:p>
      <w:pPr>
        <w:pStyle w:val="4"/>
        <w:numPr>
          <w:ilvl w:val="0"/>
          <w:numId w:val="0"/>
        </w:numPr>
        <w:spacing w:before="0" w:after="0" w:line="520" w:lineRule="exact"/>
        <w:rPr>
          <w:sz w:val="24"/>
          <w:szCs w:val="24"/>
        </w:rPr>
      </w:pPr>
      <w:r>
        <w:rPr>
          <w:sz w:val="24"/>
          <w:szCs w:val="24"/>
        </w:rPr>
        <w:t>2.2.3.</w:t>
      </w:r>
      <w:r>
        <w:rPr>
          <w:rFonts w:hint="eastAsia"/>
          <w:sz w:val="24"/>
          <w:szCs w:val="24"/>
        </w:rPr>
        <w:t>5</w:t>
      </w:r>
      <w:r>
        <w:rPr>
          <w:sz w:val="24"/>
          <w:szCs w:val="24"/>
        </w:rPr>
        <w:t xml:space="preserve"> </w:t>
      </w:r>
      <w:r>
        <w:rPr>
          <w:rFonts w:hint="eastAsia"/>
          <w:sz w:val="24"/>
          <w:szCs w:val="24"/>
        </w:rPr>
        <w:t>卫生防疫系统</w:t>
      </w:r>
    </w:p>
    <w:p>
      <w:pPr>
        <w:spacing w:line="520" w:lineRule="exact"/>
        <w:ind w:firstLine="480" w:firstLineChars="200"/>
        <w:rPr>
          <w:sz w:val="24"/>
        </w:rPr>
      </w:pPr>
      <w:r>
        <w:rPr>
          <w:sz w:val="24"/>
        </w:rPr>
        <w:t>（1）卫生防疫(猪舍、人员、车辆消毒)</w:t>
      </w:r>
    </w:p>
    <w:p>
      <w:pPr>
        <w:spacing w:line="520" w:lineRule="exact"/>
        <w:ind w:firstLine="480" w:firstLineChars="200"/>
        <w:rPr>
          <w:sz w:val="24"/>
        </w:rPr>
      </w:pPr>
      <w:r>
        <w:rPr>
          <w:sz w:val="24"/>
        </w:rPr>
        <w:t>在猪出栏后，通过高压水枪喷淋过氧乙酸对猪舍进行消毒处理，发生特别疫情时用高锰酸钾消毒液进行消毒处理。场内部养殖区、办公生活区建设实体隔离墙；场区内人员通过密封通道到达猪舍单元，饲料车和其它车辆通过专门道路到达指定区域；场区、生产场区大门口建设与门同宽，长</w:t>
      </w:r>
      <w:r>
        <w:rPr>
          <w:rFonts w:hint="eastAsia"/>
          <w:sz w:val="24"/>
        </w:rPr>
        <w:t>12</w:t>
      </w:r>
      <w:r>
        <w:rPr>
          <w:sz w:val="24"/>
        </w:rPr>
        <w:t>m，宽</w:t>
      </w:r>
      <w:r>
        <w:rPr>
          <w:rFonts w:hint="eastAsia"/>
          <w:sz w:val="24"/>
        </w:rPr>
        <w:t>3.5</w:t>
      </w:r>
      <w:r>
        <w:rPr>
          <w:sz w:val="24"/>
        </w:rPr>
        <w:t>m的消毒池。</w:t>
      </w:r>
    </w:p>
    <w:p>
      <w:pPr>
        <w:spacing w:line="520" w:lineRule="exact"/>
        <w:ind w:firstLine="480" w:firstLineChars="200"/>
        <w:rPr>
          <w:sz w:val="24"/>
        </w:rPr>
      </w:pPr>
      <w:r>
        <w:rPr>
          <w:rFonts w:hint="eastAsia"/>
          <w:sz w:val="24"/>
        </w:rPr>
        <w:t>（2）</w:t>
      </w:r>
      <w:r>
        <w:rPr>
          <w:sz w:val="24"/>
        </w:rPr>
        <w:t>消毒防疫管理制度</w:t>
      </w:r>
    </w:p>
    <w:p>
      <w:pPr>
        <w:spacing w:line="360" w:lineRule="auto"/>
        <w:ind w:firstLine="480" w:firstLineChars="200"/>
        <w:rPr>
          <w:sz w:val="24"/>
        </w:rPr>
      </w:pPr>
      <w:r>
        <w:rPr>
          <w:rFonts w:hint="eastAsia"/>
          <w:sz w:val="24"/>
        </w:rPr>
        <w:t>①</w:t>
      </w:r>
      <w:r>
        <w:rPr>
          <w:sz w:val="24"/>
        </w:rPr>
        <w:t>猪流管理制度</w:t>
      </w:r>
    </w:p>
    <w:p>
      <w:pPr>
        <w:adjustRightInd w:val="0"/>
        <w:snapToGrid w:val="0"/>
        <w:spacing w:line="360" w:lineRule="auto"/>
        <w:ind w:firstLine="523" w:firstLineChars="218"/>
        <w:rPr>
          <w:sz w:val="24"/>
        </w:rPr>
      </w:pPr>
      <w:r>
        <w:rPr>
          <w:sz w:val="24"/>
        </w:rPr>
        <w:t>段长之间要提前沟通。</w:t>
      </w:r>
    </w:p>
    <w:p>
      <w:pPr>
        <w:adjustRightInd w:val="0"/>
        <w:snapToGrid w:val="0"/>
        <w:spacing w:line="360" w:lineRule="auto"/>
        <w:ind w:firstLine="523" w:firstLineChars="218"/>
        <w:rPr>
          <w:sz w:val="24"/>
        </w:rPr>
      </w:pPr>
      <w:r>
        <w:rPr>
          <w:sz w:val="24"/>
        </w:rPr>
        <w:t>转猪群前先做好计划，安排好车辆，认真彻底消毒。</w:t>
      </w:r>
    </w:p>
    <w:p>
      <w:pPr>
        <w:adjustRightInd w:val="0"/>
        <w:snapToGrid w:val="0"/>
        <w:spacing w:line="360" w:lineRule="auto"/>
        <w:ind w:firstLine="523" w:firstLineChars="218"/>
        <w:rPr>
          <w:sz w:val="24"/>
        </w:rPr>
      </w:pPr>
      <w:r>
        <w:rPr>
          <w:sz w:val="24"/>
        </w:rPr>
        <w:t>死猪无害化处理——生产区内死亡猪尸体，应于同一天内妥善弃置于指定的区域内转走。</w:t>
      </w:r>
    </w:p>
    <w:p>
      <w:pPr>
        <w:adjustRightInd w:val="0"/>
        <w:snapToGrid w:val="0"/>
        <w:spacing w:line="360" w:lineRule="auto"/>
        <w:ind w:firstLine="523" w:firstLineChars="218"/>
        <w:rPr>
          <w:sz w:val="24"/>
        </w:rPr>
      </w:pPr>
      <w:r>
        <w:rPr>
          <w:rFonts w:hint="eastAsia" w:ascii="宋体" w:hAnsi="宋体" w:cs="宋体"/>
          <w:sz w:val="24"/>
        </w:rPr>
        <w:t>②</w:t>
      </w:r>
      <w:r>
        <w:rPr>
          <w:sz w:val="24"/>
        </w:rPr>
        <w:t>车流管理</w:t>
      </w:r>
    </w:p>
    <w:p>
      <w:pPr>
        <w:adjustRightInd w:val="0"/>
        <w:snapToGrid w:val="0"/>
        <w:spacing w:line="360" w:lineRule="auto"/>
        <w:ind w:firstLine="523" w:firstLineChars="218"/>
        <w:rPr>
          <w:sz w:val="24"/>
        </w:rPr>
      </w:pPr>
      <w:r>
        <w:rPr>
          <w:sz w:val="24"/>
        </w:rPr>
        <w:t>a、外部拉猪车</w:t>
      </w:r>
    </w:p>
    <w:p>
      <w:pPr>
        <w:adjustRightInd w:val="0"/>
        <w:snapToGrid w:val="0"/>
        <w:spacing w:line="360" w:lineRule="auto"/>
        <w:ind w:firstLine="523" w:firstLineChars="218"/>
        <w:rPr>
          <w:sz w:val="24"/>
        </w:rPr>
      </w:pPr>
      <w:r>
        <w:rPr>
          <w:sz w:val="24"/>
        </w:rPr>
        <w:t>包括</w:t>
      </w:r>
      <w:r>
        <w:rPr>
          <w:rFonts w:hint="eastAsia"/>
          <w:sz w:val="24"/>
        </w:rPr>
        <w:t>仔猪</w:t>
      </w:r>
      <w:r>
        <w:rPr>
          <w:sz w:val="24"/>
        </w:rPr>
        <w:t>、商品猪、淘汰猪等运输车辆。</w:t>
      </w:r>
    </w:p>
    <w:p>
      <w:pPr>
        <w:adjustRightInd w:val="0"/>
        <w:snapToGrid w:val="0"/>
        <w:spacing w:line="360" w:lineRule="auto"/>
        <w:ind w:firstLine="523" w:firstLineChars="218"/>
        <w:rPr>
          <w:sz w:val="24"/>
        </w:rPr>
      </w:pPr>
      <w:r>
        <w:rPr>
          <w:sz w:val="24"/>
        </w:rPr>
        <w:t>活动范围：场外装猪台区域</w:t>
      </w:r>
    </w:p>
    <w:p>
      <w:pPr>
        <w:adjustRightInd w:val="0"/>
        <w:snapToGrid w:val="0"/>
        <w:spacing w:line="360" w:lineRule="auto"/>
        <w:ind w:firstLine="523" w:firstLineChars="218"/>
        <w:rPr>
          <w:sz w:val="24"/>
        </w:rPr>
      </w:pPr>
      <w:r>
        <w:rPr>
          <w:sz w:val="24"/>
        </w:rPr>
        <w:t>消毒要求：进场检查消毒情况，出示消毒凭证，装猪后及时清刷，消毒装猪台。必须根据车辆来源，运输猪的危险性做好相应的防控，避免车辆的接触，人员的接触，乃至车辆内物品，人员的衣物等的处理。</w:t>
      </w:r>
    </w:p>
    <w:p>
      <w:pPr>
        <w:adjustRightInd w:val="0"/>
        <w:snapToGrid w:val="0"/>
        <w:spacing w:line="360" w:lineRule="auto"/>
        <w:ind w:firstLine="523" w:firstLineChars="218"/>
        <w:rPr>
          <w:sz w:val="24"/>
        </w:rPr>
      </w:pPr>
      <w:r>
        <w:rPr>
          <w:sz w:val="24"/>
        </w:rPr>
        <w:t>b、公司送料车</w:t>
      </w:r>
    </w:p>
    <w:p>
      <w:pPr>
        <w:adjustRightInd w:val="0"/>
        <w:snapToGrid w:val="0"/>
        <w:spacing w:line="360" w:lineRule="auto"/>
        <w:ind w:firstLine="523" w:firstLineChars="218"/>
        <w:rPr>
          <w:sz w:val="24"/>
        </w:rPr>
      </w:pPr>
      <w:r>
        <w:rPr>
          <w:sz w:val="24"/>
        </w:rPr>
        <w:t>活动范围：生产区指定的路线</w:t>
      </w:r>
    </w:p>
    <w:p>
      <w:pPr>
        <w:adjustRightInd w:val="0"/>
        <w:snapToGrid w:val="0"/>
        <w:spacing w:line="360" w:lineRule="auto"/>
        <w:ind w:firstLine="523" w:firstLineChars="218"/>
        <w:rPr>
          <w:sz w:val="24"/>
        </w:rPr>
      </w:pPr>
      <w:r>
        <w:rPr>
          <w:sz w:val="24"/>
        </w:rPr>
        <w:t>消毒要求：进入大门时要对车辆全面清洗消毒，经过消毒池进入场内，在生产区内卸料时要避免饲养员直接接触饲料车，可以指定专人操作，杜绝司机下车。</w:t>
      </w:r>
    </w:p>
    <w:p>
      <w:pPr>
        <w:adjustRightInd w:val="0"/>
        <w:snapToGrid w:val="0"/>
        <w:spacing w:line="360" w:lineRule="auto"/>
        <w:ind w:firstLine="523" w:firstLineChars="218"/>
        <w:rPr>
          <w:sz w:val="24"/>
        </w:rPr>
      </w:pPr>
      <w:r>
        <w:rPr>
          <w:sz w:val="24"/>
        </w:rPr>
        <w:t>c、内部转猪车辆</w:t>
      </w:r>
    </w:p>
    <w:p>
      <w:pPr>
        <w:adjustRightInd w:val="0"/>
        <w:snapToGrid w:val="0"/>
        <w:spacing w:line="360" w:lineRule="auto"/>
        <w:ind w:firstLine="523" w:firstLineChars="218"/>
        <w:rPr>
          <w:sz w:val="24"/>
        </w:rPr>
      </w:pPr>
      <w:r>
        <w:rPr>
          <w:sz w:val="24"/>
        </w:rPr>
        <w:t>活动范围：生产区内----转猪台</w:t>
      </w:r>
    </w:p>
    <w:p>
      <w:pPr>
        <w:adjustRightInd w:val="0"/>
        <w:snapToGrid w:val="0"/>
        <w:spacing w:line="360" w:lineRule="auto"/>
        <w:ind w:firstLine="523" w:firstLineChars="218"/>
        <w:rPr>
          <w:sz w:val="24"/>
        </w:rPr>
      </w:pPr>
      <w:r>
        <w:rPr>
          <w:sz w:val="24"/>
        </w:rPr>
        <w:t>消毒要求：装猪前后都要消毒，活动范围尽量缩小，在装猪台清洗消毒，清洗污水入粪池。</w:t>
      </w:r>
    </w:p>
    <w:p>
      <w:pPr>
        <w:adjustRightInd w:val="0"/>
        <w:snapToGrid w:val="0"/>
        <w:spacing w:line="360" w:lineRule="auto"/>
        <w:ind w:firstLine="523" w:firstLineChars="218"/>
        <w:rPr>
          <w:sz w:val="24"/>
        </w:rPr>
      </w:pPr>
      <w:r>
        <w:rPr>
          <w:sz w:val="24"/>
        </w:rPr>
        <w:t>d、场外其他办公车辆</w:t>
      </w:r>
    </w:p>
    <w:p>
      <w:pPr>
        <w:adjustRightInd w:val="0"/>
        <w:snapToGrid w:val="0"/>
        <w:spacing w:line="360" w:lineRule="auto"/>
        <w:ind w:firstLine="523" w:firstLineChars="218"/>
        <w:rPr>
          <w:sz w:val="24"/>
        </w:rPr>
      </w:pPr>
      <w:r>
        <w:rPr>
          <w:sz w:val="24"/>
        </w:rPr>
        <w:t>活动范围：非必要进场的车辆一律在场外，需进场车辆在生活区内停放。</w:t>
      </w:r>
    </w:p>
    <w:p>
      <w:pPr>
        <w:adjustRightInd w:val="0"/>
        <w:snapToGrid w:val="0"/>
        <w:spacing w:line="360" w:lineRule="auto"/>
        <w:ind w:firstLine="523" w:firstLineChars="218"/>
        <w:rPr>
          <w:sz w:val="24"/>
        </w:rPr>
      </w:pPr>
      <w:r>
        <w:rPr>
          <w:sz w:val="24"/>
        </w:rPr>
        <w:t>消毒要求：大门口消毒后进入。</w:t>
      </w:r>
    </w:p>
    <w:p>
      <w:pPr>
        <w:adjustRightInd w:val="0"/>
        <w:snapToGrid w:val="0"/>
        <w:spacing w:line="360" w:lineRule="auto"/>
        <w:ind w:firstLine="523" w:firstLineChars="218"/>
        <w:rPr>
          <w:sz w:val="24"/>
        </w:rPr>
      </w:pPr>
      <w:r>
        <w:rPr>
          <w:rFonts w:hint="eastAsia" w:ascii="宋体" w:hAnsi="宋体" w:cs="宋体"/>
          <w:sz w:val="24"/>
        </w:rPr>
        <w:t>③</w:t>
      </w:r>
      <w:r>
        <w:rPr>
          <w:sz w:val="24"/>
        </w:rPr>
        <w:t>人员流动管理</w:t>
      </w:r>
    </w:p>
    <w:p>
      <w:pPr>
        <w:adjustRightInd w:val="0"/>
        <w:snapToGrid w:val="0"/>
        <w:spacing w:line="360" w:lineRule="auto"/>
        <w:ind w:firstLine="523" w:firstLineChars="218"/>
        <w:rPr>
          <w:sz w:val="24"/>
        </w:rPr>
      </w:pPr>
      <w:r>
        <w:rPr>
          <w:sz w:val="24"/>
        </w:rPr>
        <w:t>请假制度：员工外出必须到办公室领取请假条，注明场区、工段、请假时间段、单元代理人后，交予领导签批(1—3天由段长签批，3天以上需由场长签批)，领导签批后将假条交予办公室存档。</w:t>
      </w:r>
    </w:p>
    <w:p>
      <w:pPr>
        <w:adjustRightInd w:val="0"/>
        <w:snapToGrid w:val="0"/>
        <w:spacing w:line="360" w:lineRule="auto"/>
        <w:ind w:firstLine="523" w:firstLineChars="218"/>
        <w:rPr>
          <w:sz w:val="24"/>
        </w:rPr>
      </w:pPr>
      <w:r>
        <w:rPr>
          <w:sz w:val="24"/>
        </w:rPr>
        <w:t>进场流程(从黑区进入灰区)：</w:t>
      </w:r>
    </w:p>
    <w:p>
      <w:pPr>
        <w:pStyle w:val="30"/>
        <w:ind w:left="2" w:firstLine="0" w:firstLineChars="0"/>
        <w:jc w:val="center"/>
        <w:rPr>
          <w:rFonts w:ascii="Times New Roman" w:hAnsi="Times New Roman"/>
          <w:sz w:val="30"/>
          <w:szCs w:val="30"/>
        </w:rPr>
      </w:pPr>
      <w:r>
        <w:rPr>
          <w:rFonts w:ascii="Times New Roman" w:hAnsi="Times New Roman"/>
          <w:sz w:val="30"/>
          <w:szCs w:val="30"/>
        </w:rPr>
        <w:drawing>
          <wp:inline distT="0" distB="0" distL="114300" distR="114300">
            <wp:extent cx="5027295" cy="400050"/>
            <wp:effectExtent l="0" t="0" r="1905" b="0"/>
            <wp:docPr id="7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4"/>
                    <pic:cNvPicPr>
                      <a:picLocks noChangeAspect="1"/>
                    </pic:cNvPicPr>
                  </pic:nvPicPr>
                  <pic:blipFill>
                    <a:blip r:embed="rId35"/>
                    <a:stretch>
                      <a:fillRect/>
                    </a:stretch>
                  </pic:blipFill>
                  <pic:spPr>
                    <a:xfrm>
                      <a:off x="0" y="0"/>
                      <a:ext cx="5027295" cy="400050"/>
                    </a:xfrm>
                    <a:prstGeom prst="rect">
                      <a:avLst/>
                    </a:prstGeom>
                    <a:noFill/>
                    <a:ln>
                      <a:noFill/>
                    </a:ln>
                  </pic:spPr>
                </pic:pic>
              </a:graphicData>
            </a:graphic>
          </wp:inline>
        </w:drawing>
      </w:r>
    </w:p>
    <w:p>
      <w:pPr>
        <w:adjustRightInd w:val="0"/>
        <w:snapToGrid w:val="0"/>
        <w:spacing w:line="360" w:lineRule="auto"/>
        <w:ind w:firstLine="523" w:firstLineChars="218"/>
        <w:rPr>
          <w:sz w:val="24"/>
          <w:szCs w:val="22"/>
        </w:rPr>
      </w:pPr>
      <w:r>
        <w:rPr>
          <w:sz w:val="24"/>
        </w:rPr>
        <w:t>进入生产区流程(灰区进入白区)：</w:t>
      </w:r>
    </w:p>
    <w:p>
      <w:pPr>
        <w:pStyle w:val="30"/>
        <w:ind w:left="2" w:firstLine="0" w:firstLineChars="0"/>
        <w:jc w:val="center"/>
        <w:rPr>
          <w:rFonts w:ascii="Times New Roman" w:hAnsi="Times New Roman"/>
          <w:sz w:val="30"/>
          <w:szCs w:val="30"/>
        </w:rPr>
      </w:pPr>
      <w:r>
        <w:rPr>
          <w:rFonts w:ascii="Times New Roman" w:hAnsi="Times New Roman"/>
          <w:sz w:val="30"/>
          <w:szCs w:val="30"/>
        </w:rPr>
        <w:drawing>
          <wp:inline distT="0" distB="0" distL="114300" distR="114300">
            <wp:extent cx="5267960" cy="419100"/>
            <wp:effectExtent l="0" t="0" r="8890" b="0"/>
            <wp:docPr id="7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5"/>
                    <pic:cNvPicPr>
                      <a:picLocks noChangeAspect="1"/>
                    </pic:cNvPicPr>
                  </pic:nvPicPr>
                  <pic:blipFill>
                    <a:blip r:embed="rId36"/>
                    <a:stretch>
                      <a:fillRect/>
                    </a:stretch>
                  </pic:blipFill>
                  <pic:spPr>
                    <a:xfrm>
                      <a:off x="0" y="0"/>
                      <a:ext cx="5267960" cy="419100"/>
                    </a:xfrm>
                    <a:prstGeom prst="rect">
                      <a:avLst/>
                    </a:prstGeom>
                    <a:noFill/>
                    <a:ln>
                      <a:noFill/>
                    </a:ln>
                  </pic:spPr>
                </pic:pic>
              </a:graphicData>
            </a:graphic>
          </wp:inline>
        </w:drawing>
      </w:r>
    </w:p>
    <w:p>
      <w:pPr>
        <w:adjustRightInd w:val="0"/>
        <w:snapToGrid w:val="0"/>
        <w:spacing w:line="360" w:lineRule="auto"/>
        <w:ind w:firstLine="523" w:firstLineChars="218"/>
        <w:rPr>
          <w:sz w:val="24"/>
          <w:szCs w:val="22"/>
        </w:rPr>
      </w:pPr>
      <w:r>
        <w:rPr>
          <w:sz w:val="24"/>
        </w:rPr>
        <w:t>进单元：</w:t>
      </w:r>
    </w:p>
    <w:p>
      <w:pPr>
        <w:pStyle w:val="30"/>
        <w:ind w:firstLine="0" w:firstLineChars="0"/>
        <w:jc w:val="center"/>
        <w:rPr>
          <w:rFonts w:ascii="Times New Roman" w:hAnsi="Times New Roman"/>
          <w:sz w:val="30"/>
          <w:szCs w:val="30"/>
        </w:rPr>
      </w:pPr>
      <w:r>
        <w:rPr>
          <w:rFonts w:ascii="Times New Roman" w:hAnsi="Times New Roman"/>
          <w:sz w:val="30"/>
          <w:szCs w:val="30"/>
        </w:rPr>
        <w:drawing>
          <wp:inline distT="0" distB="0" distL="114300" distR="114300">
            <wp:extent cx="4531360" cy="352425"/>
            <wp:effectExtent l="0" t="0" r="2540" b="0"/>
            <wp:docPr id="7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6"/>
                    <pic:cNvPicPr>
                      <a:picLocks noChangeAspect="1"/>
                    </pic:cNvPicPr>
                  </pic:nvPicPr>
                  <pic:blipFill>
                    <a:blip r:embed="rId37"/>
                    <a:stretch>
                      <a:fillRect/>
                    </a:stretch>
                  </pic:blipFill>
                  <pic:spPr>
                    <a:xfrm>
                      <a:off x="0" y="0"/>
                      <a:ext cx="4531360" cy="352425"/>
                    </a:xfrm>
                    <a:prstGeom prst="rect">
                      <a:avLst/>
                    </a:prstGeom>
                    <a:noFill/>
                    <a:ln>
                      <a:noFill/>
                    </a:ln>
                  </pic:spPr>
                </pic:pic>
              </a:graphicData>
            </a:graphic>
          </wp:inline>
        </w:drawing>
      </w:r>
    </w:p>
    <w:p>
      <w:pPr>
        <w:adjustRightInd w:val="0"/>
        <w:snapToGrid w:val="0"/>
        <w:spacing w:line="360" w:lineRule="auto"/>
        <w:ind w:firstLine="523" w:firstLineChars="218"/>
        <w:rPr>
          <w:sz w:val="30"/>
          <w:szCs w:val="30"/>
        </w:rPr>
      </w:pPr>
      <w:r>
        <w:rPr>
          <w:sz w:val="24"/>
        </w:rPr>
        <w:t>其他饲养员帮忙转猪生物安全流程：</w:t>
      </w:r>
    </w:p>
    <w:p>
      <w:pPr>
        <w:pStyle w:val="30"/>
        <w:ind w:left="1" w:firstLine="0" w:firstLineChars="0"/>
        <w:jc w:val="center"/>
        <w:rPr>
          <w:rFonts w:ascii="Times New Roman" w:hAnsi="Times New Roman"/>
          <w:sz w:val="30"/>
          <w:szCs w:val="30"/>
        </w:rPr>
      </w:pPr>
      <w:r>
        <w:rPr>
          <w:rFonts w:ascii="Times New Roman" w:hAnsi="Times New Roman"/>
          <w:sz w:val="30"/>
          <w:szCs w:val="30"/>
        </w:rPr>
        <w:drawing>
          <wp:inline distT="0" distB="0" distL="114300" distR="114300">
            <wp:extent cx="5717540" cy="495300"/>
            <wp:effectExtent l="0" t="0" r="16510" b="0"/>
            <wp:docPr id="7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7"/>
                    <pic:cNvPicPr>
                      <a:picLocks noChangeAspect="1"/>
                    </pic:cNvPicPr>
                  </pic:nvPicPr>
                  <pic:blipFill>
                    <a:blip r:embed="rId38"/>
                    <a:stretch>
                      <a:fillRect/>
                    </a:stretch>
                  </pic:blipFill>
                  <pic:spPr>
                    <a:xfrm>
                      <a:off x="0" y="0"/>
                      <a:ext cx="5717540" cy="495300"/>
                    </a:xfrm>
                    <a:prstGeom prst="rect">
                      <a:avLst/>
                    </a:prstGeom>
                    <a:noFill/>
                    <a:ln>
                      <a:noFill/>
                    </a:ln>
                  </pic:spPr>
                </pic:pic>
              </a:graphicData>
            </a:graphic>
          </wp:inline>
        </w:drawing>
      </w:r>
    </w:p>
    <w:p>
      <w:pPr>
        <w:adjustRightInd w:val="0"/>
        <w:snapToGrid w:val="0"/>
        <w:spacing w:line="360" w:lineRule="auto"/>
        <w:ind w:firstLine="523" w:firstLineChars="218"/>
        <w:rPr>
          <w:sz w:val="24"/>
          <w:szCs w:val="22"/>
        </w:rPr>
      </w:pPr>
      <w:r>
        <w:rPr>
          <w:sz w:val="24"/>
        </w:rPr>
        <w:t>外来施工人员进入生产区生物安全流程</w:t>
      </w:r>
    </w:p>
    <w:p>
      <w:pPr>
        <w:pStyle w:val="30"/>
        <w:ind w:left="1" w:firstLine="0" w:firstLineChars="0"/>
        <w:jc w:val="center"/>
        <w:rPr>
          <w:rFonts w:ascii="Times New Roman" w:hAnsi="Times New Roman"/>
          <w:sz w:val="30"/>
          <w:szCs w:val="30"/>
        </w:rPr>
      </w:pPr>
      <w:r>
        <w:rPr>
          <w:rFonts w:ascii="Times New Roman" w:hAnsi="Times New Roman"/>
          <w:sz w:val="30"/>
          <w:szCs w:val="30"/>
        </w:rPr>
        <w:drawing>
          <wp:inline distT="0" distB="0" distL="114300" distR="114300">
            <wp:extent cx="5733415" cy="457200"/>
            <wp:effectExtent l="0" t="0" r="635" b="0"/>
            <wp:docPr id="7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8"/>
                    <pic:cNvPicPr>
                      <a:picLocks noChangeAspect="1"/>
                    </pic:cNvPicPr>
                  </pic:nvPicPr>
                  <pic:blipFill>
                    <a:blip r:embed="rId39"/>
                    <a:stretch>
                      <a:fillRect/>
                    </a:stretch>
                  </pic:blipFill>
                  <pic:spPr>
                    <a:xfrm>
                      <a:off x="0" y="0"/>
                      <a:ext cx="5733415" cy="457200"/>
                    </a:xfrm>
                    <a:prstGeom prst="rect">
                      <a:avLst/>
                    </a:prstGeom>
                    <a:noFill/>
                    <a:ln>
                      <a:noFill/>
                    </a:ln>
                  </pic:spPr>
                </pic:pic>
              </a:graphicData>
            </a:graphic>
          </wp:inline>
        </w:drawing>
      </w:r>
    </w:p>
    <w:p>
      <w:pPr>
        <w:adjustRightInd w:val="0"/>
        <w:snapToGrid w:val="0"/>
        <w:spacing w:line="360" w:lineRule="auto"/>
        <w:ind w:firstLine="523" w:firstLineChars="218"/>
        <w:rPr>
          <w:sz w:val="24"/>
          <w:szCs w:val="22"/>
        </w:rPr>
      </w:pPr>
      <w:r>
        <w:rPr>
          <w:sz w:val="24"/>
        </w:rPr>
        <w:t>病死猪剖检台生物安全流程：</w:t>
      </w:r>
    </w:p>
    <w:p>
      <w:pPr>
        <w:pStyle w:val="30"/>
        <w:ind w:left="2" w:firstLine="0" w:firstLineChars="0"/>
        <w:jc w:val="center"/>
        <w:rPr>
          <w:rFonts w:ascii="Times New Roman" w:hAnsi="Times New Roman"/>
          <w:sz w:val="30"/>
          <w:szCs w:val="30"/>
        </w:rPr>
      </w:pPr>
      <w:r>
        <w:rPr>
          <w:rFonts w:ascii="Times New Roman" w:hAnsi="Times New Roman"/>
          <w:sz w:val="30"/>
          <w:szCs w:val="30"/>
        </w:rPr>
        <w:drawing>
          <wp:inline distT="0" distB="0" distL="114300" distR="114300">
            <wp:extent cx="5657215" cy="1090295"/>
            <wp:effectExtent l="0" t="0" r="635" b="14605"/>
            <wp:docPr id="7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9"/>
                    <pic:cNvPicPr>
                      <a:picLocks noChangeAspect="1"/>
                    </pic:cNvPicPr>
                  </pic:nvPicPr>
                  <pic:blipFill>
                    <a:blip r:embed="rId40"/>
                    <a:stretch>
                      <a:fillRect/>
                    </a:stretch>
                  </pic:blipFill>
                  <pic:spPr>
                    <a:xfrm>
                      <a:off x="0" y="0"/>
                      <a:ext cx="5657215" cy="1090295"/>
                    </a:xfrm>
                    <a:prstGeom prst="rect">
                      <a:avLst/>
                    </a:prstGeom>
                    <a:noFill/>
                    <a:ln>
                      <a:noFill/>
                    </a:ln>
                  </pic:spPr>
                </pic:pic>
              </a:graphicData>
            </a:graphic>
          </wp:inline>
        </w:drawing>
      </w:r>
    </w:p>
    <w:p>
      <w:pPr>
        <w:adjustRightInd w:val="0"/>
        <w:snapToGrid w:val="0"/>
        <w:spacing w:line="360" w:lineRule="auto"/>
        <w:ind w:firstLine="523" w:firstLineChars="218"/>
        <w:rPr>
          <w:sz w:val="24"/>
        </w:rPr>
      </w:pPr>
      <w:r>
        <w:rPr>
          <w:sz w:val="24"/>
        </w:rPr>
        <w:t>各岗位人员执行生物安全流程注意事项：</w:t>
      </w:r>
    </w:p>
    <w:p>
      <w:pPr>
        <w:adjustRightInd w:val="0"/>
        <w:snapToGrid w:val="0"/>
        <w:spacing w:line="360" w:lineRule="auto"/>
        <w:ind w:firstLine="523" w:firstLineChars="218"/>
        <w:rPr>
          <w:sz w:val="24"/>
        </w:rPr>
      </w:pPr>
      <w:r>
        <w:rPr>
          <w:sz w:val="24"/>
        </w:rPr>
        <w:t>人员跨场调动--生活区隔离3天后方可进生产。</w:t>
      </w:r>
    </w:p>
    <w:p>
      <w:pPr>
        <w:adjustRightInd w:val="0"/>
        <w:snapToGrid w:val="0"/>
        <w:spacing w:line="360" w:lineRule="auto"/>
        <w:ind w:firstLine="523" w:firstLineChars="218"/>
        <w:rPr>
          <w:sz w:val="24"/>
        </w:rPr>
      </w:pPr>
      <w:r>
        <w:rPr>
          <w:sz w:val="24"/>
        </w:rPr>
        <w:t>家属(学生放假，家属驻场)洗澡更衣后进场，活动区域仅限生活区。</w:t>
      </w:r>
    </w:p>
    <w:p>
      <w:pPr>
        <w:adjustRightInd w:val="0"/>
        <w:snapToGrid w:val="0"/>
        <w:spacing w:line="360" w:lineRule="auto"/>
        <w:ind w:firstLine="523" w:firstLineChars="218"/>
        <w:rPr>
          <w:sz w:val="24"/>
        </w:rPr>
      </w:pPr>
      <w:r>
        <w:rPr>
          <w:sz w:val="24"/>
        </w:rPr>
        <w:t>施工人员——门口洗手，沾脚后在指定施工区域内作业，区域受限，警戒标示。</w:t>
      </w:r>
    </w:p>
    <w:p>
      <w:pPr>
        <w:adjustRightInd w:val="0"/>
        <w:snapToGrid w:val="0"/>
        <w:spacing w:line="360" w:lineRule="auto"/>
        <w:ind w:firstLine="523" w:firstLineChars="218"/>
        <w:rPr>
          <w:sz w:val="24"/>
        </w:rPr>
      </w:pPr>
      <w:r>
        <w:rPr>
          <w:sz w:val="24"/>
        </w:rPr>
        <w:t>巡场人员——生产管理，技术人员，财务等进出厂区，在生产区洗澡更衣方可进入。</w:t>
      </w:r>
    </w:p>
    <w:p>
      <w:pPr>
        <w:adjustRightInd w:val="0"/>
        <w:snapToGrid w:val="0"/>
        <w:spacing w:line="360" w:lineRule="auto"/>
        <w:ind w:firstLine="523" w:firstLineChars="218"/>
        <w:rPr>
          <w:sz w:val="24"/>
        </w:rPr>
      </w:pPr>
      <w:r>
        <w:rPr>
          <w:sz w:val="24"/>
        </w:rPr>
        <w:t>场内后勤服务人员—水电维修等进段更衣，进单元换鞋。料车司机不下车。治污人员划定活动路线。</w:t>
      </w:r>
    </w:p>
    <w:p>
      <w:pPr>
        <w:adjustRightInd w:val="0"/>
        <w:snapToGrid w:val="0"/>
        <w:spacing w:line="360" w:lineRule="auto"/>
        <w:ind w:firstLine="523" w:firstLineChars="218"/>
        <w:rPr>
          <w:sz w:val="24"/>
        </w:rPr>
      </w:pPr>
      <w:r>
        <w:rPr>
          <w:sz w:val="24"/>
        </w:rPr>
        <w:t>生产区内所有人员统一着工装，不允许有其他衣服，所有工装不允许带出生产区。</w:t>
      </w:r>
    </w:p>
    <w:p>
      <w:pPr>
        <w:pStyle w:val="4"/>
        <w:numPr>
          <w:ilvl w:val="0"/>
          <w:numId w:val="0"/>
        </w:numPr>
        <w:spacing w:before="0" w:after="0" w:line="520" w:lineRule="exact"/>
        <w:rPr>
          <w:sz w:val="24"/>
          <w:szCs w:val="24"/>
        </w:rPr>
      </w:pPr>
      <w:r>
        <w:rPr>
          <w:sz w:val="24"/>
          <w:szCs w:val="24"/>
        </w:rPr>
        <w:t>2.2.3.</w:t>
      </w:r>
      <w:r>
        <w:rPr>
          <w:rFonts w:hint="eastAsia"/>
          <w:sz w:val="24"/>
          <w:szCs w:val="24"/>
        </w:rPr>
        <w:t>6</w:t>
      </w:r>
      <w:r>
        <w:rPr>
          <w:sz w:val="24"/>
          <w:szCs w:val="24"/>
        </w:rPr>
        <w:t xml:space="preserve"> 本项目</w:t>
      </w:r>
      <w:r>
        <w:rPr>
          <w:rFonts w:hint="eastAsia"/>
          <w:sz w:val="24"/>
          <w:szCs w:val="24"/>
        </w:rPr>
        <w:t>物料</w:t>
      </w:r>
      <w:r>
        <w:rPr>
          <w:sz w:val="24"/>
          <w:szCs w:val="24"/>
        </w:rPr>
        <w:t>平衡</w:t>
      </w:r>
    </w:p>
    <w:p>
      <w:pPr>
        <w:spacing w:line="520" w:lineRule="exact"/>
        <w:ind w:firstLine="480" w:firstLineChars="200"/>
        <w:rPr>
          <w:bCs/>
          <w:sz w:val="24"/>
        </w:rPr>
      </w:pPr>
      <w:r>
        <w:rPr>
          <w:rFonts w:hint="eastAsia"/>
          <w:bCs/>
          <w:sz w:val="24"/>
        </w:rPr>
        <w:t>本项目存栏主要是育肥猪，其在生猪饲养过程中物料（饲料）平衡见图2</w:t>
      </w:r>
      <w:r>
        <w:rPr>
          <w:bCs/>
          <w:sz w:val="24"/>
        </w:rPr>
        <w:t>.2</w:t>
      </w:r>
      <w:r>
        <w:rPr>
          <w:rFonts w:hint="eastAsia"/>
          <w:bCs/>
          <w:sz w:val="24"/>
        </w:rPr>
        <w:t>-</w:t>
      </w:r>
      <w:r>
        <w:rPr>
          <w:bCs/>
          <w:sz w:val="24"/>
        </w:rPr>
        <w:t>10</w:t>
      </w:r>
      <w:r>
        <w:rPr>
          <w:rFonts w:hint="eastAsia"/>
          <w:bCs/>
          <w:sz w:val="24"/>
        </w:rPr>
        <w:t>所示。</w:t>
      </w:r>
    </w:p>
    <w:p>
      <w:pPr>
        <w:spacing w:line="520" w:lineRule="exact"/>
        <w:ind w:firstLine="480" w:firstLineChars="200"/>
        <w:rPr>
          <w:sz w:val="24"/>
        </w:rPr>
      </w:pPr>
    </w:p>
    <w:p>
      <w:pPr>
        <w:spacing w:line="520" w:lineRule="exact"/>
        <w:ind w:firstLine="480" w:firstLineChars="200"/>
        <w:rPr>
          <w:sz w:val="24"/>
        </w:rPr>
      </w:pPr>
    </w:p>
    <w:p>
      <w:pPr>
        <w:spacing w:line="520" w:lineRule="exact"/>
        <w:ind w:firstLine="480" w:firstLineChars="200"/>
        <w:rPr>
          <w:sz w:val="24"/>
        </w:rPr>
      </w:pPr>
    </w:p>
    <w:p>
      <w:pPr>
        <w:spacing w:line="520" w:lineRule="exact"/>
        <w:ind w:firstLine="480" w:firstLineChars="200"/>
        <w:rPr>
          <w:sz w:val="24"/>
        </w:rPr>
      </w:pPr>
    </w:p>
    <w:p>
      <w:pPr>
        <w:spacing w:line="520" w:lineRule="exact"/>
        <w:ind w:firstLine="480" w:firstLineChars="200"/>
        <w:rPr>
          <w:sz w:val="24"/>
        </w:rPr>
      </w:pPr>
    </w:p>
    <w:p>
      <w:pPr>
        <w:spacing w:line="520" w:lineRule="exact"/>
        <w:ind w:firstLine="480" w:firstLineChars="200"/>
        <w:rPr>
          <w:sz w:val="24"/>
        </w:rPr>
      </w:pPr>
    </w:p>
    <w:p>
      <w:pPr>
        <w:spacing w:line="520" w:lineRule="exact"/>
        <w:ind w:firstLine="480" w:firstLineChars="200"/>
        <w:rPr>
          <w:sz w:val="24"/>
        </w:rPr>
      </w:pPr>
    </w:p>
    <w:p>
      <w:pPr>
        <w:spacing w:line="520" w:lineRule="exact"/>
        <w:ind w:left="0" w:leftChars="-202" w:hanging="424" w:hangingChars="177"/>
        <w:rPr>
          <w:sz w:val="24"/>
        </w:rPr>
      </w:pPr>
      <w:r>
        <w:rPr>
          <w:sz w:val="24"/>
        </w:rPr>
        <mc:AlternateContent>
          <mc:Choice Requires="wpc">
            <w:drawing>
              <wp:inline distT="0" distB="0" distL="114300" distR="114300">
                <wp:extent cx="6171565" cy="2573020"/>
                <wp:effectExtent l="0" t="0" r="0" b="0"/>
                <wp:docPr id="273" name="画布 149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48" name="矩形 1500"/>
                        <wps:cNvSpPr/>
                        <wps:spPr>
                          <a:xfrm>
                            <a:off x="659765" y="1499870"/>
                            <a:ext cx="357505" cy="52959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before="120" w:beforeLines="50"/>
                                <w:jc w:val="center"/>
                              </w:pPr>
                              <w:r>
                                <w:t>饲料</w:t>
                              </w:r>
                            </w:p>
                          </w:txbxContent>
                        </wps:txbx>
                        <wps:bodyPr upright="1"/>
                      </wps:wsp>
                      <wps:wsp>
                        <wps:cNvPr id="249" name="矩形 1502"/>
                        <wps:cNvSpPr/>
                        <wps:spPr>
                          <a:xfrm>
                            <a:off x="1069340" y="1541145"/>
                            <a:ext cx="523875" cy="267335"/>
                          </a:xfrm>
                          <a:prstGeom prst="rect">
                            <a:avLst/>
                          </a:prstGeom>
                          <a:noFill/>
                          <a:ln>
                            <a:noFill/>
                          </a:ln>
                        </wps:spPr>
                        <wps:txbx>
                          <w:txbxContent>
                            <w:p>
                              <w:r>
                                <w:rPr>
                                  <w:rFonts w:hint="eastAsia"/>
                                  <w:lang w:val="en-US" w:eastAsia="zh-CN"/>
                                </w:rPr>
                                <w:t>8</w:t>
                              </w:r>
                              <w:r>
                                <w:rPr>
                                  <w:rFonts w:hint="eastAsia"/>
                                </w:rPr>
                                <w:t>.4</w:t>
                              </w:r>
                            </w:p>
                          </w:txbxContent>
                        </wps:txbx>
                        <wps:bodyPr upright="1"/>
                      </wps:wsp>
                      <wps:wsp>
                        <wps:cNvPr id="250" name="自选图形 1698"/>
                        <wps:cNvCnPr/>
                        <wps:spPr>
                          <a:xfrm>
                            <a:off x="992505" y="553720"/>
                            <a:ext cx="662305" cy="635"/>
                          </a:xfrm>
                          <a:prstGeom prst="straightConnector1">
                            <a:avLst/>
                          </a:prstGeom>
                          <a:ln w="9525" cap="flat" cmpd="sng">
                            <a:solidFill>
                              <a:srgbClr val="000000"/>
                            </a:solidFill>
                            <a:prstDash val="solid"/>
                            <a:headEnd type="none" w="med" len="med"/>
                            <a:tailEnd type="triangle" w="med" len="med"/>
                          </a:ln>
                        </wps:spPr>
                        <wps:bodyPr/>
                      </wps:wsp>
                      <wps:wsp>
                        <wps:cNvPr id="251" name="矩形 1699"/>
                        <wps:cNvSpPr/>
                        <wps:spPr>
                          <a:xfrm>
                            <a:off x="659765" y="342900"/>
                            <a:ext cx="357505" cy="419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before="120" w:beforeLines="50"/>
                                <w:jc w:val="center"/>
                                <w:rPr>
                                  <w:rFonts w:hint="eastAsia"/>
                                </w:rPr>
                              </w:pPr>
                              <w:r>
                                <w:rPr>
                                  <w:rFonts w:hint="eastAsia"/>
                                </w:rPr>
                                <w:t>水</w:t>
                              </w:r>
                            </w:p>
                          </w:txbxContent>
                        </wps:txbx>
                        <wps:bodyPr upright="1"/>
                      </wps:wsp>
                      <wps:wsp>
                        <wps:cNvPr id="252" name="自选图形 1701"/>
                        <wps:cNvCnPr/>
                        <wps:spPr>
                          <a:xfrm flipH="1">
                            <a:off x="1639570" y="542290"/>
                            <a:ext cx="15240" cy="1270635"/>
                          </a:xfrm>
                          <a:prstGeom prst="straightConnector1">
                            <a:avLst/>
                          </a:prstGeom>
                          <a:ln w="9525" cap="flat" cmpd="sng">
                            <a:solidFill>
                              <a:srgbClr val="000000"/>
                            </a:solidFill>
                            <a:prstDash val="solid"/>
                            <a:headEnd type="none" w="med" len="med"/>
                            <a:tailEnd type="none" w="med" len="med"/>
                          </a:ln>
                        </wps:spPr>
                        <wps:bodyPr/>
                      </wps:wsp>
                      <wps:wsp>
                        <wps:cNvPr id="253" name="自选图形 1702"/>
                        <wps:cNvCnPr/>
                        <wps:spPr>
                          <a:xfrm>
                            <a:off x="1654810" y="1194435"/>
                            <a:ext cx="600075" cy="635"/>
                          </a:xfrm>
                          <a:prstGeom prst="straightConnector1">
                            <a:avLst/>
                          </a:prstGeom>
                          <a:ln w="9525" cap="flat" cmpd="sng">
                            <a:solidFill>
                              <a:srgbClr val="000000"/>
                            </a:solidFill>
                            <a:prstDash val="solid"/>
                            <a:headEnd type="none" w="med" len="med"/>
                            <a:tailEnd type="triangle" w="med" len="med"/>
                          </a:ln>
                        </wps:spPr>
                        <wps:bodyPr/>
                      </wps:wsp>
                      <wps:wsp>
                        <wps:cNvPr id="254" name="矩形 1787"/>
                        <wps:cNvSpPr/>
                        <wps:spPr>
                          <a:xfrm>
                            <a:off x="1069340" y="292735"/>
                            <a:ext cx="763905" cy="267335"/>
                          </a:xfrm>
                          <a:prstGeom prst="rect">
                            <a:avLst/>
                          </a:prstGeom>
                          <a:noFill/>
                          <a:ln>
                            <a:noFill/>
                          </a:ln>
                        </wps:spPr>
                        <wps:txbx>
                          <w:txbxContent>
                            <w:p>
                              <w:pPr>
                                <w:rPr>
                                  <w:rFonts w:hint="default" w:eastAsia="宋体"/>
                                  <w:lang w:val="en-US" w:eastAsia="zh-CN"/>
                                </w:rPr>
                              </w:pPr>
                              <w:r>
                                <w:rPr>
                                  <w:rFonts w:hint="eastAsia"/>
                                  <w:szCs w:val="21"/>
                                  <w:lang w:val="en-US" w:eastAsia="zh-CN"/>
                                </w:rPr>
                                <w:t>46.2</w:t>
                              </w:r>
                            </w:p>
                          </w:txbxContent>
                        </wps:txbx>
                        <wps:bodyPr upright="1"/>
                      </wps:wsp>
                      <wps:wsp>
                        <wps:cNvPr id="255" name="自选图形 1813"/>
                        <wps:cNvCnPr/>
                        <wps:spPr>
                          <a:xfrm>
                            <a:off x="1017270" y="1813560"/>
                            <a:ext cx="637540" cy="635"/>
                          </a:xfrm>
                          <a:prstGeom prst="straightConnector1">
                            <a:avLst/>
                          </a:prstGeom>
                          <a:ln w="9525" cap="flat" cmpd="sng">
                            <a:solidFill>
                              <a:srgbClr val="000000"/>
                            </a:solidFill>
                            <a:prstDash val="solid"/>
                            <a:headEnd type="none" w="med" len="med"/>
                            <a:tailEnd type="triangle" w="med" len="med"/>
                          </a:ln>
                        </wps:spPr>
                        <wps:bodyPr/>
                      </wps:wsp>
                      <wps:wsp>
                        <wps:cNvPr id="256" name="矩形 1814"/>
                        <wps:cNvSpPr/>
                        <wps:spPr>
                          <a:xfrm>
                            <a:off x="2252980" y="939800"/>
                            <a:ext cx="685800" cy="4762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before="120" w:beforeLines="50" w:line="480" w:lineRule="auto"/>
                                <w:jc w:val="center"/>
                              </w:pPr>
                              <w:r>
                                <w:rPr>
                                  <w:rFonts w:hint="eastAsia"/>
                                </w:rPr>
                                <w:t>猪成长</w:t>
                              </w:r>
                            </w:p>
                          </w:txbxContent>
                        </wps:txbx>
                        <wps:bodyPr upright="1"/>
                      </wps:wsp>
                      <wps:wsp>
                        <wps:cNvPr id="257" name="自选图形 1815"/>
                        <wps:cNvCnPr/>
                        <wps:spPr>
                          <a:xfrm>
                            <a:off x="2938780" y="1193800"/>
                            <a:ext cx="600075" cy="635"/>
                          </a:xfrm>
                          <a:prstGeom prst="straightConnector1">
                            <a:avLst/>
                          </a:prstGeom>
                          <a:ln w="9525" cap="flat" cmpd="sng">
                            <a:solidFill>
                              <a:srgbClr val="000000"/>
                            </a:solidFill>
                            <a:prstDash val="solid"/>
                            <a:headEnd type="none" w="med" len="med"/>
                            <a:tailEnd type="triangle" w="med" len="med"/>
                          </a:ln>
                        </wps:spPr>
                        <wps:bodyPr/>
                      </wps:wsp>
                      <wps:wsp>
                        <wps:cNvPr id="258" name="自选图形 1816"/>
                        <wps:cNvCnPr/>
                        <wps:spPr>
                          <a:xfrm>
                            <a:off x="3538855" y="323850"/>
                            <a:ext cx="635" cy="1813560"/>
                          </a:xfrm>
                          <a:prstGeom prst="straightConnector1">
                            <a:avLst/>
                          </a:prstGeom>
                          <a:ln w="9525" cap="flat" cmpd="sng">
                            <a:solidFill>
                              <a:srgbClr val="000000"/>
                            </a:solidFill>
                            <a:prstDash val="solid"/>
                            <a:headEnd type="none" w="med" len="med"/>
                            <a:tailEnd type="none" w="med" len="med"/>
                          </a:ln>
                        </wps:spPr>
                        <wps:bodyPr/>
                      </wps:wsp>
                      <wps:wsp>
                        <wps:cNvPr id="259" name="自选图形 1817"/>
                        <wps:cNvCnPr/>
                        <wps:spPr>
                          <a:xfrm>
                            <a:off x="3538855" y="323850"/>
                            <a:ext cx="600075" cy="635"/>
                          </a:xfrm>
                          <a:prstGeom prst="straightConnector1">
                            <a:avLst/>
                          </a:prstGeom>
                          <a:ln w="9525" cap="flat" cmpd="sng">
                            <a:solidFill>
                              <a:srgbClr val="000000"/>
                            </a:solidFill>
                            <a:prstDash val="solid"/>
                            <a:headEnd type="none" w="med" len="med"/>
                            <a:tailEnd type="triangle" w="med" len="med"/>
                          </a:ln>
                        </wps:spPr>
                        <wps:bodyPr/>
                      </wps:wsp>
                      <wps:wsp>
                        <wps:cNvPr id="260" name="自选图形 1818"/>
                        <wps:cNvCnPr/>
                        <wps:spPr>
                          <a:xfrm>
                            <a:off x="3539490" y="2137410"/>
                            <a:ext cx="600075" cy="635"/>
                          </a:xfrm>
                          <a:prstGeom prst="straightConnector1">
                            <a:avLst/>
                          </a:prstGeom>
                          <a:ln w="9525" cap="flat" cmpd="sng">
                            <a:solidFill>
                              <a:srgbClr val="000000"/>
                            </a:solidFill>
                            <a:prstDash val="solid"/>
                            <a:headEnd type="none" w="med" len="med"/>
                            <a:tailEnd type="triangle" w="med" len="med"/>
                          </a:ln>
                        </wps:spPr>
                        <wps:bodyPr/>
                      </wps:wsp>
                      <wps:wsp>
                        <wps:cNvPr id="261" name="自选图形 1819"/>
                        <wps:cNvCnPr/>
                        <wps:spPr>
                          <a:xfrm>
                            <a:off x="3539490" y="857885"/>
                            <a:ext cx="600075" cy="635"/>
                          </a:xfrm>
                          <a:prstGeom prst="straightConnector1">
                            <a:avLst/>
                          </a:prstGeom>
                          <a:ln w="9525" cap="flat" cmpd="sng">
                            <a:solidFill>
                              <a:srgbClr val="000000"/>
                            </a:solidFill>
                            <a:prstDash val="solid"/>
                            <a:headEnd type="none" w="med" len="med"/>
                            <a:tailEnd type="triangle" w="med" len="med"/>
                          </a:ln>
                        </wps:spPr>
                        <wps:bodyPr/>
                      </wps:wsp>
                      <wps:wsp>
                        <wps:cNvPr id="262" name="自选图形 1820"/>
                        <wps:cNvCnPr/>
                        <wps:spPr>
                          <a:xfrm>
                            <a:off x="3539490" y="1511935"/>
                            <a:ext cx="600075" cy="635"/>
                          </a:xfrm>
                          <a:prstGeom prst="straightConnector1">
                            <a:avLst/>
                          </a:prstGeom>
                          <a:ln w="9525" cap="flat" cmpd="sng">
                            <a:solidFill>
                              <a:srgbClr val="000000"/>
                            </a:solidFill>
                            <a:prstDash val="solid"/>
                            <a:headEnd type="none" w="med" len="med"/>
                            <a:tailEnd type="triangle" w="med" len="med"/>
                          </a:ln>
                        </wps:spPr>
                        <wps:bodyPr/>
                      </wps:wsp>
                      <wps:wsp>
                        <wps:cNvPr id="263" name="矩形 1821"/>
                        <wps:cNvSpPr/>
                        <wps:spPr>
                          <a:xfrm>
                            <a:off x="4139565" y="57150"/>
                            <a:ext cx="685800" cy="3276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before="120" w:beforeLines="50" w:line="240" w:lineRule="exact"/>
                                <w:jc w:val="center"/>
                              </w:pPr>
                              <w:r>
                                <w:rPr>
                                  <w:rFonts w:hint="eastAsia"/>
                                </w:rPr>
                                <w:t>猪粪</w:t>
                              </w:r>
                            </w:p>
                          </w:txbxContent>
                        </wps:txbx>
                        <wps:bodyPr upright="1"/>
                      </wps:wsp>
                      <wps:wsp>
                        <wps:cNvPr id="264" name="矩形 1822"/>
                        <wps:cNvSpPr/>
                        <wps:spPr>
                          <a:xfrm>
                            <a:off x="4138930" y="647700"/>
                            <a:ext cx="685800" cy="3276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before="120" w:beforeLines="50" w:line="240" w:lineRule="exact"/>
                                <w:jc w:val="center"/>
                              </w:pPr>
                              <w:r>
                                <w:rPr>
                                  <w:rFonts w:hint="eastAsia"/>
                                </w:rPr>
                                <w:t>猪尿</w:t>
                              </w:r>
                            </w:p>
                          </w:txbxContent>
                        </wps:txbx>
                        <wps:bodyPr upright="1"/>
                      </wps:wsp>
                      <wps:wsp>
                        <wps:cNvPr id="265" name="矩形 1823"/>
                        <wps:cNvSpPr/>
                        <wps:spPr>
                          <a:xfrm>
                            <a:off x="4138930" y="1310640"/>
                            <a:ext cx="685800" cy="3276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before="120" w:beforeLines="50" w:line="240" w:lineRule="exact"/>
                                <w:jc w:val="center"/>
                              </w:pPr>
                              <w:r>
                                <w:rPr>
                                  <w:rFonts w:hint="eastAsia"/>
                                </w:rPr>
                                <w:t>猪吸收</w:t>
                              </w:r>
                            </w:p>
                          </w:txbxContent>
                        </wps:txbx>
                        <wps:bodyPr upright="1"/>
                      </wps:wsp>
                      <wps:wsp>
                        <wps:cNvPr id="266" name="矩形 1824"/>
                        <wps:cNvSpPr/>
                        <wps:spPr>
                          <a:xfrm>
                            <a:off x="4138930" y="1958340"/>
                            <a:ext cx="914400" cy="3276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before="120" w:beforeLines="50" w:line="240" w:lineRule="exact"/>
                                <w:jc w:val="center"/>
                                <w:rPr>
                                  <w:rFonts w:hint="eastAsia"/>
                                </w:rPr>
                              </w:pPr>
                              <w:r>
                                <w:rPr>
                                  <w:rFonts w:hint="eastAsia"/>
                                </w:rPr>
                                <w:t>蒸发</w:t>
                              </w:r>
                              <w:r>
                                <w:t>、呼吸</w:t>
                              </w:r>
                            </w:p>
                          </w:txbxContent>
                        </wps:txbx>
                        <wps:bodyPr upright="1"/>
                      </wps:wsp>
                      <wps:wsp>
                        <wps:cNvPr id="267" name="矩形 1825"/>
                        <wps:cNvSpPr/>
                        <wps:spPr>
                          <a:xfrm>
                            <a:off x="1654810" y="926465"/>
                            <a:ext cx="763905" cy="267335"/>
                          </a:xfrm>
                          <a:prstGeom prst="rect">
                            <a:avLst/>
                          </a:prstGeom>
                          <a:noFill/>
                          <a:ln>
                            <a:noFill/>
                          </a:ln>
                        </wps:spPr>
                        <wps:txbx>
                          <w:txbxContent>
                            <w:p>
                              <w:pPr>
                                <w:rPr>
                                  <w:rFonts w:hint="default" w:eastAsia="宋体"/>
                                  <w:lang w:val="en-US" w:eastAsia="zh-CN"/>
                                </w:rPr>
                              </w:pPr>
                              <w:r>
                                <w:rPr>
                                  <w:rFonts w:hint="eastAsia"/>
                                  <w:szCs w:val="21"/>
                                  <w:lang w:val="en-US" w:eastAsia="zh-CN"/>
                                </w:rPr>
                                <w:t>54.6</w:t>
                              </w:r>
                            </w:p>
                          </w:txbxContent>
                        </wps:txbx>
                        <wps:bodyPr upright="1"/>
                      </wps:wsp>
                      <wps:wsp>
                        <wps:cNvPr id="268" name="矩形 1826"/>
                        <wps:cNvSpPr/>
                        <wps:spPr>
                          <a:xfrm>
                            <a:off x="2919730" y="944245"/>
                            <a:ext cx="763905" cy="267335"/>
                          </a:xfrm>
                          <a:prstGeom prst="rect">
                            <a:avLst/>
                          </a:prstGeom>
                          <a:noFill/>
                          <a:ln>
                            <a:noFill/>
                          </a:ln>
                        </wps:spPr>
                        <wps:txbx>
                          <w:txbxContent>
                            <w:p>
                              <w:pPr>
                                <w:rPr>
                                  <w:rFonts w:hint="default" w:eastAsia="宋体"/>
                                  <w:lang w:val="en-US" w:eastAsia="zh-CN"/>
                                </w:rPr>
                              </w:pPr>
                              <w:r>
                                <w:rPr>
                                  <w:rFonts w:hint="eastAsia"/>
                                  <w:szCs w:val="21"/>
                                  <w:lang w:val="en-US" w:eastAsia="zh-CN"/>
                                </w:rPr>
                                <w:t>54.6</w:t>
                              </w:r>
                            </w:p>
                          </w:txbxContent>
                        </wps:txbx>
                        <wps:bodyPr upright="1"/>
                      </wps:wsp>
                      <wps:wsp>
                        <wps:cNvPr id="269" name="矩形 1827"/>
                        <wps:cNvSpPr/>
                        <wps:spPr>
                          <a:xfrm>
                            <a:off x="3565525" y="123190"/>
                            <a:ext cx="763905" cy="261620"/>
                          </a:xfrm>
                          <a:prstGeom prst="rect">
                            <a:avLst/>
                          </a:prstGeom>
                          <a:noFill/>
                          <a:ln>
                            <a:noFill/>
                          </a:ln>
                        </wps:spPr>
                        <wps:txbx>
                          <w:txbxContent>
                            <w:p>
                              <w:pPr>
                                <w:rPr>
                                  <w:rFonts w:hint="eastAsia" w:eastAsia="宋体"/>
                                  <w:lang w:eastAsia="zh-CN"/>
                                </w:rPr>
                              </w:pPr>
                              <w:r>
                                <w:rPr>
                                  <w:rFonts w:hint="eastAsia"/>
                                  <w:lang w:eastAsia="zh-CN"/>
                                </w:rPr>
                                <w:t>4.2462</w:t>
                              </w:r>
                            </w:p>
                          </w:txbxContent>
                        </wps:txbx>
                        <wps:bodyPr upright="1"/>
                      </wps:wsp>
                      <wps:wsp>
                        <wps:cNvPr id="270" name="矩形 1828"/>
                        <wps:cNvSpPr/>
                        <wps:spPr>
                          <a:xfrm>
                            <a:off x="3539490" y="590550"/>
                            <a:ext cx="763905" cy="453390"/>
                          </a:xfrm>
                          <a:prstGeom prst="rect">
                            <a:avLst/>
                          </a:prstGeom>
                          <a:noFill/>
                          <a:ln>
                            <a:noFill/>
                          </a:ln>
                        </wps:spPr>
                        <wps:txbx>
                          <w:txbxContent>
                            <w:p>
                              <w:pPr>
                                <w:rPr>
                                  <w:rFonts w:hint="eastAsia" w:eastAsia="宋体"/>
                                  <w:lang w:eastAsia="zh-CN"/>
                                </w:rPr>
                              </w:pPr>
                              <w:r>
                                <w:rPr>
                                  <w:rFonts w:hint="eastAsia"/>
                                  <w:lang w:eastAsia="zh-CN"/>
                                </w:rPr>
                                <w:t>21.084</w:t>
                              </w:r>
                            </w:p>
                            <w:p/>
                          </w:txbxContent>
                        </wps:txbx>
                        <wps:bodyPr upright="1"/>
                      </wps:wsp>
                      <wps:wsp>
                        <wps:cNvPr id="271" name="矩形 1829"/>
                        <wps:cNvSpPr/>
                        <wps:spPr>
                          <a:xfrm>
                            <a:off x="3538855" y="1232535"/>
                            <a:ext cx="763905" cy="466090"/>
                          </a:xfrm>
                          <a:prstGeom prst="rect">
                            <a:avLst/>
                          </a:prstGeom>
                          <a:noFill/>
                          <a:ln>
                            <a:noFill/>
                          </a:ln>
                        </wps:spPr>
                        <wps:txbx>
                          <w:txbxContent>
                            <w:p>
                              <w:pPr>
                                <w:rPr>
                                  <w:rFonts w:hint="eastAsia" w:eastAsia="宋体"/>
                                  <w:lang w:eastAsia="zh-CN"/>
                                </w:rPr>
                              </w:pPr>
                              <w:r>
                                <w:rPr>
                                  <w:rFonts w:hint="eastAsia"/>
                                  <w:lang w:eastAsia="zh-CN"/>
                                </w:rPr>
                                <w:t>28.705</w:t>
                              </w:r>
                            </w:p>
                            <w:p/>
                          </w:txbxContent>
                        </wps:txbx>
                        <wps:bodyPr upright="1"/>
                      </wps:wsp>
                      <wps:wsp>
                        <wps:cNvPr id="272" name="矩形 1830"/>
                        <wps:cNvSpPr/>
                        <wps:spPr>
                          <a:xfrm>
                            <a:off x="3539490" y="1870075"/>
                            <a:ext cx="763905" cy="415925"/>
                          </a:xfrm>
                          <a:prstGeom prst="rect">
                            <a:avLst/>
                          </a:prstGeom>
                          <a:noFill/>
                          <a:ln>
                            <a:noFill/>
                          </a:ln>
                        </wps:spPr>
                        <wps:txbx>
                          <w:txbxContent>
                            <w:p>
                              <w:r>
                                <w:rPr>
                                  <w:rFonts w:hint="eastAsia"/>
                                  <w:szCs w:val="21"/>
                                </w:rPr>
                                <w:t>0.5648</w:t>
                              </w:r>
                            </w:p>
                            <w:p/>
                          </w:txbxContent>
                        </wps:txbx>
                        <wps:bodyPr upright="1"/>
                      </wps:wsp>
                    </wpc:wpc>
                  </a:graphicData>
                </a:graphic>
              </wp:inline>
            </w:drawing>
          </mc:Choice>
          <mc:Fallback>
            <w:pict>
              <v:group id="画布 1498" o:spid="_x0000_s1026" o:spt="203" style="height:202.6pt;width:485.95pt;" coordsize="6171565,2573020" editas="canvas" o:gfxdata="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">
                <o:lock v:ext="edit" aspectratio="f"/>
                <v:shape id="画布 1498" o:spid="_x0000_s1026" style="position:absolute;left:0;top:0;height:2573020;width:6171565;" filled="f" stroked="f" coordsize="21600,21600" o:gfxdata="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">
                  <v:fill on="f" focussize="0,0"/>
                  <v:stroke on="f"/>
                  <v:imagedata o:title=""/>
                  <o:lock v:ext="edit" aspectratio="t"/>
                </v:shape>
                <v:rect id="矩形 1500" o:spid="_x0000_s1026" o:spt="1" style="position:absolute;left:659765;top:1499870;height:529590;width:357505;" fillcolor="#FFFFFF" filled="t" stroked="t" coordsize="21600,21600" o:gfxdata="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BjSxbNQAAAAFAQAADwAAAAAAAAABACAA&#10;AAAiAAAAZHJzL2Rvd25yZXYueG1sUEsBAhQAFAAAAAgAh07iQBeLSSURAgAAOAQAAA4AAAAAAAAA&#10;AQAgAAAAIwEAAGRycy9lMm9Eb2MueG1sUEsFBgAAAAAGAAYAWQEAAKYFAAAAAA==&#10;">
                  <v:fill on="t" focussize="0,0"/>
                  <v:stroke color="#000000" joinstyle="miter"/>
                  <v:imagedata o:title=""/>
                  <o:lock v:ext="edit" aspectratio="f"/>
                  <v:textbox>
                    <w:txbxContent>
                      <w:p>
                        <w:pPr>
                          <w:spacing w:before="120" w:beforeLines="50"/>
                          <w:jc w:val="center"/>
                        </w:pPr>
                        <w:r>
                          <w:t>饲料</w:t>
                        </w:r>
                      </w:p>
                    </w:txbxContent>
                  </v:textbox>
                </v:rect>
                <v:rect id="矩形 1502" o:spid="_x0000_s1026" o:spt="1" style="position:absolute;left:1069340;top:1541145;height:267335;width:523875;" filled="f" stroked="f" coordsize="21600,21600" o:gfxdata="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MNUq7nYAAAABQEAAA8AAAAAAAAAAQAgAAAAIgAAAGRycy9kb3ducmV2LnhtbFBLAQIUABQAAAAI&#10;AIdO4kCHhPIhtAEAAFEDAAAOAAAAAAAAAAEAIAAAACcBAABkcnMvZTJvRG9jLnhtbFBLBQYAAAAA&#10;BgAGAFkBAABNBQAAAAA=&#10;">
                  <v:fill on="f" focussize="0,0"/>
                  <v:stroke on="f"/>
                  <v:imagedata o:title=""/>
                  <o:lock v:ext="edit" aspectratio="f"/>
                  <v:textbox>
                    <w:txbxContent>
                      <w:p>
                        <w:r>
                          <w:rPr>
                            <w:rFonts w:hint="eastAsia"/>
                            <w:lang w:val="en-US" w:eastAsia="zh-CN"/>
                          </w:rPr>
                          <w:t>8</w:t>
                        </w:r>
                        <w:r>
                          <w:rPr>
                            <w:rFonts w:hint="eastAsia"/>
                          </w:rPr>
                          <w:t>.4</w:t>
                        </w:r>
                      </w:p>
                    </w:txbxContent>
                  </v:textbox>
                </v:rect>
                <v:shape id="自选图形 1698" o:spid="_x0000_s1026" o:spt="32" type="#_x0000_t32" style="position:absolute;left:992505;top:553720;height:635;width:662305;" filled="f" stroked="t" coordsize="21600,21600" o:gfxdata="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RITNzXAAAABQEAAA8AAAAAAAAAAQAgAAAAIgAA&#10;AGRycy9kb3ducmV2LnhtbFBLAQIUABQAAAAIAIdO4kCFbaHWCQIAAPcDAAAOAAAAAAAAAAEAIAAA&#10;ACYBAABkcnMvZTJvRG9jLnhtbFBLBQYAAAAABgAGAFkBAAChBQAAAAA=&#10;">
                  <v:fill on="f" focussize="0,0"/>
                  <v:stroke color="#000000" joinstyle="round" endarrow="block"/>
                  <v:imagedata o:title=""/>
                  <o:lock v:ext="edit" aspectratio="f"/>
                </v:shape>
                <v:rect id="矩形 1699" o:spid="_x0000_s1026" o:spt="1" style="position:absolute;left:659765;top:342900;height:419100;width:357505;" fillcolor="#FFFFFF" filled="t" stroked="t" coordsize="21600,21600" o:gfxdata="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BjSxbNQAAAAFAQAADwAAAAAAAAABACAA&#10;AAAiAAAAZHJzL2Rvd25yZXYueG1sUEsBAhQAFAAAAAgAh07iQEjvFkIRAgAANwQAAA4AAAAAAAAA&#10;AQAgAAAAIwEAAGRycy9lMm9Eb2MueG1sUEsFBgAAAAAGAAYAWQEAAKYFAAAAAA==&#10;">
                  <v:fill on="t" focussize="0,0"/>
                  <v:stroke color="#000000" joinstyle="miter"/>
                  <v:imagedata o:title=""/>
                  <o:lock v:ext="edit" aspectratio="f"/>
                  <v:textbox>
                    <w:txbxContent>
                      <w:p>
                        <w:pPr>
                          <w:spacing w:before="120" w:beforeLines="50"/>
                          <w:jc w:val="center"/>
                          <w:rPr>
                            <w:rFonts w:hint="eastAsia"/>
                          </w:rPr>
                        </w:pPr>
                        <w:r>
                          <w:rPr>
                            <w:rFonts w:hint="eastAsia"/>
                          </w:rPr>
                          <w:t>水</w:t>
                        </w:r>
                      </w:p>
                    </w:txbxContent>
                  </v:textbox>
                </v:rect>
                <v:shape id="自选图形 1701" o:spid="_x0000_s1026" o:spt="32" type="#_x0000_t32" style="position:absolute;left:1639570;top:542290;flip:x;height:1270635;width:15240;" filled="f" stroked="t" coordsize="21600,21600" o:gfxdata="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F1csifVAAAABQEAAA8AAAAAAAAAAQAgAAAA&#10;IgAAAGRycy9kb3ducmV2LnhtbFBLAQIUABQAAAAIAIdO4kCCsV4cDgIAAAEEAAAOAAAAAAAAAAEA&#10;IAAAACQBAABkcnMvZTJvRG9jLnhtbFBLBQYAAAAABgAGAFkBAACkBQAAAAA=&#10;">
                  <v:fill on="f" focussize="0,0"/>
                  <v:stroke color="#000000" joinstyle="round"/>
                  <v:imagedata o:title=""/>
                  <o:lock v:ext="edit" aspectratio="f"/>
                </v:shape>
                <v:shape id="自选图形 1702" o:spid="_x0000_s1026" o:spt="32" type="#_x0000_t32" style="position:absolute;left:1654810;top:1194435;height:635;width:600075;" filled="f" stroked="t" coordsize="21600,21600" o:gfxdata="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RITNzXAAAABQEAAA8AAAAAAAAAAQAg&#10;AAAAIgAAAGRycy9kb3ducmV2LnhtbFBLAQIUABQAAAAIAIdO4kCWarTWDwIAAPkDAAAOAAAAAAAA&#10;AAEAIAAAACYBAABkcnMvZTJvRG9jLnhtbFBLBQYAAAAABgAGAFkBAACnBQAAAAA=&#10;">
                  <v:fill on="f" focussize="0,0"/>
                  <v:stroke color="#000000" joinstyle="round" endarrow="block"/>
                  <v:imagedata o:title=""/>
                  <o:lock v:ext="edit" aspectratio="f"/>
                </v:shape>
                <v:rect id="矩形 1787" o:spid="_x0000_s1026" o:spt="1" style="position:absolute;left:1069340;top:292735;height:267335;width:763905;" filled="f" stroked="f" coordsize="21600,21600" o:gfxdata="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D&#10;VKu52AAAAAUBAAAPAAAAAAAAAAEAIAAAACIAAABkcnMvZG93bnJldi54bWxQSwECFAAUAAAACACH&#10;TuJARCsky7IBAABQAwAADgAAAAAAAAABACAAAAAnAQAAZHJzL2Uyb0RvYy54bWxQSwUGAAAAAAYA&#10;BgBZAQAASwUAAAAA&#10;">
                  <v:fill on="f" focussize="0,0"/>
                  <v:stroke on="f"/>
                  <v:imagedata o:title=""/>
                  <o:lock v:ext="edit" aspectratio="f"/>
                  <v:textbox>
                    <w:txbxContent>
                      <w:p>
                        <w:pPr>
                          <w:rPr>
                            <w:rFonts w:hint="default" w:eastAsia="宋体"/>
                            <w:lang w:val="en-US" w:eastAsia="zh-CN"/>
                          </w:rPr>
                        </w:pPr>
                        <w:r>
                          <w:rPr>
                            <w:rFonts w:hint="eastAsia"/>
                            <w:szCs w:val="21"/>
                            <w:lang w:val="en-US" w:eastAsia="zh-CN"/>
                          </w:rPr>
                          <w:t>46.2</w:t>
                        </w:r>
                      </w:p>
                    </w:txbxContent>
                  </v:textbox>
                </v:rect>
                <v:shape id="自选图形 1813" o:spid="_x0000_s1026" o:spt="32" type="#_x0000_t32" style="position:absolute;left:1017270;top:1813560;height:635;width:637540;" filled="f" stroked="t" coordsize="21600,21600" o:gfxdata="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tEhM3NcAAAAFAQAADwAAAAAAAAABACAAAAAi&#10;AAAAZHJzL2Rvd25yZXYueG1sUEsBAhQAFAAAAAgAh07iQAFsELILAgAA+QMAAA4AAAAAAAAAAQAg&#10;AAAAJgEAAGRycy9lMm9Eb2MueG1sUEsFBgAAAAAGAAYAWQEAAKMFAAAAAA==&#10;">
                  <v:fill on="f" focussize="0,0"/>
                  <v:stroke color="#000000" joinstyle="round" endarrow="block"/>
                  <v:imagedata o:title=""/>
                  <o:lock v:ext="edit" aspectratio="f"/>
                </v:shape>
                <v:rect id="矩形 1814" o:spid="_x0000_s1026" o:spt="1" style="position:absolute;left:2252980;top:939800;height:476250;width:685800;" fillcolor="#FFFFFF" filled="t" stroked="t" coordsize="21600,21600" o:gfxdata="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AY0sWzUAAAABQEAAA8AAAAAAAAAAQAgAAAA&#10;IgAAAGRycy9kb3ducmV2LnhtbFBLAQIUABQAAAAIAIdO4kAtKRY+DwIAADgEAAAOAAAAAAAAAAEA&#10;IAAAACMBAABkcnMvZTJvRG9jLnhtbFBLBQYAAAAABgAGAFkBAACkBQAAAAA=&#10;">
                  <v:fill on="t" focussize="0,0"/>
                  <v:stroke color="#000000" joinstyle="miter"/>
                  <v:imagedata o:title=""/>
                  <o:lock v:ext="edit" aspectratio="f"/>
                  <v:textbox>
                    <w:txbxContent>
                      <w:p>
                        <w:pPr>
                          <w:spacing w:before="120" w:beforeLines="50" w:line="480" w:lineRule="auto"/>
                          <w:jc w:val="center"/>
                        </w:pPr>
                        <w:r>
                          <w:rPr>
                            <w:rFonts w:hint="eastAsia"/>
                          </w:rPr>
                          <w:t>猪成长</w:t>
                        </w:r>
                      </w:p>
                    </w:txbxContent>
                  </v:textbox>
                </v:rect>
                <v:shape id="自选图形 1815" o:spid="_x0000_s1026" o:spt="32" type="#_x0000_t32" style="position:absolute;left:2938780;top:1193800;height:635;width:600075;" filled="f" stroked="t" coordsize="21600,21600" o:gfxdata="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0SEzc1wAAAAUBAAAPAAAAAAAAAAEAIAAA&#10;ACIAAABkcnMvZG93bnJldi54bWxQSwECFAAUAAAACACHTuJAN08Yqw0CAAD5AwAADgAAAAAAAAAB&#10;ACAAAAAmAQAAZHJzL2Uyb0RvYy54bWxQSwUGAAAAAAYABgBZAQAApQUAAAAA&#10;">
                  <v:fill on="f" focussize="0,0"/>
                  <v:stroke color="#000000" joinstyle="round" endarrow="block"/>
                  <v:imagedata o:title=""/>
                  <o:lock v:ext="edit" aspectratio="f"/>
                </v:shape>
                <v:shape id="自选图形 1816" o:spid="_x0000_s1026" o:spt="32" type="#_x0000_t32" style="position:absolute;left:3538855;top:323850;height:1813560;width:635;" filled="f" stroked="t" coordsize="21600,21600" o:gfxdata="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gjCYQ1gAAAAUBAAAPAAAAAAAAAAEAIAAAACIAAABkcnMv&#10;ZG93bnJldi54bWxQSwECFAAUAAAACACHTuJAig/SZwUCAAD1AwAADgAAAAAAAAABACAAAAAlAQAA&#10;ZHJzL2Uyb0RvYy54bWxQSwUGAAAAAAYABgBZAQAAnAUAAAAA&#10;">
                  <v:fill on="f" focussize="0,0"/>
                  <v:stroke color="#000000" joinstyle="round"/>
                  <v:imagedata o:title=""/>
                  <o:lock v:ext="edit" aspectratio="f"/>
                </v:shape>
                <v:shape id="自选图形 1817" o:spid="_x0000_s1026" o:spt="32" type="#_x0000_t32" style="position:absolute;left:3538855;top:323850;height:635;width:600075;" filled="f" stroked="t" coordsize="21600,21600" o:gfxdata="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RITNzXAAAABQEAAA8AAAAAAAAAAQAgAAAA&#10;IgAAAGRycy9kb3ducmV2LnhtbFBLAQIUABQAAAAIAIdO4kC5g4V4DAIAAPgDAAAOAAAAAAAAAAEA&#10;IAAAACYBAABkcnMvZTJvRG9jLnhtbFBLBQYAAAAABgAGAFkBAACkBQAAAAA=&#10;">
                  <v:fill on="f" focussize="0,0"/>
                  <v:stroke color="#000000" joinstyle="round" endarrow="block"/>
                  <v:imagedata o:title=""/>
                  <o:lock v:ext="edit" aspectratio="f"/>
                </v:shape>
                <v:shape id="自选图形 1818" o:spid="_x0000_s1026" o:spt="32" type="#_x0000_t32" style="position:absolute;left:3539490;top:2137410;height:635;width:600075;" filled="f" stroked="t" coordsize="21600,21600" o:gfxdata="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0SEzc1wAAAAUBAAAPAAAAAAAAAAEAIAAA&#10;ACIAAABkcnMvZG93bnJldi54bWxQSwECFAAUAAAACACHTuJA9tQz0Q0CAAD5AwAADgAAAAAAAAAB&#10;ACAAAAAmAQAAZHJzL2Uyb0RvYy54bWxQSwUGAAAAAAYABgBZAQAApQUAAAAA&#10;">
                  <v:fill on="f" focussize="0,0"/>
                  <v:stroke color="#000000" joinstyle="round" endarrow="block"/>
                  <v:imagedata o:title=""/>
                  <o:lock v:ext="edit" aspectratio="f"/>
                </v:shape>
                <v:shape id="自选图形 1819" o:spid="_x0000_s1026" o:spt="32" type="#_x0000_t32" style="position:absolute;left:3539490;top:857885;height:635;width:600075;" filled="f" stroked="t" coordsize="21600,21600" o:gfxdata="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0SEzc1wAAAAUBAAAPAAAAAAAAAAEA&#10;IAAAACIAAABkcnMvZG93bnJldi54bWxQSwECFAAUAAAACACHTuJASXGKxBACAAD4AwAADgAAAAAA&#10;AAABACAAAAAmAQAAZHJzL2Uyb0RvYy54bWxQSwUGAAAAAAYABgBZAQAAqAUAAAAA&#10;">
                  <v:fill on="f" focussize="0,0"/>
                  <v:stroke color="#000000" joinstyle="round" endarrow="block"/>
                  <v:imagedata o:title=""/>
                  <o:lock v:ext="edit" aspectratio="f"/>
                </v:shape>
                <v:shape id="自选图形 1820" o:spid="_x0000_s1026" o:spt="32" type="#_x0000_t32" style="position:absolute;left:3539490;top:1511935;height:635;width:600075;" filled="f" stroked="t" coordsize="21600,21600" o:gfxdata="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0SEzc1wAAAAUBAAAPAAAAAAAAAAEAIAAA&#10;ACIAAABkcnMvZG93bnJldi54bWxQSwECFAAUAAAACACHTuJA9Sm32Q0CAAD5AwAADgAAAAAAAAAB&#10;ACAAAAAmAQAAZHJzL2Uyb0RvYy54bWxQSwUGAAAAAAYABgBZAQAApQUAAAAA&#10;">
                  <v:fill on="f" focussize="0,0"/>
                  <v:stroke color="#000000" joinstyle="round" endarrow="block"/>
                  <v:imagedata o:title=""/>
                  <o:lock v:ext="edit" aspectratio="f"/>
                </v:shape>
                <v:rect id="矩形 1821" o:spid="_x0000_s1026" o:spt="1" style="position:absolute;left:4139565;top:57150;height:327660;width:685800;" fillcolor="#FFFFFF" filled="t" stroked="t" coordsize="21600,21600" o:gfxdata="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AY0sWzUAAAABQEAAA8AAAAAAAAAAQAg&#10;AAAAIgAAAGRycy9kb3ducmV2LnhtbFBLAQIUABQAAAAIAIdO4kBSXg7XEgIAADcEAAAOAAAAAAAA&#10;AAEAIAAAACMBAABkcnMvZTJvRG9jLnhtbFBLBQYAAAAABgAGAFkBAACnBQAAAAA=&#10;">
                  <v:fill on="t" focussize="0,0"/>
                  <v:stroke color="#000000" joinstyle="miter"/>
                  <v:imagedata o:title=""/>
                  <o:lock v:ext="edit" aspectratio="f"/>
                  <v:textbox>
                    <w:txbxContent>
                      <w:p>
                        <w:pPr>
                          <w:spacing w:before="120" w:beforeLines="50" w:line="240" w:lineRule="exact"/>
                          <w:jc w:val="center"/>
                        </w:pPr>
                        <w:r>
                          <w:rPr>
                            <w:rFonts w:hint="eastAsia"/>
                          </w:rPr>
                          <w:t>猪粪</w:t>
                        </w:r>
                      </w:p>
                    </w:txbxContent>
                  </v:textbox>
                </v:rect>
                <v:rect id="矩形 1822" o:spid="_x0000_s1026" o:spt="1" style="position:absolute;left:4138930;top:647700;height:327660;width:685800;" fillcolor="#FFFFFF" filled="t" stroked="t" coordsize="21600,21600" o:gfxdata="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GNLFs1AAAAAUBAAAPAAAAAAAAAAEA&#10;IAAAACIAAABkcnMvZG93bnJldi54bWxQSwECFAAUAAAACACHTuJAz9TImxMCAAA4BAAADgAAAAAA&#10;AAABACAAAAAjAQAAZHJzL2Uyb0RvYy54bWxQSwUGAAAAAAYABgBZAQAAqAUAAAAA&#10;">
                  <v:fill on="t" focussize="0,0"/>
                  <v:stroke color="#000000" joinstyle="miter"/>
                  <v:imagedata o:title=""/>
                  <o:lock v:ext="edit" aspectratio="f"/>
                  <v:textbox>
                    <w:txbxContent>
                      <w:p>
                        <w:pPr>
                          <w:spacing w:before="120" w:beforeLines="50" w:line="240" w:lineRule="exact"/>
                          <w:jc w:val="center"/>
                        </w:pPr>
                        <w:r>
                          <w:rPr>
                            <w:rFonts w:hint="eastAsia"/>
                          </w:rPr>
                          <w:t>猪尿</w:t>
                        </w:r>
                      </w:p>
                    </w:txbxContent>
                  </v:textbox>
                </v:rect>
                <v:rect id="矩形 1823" o:spid="_x0000_s1026" o:spt="1" style="position:absolute;left:4138930;top:1310640;height:327660;width:685800;" fillcolor="#FFFFFF" filled="t" stroked="t" coordsize="21600,21600" o:gfxdata="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GNLFs1AAAAAUBAAAPAAAAAAAAAAEA&#10;IAAAACIAAABkcnMvZG93bnJldi54bWxQSwECFAAUAAAACACHTuJAcav1dBMCAAA5BAAADgAAAAAA&#10;AAABACAAAAAjAQAAZHJzL2Uyb0RvYy54bWxQSwUGAAAAAAYABgBZAQAAqAUAAAAA&#10;">
                  <v:fill on="t" focussize="0,0"/>
                  <v:stroke color="#000000" joinstyle="miter"/>
                  <v:imagedata o:title=""/>
                  <o:lock v:ext="edit" aspectratio="f"/>
                  <v:textbox>
                    <w:txbxContent>
                      <w:p>
                        <w:pPr>
                          <w:spacing w:before="120" w:beforeLines="50" w:line="240" w:lineRule="exact"/>
                          <w:jc w:val="center"/>
                        </w:pPr>
                        <w:r>
                          <w:rPr>
                            <w:rFonts w:hint="eastAsia"/>
                          </w:rPr>
                          <w:t>猪吸收</w:t>
                        </w:r>
                      </w:p>
                    </w:txbxContent>
                  </v:textbox>
                </v:rect>
                <v:rect id="矩形 1824" o:spid="_x0000_s1026" o:spt="1" style="position:absolute;left:4138930;top:1958340;height:327660;width:914400;" fillcolor="#FFFFFF" filled="t" stroked="t" coordsize="21600,21600" o:gfxdata="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GNLFs1AAAAAUBAAAPAAAAAAAAAAEA&#10;IAAAACIAAABkcnMvZG93bnJldi54bWxQSwECFAAUAAAACACHTuJAQnh+HhMCAAA5BAAADgAAAAAA&#10;AAABACAAAAAjAQAAZHJzL2Uyb0RvYy54bWxQSwUGAAAAAAYABgBZAQAAqAUAAAAA&#10;">
                  <v:fill on="t" focussize="0,0"/>
                  <v:stroke color="#000000" joinstyle="miter"/>
                  <v:imagedata o:title=""/>
                  <o:lock v:ext="edit" aspectratio="f"/>
                  <v:textbox>
                    <w:txbxContent>
                      <w:p>
                        <w:pPr>
                          <w:spacing w:before="120" w:beforeLines="50" w:line="240" w:lineRule="exact"/>
                          <w:jc w:val="center"/>
                          <w:rPr>
                            <w:rFonts w:hint="eastAsia"/>
                          </w:rPr>
                        </w:pPr>
                        <w:r>
                          <w:rPr>
                            <w:rFonts w:hint="eastAsia"/>
                          </w:rPr>
                          <w:t>蒸发</w:t>
                        </w:r>
                        <w:r>
                          <w:t>、呼吸</w:t>
                        </w:r>
                      </w:p>
                    </w:txbxContent>
                  </v:textbox>
                </v:rect>
                <v:rect id="矩形 1825" o:spid="_x0000_s1026" o:spt="1" style="position:absolute;left:1654810;top:926465;height:267335;width:763905;" filled="f" stroked="f" coordsize="21600,21600" o:gfxdata="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w1SrudgAAAAFAQAADwAAAAAAAAABACAAAAAiAAAAZHJzL2Rvd25yZXYueG1sUEsBAhQAFAAAAAgA&#10;h07iQARiYUazAQAAUAMAAA4AAAAAAAAAAQAgAAAAJwEAAGRycy9lMm9Eb2MueG1sUEsFBgAAAAAG&#10;AAYAWQEAAEwFAAAAAA==&#10;">
                  <v:fill on="f" focussize="0,0"/>
                  <v:stroke on="f"/>
                  <v:imagedata o:title=""/>
                  <o:lock v:ext="edit" aspectratio="f"/>
                  <v:textbox>
                    <w:txbxContent>
                      <w:p>
                        <w:pPr>
                          <w:rPr>
                            <w:rFonts w:hint="default" w:eastAsia="宋体"/>
                            <w:lang w:val="en-US" w:eastAsia="zh-CN"/>
                          </w:rPr>
                        </w:pPr>
                        <w:r>
                          <w:rPr>
                            <w:rFonts w:hint="eastAsia"/>
                            <w:szCs w:val="21"/>
                            <w:lang w:val="en-US" w:eastAsia="zh-CN"/>
                          </w:rPr>
                          <w:t>54.6</w:t>
                        </w:r>
                      </w:p>
                    </w:txbxContent>
                  </v:textbox>
                </v:rect>
                <v:rect id="矩形 1826" o:spid="_x0000_s1026" o:spt="1" style="position:absolute;left:2919730;top:944245;height:267335;width:763905;" filled="f" stroked="f" coordsize="21600,21600" o:gfxdata="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w1SrudgAAAAFAQAADwAAAAAAAAABACAAAAAiAAAAZHJzL2Rvd25yZXYueG1sUEsBAhQAFAAAAAgA&#10;h07iQKTGEQWzAQAAUAMAAA4AAAAAAAAAAQAgAAAAJwEAAGRycy9lMm9Eb2MueG1sUEsFBgAAAAAG&#10;AAYAWQEAAEwFAAAAAA==&#10;">
                  <v:fill on="f" focussize="0,0"/>
                  <v:stroke on="f"/>
                  <v:imagedata o:title=""/>
                  <o:lock v:ext="edit" aspectratio="f"/>
                  <v:textbox>
                    <w:txbxContent>
                      <w:p>
                        <w:pPr>
                          <w:rPr>
                            <w:rFonts w:hint="default" w:eastAsia="宋体"/>
                            <w:lang w:val="en-US" w:eastAsia="zh-CN"/>
                          </w:rPr>
                        </w:pPr>
                        <w:r>
                          <w:rPr>
                            <w:rFonts w:hint="eastAsia"/>
                            <w:szCs w:val="21"/>
                            <w:lang w:val="en-US" w:eastAsia="zh-CN"/>
                          </w:rPr>
                          <w:t>54.6</w:t>
                        </w:r>
                      </w:p>
                    </w:txbxContent>
                  </v:textbox>
                </v:rect>
                <v:rect id="矩形 1827" o:spid="_x0000_s1026" o:spt="1" style="position:absolute;left:3565525;top:123190;height:261620;width:763905;" filled="f" stroked="f" coordsize="21600,21600" o:gfxdata="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D&#10;VKu52AAAAAUBAAAPAAAAAAAAAAEAIAAAACIAAABkcnMvZG93bnJldi54bWxQSwECFAAUAAAACACH&#10;TuJA6elbWLIBAABQAwAADgAAAAAAAAABACAAAAAnAQAAZHJzL2Uyb0RvYy54bWxQSwUGAAAAAAYA&#10;BgBZAQAASwUAAAAA&#10;">
                  <v:fill on="f" focussize="0,0"/>
                  <v:stroke on="f"/>
                  <v:imagedata o:title=""/>
                  <o:lock v:ext="edit" aspectratio="f"/>
                  <v:textbox>
                    <w:txbxContent>
                      <w:p>
                        <w:pPr>
                          <w:rPr>
                            <w:rFonts w:hint="eastAsia" w:eastAsia="宋体"/>
                            <w:lang w:eastAsia="zh-CN"/>
                          </w:rPr>
                        </w:pPr>
                        <w:r>
                          <w:rPr>
                            <w:rFonts w:hint="eastAsia"/>
                            <w:lang w:eastAsia="zh-CN"/>
                          </w:rPr>
                          <w:t>4.2462</w:t>
                        </w:r>
                      </w:p>
                    </w:txbxContent>
                  </v:textbox>
                </v:rect>
                <v:rect id="矩形 1828" o:spid="_x0000_s1026" o:spt="1" style="position:absolute;left:3539490;top:590550;height:453390;width:763905;" filled="f" stroked="f" coordsize="21600,21600" o:gfxdata="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DVKu5&#10;2AAAAAUBAAAPAAAAAAAAAAEAIAAAACIAAABkcnMvZG93bnJldi54bWxQSwECFAAUAAAACACHTuJA&#10;l+hCHa8BAABQAwAADgAAAAAAAAABACAAAAAnAQAAZHJzL2Uyb0RvYy54bWxQSwUGAAAAAAYABgBZ&#10;AQAASAUAAAAA&#10;">
                  <v:fill on="f" focussize="0,0"/>
                  <v:stroke on="f"/>
                  <v:imagedata o:title=""/>
                  <o:lock v:ext="edit" aspectratio="f"/>
                  <v:textbox>
                    <w:txbxContent>
                      <w:p>
                        <w:pPr>
                          <w:rPr>
                            <w:rFonts w:hint="eastAsia" w:eastAsia="宋体"/>
                            <w:lang w:eastAsia="zh-CN"/>
                          </w:rPr>
                        </w:pPr>
                        <w:r>
                          <w:rPr>
                            <w:rFonts w:hint="eastAsia"/>
                            <w:lang w:eastAsia="zh-CN"/>
                          </w:rPr>
                          <w:t>21.084</w:t>
                        </w:r>
                      </w:p>
                      <w:p/>
                    </w:txbxContent>
                  </v:textbox>
                </v:rect>
                <v:rect id="矩形 1829" o:spid="_x0000_s1026" o:spt="1" style="position:absolute;left:3538855;top:1232535;height:466090;width:763905;" filled="f" stroked="f" coordsize="21600,21600" o:gfxdata="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MNUq7nYAAAABQEAAA8AAAAAAAAAAQAgAAAAIgAAAGRycy9kb3ducmV2LnhtbFBLAQIUABQAAAAI&#10;AIdO4kAE8SnZtAEAAFEDAAAOAAAAAAAAAAEAIAAAACcBAABkcnMvZTJvRG9jLnhtbFBLBQYAAAAA&#10;BgAGAFkBAABNBQAAAAA=&#10;">
                  <v:fill on="f" focussize="0,0"/>
                  <v:stroke on="f"/>
                  <v:imagedata o:title=""/>
                  <o:lock v:ext="edit" aspectratio="f"/>
                  <v:textbox>
                    <w:txbxContent>
                      <w:p>
                        <w:pPr>
                          <w:rPr>
                            <w:rFonts w:hint="eastAsia" w:eastAsia="宋体"/>
                            <w:lang w:eastAsia="zh-CN"/>
                          </w:rPr>
                        </w:pPr>
                        <w:r>
                          <w:rPr>
                            <w:rFonts w:hint="eastAsia"/>
                            <w:lang w:eastAsia="zh-CN"/>
                          </w:rPr>
                          <w:t>28.705</w:t>
                        </w:r>
                      </w:p>
                      <w:p/>
                    </w:txbxContent>
                  </v:textbox>
                </v:rect>
                <v:rect id="矩形 1830" o:spid="_x0000_s1026" o:spt="1" style="position:absolute;left:3539490;top:1870075;height:415925;width:763905;" filled="f" stroked="f" coordsize="21600,21600" o:gfxdata="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MNUq7nYAAAABQEAAA8AAAAAAAAAAQAgAAAAIgAAAGRycy9kb3ducmV2LnhtbFBLAQIUABQAAAAI&#10;AIdO4kCTUPhttAEAAFEDAAAOAAAAAAAAAAEAIAAAACcBAABkcnMvZTJvRG9jLnhtbFBLBQYAAAAA&#10;BgAGAFkBAABNBQAAAAA=&#10;">
                  <v:fill on="f" focussize="0,0"/>
                  <v:stroke on="f"/>
                  <v:imagedata o:title=""/>
                  <o:lock v:ext="edit" aspectratio="f"/>
                  <v:textbox>
                    <w:txbxContent>
                      <w:p>
                        <w:r>
                          <w:rPr>
                            <w:rFonts w:hint="eastAsia"/>
                            <w:szCs w:val="21"/>
                          </w:rPr>
                          <w:t>0.5648</w:t>
                        </w:r>
                      </w:p>
                      <w:p/>
                    </w:txbxContent>
                  </v:textbox>
                </v:rect>
                <w10:wrap type="none"/>
                <w10:anchorlock/>
              </v:group>
            </w:pict>
          </mc:Fallback>
        </mc:AlternateContent>
      </w:r>
    </w:p>
    <w:p>
      <w:pPr>
        <w:spacing w:after="72" w:afterLines="30" w:line="500" w:lineRule="exact"/>
        <w:jc w:val="center"/>
        <w:rPr>
          <w:b/>
          <w:sz w:val="24"/>
        </w:rPr>
      </w:pPr>
      <w:r>
        <w:rPr>
          <w:b/>
          <w:sz w:val="24"/>
        </w:rPr>
        <w:t>图2.2-10   本项目</w:t>
      </w:r>
      <w:r>
        <w:rPr>
          <w:rFonts w:hint="eastAsia"/>
          <w:b/>
          <w:sz w:val="24"/>
        </w:rPr>
        <w:t>物料</w:t>
      </w:r>
      <w:r>
        <w:rPr>
          <w:b/>
          <w:sz w:val="24"/>
        </w:rPr>
        <w:t>平衡图</w:t>
      </w:r>
      <w:r>
        <w:rPr>
          <w:rFonts w:hint="eastAsia"/>
          <w:b/>
          <w:i/>
          <w:sz w:val="24"/>
        </w:rPr>
        <w:t>——</w:t>
      </w:r>
      <w:r>
        <w:rPr>
          <w:rFonts w:hint="eastAsia"/>
          <w:b/>
          <w:sz w:val="24"/>
        </w:rPr>
        <w:t xml:space="preserve">夏季    </w:t>
      </w:r>
      <w:r>
        <w:rPr>
          <w:b/>
          <w:szCs w:val="21"/>
        </w:rPr>
        <w:t>单位 t/d</w:t>
      </w:r>
    </w:p>
    <w:p>
      <w:pPr>
        <w:spacing w:after="72" w:afterLines="30" w:line="500" w:lineRule="exact"/>
        <w:jc w:val="center"/>
        <w:rPr>
          <w:b/>
          <w:sz w:val="24"/>
          <w:u w:val="single"/>
        </w:rPr>
      </w:pPr>
    </w:p>
    <w:p>
      <w:pPr>
        <w:spacing w:after="72" w:afterLines="30" w:line="500" w:lineRule="exact"/>
        <w:jc w:val="center"/>
        <w:rPr>
          <w:rFonts w:hint="eastAsia"/>
          <w:b/>
          <w:sz w:val="24"/>
          <w:u w:val="single"/>
        </w:rPr>
      </w:pPr>
    </w:p>
    <w:p>
      <w:pPr>
        <w:spacing w:after="72" w:afterLines="30" w:line="500" w:lineRule="exact"/>
        <w:jc w:val="center"/>
        <w:rPr>
          <w:b/>
          <w:sz w:val="24"/>
          <w:u w:val="single"/>
        </w:rPr>
      </w:pPr>
    </w:p>
    <w:p>
      <w:pPr>
        <w:spacing w:after="72" w:afterLines="30" w:line="500" w:lineRule="exact"/>
        <w:jc w:val="center"/>
        <w:rPr>
          <w:b/>
          <w:sz w:val="24"/>
          <w:u w:val="single"/>
        </w:rPr>
      </w:pPr>
    </w:p>
    <w:p>
      <w:pPr>
        <w:spacing w:after="72" w:afterLines="30" w:line="500" w:lineRule="exact"/>
        <w:jc w:val="center"/>
        <w:rPr>
          <w:b/>
          <w:sz w:val="24"/>
          <w:u w:val="single"/>
        </w:rPr>
      </w:pPr>
    </w:p>
    <w:p>
      <w:pPr>
        <w:spacing w:after="72" w:afterLines="30" w:line="500" w:lineRule="exact"/>
        <w:jc w:val="center"/>
        <w:rPr>
          <w:b/>
          <w:sz w:val="24"/>
          <w:u w:val="single"/>
        </w:rPr>
      </w:pPr>
    </w:p>
    <w:p>
      <w:pPr>
        <w:spacing w:after="72" w:afterLines="30" w:line="500" w:lineRule="exact"/>
        <w:jc w:val="center"/>
        <w:rPr>
          <w:b/>
          <w:sz w:val="24"/>
          <w:u w:val="single"/>
        </w:rPr>
      </w:pPr>
    </w:p>
    <w:p>
      <w:pPr>
        <w:spacing w:after="72" w:afterLines="30" w:line="500" w:lineRule="exact"/>
        <w:jc w:val="center"/>
        <w:rPr>
          <w:b/>
          <w:sz w:val="24"/>
          <w:u w:val="single"/>
        </w:rPr>
      </w:pPr>
      <w:r>
        <w:rPr>
          <w:sz w:val="24"/>
        </w:rPr>
        <mc:AlternateContent>
          <mc:Choice Requires="wpc">
            <w:drawing>
              <wp:inline distT="0" distB="0" distL="114300" distR="114300">
                <wp:extent cx="6171565" cy="2771775"/>
                <wp:effectExtent l="0" t="0" r="0" b="0"/>
                <wp:docPr id="247" name="画布 183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22" name="矩形 1833"/>
                        <wps:cNvSpPr/>
                        <wps:spPr>
                          <a:xfrm>
                            <a:off x="659765" y="1698625"/>
                            <a:ext cx="357505" cy="52959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before="120" w:beforeLines="50"/>
                                <w:jc w:val="center"/>
                              </w:pPr>
                              <w:r>
                                <w:t>饲料</w:t>
                              </w:r>
                            </w:p>
                          </w:txbxContent>
                        </wps:txbx>
                        <wps:bodyPr upright="1"/>
                      </wps:wsp>
                      <wps:wsp>
                        <wps:cNvPr id="223" name="矩形 1834"/>
                        <wps:cNvSpPr/>
                        <wps:spPr>
                          <a:xfrm>
                            <a:off x="1069340" y="1739900"/>
                            <a:ext cx="523875" cy="267335"/>
                          </a:xfrm>
                          <a:prstGeom prst="rect">
                            <a:avLst/>
                          </a:prstGeom>
                          <a:noFill/>
                          <a:ln>
                            <a:noFill/>
                          </a:ln>
                        </wps:spPr>
                        <wps:txbx>
                          <w:txbxContent>
                            <w:p>
                              <w:r>
                                <w:rPr>
                                  <w:rFonts w:hint="eastAsia"/>
                                  <w:lang w:val="en-US" w:eastAsia="zh-CN"/>
                                </w:rPr>
                                <w:t>8</w:t>
                              </w:r>
                              <w:r>
                                <w:rPr>
                                  <w:rFonts w:hint="eastAsia"/>
                                </w:rPr>
                                <w:t>.4</w:t>
                              </w:r>
                            </w:p>
                          </w:txbxContent>
                        </wps:txbx>
                        <wps:bodyPr upright="1"/>
                      </wps:wsp>
                      <wps:wsp>
                        <wps:cNvPr id="224" name="自选图形 1835"/>
                        <wps:cNvCnPr/>
                        <wps:spPr>
                          <a:xfrm>
                            <a:off x="992505" y="752475"/>
                            <a:ext cx="662305" cy="635"/>
                          </a:xfrm>
                          <a:prstGeom prst="straightConnector1">
                            <a:avLst/>
                          </a:prstGeom>
                          <a:ln w="9525" cap="flat" cmpd="sng">
                            <a:solidFill>
                              <a:srgbClr val="000000"/>
                            </a:solidFill>
                            <a:prstDash val="solid"/>
                            <a:headEnd type="none" w="med" len="med"/>
                            <a:tailEnd type="triangle" w="med" len="med"/>
                          </a:ln>
                        </wps:spPr>
                        <wps:bodyPr/>
                      </wps:wsp>
                      <wps:wsp>
                        <wps:cNvPr id="225" name="矩形 1836"/>
                        <wps:cNvSpPr/>
                        <wps:spPr>
                          <a:xfrm>
                            <a:off x="659765" y="541655"/>
                            <a:ext cx="357505" cy="4191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before="120" w:beforeLines="50"/>
                                <w:jc w:val="center"/>
                                <w:rPr>
                                  <w:rFonts w:hint="eastAsia"/>
                                </w:rPr>
                              </w:pPr>
                              <w:r>
                                <w:rPr>
                                  <w:rFonts w:hint="eastAsia"/>
                                </w:rPr>
                                <w:t>水</w:t>
                              </w:r>
                            </w:p>
                          </w:txbxContent>
                        </wps:txbx>
                        <wps:bodyPr upright="1"/>
                      </wps:wsp>
                      <wps:wsp>
                        <wps:cNvPr id="226" name="自选图形 1837"/>
                        <wps:cNvCnPr/>
                        <wps:spPr>
                          <a:xfrm flipH="1">
                            <a:off x="1639570" y="741045"/>
                            <a:ext cx="15240" cy="1270635"/>
                          </a:xfrm>
                          <a:prstGeom prst="straightConnector1">
                            <a:avLst/>
                          </a:prstGeom>
                          <a:ln w="9525" cap="flat" cmpd="sng">
                            <a:solidFill>
                              <a:srgbClr val="000000"/>
                            </a:solidFill>
                            <a:prstDash val="solid"/>
                            <a:headEnd type="none" w="med" len="med"/>
                            <a:tailEnd type="none" w="med" len="med"/>
                          </a:ln>
                        </wps:spPr>
                        <wps:bodyPr/>
                      </wps:wsp>
                      <wps:wsp>
                        <wps:cNvPr id="227" name="自选图形 1838"/>
                        <wps:cNvCnPr/>
                        <wps:spPr>
                          <a:xfrm>
                            <a:off x="1654810" y="1393190"/>
                            <a:ext cx="600075" cy="635"/>
                          </a:xfrm>
                          <a:prstGeom prst="straightConnector1">
                            <a:avLst/>
                          </a:prstGeom>
                          <a:ln w="9525" cap="flat" cmpd="sng">
                            <a:solidFill>
                              <a:srgbClr val="000000"/>
                            </a:solidFill>
                            <a:prstDash val="solid"/>
                            <a:headEnd type="none" w="med" len="med"/>
                            <a:tailEnd type="triangle" w="med" len="med"/>
                          </a:ln>
                        </wps:spPr>
                        <wps:bodyPr/>
                      </wps:wsp>
                      <wps:wsp>
                        <wps:cNvPr id="228" name="矩形 1839"/>
                        <wps:cNvSpPr/>
                        <wps:spPr>
                          <a:xfrm>
                            <a:off x="1069340" y="491490"/>
                            <a:ext cx="763905" cy="267335"/>
                          </a:xfrm>
                          <a:prstGeom prst="rect">
                            <a:avLst/>
                          </a:prstGeom>
                          <a:noFill/>
                          <a:ln>
                            <a:noFill/>
                          </a:ln>
                        </wps:spPr>
                        <wps:txbx>
                          <w:txbxContent>
                            <w:p>
                              <w:pPr>
                                <w:rPr>
                                  <w:rFonts w:hint="default" w:eastAsia="宋体"/>
                                  <w:lang w:val="en-US" w:eastAsia="zh-CN"/>
                                </w:rPr>
                              </w:pPr>
                              <w:r>
                                <w:rPr>
                                  <w:rFonts w:hint="eastAsia"/>
                                  <w:szCs w:val="21"/>
                                  <w:lang w:val="en-US" w:eastAsia="zh-CN"/>
                                </w:rPr>
                                <w:t>27.3</w:t>
                              </w:r>
                            </w:p>
                          </w:txbxContent>
                        </wps:txbx>
                        <wps:bodyPr upright="1"/>
                      </wps:wsp>
                      <wps:wsp>
                        <wps:cNvPr id="229" name="自选图形 1840"/>
                        <wps:cNvCnPr/>
                        <wps:spPr>
                          <a:xfrm>
                            <a:off x="1017270" y="2012315"/>
                            <a:ext cx="637540" cy="635"/>
                          </a:xfrm>
                          <a:prstGeom prst="straightConnector1">
                            <a:avLst/>
                          </a:prstGeom>
                          <a:ln w="9525" cap="flat" cmpd="sng">
                            <a:solidFill>
                              <a:srgbClr val="000000"/>
                            </a:solidFill>
                            <a:prstDash val="solid"/>
                            <a:headEnd type="none" w="med" len="med"/>
                            <a:tailEnd type="triangle" w="med" len="med"/>
                          </a:ln>
                        </wps:spPr>
                        <wps:bodyPr/>
                      </wps:wsp>
                      <wps:wsp>
                        <wps:cNvPr id="230" name="矩形 1841"/>
                        <wps:cNvSpPr/>
                        <wps:spPr>
                          <a:xfrm>
                            <a:off x="2252980" y="1138555"/>
                            <a:ext cx="685800" cy="47625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before="120" w:beforeLines="50" w:line="480" w:lineRule="auto"/>
                                <w:jc w:val="center"/>
                              </w:pPr>
                              <w:r>
                                <w:rPr>
                                  <w:rFonts w:hint="eastAsia"/>
                                </w:rPr>
                                <w:t>猪成长</w:t>
                              </w:r>
                            </w:p>
                          </w:txbxContent>
                        </wps:txbx>
                        <wps:bodyPr upright="1"/>
                      </wps:wsp>
                      <wps:wsp>
                        <wps:cNvPr id="231" name="自选图形 1842"/>
                        <wps:cNvCnPr/>
                        <wps:spPr>
                          <a:xfrm>
                            <a:off x="2938780" y="1392555"/>
                            <a:ext cx="600075" cy="635"/>
                          </a:xfrm>
                          <a:prstGeom prst="straightConnector1">
                            <a:avLst/>
                          </a:prstGeom>
                          <a:ln w="9525" cap="flat" cmpd="sng">
                            <a:solidFill>
                              <a:srgbClr val="000000"/>
                            </a:solidFill>
                            <a:prstDash val="solid"/>
                            <a:headEnd type="none" w="med" len="med"/>
                            <a:tailEnd type="triangle" w="med" len="med"/>
                          </a:ln>
                        </wps:spPr>
                        <wps:bodyPr/>
                      </wps:wsp>
                      <wps:wsp>
                        <wps:cNvPr id="232" name="自选图形 1843"/>
                        <wps:cNvCnPr/>
                        <wps:spPr>
                          <a:xfrm>
                            <a:off x="3538855" y="522605"/>
                            <a:ext cx="635" cy="1813560"/>
                          </a:xfrm>
                          <a:prstGeom prst="straightConnector1">
                            <a:avLst/>
                          </a:prstGeom>
                          <a:ln w="9525" cap="flat" cmpd="sng">
                            <a:solidFill>
                              <a:srgbClr val="000000"/>
                            </a:solidFill>
                            <a:prstDash val="solid"/>
                            <a:headEnd type="none" w="med" len="med"/>
                            <a:tailEnd type="none" w="med" len="med"/>
                          </a:ln>
                        </wps:spPr>
                        <wps:bodyPr/>
                      </wps:wsp>
                      <wps:wsp>
                        <wps:cNvPr id="233" name="自选图形 1844"/>
                        <wps:cNvCnPr/>
                        <wps:spPr>
                          <a:xfrm>
                            <a:off x="3538855" y="522605"/>
                            <a:ext cx="600075" cy="635"/>
                          </a:xfrm>
                          <a:prstGeom prst="straightConnector1">
                            <a:avLst/>
                          </a:prstGeom>
                          <a:ln w="9525" cap="flat" cmpd="sng">
                            <a:solidFill>
                              <a:srgbClr val="000000"/>
                            </a:solidFill>
                            <a:prstDash val="solid"/>
                            <a:headEnd type="none" w="med" len="med"/>
                            <a:tailEnd type="triangle" w="med" len="med"/>
                          </a:ln>
                        </wps:spPr>
                        <wps:bodyPr/>
                      </wps:wsp>
                      <wps:wsp>
                        <wps:cNvPr id="234" name="自选图形 1845"/>
                        <wps:cNvCnPr/>
                        <wps:spPr>
                          <a:xfrm>
                            <a:off x="3539490" y="2336165"/>
                            <a:ext cx="600075" cy="635"/>
                          </a:xfrm>
                          <a:prstGeom prst="straightConnector1">
                            <a:avLst/>
                          </a:prstGeom>
                          <a:ln w="9525" cap="flat" cmpd="sng">
                            <a:solidFill>
                              <a:srgbClr val="000000"/>
                            </a:solidFill>
                            <a:prstDash val="solid"/>
                            <a:headEnd type="none" w="med" len="med"/>
                            <a:tailEnd type="triangle" w="med" len="med"/>
                          </a:ln>
                        </wps:spPr>
                        <wps:bodyPr/>
                      </wps:wsp>
                      <wps:wsp>
                        <wps:cNvPr id="235" name="自选图形 1846"/>
                        <wps:cNvCnPr/>
                        <wps:spPr>
                          <a:xfrm>
                            <a:off x="3539490" y="1056640"/>
                            <a:ext cx="600075" cy="635"/>
                          </a:xfrm>
                          <a:prstGeom prst="straightConnector1">
                            <a:avLst/>
                          </a:prstGeom>
                          <a:ln w="9525" cap="flat" cmpd="sng">
                            <a:solidFill>
                              <a:srgbClr val="000000"/>
                            </a:solidFill>
                            <a:prstDash val="solid"/>
                            <a:headEnd type="none" w="med" len="med"/>
                            <a:tailEnd type="triangle" w="med" len="med"/>
                          </a:ln>
                        </wps:spPr>
                        <wps:bodyPr/>
                      </wps:wsp>
                      <wps:wsp>
                        <wps:cNvPr id="236" name="自选图形 1847"/>
                        <wps:cNvCnPr/>
                        <wps:spPr>
                          <a:xfrm>
                            <a:off x="3539490" y="1710690"/>
                            <a:ext cx="600075" cy="635"/>
                          </a:xfrm>
                          <a:prstGeom prst="straightConnector1">
                            <a:avLst/>
                          </a:prstGeom>
                          <a:ln w="9525" cap="flat" cmpd="sng">
                            <a:solidFill>
                              <a:srgbClr val="000000"/>
                            </a:solidFill>
                            <a:prstDash val="solid"/>
                            <a:headEnd type="none" w="med" len="med"/>
                            <a:tailEnd type="triangle" w="med" len="med"/>
                          </a:ln>
                        </wps:spPr>
                        <wps:bodyPr/>
                      </wps:wsp>
                      <wps:wsp>
                        <wps:cNvPr id="237" name="矩形 1848"/>
                        <wps:cNvSpPr/>
                        <wps:spPr>
                          <a:xfrm>
                            <a:off x="4139565" y="255905"/>
                            <a:ext cx="685800" cy="3276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before="120" w:beforeLines="50" w:line="240" w:lineRule="exact"/>
                                <w:jc w:val="center"/>
                              </w:pPr>
                              <w:r>
                                <w:rPr>
                                  <w:rFonts w:hint="eastAsia"/>
                                </w:rPr>
                                <w:t>猪粪</w:t>
                              </w:r>
                            </w:p>
                          </w:txbxContent>
                        </wps:txbx>
                        <wps:bodyPr upright="1"/>
                      </wps:wsp>
                      <wps:wsp>
                        <wps:cNvPr id="238" name="矩形 1849"/>
                        <wps:cNvSpPr/>
                        <wps:spPr>
                          <a:xfrm>
                            <a:off x="4138930" y="846455"/>
                            <a:ext cx="685800" cy="3276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before="120" w:beforeLines="50" w:line="240" w:lineRule="exact"/>
                                <w:jc w:val="center"/>
                              </w:pPr>
                              <w:r>
                                <w:rPr>
                                  <w:rFonts w:hint="eastAsia"/>
                                </w:rPr>
                                <w:t>猪尿</w:t>
                              </w:r>
                            </w:p>
                          </w:txbxContent>
                        </wps:txbx>
                        <wps:bodyPr upright="1"/>
                      </wps:wsp>
                      <wps:wsp>
                        <wps:cNvPr id="239" name="矩形 1850"/>
                        <wps:cNvSpPr/>
                        <wps:spPr>
                          <a:xfrm>
                            <a:off x="4138930" y="1509395"/>
                            <a:ext cx="685800" cy="3276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before="120" w:beforeLines="50" w:line="240" w:lineRule="exact"/>
                                <w:jc w:val="center"/>
                              </w:pPr>
                              <w:r>
                                <w:rPr>
                                  <w:rFonts w:hint="eastAsia"/>
                                </w:rPr>
                                <w:t>猪吸收</w:t>
                              </w:r>
                            </w:p>
                          </w:txbxContent>
                        </wps:txbx>
                        <wps:bodyPr upright="1"/>
                      </wps:wsp>
                      <wps:wsp>
                        <wps:cNvPr id="240" name="矩形 1851"/>
                        <wps:cNvSpPr/>
                        <wps:spPr>
                          <a:xfrm>
                            <a:off x="4138930" y="2157095"/>
                            <a:ext cx="914400" cy="3276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before="120" w:beforeLines="50" w:line="240" w:lineRule="exact"/>
                                <w:jc w:val="center"/>
                                <w:rPr>
                                  <w:rFonts w:hint="eastAsia"/>
                                </w:rPr>
                              </w:pPr>
                              <w:r>
                                <w:rPr>
                                  <w:rFonts w:hint="eastAsia"/>
                                </w:rPr>
                                <w:t>蒸发</w:t>
                              </w:r>
                              <w:r>
                                <w:t>、呼吸</w:t>
                              </w:r>
                            </w:p>
                          </w:txbxContent>
                        </wps:txbx>
                        <wps:bodyPr upright="1"/>
                      </wps:wsp>
                      <wps:wsp>
                        <wps:cNvPr id="241" name="矩形 1852"/>
                        <wps:cNvSpPr/>
                        <wps:spPr>
                          <a:xfrm>
                            <a:off x="1654810" y="1125220"/>
                            <a:ext cx="763905" cy="267335"/>
                          </a:xfrm>
                          <a:prstGeom prst="rect">
                            <a:avLst/>
                          </a:prstGeom>
                          <a:noFill/>
                          <a:ln>
                            <a:noFill/>
                          </a:ln>
                        </wps:spPr>
                        <wps:txbx>
                          <w:txbxContent>
                            <w:p>
                              <w:pPr>
                                <w:rPr>
                                  <w:rFonts w:hint="default" w:eastAsia="宋体"/>
                                  <w:lang w:val="en-US" w:eastAsia="zh-CN"/>
                                </w:rPr>
                              </w:pPr>
                              <w:r>
                                <w:rPr>
                                  <w:rFonts w:hint="eastAsia"/>
                                  <w:szCs w:val="21"/>
                                  <w:lang w:val="en-US" w:eastAsia="zh-CN"/>
                                </w:rPr>
                                <w:t>35.7</w:t>
                              </w:r>
                            </w:p>
                          </w:txbxContent>
                        </wps:txbx>
                        <wps:bodyPr upright="1"/>
                      </wps:wsp>
                      <wps:wsp>
                        <wps:cNvPr id="242" name="矩形 1853"/>
                        <wps:cNvSpPr/>
                        <wps:spPr>
                          <a:xfrm>
                            <a:off x="2919730" y="1143000"/>
                            <a:ext cx="763905" cy="267335"/>
                          </a:xfrm>
                          <a:prstGeom prst="rect">
                            <a:avLst/>
                          </a:prstGeom>
                          <a:noFill/>
                          <a:ln>
                            <a:noFill/>
                          </a:ln>
                        </wps:spPr>
                        <wps:txbx>
                          <w:txbxContent>
                            <w:p>
                              <w:pPr>
                                <w:rPr>
                                  <w:rFonts w:hint="default" w:eastAsia="宋体"/>
                                  <w:lang w:val="en-US" w:eastAsia="zh-CN"/>
                                </w:rPr>
                              </w:pPr>
                              <w:r>
                                <w:rPr>
                                  <w:rFonts w:hint="eastAsia"/>
                                  <w:szCs w:val="21"/>
                                  <w:lang w:val="en-US" w:eastAsia="zh-CN"/>
                                </w:rPr>
                                <w:t>35.7</w:t>
                              </w:r>
                            </w:p>
                          </w:txbxContent>
                        </wps:txbx>
                        <wps:bodyPr upright="1"/>
                      </wps:wsp>
                      <wps:wsp>
                        <wps:cNvPr id="243" name="矩形 1854"/>
                        <wps:cNvSpPr/>
                        <wps:spPr>
                          <a:xfrm>
                            <a:off x="3472180" y="274320"/>
                            <a:ext cx="763905" cy="366395"/>
                          </a:xfrm>
                          <a:prstGeom prst="rect">
                            <a:avLst/>
                          </a:prstGeom>
                          <a:noFill/>
                          <a:ln>
                            <a:noFill/>
                          </a:ln>
                        </wps:spPr>
                        <wps:txbx>
                          <w:txbxContent>
                            <w:p>
                              <w:pPr>
                                <w:rPr>
                                  <w:rFonts w:hint="eastAsia" w:eastAsia="宋体"/>
                                  <w:lang w:eastAsia="zh-CN"/>
                                </w:rPr>
                              </w:pPr>
                              <w:r>
                                <w:rPr>
                                  <w:rFonts w:hint="eastAsia"/>
                                  <w:lang w:eastAsia="zh-CN"/>
                                </w:rPr>
                                <w:t>4.2462</w:t>
                              </w:r>
                            </w:p>
                            <w:p/>
                            <w:p>
                              <w:r>
                                <w:rPr>
                                  <w:rFonts w:hint="eastAsia"/>
                                </w:rPr>
                                <w:t>+</w:t>
                              </w:r>
                            </w:p>
                          </w:txbxContent>
                        </wps:txbx>
                        <wps:bodyPr upright="1"/>
                      </wps:wsp>
                      <wps:wsp>
                        <wps:cNvPr id="244" name="矩形 1855"/>
                        <wps:cNvSpPr/>
                        <wps:spPr>
                          <a:xfrm>
                            <a:off x="3482340" y="827405"/>
                            <a:ext cx="763905" cy="453390"/>
                          </a:xfrm>
                          <a:prstGeom prst="rect">
                            <a:avLst/>
                          </a:prstGeom>
                          <a:noFill/>
                          <a:ln>
                            <a:noFill/>
                          </a:ln>
                        </wps:spPr>
                        <wps:txbx>
                          <w:txbxContent>
                            <w:p>
                              <w:pPr>
                                <w:rPr>
                                  <w:rFonts w:hint="eastAsia" w:eastAsia="宋体"/>
                                  <w:lang w:eastAsia="zh-CN"/>
                                </w:rPr>
                              </w:pPr>
                              <w:r>
                                <w:rPr>
                                  <w:rFonts w:hint="eastAsia"/>
                                  <w:lang w:eastAsia="zh-CN"/>
                                </w:rPr>
                                <w:t>12.81</w:t>
                              </w:r>
                            </w:p>
                          </w:txbxContent>
                        </wps:txbx>
                        <wps:bodyPr upright="1"/>
                      </wps:wsp>
                      <wps:wsp>
                        <wps:cNvPr id="245" name="矩形 1856"/>
                        <wps:cNvSpPr/>
                        <wps:spPr>
                          <a:xfrm>
                            <a:off x="3538855" y="1431290"/>
                            <a:ext cx="763905" cy="466090"/>
                          </a:xfrm>
                          <a:prstGeom prst="rect">
                            <a:avLst/>
                          </a:prstGeom>
                          <a:noFill/>
                          <a:ln>
                            <a:noFill/>
                          </a:ln>
                        </wps:spPr>
                        <wps:txbx>
                          <w:txbxContent>
                            <w:p>
                              <w:pPr>
                                <w:rPr>
                                  <w:rFonts w:hint="default" w:eastAsia="宋体"/>
                                  <w:lang w:val="en-US" w:eastAsia="zh-CN"/>
                                </w:rPr>
                              </w:pPr>
                              <w:r>
                                <w:rPr>
                                  <w:rFonts w:hint="eastAsia"/>
                                  <w:lang w:val="en-US" w:eastAsia="zh-CN"/>
                                </w:rPr>
                                <w:t>18.079</w:t>
                              </w:r>
                            </w:p>
                          </w:txbxContent>
                        </wps:txbx>
                        <wps:bodyPr upright="1"/>
                      </wps:wsp>
                      <wps:wsp>
                        <wps:cNvPr id="246" name="矩形 1857"/>
                        <wps:cNvSpPr/>
                        <wps:spPr>
                          <a:xfrm>
                            <a:off x="3406140" y="2068830"/>
                            <a:ext cx="763905" cy="415925"/>
                          </a:xfrm>
                          <a:prstGeom prst="rect">
                            <a:avLst/>
                          </a:prstGeom>
                          <a:noFill/>
                          <a:ln>
                            <a:noFill/>
                          </a:ln>
                        </wps:spPr>
                        <wps:txbx>
                          <w:txbxContent>
                            <w:p>
                              <w:pPr>
                                <w:jc w:val="center"/>
                              </w:pPr>
                              <w:r>
                                <w:rPr>
                                  <w:rFonts w:hint="eastAsia"/>
                                  <w:szCs w:val="21"/>
                                </w:rPr>
                                <w:t>0.5648</w:t>
                              </w:r>
                            </w:p>
                          </w:txbxContent>
                        </wps:txbx>
                        <wps:bodyPr upright="1"/>
                      </wps:wsp>
                    </wpc:wpc>
                  </a:graphicData>
                </a:graphic>
              </wp:inline>
            </w:drawing>
          </mc:Choice>
          <mc:Fallback>
            <w:pict>
              <v:group id="画布 1831" o:spid="_x0000_s1026" o:spt="203" style="height:218.25pt;width:485.95pt;" coordsize="6171565,2771775" editas="canvas" o:gfxdata="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">
                <o:lock v:ext="edit" aspectratio="f"/>
                <v:shape id="画布 1831" o:spid="_x0000_s1026" style="position:absolute;left:0;top:0;height:2771775;width:6171565;" filled="f" stroked="f" coordsize="21600,21600" o:gfxdata="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">
                  <v:fill on="f" focussize="0,0"/>
                  <v:stroke on="f"/>
                  <v:imagedata o:title=""/>
                  <o:lock v:ext="edit" aspectratio="t"/>
                </v:shape>
                <v:rect id="矩形 1833" o:spid="_x0000_s1026" o:spt="1" style="position:absolute;left:659765;top:1698625;height:529590;width:357505;" fillcolor="#FFFFFF" filled="t" stroked="t" coordsize="21600,21600" o:gfxdata="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kcDjy1QAAAAUBAAAPAAAAAAAAAAEA&#10;IAAAACIAAABkcnMvZG93bnJldi54bWxQSwECFAAUAAAACACHTuJA8c5z2BICAAA4BAAADgAAAAAA&#10;AAABACAAAAAkAQAAZHJzL2Uyb0RvYy54bWxQSwUGAAAAAAYABgBZAQAAqAUAAAAA&#10;">
                  <v:fill on="t" focussize="0,0"/>
                  <v:stroke color="#000000" joinstyle="miter"/>
                  <v:imagedata o:title=""/>
                  <o:lock v:ext="edit" aspectratio="f"/>
                  <v:textbox>
                    <w:txbxContent>
                      <w:p>
                        <w:pPr>
                          <w:spacing w:before="120" w:beforeLines="50"/>
                          <w:jc w:val="center"/>
                        </w:pPr>
                        <w:r>
                          <w:t>饲料</w:t>
                        </w:r>
                      </w:p>
                    </w:txbxContent>
                  </v:textbox>
                </v:rect>
                <v:rect id="矩形 1834" o:spid="_x0000_s1026" o:spt="1" style="position:absolute;left:1069340;top:1739900;height:267335;width:523875;" filled="f" stroked="f" coordsize="21600,21600" o:gfxdata="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oRAiJ9gAAAAFAQAADwAAAAAAAAABACAAAAAiAAAAZHJzL2Rvd25yZXYueG1sUEsBAhQAFAAAAAgA&#10;h07iQBZ4uXazAQAAUQMAAA4AAAAAAAAAAQAgAAAAJwEAAGRycy9lMm9Eb2MueG1sUEsFBgAAAAAG&#10;AAYAWQEAAEwFAAAAAA==&#10;">
                  <v:fill on="f" focussize="0,0"/>
                  <v:stroke on="f"/>
                  <v:imagedata o:title=""/>
                  <o:lock v:ext="edit" aspectratio="f"/>
                  <v:textbox>
                    <w:txbxContent>
                      <w:p>
                        <w:r>
                          <w:rPr>
                            <w:rFonts w:hint="eastAsia"/>
                            <w:lang w:val="en-US" w:eastAsia="zh-CN"/>
                          </w:rPr>
                          <w:t>8</w:t>
                        </w:r>
                        <w:r>
                          <w:rPr>
                            <w:rFonts w:hint="eastAsia"/>
                          </w:rPr>
                          <w:t>.4</w:t>
                        </w:r>
                      </w:p>
                    </w:txbxContent>
                  </v:textbox>
                </v:rect>
                <v:shape id="自选图形 1835" o:spid="_x0000_s1026" o:spt="32" type="#_x0000_t32" style="position:absolute;left:992505;top:752475;height:635;width:662305;" filled="f" stroked="t" coordsize="21600,21600" o:gfxdata="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WDMVC1wAAAAUBAAAPAAAAAAAAAAEAIAAA&#10;ACIAAABkcnMvZG93bnJldi54bWxQSwECFAAUAAAACACHTuJAJOv4LA0CAAD3AwAADgAAAAAAAAAB&#10;ACAAAAAmAQAAZHJzL2Uyb0RvYy54bWxQSwUGAAAAAAYABgBZAQAApQUAAAAA&#10;">
                  <v:fill on="f" focussize="0,0"/>
                  <v:stroke color="#000000" joinstyle="round" endarrow="block"/>
                  <v:imagedata o:title=""/>
                  <o:lock v:ext="edit" aspectratio="f"/>
                </v:shape>
                <v:rect id="矩形 1836" o:spid="_x0000_s1026" o:spt="1" style="position:absolute;left:659765;top:541655;height:419100;width:357505;" fillcolor="#FFFFFF" filled="t" stroked="t" coordsize="21600,21600" o:gfxdata="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GRwOPLVAAAABQEAAA8AAAAAAAAAAQAg&#10;AAAAIgAAAGRycy9kb3ducmV2LnhtbFBLAQIUABQAAAAIAIdO4kARkhVFEQIAADcEAAAOAAAAAAAA&#10;AAEAIAAAACQBAABkcnMvZTJvRG9jLnhtbFBLBQYAAAAABgAGAFkBAACnBQAAAAA=&#10;">
                  <v:fill on="t" focussize="0,0"/>
                  <v:stroke color="#000000" joinstyle="miter"/>
                  <v:imagedata o:title=""/>
                  <o:lock v:ext="edit" aspectratio="f"/>
                  <v:textbox>
                    <w:txbxContent>
                      <w:p>
                        <w:pPr>
                          <w:spacing w:before="120" w:beforeLines="50"/>
                          <w:jc w:val="center"/>
                          <w:rPr>
                            <w:rFonts w:hint="eastAsia"/>
                          </w:rPr>
                        </w:pPr>
                        <w:r>
                          <w:rPr>
                            <w:rFonts w:hint="eastAsia"/>
                          </w:rPr>
                          <w:t>水</w:t>
                        </w:r>
                      </w:p>
                    </w:txbxContent>
                  </v:textbox>
                </v:rect>
                <v:shape id="自选图形 1837" o:spid="_x0000_s1026" o:spt="32" type="#_x0000_t32" style="position:absolute;left:1639570;top:741045;flip:x;height:1270635;width:15240;" filled="f" stroked="t" coordsize="21600,21600" o:gfxdata="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GDu51gAAAAUBAAAPAAAAAAAAAAEA&#10;IAAAACIAAABkcnMvZG93bnJldi54bWxQSwECFAAUAAAACACHTuJAkBAoqBECAAABBAAADgAAAAAA&#10;AAABACAAAAAlAQAAZHJzL2Uyb0RvYy54bWxQSwUGAAAAAAYABgBZAQAAqAUAAAAA&#10;">
                  <v:fill on="f" focussize="0,0"/>
                  <v:stroke color="#000000" joinstyle="round"/>
                  <v:imagedata o:title=""/>
                  <o:lock v:ext="edit" aspectratio="f"/>
                </v:shape>
                <v:shape id="自选图形 1838" o:spid="_x0000_s1026" o:spt="32" type="#_x0000_t32" style="position:absolute;left:1654810;top:1393190;height:635;width:600075;" filled="f" stroked="t" coordsize="21600,21600" o:gfxdata="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WDMVC1wAAAAUBAAAPAAAAAAAAAAEAIAAA&#10;ACIAAABkcnMvZG93bnJldi54bWxQSwECFAAUAAAACACHTuJApJz1bg0CAAD5AwAADgAAAAAAAAAB&#10;ACAAAAAmAQAAZHJzL2Uyb0RvYy54bWxQSwUGAAAAAAYABgBZAQAApQUAAAAA&#10;">
                  <v:fill on="f" focussize="0,0"/>
                  <v:stroke color="#000000" joinstyle="round" endarrow="block"/>
                  <v:imagedata o:title=""/>
                  <o:lock v:ext="edit" aspectratio="f"/>
                </v:shape>
                <v:rect id="矩形 1839" o:spid="_x0000_s1026" o:spt="1" style="position:absolute;left:1069340;top:491490;height:267335;width:763905;" filled="f" stroked="f" coordsize="21600,21600" o:gfxdata="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Ch&#10;ECIn2AAAAAUBAAAPAAAAAAAAAAEAIAAAACIAAABkcnMvZG93bnJldi54bWxQSwECFAAUAAAACACH&#10;TuJAcQdllbIBAABQAwAADgAAAAAAAAABACAAAAAnAQAAZHJzL2Uyb0RvYy54bWxQSwUGAAAAAAYA&#10;BgBZAQAASwUAAAAA&#10;">
                  <v:fill on="f" focussize="0,0"/>
                  <v:stroke on="f"/>
                  <v:imagedata o:title=""/>
                  <o:lock v:ext="edit" aspectratio="f"/>
                  <v:textbox>
                    <w:txbxContent>
                      <w:p>
                        <w:pPr>
                          <w:rPr>
                            <w:rFonts w:hint="default" w:eastAsia="宋体"/>
                            <w:lang w:val="en-US" w:eastAsia="zh-CN"/>
                          </w:rPr>
                        </w:pPr>
                        <w:r>
                          <w:rPr>
                            <w:rFonts w:hint="eastAsia"/>
                            <w:szCs w:val="21"/>
                            <w:lang w:val="en-US" w:eastAsia="zh-CN"/>
                          </w:rPr>
                          <w:t>27.3</w:t>
                        </w:r>
                      </w:p>
                    </w:txbxContent>
                  </v:textbox>
                </v:rect>
                <v:shape id="自选图形 1840" o:spid="_x0000_s1026" o:spt="32" type="#_x0000_t32" style="position:absolute;left:1017270;top:2012315;height:635;width:637540;" filled="f" stroked="t" coordsize="21600,21600" o:gfxdata="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WDMVC1wAAAAUBAAAPAAAAAAAAAAEAIAAA&#10;ACIAAABkcnMvZG93bnJldi54bWxQSwECFAAUAAAACACHTuJABmgxEQ0CAAD5AwAADgAAAAAAAAAB&#10;ACAAAAAmAQAAZHJzL2Uyb0RvYy54bWxQSwUGAAAAAAYABgBZAQAApQUAAAAA&#10;">
                  <v:fill on="f" focussize="0,0"/>
                  <v:stroke color="#000000" joinstyle="round" endarrow="block"/>
                  <v:imagedata o:title=""/>
                  <o:lock v:ext="edit" aspectratio="f"/>
                </v:shape>
                <v:rect id="矩形 1841" o:spid="_x0000_s1026" o:spt="1" style="position:absolute;left:2252980;top:1138555;height:476250;width:685800;" fillcolor="#FFFFFF" filled="t" stroked="t" coordsize="21600,21600" o:gfxdata="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kcDjy1QAAAAUBAAAPAAAAAAAAAAEA&#10;IAAAACIAAABkcnMvZG93bnJldi54bWxQSwECFAAUAAAACACHTuJAPw00CxICAAA5BAAADgAAAAAA&#10;AAABACAAAAAkAQAAZHJzL2Uyb0RvYy54bWxQSwUGAAAAAAYABgBZAQAAqAUAAAAA&#10;">
                  <v:fill on="t" focussize="0,0"/>
                  <v:stroke color="#000000" joinstyle="miter"/>
                  <v:imagedata o:title=""/>
                  <o:lock v:ext="edit" aspectratio="f"/>
                  <v:textbox>
                    <w:txbxContent>
                      <w:p>
                        <w:pPr>
                          <w:spacing w:before="120" w:beforeLines="50" w:line="480" w:lineRule="auto"/>
                          <w:jc w:val="center"/>
                        </w:pPr>
                        <w:r>
                          <w:rPr>
                            <w:rFonts w:hint="eastAsia"/>
                          </w:rPr>
                          <w:t>猪成长</w:t>
                        </w:r>
                      </w:p>
                    </w:txbxContent>
                  </v:textbox>
                </v:rect>
                <v:shape id="自选图形 1842" o:spid="_x0000_s1026" o:spt="32" type="#_x0000_t32" style="position:absolute;left:2938780;top:1392555;height:635;width:600075;" filled="f" stroked="t" coordsize="21600,21600" o:gfxdata="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WDMVC1wAAAAUBAAAPAAAAAAAAAAEA&#10;IAAAACIAAABkcnMvZG93bnJldi54bWxQSwECFAAUAAAACACHTuJAO2R+bRACAAD5AwAADgAAAAAA&#10;AAABACAAAAAmAQAAZHJzL2Uyb0RvYy54bWxQSwUGAAAAAAYABgBZAQAAqAUAAAAA&#10;">
                  <v:fill on="f" focussize="0,0"/>
                  <v:stroke color="#000000" joinstyle="round" endarrow="block"/>
                  <v:imagedata o:title=""/>
                  <o:lock v:ext="edit" aspectratio="f"/>
                </v:shape>
                <v:shape id="自选图形 1843" o:spid="_x0000_s1026" o:spt="32" type="#_x0000_t32" style="position:absolute;left:3538855;top:522605;height:1813560;width:635;" filled="f" stroked="t" coordsize="21600,21600" o:gfxdata="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CyK+O1gAAAAUBAAAPAAAAAAAAAAEAIAAAACIAAABk&#10;cnMvZG93bnJldi54bWxQSwECFAAUAAAACACHTuJAyTFe8QgCAAD1AwAADgAAAAAAAAABACAAAAAl&#10;AQAAZHJzL2Uyb0RvYy54bWxQSwUGAAAAAAYABgBZAQAAnwUAAAAA&#10;">
                  <v:fill on="f" focussize="0,0"/>
                  <v:stroke color="#000000" joinstyle="round"/>
                  <v:imagedata o:title=""/>
                  <o:lock v:ext="edit" aspectratio="f"/>
                </v:shape>
                <v:shape id="自选图形 1844" o:spid="_x0000_s1026" o:spt="32" type="#_x0000_t32" style="position:absolute;left:3538855;top:522605;height:635;width:600075;" filled="f" stroked="t" coordsize="21600,21600" o:gfxdata="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YMxULXAAAABQEAAA8AAAAAAAAAAQAg&#10;AAAAIgAAAGRycy9kb3ducmV2LnhtbFBLAQIUABQAAAAIAIdO4kByTI9eDwIAAPgDAAAOAAAAAAAA&#10;AAEAIAAAACYBAABkcnMvZTJvRG9jLnhtbFBLBQYAAAAABgAGAFkBAACnBQAAAAA=&#10;">
                  <v:fill on="f" focussize="0,0"/>
                  <v:stroke color="#000000" joinstyle="round" endarrow="block"/>
                  <v:imagedata o:title=""/>
                  <o:lock v:ext="edit" aspectratio="f"/>
                </v:shape>
                <v:shape id="自选图形 1845" o:spid="_x0000_s1026" o:spt="32" type="#_x0000_t32" style="position:absolute;left:3539490;top:2336165;height:635;width:600075;" filled="f" stroked="t" coordsize="21600,21600" o:gfxdata="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NYMxULXAAAABQEAAA8AAAAAAAAAAQAg&#10;AAAAIgAAAGRycy9kb3ducmV2LnhtbFBLAQIUABQAAAAIAIdO4kCdidQMDwIAAPkDAAAOAAAAAAAA&#10;AAEAIAAAACYBAABkcnMvZTJvRG9jLnhtbFBLBQYAAAAABgAGAFkBAACnBQAAAAA=&#10;">
                  <v:fill on="f" focussize="0,0"/>
                  <v:stroke color="#000000" joinstyle="round" endarrow="block"/>
                  <v:imagedata o:title=""/>
                  <o:lock v:ext="edit" aspectratio="f"/>
                </v:shape>
                <v:shape id="自选图形 1846" o:spid="_x0000_s1026" o:spt="32" type="#_x0000_t32" style="position:absolute;left:3539490;top:1056640;height:635;width:600075;" filled="f" stroked="t" coordsize="21600,21600" o:gfxdata="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WDMVC1wAAAAUBAAAPAAAAAAAAAAEAIAAA&#10;ACIAAABkcnMvZG93bnJldi54bWxQSwECFAAUAAAACACHTuJADWnbjQ0CAAD5AwAADgAAAAAAAAAB&#10;ACAAAAAmAQAAZHJzL2Uyb0RvYy54bWxQSwUGAAAAAAYABgBZAQAApQUAAAAA&#10;">
                  <v:fill on="f" focussize="0,0"/>
                  <v:stroke color="#000000" joinstyle="round" endarrow="block"/>
                  <v:imagedata o:title=""/>
                  <o:lock v:ext="edit" aspectratio="f"/>
                </v:shape>
                <v:shape id="自选图形 1847" o:spid="_x0000_s1026" o:spt="32" type="#_x0000_t32" style="position:absolute;left:3539490;top:1710690;height:635;width:600075;" filled="f" stroked="t" coordsize="21600,21600" o:gfxdata="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WDMVC1wAAAAUBAAAPAAAAAAAAAAEAIAAA&#10;ACIAAABkcnMvZG93bnJldi54bWxQSwECFAAUAAAACACHTuJAJKotog0CAAD5AwAADgAAAAAAAAAB&#10;ACAAAAAmAQAAZHJzL2Uyb0RvYy54bWxQSwUGAAAAAAYABgBZAQAApQUAAAAA&#10;">
                  <v:fill on="f" focussize="0,0"/>
                  <v:stroke color="#000000" joinstyle="round" endarrow="block"/>
                  <v:imagedata o:title=""/>
                  <o:lock v:ext="edit" aspectratio="f"/>
                </v:shape>
                <v:rect id="矩形 1848" o:spid="_x0000_s1026" o:spt="1" style="position:absolute;left:4139565;top:255905;height:327660;width:685800;" fillcolor="#FFFFFF" filled="t" stroked="t" coordsize="21600,21600" o:gfxdata="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GRwOPLVAAAABQEAAA8AAAAAAAAA&#10;AQAgAAAAIgAAAGRycy9kb3ducmV2LnhtbFBLAQIUABQAAAAIAIdO4kC6MHxnFAIAADgEAAAOAAAA&#10;AAAAAAEAIAAAACQBAABkcnMvZTJvRG9jLnhtbFBLBQYAAAAABgAGAFkBAACqBQAAAAA=&#10;">
                  <v:fill on="t" focussize="0,0"/>
                  <v:stroke color="#000000" joinstyle="miter"/>
                  <v:imagedata o:title=""/>
                  <o:lock v:ext="edit" aspectratio="f"/>
                  <v:textbox>
                    <w:txbxContent>
                      <w:p>
                        <w:pPr>
                          <w:spacing w:before="120" w:beforeLines="50" w:line="240" w:lineRule="exact"/>
                          <w:jc w:val="center"/>
                        </w:pPr>
                        <w:r>
                          <w:rPr>
                            <w:rFonts w:hint="eastAsia"/>
                          </w:rPr>
                          <w:t>猪粪</w:t>
                        </w:r>
                      </w:p>
                    </w:txbxContent>
                  </v:textbox>
                </v:rect>
                <v:rect id="矩形 1849" o:spid="_x0000_s1026" o:spt="1" style="position:absolute;left:4138930;top:846455;height:327660;width:685800;" fillcolor="#FFFFFF" filled="t" stroked="t" coordsize="21600,21600" o:gfxdata="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kcDjy1QAAAAUBAAAPAAAAAAAAAAEA&#10;IAAAACIAAABkcnMvZG93bnJldi54bWxQSwECFAAUAAAACACHTuJADXB9SRICAAA4BAAADgAAAAAA&#10;AAABACAAAAAkAQAAZHJzL2Uyb0RvYy54bWxQSwUGAAAAAAYABgBZAQAAqAUAAAAA&#10;">
                  <v:fill on="t" focussize="0,0"/>
                  <v:stroke color="#000000" joinstyle="miter"/>
                  <v:imagedata o:title=""/>
                  <o:lock v:ext="edit" aspectratio="f"/>
                  <v:textbox>
                    <w:txbxContent>
                      <w:p>
                        <w:pPr>
                          <w:spacing w:before="120" w:beforeLines="50" w:line="240" w:lineRule="exact"/>
                          <w:jc w:val="center"/>
                        </w:pPr>
                        <w:r>
                          <w:rPr>
                            <w:rFonts w:hint="eastAsia"/>
                          </w:rPr>
                          <w:t>猪尿</w:t>
                        </w:r>
                      </w:p>
                    </w:txbxContent>
                  </v:textbox>
                </v:rect>
                <v:rect id="矩形 1850" o:spid="_x0000_s1026" o:spt="1" style="position:absolute;left:4138930;top:1509395;height:327660;width:685800;" fillcolor="#FFFFFF" filled="t" stroked="t" coordsize="21600,21600" o:gfxdata="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kcDjy1QAAAAUBAAAPAAAAAAAAAAEA&#10;IAAAACIAAABkcnMvZG93bnJldi54bWxQSwECFAAUAAAACACHTuJALS83ZRICAAA5BAAADgAAAAAA&#10;AAABACAAAAAkAQAAZHJzL2Uyb0RvYy54bWxQSwUGAAAAAAYABgBZAQAAqAUAAAAA&#10;">
                  <v:fill on="t" focussize="0,0"/>
                  <v:stroke color="#000000" joinstyle="miter"/>
                  <v:imagedata o:title=""/>
                  <o:lock v:ext="edit" aspectratio="f"/>
                  <v:textbox>
                    <w:txbxContent>
                      <w:p>
                        <w:pPr>
                          <w:spacing w:before="120" w:beforeLines="50" w:line="240" w:lineRule="exact"/>
                          <w:jc w:val="center"/>
                        </w:pPr>
                        <w:r>
                          <w:rPr>
                            <w:rFonts w:hint="eastAsia"/>
                          </w:rPr>
                          <w:t>猪吸收</w:t>
                        </w:r>
                      </w:p>
                    </w:txbxContent>
                  </v:textbox>
                </v:rect>
                <v:rect id="矩形 1851" o:spid="_x0000_s1026" o:spt="1" style="position:absolute;left:4138930;top:2157095;height:327660;width:914400;" fillcolor="#FFFFFF" filled="t" stroked="t" coordsize="21600,21600" o:gfxdata="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GRwOPLVAAAABQEAAA8AAAAAAAAAAQAg&#10;AAAAIgAAAGRycy9kb3ducmV2LnhtbFBLAQIUABQAAAAIAIdO4kB11QLAEQIAADkEAAAOAAAAAAAA&#10;AAEAIAAAACQBAABkcnMvZTJvRG9jLnhtbFBLBQYAAAAABgAGAFkBAACnBQAAAAA=&#10;">
                  <v:fill on="t" focussize="0,0"/>
                  <v:stroke color="#000000" joinstyle="miter"/>
                  <v:imagedata o:title=""/>
                  <o:lock v:ext="edit" aspectratio="f"/>
                  <v:textbox>
                    <w:txbxContent>
                      <w:p>
                        <w:pPr>
                          <w:spacing w:before="120" w:beforeLines="50" w:line="240" w:lineRule="exact"/>
                          <w:jc w:val="center"/>
                          <w:rPr>
                            <w:rFonts w:hint="eastAsia"/>
                          </w:rPr>
                        </w:pPr>
                        <w:r>
                          <w:rPr>
                            <w:rFonts w:hint="eastAsia"/>
                          </w:rPr>
                          <w:t>蒸发</w:t>
                        </w:r>
                        <w:r>
                          <w:t>、呼吸</w:t>
                        </w:r>
                      </w:p>
                    </w:txbxContent>
                  </v:textbox>
                </v:rect>
                <v:rect id="矩形 1852" o:spid="_x0000_s1026" o:spt="1" style="position:absolute;left:1654810;top:1125220;height:267335;width:763905;" filled="f" stroked="f" coordsize="21600,21600" o:gfxdata="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Ch&#10;ECIn2AAAAAUBAAAPAAAAAAAAAAEAIAAAACIAAABkcnMvZG93bnJldi54bWxQSwECFAAUAAAACACH&#10;TuJAOrm9v7IBAABRAwAADgAAAAAAAAABACAAAAAnAQAAZHJzL2Uyb0RvYy54bWxQSwUGAAAAAAYA&#10;BgBZAQAASwUAAAAA&#10;">
                  <v:fill on="f" focussize="0,0"/>
                  <v:stroke on="f"/>
                  <v:imagedata o:title=""/>
                  <o:lock v:ext="edit" aspectratio="f"/>
                  <v:textbox>
                    <w:txbxContent>
                      <w:p>
                        <w:pPr>
                          <w:rPr>
                            <w:rFonts w:hint="default" w:eastAsia="宋体"/>
                            <w:lang w:val="en-US" w:eastAsia="zh-CN"/>
                          </w:rPr>
                        </w:pPr>
                        <w:r>
                          <w:rPr>
                            <w:rFonts w:hint="eastAsia"/>
                            <w:szCs w:val="21"/>
                            <w:lang w:val="en-US" w:eastAsia="zh-CN"/>
                          </w:rPr>
                          <w:t>35.7</w:t>
                        </w:r>
                      </w:p>
                    </w:txbxContent>
                  </v:textbox>
                </v:rect>
                <v:rect id="矩形 1853" o:spid="_x0000_s1026" o:spt="1" style="position:absolute;left:2919730;top:1143000;height:267335;width:763905;" filled="f" stroked="f" coordsize="21600,21600" o:gfxdata="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oRAiJ9gAAAAFAQAADwAAAAAAAAABACAAAAAiAAAAZHJzL2Rvd25yZXYueG1sUEsBAhQAFAAAAAgA&#10;h07iQCQzew2zAQAAUQMAAA4AAAAAAAAAAQAgAAAAJwEAAGRycy9lMm9Eb2MueG1sUEsFBgAAAAAG&#10;AAYAWQEAAEwFAAAAAA==&#10;">
                  <v:fill on="f" focussize="0,0"/>
                  <v:stroke on="f"/>
                  <v:imagedata o:title=""/>
                  <o:lock v:ext="edit" aspectratio="f"/>
                  <v:textbox>
                    <w:txbxContent>
                      <w:p>
                        <w:pPr>
                          <w:rPr>
                            <w:rFonts w:hint="default" w:eastAsia="宋体"/>
                            <w:lang w:val="en-US" w:eastAsia="zh-CN"/>
                          </w:rPr>
                        </w:pPr>
                        <w:r>
                          <w:rPr>
                            <w:rFonts w:hint="eastAsia"/>
                            <w:szCs w:val="21"/>
                            <w:lang w:val="en-US" w:eastAsia="zh-CN"/>
                          </w:rPr>
                          <w:t>35.7</w:t>
                        </w:r>
                      </w:p>
                    </w:txbxContent>
                  </v:textbox>
                </v:rect>
                <v:rect id="矩形 1854" o:spid="_x0000_s1026" o:spt="1" style="position:absolute;left:3472180;top:274320;height:366395;width:763905;" filled="f" stroked="f" coordsize="21600,21600" o:gfxdata="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hECIn&#10;2AAAAAUBAAAPAAAAAAAAAAEAIAAAACIAAABkcnMvZG93bnJldi54bWxQSwECFAAUAAAACACHTuJA&#10;xkmYZq8BAABQAwAADgAAAAAAAAABACAAAAAnAQAAZHJzL2Uyb0RvYy54bWxQSwUGAAAAAAYABgBZ&#10;AQAASAUAAAAA&#10;">
                  <v:fill on="f" focussize="0,0"/>
                  <v:stroke on="f"/>
                  <v:imagedata o:title=""/>
                  <o:lock v:ext="edit" aspectratio="f"/>
                  <v:textbox>
                    <w:txbxContent>
                      <w:p>
                        <w:pPr>
                          <w:rPr>
                            <w:rFonts w:hint="eastAsia" w:eastAsia="宋体"/>
                            <w:lang w:eastAsia="zh-CN"/>
                          </w:rPr>
                        </w:pPr>
                        <w:r>
                          <w:rPr>
                            <w:rFonts w:hint="eastAsia"/>
                            <w:lang w:eastAsia="zh-CN"/>
                          </w:rPr>
                          <w:t>4.2462</w:t>
                        </w:r>
                      </w:p>
                      <w:p/>
                      <w:p>
                        <w:r>
                          <w:rPr>
                            <w:rFonts w:hint="eastAsia"/>
                          </w:rPr>
                          <w:t>+</w:t>
                        </w:r>
                      </w:p>
                    </w:txbxContent>
                  </v:textbox>
                </v:rect>
                <v:rect id="矩形 1855" o:spid="_x0000_s1026" o:spt="1" style="position:absolute;left:3482340;top:827405;height:453390;width:763905;" filled="f" stroked="f" coordsize="21600,21600" o:gfxdata="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KEQ&#10;IifYAAAABQEAAA8AAAAAAAAAAQAgAAAAIgAAAGRycy9kb3ducmV2LnhtbFBLAQIUABQAAAAIAIdO&#10;4kBybeQhsQEAAFADAAAOAAAAAAAAAAEAIAAAACcBAABkcnMvZTJvRG9jLnhtbFBLBQYAAAAABgAG&#10;AFkBAABKBQAAAAA=&#10;">
                  <v:fill on="f" focussize="0,0"/>
                  <v:stroke on="f"/>
                  <v:imagedata o:title=""/>
                  <o:lock v:ext="edit" aspectratio="f"/>
                  <v:textbox>
                    <w:txbxContent>
                      <w:p>
                        <w:pPr>
                          <w:rPr>
                            <w:rFonts w:hint="eastAsia" w:eastAsia="宋体"/>
                            <w:lang w:eastAsia="zh-CN"/>
                          </w:rPr>
                        </w:pPr>
                        <w:r>
                          <w:rPr>
                            <w:rFonts w:hint="eastAsia"/>
                            <w:lang w:eastAsia="zh-CN"/>
                          </w:rPr>
                          <w:t>12.81</w:t>
                        </w:r>
                      </w:p>
                    </w:txbxContent>
                  </v:textbox>
                </v:rect>
                <v:rect id="矩形 1856" o:spid="_x0000_s1026" o:spt="1" style="position:absolute;left:3538855;top:1431290;height:466090;width:763905;" filled="f" stroked="f" coordsize="21600,21600" o:gfxdata="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Ch&#10;ECIn2AAAAAUBAAAPAAAAAAAAAAEAIAAAACIAAABkcnMvZG93bnJldi54bWxQSwECFAAUAAAACACH&#10;TuJAjlF2fLIBAABRAwAADgAAAAAAAAABACAAAAAnAQAAZHJzL2Uyb0RvYy54bWxQSwUGAAAAAAYA&#10;BgBZAQAASwUAAAAA&#10;">
                  <v:fill on="f" focussize="0,0"/>
                  <v:stroke on="f"/>
                  <v:imagedata o:title=""/>
                  <o:lock v:ext="edit" aspectratio="f"/>
                  <v:textbox>
                    <w:txbxContent>
                      <w:p>
                        <w:pPr>
                          <w:rPr>
                            <w:rFonts w:hint="default" w:eastAsia="宋体"/>
                            <w:lang w:val="en-US" w:eastAsia="zh-CN"/>
                          </w:rPr>
                        </w:pPr>
                        <w:r>
                          <w:rPr>
                            <w:rFonts w:hint="eastAsia"/>
                            <w:lang w:val="en-US" w:eastAsia="zh-CN"/>
                          </w:rPr>
                          <w:t>18.079</w:t>
                        </w:r>
                      </w:p>
                    </w:txbxContent>
                  </v:textbox>
                </v:rect>
                <v:rect id="矩形 1857" o:spid="_x0000_s1026" o:spt="1" style="position:absolute;left:3406140;top:2068830;height:415925;width:763905;" filled="f" stroked="f" coordsize="21600,21600" o:gfxdata="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oRAiJ9gAAAAFAQAADwAAAAAAAAABACAAAAAiAAAAZHJzL2Rvd25yZXYueG1sUEsBAhQAFAAAAAgA&#10;h07iQIIt9KuzAQAAUQMAAA4AAAAAAAAAAQAgAAAAJwEAAGRycy9lMm9Eb2MueG1sUEsFBgAAAAAG&#10;AAYAWQEAAEwFAAAAAA==&#10;">
                  <v:fill on="f" focussize="0,0"/>
                  <v:stroke on="f"/>
                  <v:imagedata o:title=""/>
                  <o:lock v:ext="edit" aspectratio="f"/>
                  <v:textbox>
                    <w:txbxContent>
                      <w:p>
                        <w:pPr>
                          <w:jc w:val="center"/>
                        </w:pPr>
                        <w:r>
                          <w:rPr>
                            <w:rFonts w:hint="eastAsia"/>
                            <w:szCs w:val="21"/>
                          </w:rPr>
                          <w:t>0.5648</w:t>
                        </w:r>
                      </w:p>
                    </w:txbxContent>
                  </v:textbox>
                </v:rect>
                <w10:wrap type="none"/>
                <w10:anchorlock/>
              </v:group>
            </w:pict>
          </mc:Fallback>
        </mc:AlternateContent>
      </w:r>
    </w:p>
    <w:p>
      <w:pPr>
        <w:spacing w:after="72" w:afterLines="30" w:line="500" w:lineRule="exact"/>
        <w:jc w:val="center"/>
        <w:rPr>
          <w:b/>
          <w:sz w:val="24"/>
          <w:u w:val="single"/>
        </w:rPr>
      </w:pPr>
      <w:r>
        <w:rPr>
          <w:b/>
          <w:sz w:val="24"/>
        </w:rPr>
        <w:t>图2.2-10   本项目</w:t>
      </w:r>
      <w:r>
        <w:rPr>
          <w:rFonts w:hint="eastAsia"/>
          <w:b/>
          <w:sz w:val="24"/>
        </w:rPr>
        <w:t>物料</w:t>
      </w:r>
      <w:r>
        <w:rPr>
          <w:b/>
          <w:sz w:val="24"/>
        </w:rPr>
        <w:t>平衡图</w:t>
      </w:r>
      <w:r>
        <w:rPr>
          <w:rFonts w:hint="eastAsia"/>
          <w:b/>
          <w:i/>
          <w:sz w:val="24"/>
        </w:rPr>
        <w:t>——</w:t>
      </w:r>
      <w:r>
        <w:rPr>
          <w:rFonts w:hint="eastAsia"/>
          <w:b/>
          <w:sz w:val="24"/>
        </w:rPr>
        <w:t xml:space="preserve">冬季    </w:t>
      </w:r>
      <w:r>
        <w:rPr>
          <w:b/>
          <w:szCs w:val="21"/>
        </w:rPr>
        <w:t>单位 t/d</w:t>
      </w:r>
    </w:p>
    <w:p>
      <w:pPr>
        <w:spacing w:after="72" w:afterLines="30" w:line="500" w:lineRule="exact"/>
        <w:jc w:val="center"/>
        <w:rPr>
          <w:b/>
          <w:sz w:val="24"/>
          <w:u w:val="single"/>
        </w:rPr>
      </w:pPr>
    </w:p>
    <w:p>
      <w:pPr>
        <w:spacing w:after="72" w:afterLines="30" w:line="500" w:lineRule="exact"/>
        <w:jc w:val="center"/>
        <w:rPr>
          <w:rFonts w:hint="eastAsia"/>
          <w:b/>
          <w:sz w:val="24"/>
          <w:u w:val="single"/>
        </w:rPr>
      </w:pPr>
    </w:p>
    <w:p>
      <w:pPr>
        <w:snapToGrid w:val="0"/>
        <w:spacing w:line="520" w:lineRule="exact"/>
        <w:outlineLvl w:val="1"/>
        <w:rPr>
          <w:rFonts w:eastAsia="黑体"/>
          <w:bCs/>
          <w:sz w:val="28"/>
          <w:szCs w:val="28"/>
        </w:rPr>
      </w:pPr>
      <w:bookmarkStart w:id="237" w:name="_Toc31308"/>
      <w:bookmarkStart w:id="238" w:name="_Toc26748"/>
      <w:bookmarkStart w:id="239" w:name="_Toc445457720"/>
      <w:bookmarkStart w:id="240" w:name="_Toc28534"/>
      <w:r>
        <w:rPr>
          <w:rFonts w:eastAsia="黑体"/>
          <w:bCs/>
          <w:sz w:val="28"/>
          <w:szCs w:val="28"/>
        </w:rPr>
        <w:t>2.3主要产污环节分析</w:t>
      </w:r>
      <w:bookmarkEnd w:id="237"/>
      <w:bookmarkEnd w:id="238"/>
      <w:bookmarkEnd w:id="239"/>
      <w:bookmarkEnd w:id="240"/>
    </w:p>
    <w:p>
      <w:pPr>
        <w:adjustRightInd w:val="0"/>
        <w:snapToGrid w:val="0"/>
        <w:spacing w:line="520" w:lineRule="exact"/>
        <w:ind w:firstLine="480" w:firstLineChars="200"/>
        <w:rPr>
          <w:sz w:val="24"/>
        </w:rPr>
      </w:pPr>
      <w:r>
        <w:rPr>
          <w:sz w:val="24"/>
        </w:rPr>
        <w:t>本项目为新建项目，主要的污染源分为施工建设期污染源以及项目正常运营期污染源。</w:t>
      </w:r>
    </w:p>
    <w:p>
      <w:pPr>
        <w:pStyle w:val="2"/>
        <w:snapToGrid w:val="0"/>
        <w:spacing w:before="0" w:after="0" w:line="520" w:lineRule="exact"/>
        <w:rPr>
          <w:rFonts w:eastAsia="黑体"/>
          <w:b w:val="0"/>
          <w:bCs w:val="0"/>
          <w:sz w:val="24"/>
          <w:szCs w:val="24"/>
        </w:rPr>
      </w:pPr>
      <w:bookmarkStart w:id="241" w:name="_Toc237749133"/>
      <w:bookmarkStart w:id="242" w:name="_Toc311979923"/>
      <w:bookmarkStart w:id="243" w:name="_Toc269400679"/>
      <w:bookmarkStart w:id="244" w:name="_Toc413166131"/>
      <w:bookmarkStart w:id="245" w:name="_Toc15022"/>
      <w:bookmarkStart w:id="246" w:name="_Toc407001404"/>
      <w:bookmarkStart w:id="247" w:name="_Toc406847411"/>
      <w:bookmarkStart w:id="248" w:name="_Toc311979809"/>
      <w:bookmarkStart w:id="249" w:name="_Toc311979855"/>
      <w:bookmarkStart w:id="250" w:name="_Toc388881912"/>
      <w:r>
        <w:rPr>
          <w:rFonts w:eastAsia="黑体"/>
          <w:b w:val="0"/>
          <w:bCs w:val="0"/>
          <w:sz w:val="24"/>
          <w:szCs w:val="24"/>
        </w:rPr>
        <w:t>2.3.1施工期污染源</w:t>
      </w:r>
      <w:bookmarkEnd w:id="241"/>
      <w:bookmarkEnd w:id="242"/>
      <w:bookmarkEnd w:id="243"/>
      <w:bookmarkEnd w:id="244"/>
      <w:bookmarkEnd w:id="245"/>
      <w:bookmarkEnd w:id="246"/>
      <w:bookmarkEnd w:id="247"/>
      <w:bookmarkEnd w:id="248"/>
      <w:bookmarkEnd w:id="249"/>
      <w:bookmarkEnd w:id="250"/>
    </w:p>
    <w:p>
      <w:pPr>
        <w:pStyle w:val="4"/>
        <w:numPr>
          <w:ilvl w:val="0"/>
          <w:numId w:val="0"/>
        </w:numPr>
        <w:spacing w:before="0" w:after="0" w:line="520" w:lineRule="exact"/>
        <w:rPr>
          <w:b w:val="0"/>
          <w:sz w:val="24"/>
          <w:szCs w:val="24"/>
        </w:rPr>
      </w:pPr>
      <w:bookmarkStart w:id="251" w:name="_Toc269400680"/>
      <w:r>
        <w:rPr>
          <w:sz w:val="24"/>
          <w:szCs w:val="24"/>
        </w:rPr>
        <w:t>2.3.1.1 大气污染源</w:t>
      </w:r>
      <w:bookmarkEnd w:id="251"/>
    </w:p>
    <w:p>
      <w:pPr>
        <w:adjustRightInd w:val="0"/>
        <w:snapToGrid w:val="0"/>
        <w:spacing w:line="520" w:lineRule="exact"/>
        <w:ind w:firstLine="480" w:firstLineChars="200"/>
        <w:rPr>
          <w:sz w:val="24"/>
        </w:rPr>
      </w:pPr>
      <w:r>
        <w:rPr>
          <w:sz w:val="24"/>
        </w:rPr>
        <w:t>主要为建筑材料堆场造成的无组织排放粉尘、施工机械产生的机械废气以及运输车辆产生的汽车尾气和运输扬尘。</w:t>
      </w:r>
    </w:p>
    <w:p>
      <w:pPr>
        <w:pStyle w:val="4"/>
        <w:numPr>
          <w:ilvl w:val="0"/>
          <w:numId w:val="0"/>
        </w:numPr>
        <w:spacing w:before="0" w:after="0" w:line="520" w:lineRule="exact"/>
        <w:rPr>
          <w:sz w:val="24"/>
          <w:szCs w:val="24"/>
        </w:rPr>
      </w:pPr>
      <w:bookmarkStart w:id="252" w:name="_Toc269400681"/>
      <w:r>
        <w:rPr>
          <w:sz w:val="24"/>
          <w:szCs w:val="24"/>
        </w:rPr>
        <w:t>2.3.1.2废水</w:t>
      </w:r>
      <w:bookmarkEnd w:id="252"/>
    </w:p>
    <w:p>
      <w:pPr>
        <w:adjustRightInd w:val="0"/>
        <w:snapToGrid w:val="0"/>
        <w:spacing w:line="520" w:lineRule="exact"/>
        <w:ind w:firstLine="480" w:firstLineChars="200"/>
        <w:rPr>
          <w:sz w:val="24"/>
        </w:rPr>
      </w:pPr>
      <w:bookmarkStart w:id="253" w:name="_Toc269400682"/>
      <w:r>
        <w:rPr>
          <w:sz w:val="24"/>
        </w:rPr>
        <w:t>主要分为建筑废水以及施工人员生活污水。</w:t>
      </w:r>
    </w:p>
    <w:p>
      <w:pPr>
        <w:adjustRightInd w:val="0"/>
        <w:snapToGrid w:val="0"/>
        <w:spacing w:line="520" w:lineRule="exact"/>
        <w:ind w:firstLine="480" w:firstLineChars="200"/>
        <w:rPr>
          <w:sz w:val="24"/>
        </w:rPr>
      </w:pPr>
      <w:r>
        <w:rPr>
          <w:sz w:val="24"/>
        </w:rPr>
        <w:t>建筑废水主要为各种施工机械设备运转的冷却及洗涤用水和施工现场清洗、建材清洗、混凝土养护产生的废水。建筑废水产生量很小，约为0.2</w:t>
      </w:r>
      <w:r>
        <w:rPr>
          <w:bCs/>
          <w:sz w:val="24"/>
        </w:rPr>
        <w:t>m</w:t>
      </w:r>
      <w:r>
        <w:rPr>
          <w:bCs/>
          <w:sz w:val="24"/>
          <w:vertAlign w:val="superscript"/>
        </w:rPr>
        <w:t>3</w:t>
      </w:r>
      <w:r>
        <w:rPr>
          <w:bCs/>
          <w:sz w:val="24"/>
        </w:rPr>
        <w:t>/d</w:t>
      </w:r>
      <w:r>
        <w:rPr>
          <w:sz w:val="24"/>
        </w:rPr>
        <w:t>，经沉淀后用于地面洒水除尘。</w:t>
      </w:r>
    </w:p>
    <w:p>
      <w:pPr>
        <w:spacing w:line="520" w:lineRule="exact"/>
        <w:ind w:firstLine="480" w:firstLineChars="200"/>
        <w:rPr>
          <w:sz w:val="24"/>
        </w:rPr>
      </w:pPr>
      <w:r>
        <w:rPr>
          <w:sz w:val="24"/>
        </w:rPr>
        <w:t>生活污水为施工人员日常生活产生的废水，生活污水主要包括粪便污水及洗漱污水等，本项目施工期施工人员</w:t>
      </w:r>
      <w:r>
        <w:rPr>
          <w:rFonts w:hint="eastAsia"/>
          <w:sz w:val="24"/>
        </w:rPr>
        <w:t>50</w:t>
      </w:r>
      <w:r>
        <w:rPr>
          <w:sz w:val="24"/>
        </w:rPr>
        <w:t>人，施工期为</w:t>
      </w:r>
      <w:r>
        <w:rPr>
          <w:rFonts w:hint="eastAsia"/>
          <w:sz w:val="24"/>
        </w:rPr>
        <w:t>6</w:t>
      </w:r>
      <w:r>
        <w:rPr>
          <w:sz w:val="24"/>
        </w:rPr>
        <w:t>个月，施工人员每人每天用水量为30</w:t>
      </w:r>
      <w:r>
        <w:rPr>
          <w:bCs/>
          <w:sz w:val="24"/>
        </w:rPr>
        <w:t>L，</w:t>
      </w:r>
      <w:r>
        <w:rPr>
          <w:sz w:val="24"/>
        </w:rPr>
        <w:t>施工期用水量为</w:t>
      </w:r>
      <w:r>
        <w:rPr>
          <w:rFonts w:hint="eastAsia"/>
          <w:sz w:val="24"/>
        </w:rPr>
        <w:t>1.5</w:t>
      </w:r>
      <w:r>
        <w:rPr>
          <w:sz w:val="24"/>
        </w:rPr>
        <w:t>m</w:t>
      </w:r>
      <w:r>
        <w:rPr>
          <w:sz w:val="24"/>
          <w:vertAlign w:val="superscript"/>
        </w:rPr>
        <w:t>3</w:t>
      </w:r>
      <w:r>
        <w:rPr>
          <w:sz w:val="24"/>
        </w:rPr>
        <w:t>/d，按照0.8的污水产生系数计算，项目施工期产生</w:t>
      </w:r>
      <w:r>
        <w:rPr>
          <w:rFonts w:hint="eastAsia"/>
          <w:sz w:val="24"/>
        </w:rPr>
        <w:t>1.2</w:t>
      </w:r>
      <w:r>
        <w:rPr>
          <w:sz w:val="24"/>
        </w:rPr>
        <w:t>m</w:t>
      </w:r>
      <w:r>
        <w:rPr>
          <w:sz w:val="24"/>
          <w:vertAlign w:val="superscript"/>
        </w:rPr>
        <w:t>3</w:t>
      </w:r>
      <w:r>
        <w:rPr>
          <w:sz w:val="24"/>
        </w:rPr>
        <w:t>/d的施工期生活污水，场区设置沉淀池和化粪池，人员洗漱用水经沉淀池沉淀后用作抑尘洒水，粪便由周围农户定期清运用作农肥，无废水外排。</w:t>
      </w:r>
    </w:p>
    <w:p>
      <w:pPr>
        <w:pStyle w:val="4"/>
        <w:numPr>
          <w:ilvl w:val="0"/>
          <w:numId w:val="0"/>
        </w:numPr>
        <w:spacing w:before="0" w:after="0" w:line="520" w:lineRule="exact"/>
        <w:rPr>
          <w:b w:val="0"/>
          <w:sz w:val="24"/>
          <w:szCs w:val="24"/>
        </w:rPr>
      </w:pPr>
      <w:r>
        <w:rPr>
          <w:sz w:val="24"/>
          <w:szCs w:val="24"/>
        </w:rPr>
        <w:t>2.3.1.3噪声污染源</w:t>
      </w:r>
      <w:bookmarkEnd w:id="253"/>
    </w:p>
    <w:p>
      <w:pPr>
        <w:adjustRightInd w:val="0"/>
        <w:snapToGrid w:val="0"/>
        <w:spacing w:line="520" w:lineRule="exact"/>
        <w:ind w:firstLine="480" w:firstLineChars="200"/>
        <w:rPr>
          <w:sz w:val="24"/>
        </w:rPr>
      </w:pPr>
      <w:r>
        <w:rPr>
          <w:sz w:val="24"/>
        </w:rPr>
        <w:t>本项目施工建设期涉及的施工机械在施工过程中将会产生噪声，噪声源强为72~90dB(A)。</w:t>
      </w:r>
    </w:p>
    <w:p>
      <w:pPr>
        <w:pStyle w:val="4"/>
        <w:numPr>
          <w:ilvl w:val="0"/>
          <w:numId w:val="0"/>
        </w:numPr>
        <w:spacing w:before="0" w:after="0" w:line="520" w:lineRule="exact"/>
        <w:rPr>
          <w:sz w:val="24"/>
          <w:szCs w:val="24"/>
        </w:rPr>
      </w:pPr>
      <w:bookmarkStart w:id="254" w:name="_Toc269400683"/>
      <w:r>
        <w:rPr>
          <w:sz w:val="24"/>
          <w:szCs w:val="24"/>
        </w:rPr>
        <w:t>2.3.1.4 固体废物</w:t>
      </w:r>
      <w:bookmarkEnd w:id="254"/>
    </w:p>
    <w:p>
      <w:pPr>
        <w:spacing w:line="520" w:lineRule="exact"/>
        <w:ind w:firstLine="480" w:firstLineChars="200"/>
        <w:rPr>
          <w:sz w:val="24"/>
        </w:rPr>
      </w:pPr>
      <w:r>
        <w:rPr>
          <w:sz w:val="24"/>
        </w:rPr>
        <w:t>本项目在施工过程产生的主要固体废物为：建筑垃圾、施工人员产生的生活垃圾及施工土方等。</w:t>
      </w:r>
    </w:p>
    <w:p>
      <w:pPr>
        <w:spacing w:line="520" w:lineRule="exact"/>
        <w:ind w:firstLine="480" w:firstLineChars="200"/>
        <w:rPr>
          <w:sz w:val="24"/>
        </w:rPr>
      </w:pPr>
      <w:r>
        <w:rPr>
          <w:sz w:val="24"/>
        </w:rPr>
        <w:t>项目生活垃圾按照0.5kg/人·d计，本项目施工期施工人员50人，施工期为6个月，则项目施工期生活垃圾产生量为</w:t>
      </w:r>
      <w:r>
        <w:rPr>
          <w:rFonts w:hint="eastAsia"/>
          <w:sz w:val="24"/>
        </w:rPr>
        <w:t>25</w:t>
      </w:r>
      <w:r>
        <w:rPr>
          <w:sz w:val="24"/>
        </w:rPr>
        <w:t>kg/d，整个施工期生活垃圾产生量为</w:t>
      </w:r>
      <w:r>
        <w:rPr>
          <w:rFonts w:hint="eastAsia"/>
          <w:sz w:val="24"/>
        </w:rPr>
        <w:t>4.5</w:t>
      </w:r>
      <w:r>
        <w:rPr>
          <w:sz w:val="24"/>
        </w:rPr>
        <w:t>t。项目建筑垃圾产生量按照1.0kg/</w:t>
      </w:r>
      <w:r>
        <w:rPr>
          <w:bCs/>
          <w:sz w:val="24"/>
        </w:rPr>
        <w:t>m</w:t>
      </w:r>
      <w:r>
        <w:rPr>
          <w:bCs/>
          <w:sz w:val="24"/>
          <w:vertAlign w:val="superscript"/>
        </w:rPr>
        <w:t>2</w:t>
      </w:r>
      <w:r>
        <w:rPr>
          <w:sz w:val="24"/>
        </w:rPr>
        <w:t>，项目总建筑面积</w:t>
      </w:r>
      <w:r>
        <w:rPr>
          <w:rFonts w:hint="eastAsia"/>
          <w:sz w:val="24"/>
          <w:lang w:eastAsia="zh-CN"/>
        </w:rPr>
        <w:t>7563.3</w:t>
      </w:r>
      <w:r>
        <w:rPr>
          <w:bCs/>
          <w:sz w:val="24"/>
        </w:rPr>
        <w:t>m</w:t>
      </w:r>
      <w:r>
        <w:rPr>
          <w:bCs/>
          <w:sz w:val="24"/>
          <w:vertAlign w:val="superscript"/>
        </w:rPr>
        <w:t>2</w:t>
      </w:r>
      <w:r>
        <w:rPr>
          <w:sz w:val="24"/>
        </w:rPr>
        <w:t>，则项目建筑垃圾产生量为</w:t>
      </w:r>
      <w:r>
        <w:rPr>
          <w:rFonts w:hint="eastAsia"/>
          <w:sz w:val="24"/>
        </w:rPr>
        <w:t>11</w:t>
      </w:r>
      <w:r>
        <w:rPr>
          <w:sz w:val="24"/>
        </w:rPr>
        <w:t>t，</w:t>
      </w:r>
      <w:r>
        <w:rPr>
          <w:bCs/>
          <w:sz w:val="24"/>
        </w:rPr>
        <w:t>施工建筑垃圾与</w:t>
      </w:r>
      <w:r>
        <w:rPr>
          <w:sz w:val="24"/>
        </w:rPr>
        <w:t>生活垃圾一起交由当地环卫部门定时统一清运处理，以减少对区域生态环境及景观的影响。</w:t>
      </w:r>
    </w:p>
    <w:p>
      <w:pPr>
        <w:spacing w:line="520" w:lineRule="exact"/>
        <w:ind w:firstLine="480" w:firstLineChars="200"/>
        <w:rPr>
          <w:sz w:val="24"/>
        </w:rPr>
      </w:pPr>
      <w:r>
        <w:rPr>
          <w:sz w:val="24"/>
        </w:rPr>
        <w:t>根据项目建设方案，本工程预计挖方约</w:t>
      </w:r>
      <w:r>
        <w:rPr>
          <w:rFonts w:hint="eastAsia"/>
          <w:sz w:val="24"/>
        </w:rPr>
        <w:t>9000</w:t>
      </w:r>
      <w:r>
        <w:rPr>
          <w:sz w:val="24"/>
        </w:rPr>
        <w:t>m</w:t>
      </w:r>
      <w:r>
        <w:rPr>
          <w:sz w:val="24"/>
          <w:vertAlign w:val="superscript"/>
        </w:rPr>
        <w:t>3</w:t>
      </w:r>
      <w:r>
        <w:rPr>
          <w:sz w:val="24"/>
        </w:rPr>
        <w:t>，填方</w:t>
      </w:r>
      <w:r>
        <w:rPr>
          <w:rFonts w:hint="eastAsia"/>
          <w:sz w:val="24"/>
        </w:rPr>
        <w:t>3000</w:t>
      </w:r>
      <w:r>
        <w:rPr>
          <w:sz w:val="24"/>
        </w:rPr>
        <w:t>m</w:t>
      </w:r>
      <w:r>
        <w:rPr>
          <w:sz w:val="24"/>
          <w:vertAlign w:val="superscript"/>
        </w:rPr>
        <w:t>3</w:t>
      </w:r>
      <w:r>
        <w:rPr>
          <w:sz w:val="24"/>
        </w:rPr>
        <w:t>，剩余土方全部用于后期绿化覆土。</w:t>
      </w:r>
    </w:p>
    <w:p>
      <w:pPr>
        <w:pStyle w:val="4"/>
        <w:numPr>
          <w:ilvl w:val="0"/>
          <w:numId w:val="0"/>
        </w:numPr>
        <w:spacing w:before="0" w:after="0" w:line="520" w:lineRule="exact"/>
        <w:rPr>
          <w:sz w:val="24"/>
          <w:szCs w:val="24"/>
        </w:rPr>
      </w:pPr>
      <w:r>
        <w:rPr>
          <w:sz w:val="24"/>
          <w:szCs w:val="24"/>
        </w:rPr>
        <w:t>2.3.1.5生态影响</w:t>
      </w:r>
    </w:p>
    <w:p>
      <w:pPr>
        <w:adjustRightInd w:val="0"/>
        <w:snapToGrid w:val="0"/>
        <w:spacing w:line="520" w:lineRule="exact"/>
        <w:ind w:firstLine="480" w:firstLineChars="200"/>
        <w:rPr>
          <w:sz w:val="24"/>
        </w:rPr>
      </w:pPr>
      <w:bookmarkStart w:id="255" w:name="_Toc311979924"/>
      <w:bookmarkStart w:id="256" w:name="_Toc407001405"/>
      <w:bookmarkStart w:id="257" w:name="_Toc237749134"/>
      <w:bookmarkStart w:id="258" w:name="_Toc311979810"/>
      <w:bookmarkStart w:id="259" w:name="_Toc311979856"/>
      <w:bookmarkStart w:id="260" w:name="_Toc406847412"/>
      <w:bookmarkStart w:id="261" w:name="_Toc413166132"/>
      <w:bookmarkStart w:id="262" w:name="_Toc269400684"/>
      <w:bookmarkStart w:id="263" w:name="_Toc388881913"/>
      <w:r>
        <w:rPr>
          <w:sz w:val="24"/>
        </w:rPr>
        <w:t>项目场区</w:t>
      </w:r>
      <w:r>
        <w:rPr>
          <w:color w:val="000000"/>
          <w:sz w:val="24"/>
        </w:rPr>
        <w:t>占</w:t>
      </w:r>
      <w:r>
        <w:rPr>
          <w:color w:val="000000"/>
          <w:sz w:val="24"/>
          <w:highlight w:val="none"/>
        </w:rPr>
        <w:t>地</w:t>
      </w:r>
      <w:r>
        <w:rPr>
          <w:rFonts w:hint="eastAsia"/>
          <w:color w:val="000000"/>
          <w:sz w:val="24"/>
          <w:highlight w:val="none"/>
          <w:lang w:eastAsia="zh-CN"/>
        </w:rPr>
        <w:t>26.7亩</w:t>
      </w:r>
      <w:r>
        <w:rPr>
          <w:color w:val="000000"/>
          <w:sz w:val="24"/>
          <w:highlight w:val="none"/>
        </w:rPr>
        <w:t>，全部为一般</w:t>
      </w:r>
      <w:r>
        <w:rPr>
          <w:rFonts w:hint="eastAsia"/>
          <w:color w:val="000000"/>
          <w:sz w:val="24"/>
          <w:highlight w:val="none"/>
        </w:rPr>
        <w:t>耕地</w:t>
      </w:r>
      <w:r>
        <w:rPr>
          <w:color w:val="000000"/>
          <w:sz w:val="24"/>
          <w:highlight w:val="none"/>
        </w:rPr>
        <w:t>，项目占</w:t>
      </w:r>
      <w:r>
        <w:rPr>
          <w:color w:val="000000"/>
          <w:sz w:val="24"/>
        </w:rPr>
        <w:t>地类</w:t>
      </w:r>
      <w:r>
        <w:rPr>
          <w:sz w:val="24"/>
        </w:rPr>
        <w:t>型及生物量情况具体见表2.3-1。</w:t>
      </w:r>
    </w:p>
    <w:p>
      <w:pPr>
        <w:adjustRightInd w:val="0"/>
        <w:snapToGrid w:val="0"/>
        <w:spacing w:after="72" w:afterLines="30" w:line="500" w:lineRule="exact"/>
        <w:ind w:firstLine="482" w:firstLineChars="200"/>
        <w:jc w:val="center"/>
        <w:rPr>
          <w:b/>
          <w:sz w:val="24"/>
        </w:rPr>
      </w:pPr>
      <w:r>
        <w:rPr>
          <w:b/>
          <w:sz w:val="24"/>
        </w:rPr>
        <w:t>表2.3-1    项目占地类型及损失生物量情况一览表</w:t>
      </w:r>
    </w:p>
    <w:tbl>
      <w:tblPr>
        <w:tblStyle w:val="1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47"/>
        <w:gridCol w:w="1187"/>
        <w:gridCol w:w="1064"/>
        <w:gridCol w:w="1936"/>
        <w:gridCol w:w="1428"/>
        <w:gridCol w:w="1043"/>
        <w:gridCol w:w="10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noWrap w:val="0"/>
            <w:tcMar>
              <w:top w:w="0" w:type="dxa"/>
              <w:left w:w="28" w:type="dxa"/>
              <w:bottom w:w="0" w:type="dxa"/>
              <w:right w:w="28" w:type="dxa"/>
            </w:tcMar>
            <w:vAlign w:val="center"/>
          </w:tcPr>
          <w:p>
            <w:pPr>
              <w:jc w:val="center"/>
              <w:rPr>
                <w:b/>
                <w:szCs w:val="21"/>
              </w:rPr>
            </w:pPr>
            <w:bookmarkStart w:id="264" w:name="_Toc181247754"/>
            <w:r>
              <w:rPr>
                <w:b/>
                <w:szCs w:val="21"/>
              </w:rPr>
              <w:t>群落类型</w:t>
            </w:r>
            <w:bookmarkEnd w:id="264"/>
          </w:p>
        </w:tc>
        <w:tc>
          <w:tcPr>
            <w:tcW w:w="1187" w:type="dxa"/>
            <w:noWrap w:val="0"/>
            <w:tcMar>
              <w:top w:w="0" w:type="dxa"/>
              <w:left w:w="28" w:type="dxa"/>
              <w:bottom w:w="0" w:type="dxa"/>
              <w:right w:w="28" w:type="dxa"/>
            </w:tcMar>
            <w:vAlign w:val="center"/>
          </w:tcPr>
          <w:p>
            <w:pPr>
              <w:jc w:val="center"/>
              <w:rPr>
                <w:b/>
                <w:szCs w:val="21"/>
              </w:rPr>
            </w:pPr>
            <w:bookmarkStart w:id="265" w:name="_Toc181247755"/>
            <w:r>
              <w:rPr>
                <w:b/>
                <w:szCs w:val="21"/>
              </w:rPr>
              <w:t>面积（亩）</w:t>
            </w:r>
            <w:bookmarkEnd w:id="265"/>
          </w:p>
        </w:tc>
        <w:tc>
          <w:tcPr>
            <w:tcW w:w="1064" w:type="dxa"/>
            <w:noWrap w:val="0"/>
            <w:tcMar>
              <w:top w:w="0" w:type="dxa"/>
              <w:left w:w="28" w:type="dxa"/>
              <w:bottom w:w="0" w:type="dxa"/>
              <w:right w:w="28" w:type="dxa"/>
            </w:tcMar>
            <w:vAlign w:val="center"/>
          </w:tcPr>
          <w:p>
            <w:pPr>
              <w:jc w:val="center"/>
              <w:rPr>
                <w:b/>
                <w:szCs w:val="21"/>
              </w:rPr>
            </w:pPr>
            <w:bookmarkStart w:id="266" w:name="_Toc181247756"/>
            <w:r>
              <w:rPr>
                <w:b/>
                <w:szCs w:val="21"/>
              </w:rPr>
              <w:t>植物种类组成</w:t>
            </w:r>
            <w:bookmarkEnd w:id="266"/>
          </w:p>
        </w:tc>
        <w:tc>
          <w:tcPr>
            <w:tcW w:w="1936" w:type="dxa"/>
            <w:noWrap w:val="0"/>
            <w:tcMar>
              <w:top w:w="0" w:type="dxa"/>
              <w:left w:w="28" w:type="dxa"/>
              <w:bottom w:w="0" w:type="dxa"/>
              <w:right w:w="28" w:type="dxa"/>
            </w:tcMar>
            <w:vAlign w:val="center"/>
          </w:tcPr>
          <w:p>
            <w:pPr>
              <w:jc w:val="center"/>
              <w:rPr>
                <w:b/>
                <w:szCs w:val="21"/>
              </w:rPr>
            </w:pPr>
            <w:bookmarkStart w:id="267" w:name="_Toc181247757"/>
            <w:r>
              <w:rPr>
                <w:b/>
                <w:szCs w:val="21"/>
              </w:rPr>
              <w:t>损失生物量</w:t>
            </w:r>
          </w:p>
          <w:p>
            <w:pPr>
              <w:jc w:val="center"/>
              <w:rPr>
                <w:b/>
                <w:szCs w:val="21"/>
              </w:rPr>
            </w:pPr>
            <w:r>
              <w:rPr>
                <w:b/>
                <w:szCs w:val="21"/>
              </w:rPr>
              <w:t>（t/亩）</w:t>
            </w:r>
            <w:bookmarkEnd w:id="267"/>
          </w:p>
        </w:tc>
        <w:tc>
          <w:tcPr>
            <w:tcW w:w="1428" w:type="dxa"/>
            <w:noWrap w:val="0"/>
            <w:tcMar>
              <w:top w:w="0" w:type="dxa"/>
              <w:left w:w="28" w:type="dxa"/>
              <w:bottom w:w="0" w:type="dxa"/>
              <w:right w:w="28" w:type="dxa"/>
            </w:tcMar>
            <w:vAlign w:val="center"/>
          </w:tcPr>
          <w:p>
            <w:pPr>
              <w:ind w:firstLine="105" w:firstLineChars="50"/>
              <w:jc w:val="center"/>
              <w:rPr>
                <w:b/>
                <w:szCs w:val="21"/>
              </w:rPr>
            </w:pPr>
            <w:bookmarkStart w:id="268" w:name="_Toc181247758"/>
            <w:r>
              <w:rPr>
                <w:b/>
                <w:szCs w:val="21"/>
              </w:rPr>
              <w:t>合计（t）</w:t>
            </w:r>
            <w:bookmarkEnd w:id="268"/>
          </w:p>
        </w:tc>
        <w:tc>
          <w:tcPr>
            <w:tcW w:w="1043" w:type="dxa"/>
            <w:noWrap w:val="0"/>
            <w:tcMar>
              <w:top w:w="0" w:type="dxa"/>
              <w:left w:w="28" w:type="dxa"/>
              <w:bottom w:w="0" w:type="dxa"/>
              <w:right w:w="28" w:type="dxa"/>
            </w:tcMar>
            <w:vAlign w:val="center"/>
          </w:tcPr>
          <w:p>
            <w:pPr>
              <w:jc w:val="center"/>
              <w:rPr>
                <w:b/>
                <w:szCs w:val="21"/>
              </w:rPr>
            </w:pPr>
            <w:r>
              <w:rPr>
                <w:b/>
                <w:szCs w:val="21"/>
              </w:rPr>
              <w:t>占地类型</w:t>
            </w:r>
          </w:p>
        </w:tc>
        <w:tc>
          <w:tcPr>
            <w:tcW w:w="1041" w:type="dxa"/>
            <w:noWrap w:val="0"/>
            <w:tcMar>
              <w:top w:w="0" w:type="dxa"/>
              <w:left w:w="28" w:type="dxa"/>
              <w:bottom w:w="0" w:type="dxa"/>
              <w:right w:w="28" w:type="dxa"/>
            </w:tcMar>
            <w:vAlign w:val="center"/>
          </w:tcPr>
          <w:p>
            <w:pPr>
              <w:jc w:val="center"/>
              <w:rPr>
                <w:b/>
                <w:szCs w:val="21"/>
              </w:rPr>
            </w:pPr>
            <w:r>
              <w:rPr>
                <w:b/>
                <w:szCs w:val="21"/>
              </w:rPr>
              <w:t>临时占地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7" w:type="dxa"/>
            <w:noWrap w:val="0"/>
            <w:tcMar>
              <w:top w:w="0" w:type="dxa"/>
              <w:left w:w="28" w:type="dxa"/>
              <w:bottom w:w="0" w:type="dxa"/>
              <w:right w:w="28" w:type="dxa"/>
            </w:tcMar>
            <w:vAlign w:val="center"/>
          </w:tcPr>
          <w:p>
            <w:pPr>
              <w:jc w:val="center"/>
              <w:rPr>
                <w:szCs w:val="21"/>
              </w:rPr>
            </w:pPr>
            <w:bookmarkStart w:id="269" w:name="_Toc181247774"/>
            <w:r>
              <w:rPr>
                <w:szCs w:val="21"/>
              </w:rPr>
              <w:t>农作物群落</w:t>
            </w:r>
            <w:bookmarkEnd w:id="269"/>
          </w:p>
        </w:tc>
        <w:tc>
          <w:tcPr>
            <w:tcW w:w="1187" w:type="dxa"/>
            <w:noWrap w:val="0"/>
            <w:tcMar>
              <w:top w:w="0" w:type="dxa"/>
              <w:left w:w="28" w:type="dxa"/>
              <w:bottom w:w="0" w:type="dxa"/>
              <w:right w:w="28" w:type="dxa"/>
            </w:tcMar>
            <w:vAlign w:val="center"/>
          </w:tcPr>
          <w:p>
            <w:pPr>
              <w:jc w:val="center"/>
              <w:rPr>
                <w:rFonts w:hint="default" w:eastAsia="宋体"/>
                <w:szCs w:val="21"/>
                <w:highlight w:val="none"/>
                <w:lang w:val="en-US" w:eastAsia="zh-CN"/>
              </w:rPr>
            </w:pPr>
            <w:r>
              <w:rPr>
                <w:rFonts w:hint="eastAsia"/>
                <w:szCs w:val="21"/>
                <w:highlight w:val="none"/>
                <w:lang w:val="en-US" w:eastAsia="zh-CN"/>
              </w:rPr>
              <w:t>26.7</w:t>
            </w:r>
          </w:p>
        </w:tc>
        <w:tc>
          <w:tcPr>
            <w:tcW w:w="1064" w:type="dxa"/>
            <w:noWrap w:val="0"/>
            <w:tcMar>
              <w:top w:w="0" w:type="dxa"/>
              <w:left w:w="28" w:type="dxa"/>
              <w:bottom w:w="0" w:type="dxa"/>
              <w:right w:w="28" w:type="dxa"/>
            </w:tcMar>
            <w:vAlign w:val="center"/>
          </w:tcPr>
          <w:p>
            <w:pPr>
              <w:jc w:val="center"/>
              <w:rPr>
                <w:rFonts w:hint="eastAsia"/>
                <w:szCs w:val="21"/>
                <w:highlight w:val="none"/>
              </w:rPr>
            </w:pPr>
            <w:r>
              <w:rPr>
                <w:szCs w:val="21"/>
                <w:highlight w:val="none"/>
              </w:rPr>
              <w:t>小麦</w:t>
            </w:r>
          </w:p>
        </w:tc>
        <w:tc>
          <w:tcPr>
            <w:tcW w:w="1936" w:type="dxa"/>
            <w:noWrap w:val="0"/>
            <w:tcMar>
              <w:top w:w="0" w:type="dxa"/>
              <w:left w:w="28" w:type="dxa"/>
              <w:bottom w:w="0" w:type="dxa"/>
              <w:right w:w="28" w:type="dxa"/>
            </w:tcMar>
            <w:vAlign w:val="center"/>
          </w:tcPr>
          <w:p>
            <w:pPr>
              <w:jc w:val="center"/>
              <w:rPr>
                <w:szCs w:val="21"/>
              </w:rPr>
            </w:pPr>
            <w:r>
              <w:rPr>
                <w:szCs w:val="21"/>
              </w:rPr>
              <w:t>1.2</w:t>
            </w:r>
          </w:p>
        </w:tc>
        <w:tc>
          <w:tcPr>
            <w:tcW w:w="1428" w:type="dxa"/>
            <w:noWrap w:val="0"/>
            <w:tcMar>
              <w:top w:w="0" w:type="dxa"/>
              <w:left w:w="28" w:type="dxa"/>
              <w:bottom w:w="0" w:type="dxa"/>
              <w:right w:w="28" w:type="dxa"/>
            </w:tcMar>
            <w:vAlign w:val="center"/>
          </w:tcPr>
          <w:p>
            <w:pPr>
              <w:jc w:val="center"/>
              <w:rPr>
                <w:rFonts w:hint="default" w:eastAsia="宋体"/>
                <w:szCs w:val="21"/>
                <w:lang w:val="en-US" w:eastAsia="zh-CN"/>
              </w:rPr>
            </w:pPr>
            <w:r>
              <w:rPr>
                <w:rFonts w:hint="eastAsia"/>
                <w:szCs w:val="21"/>
              </w:rPr>
              <w:t>32.</w:t>
            </w:r>
            <w:r>
              <w:rPr>
                <w:rFonts w:hint="eastAsia"/>
                <w:szCs w:val="21"/>
                <w:lang w:val="en-US" w:eastAsia="zh-CN"/>
              </w:rPr>
              <w:t>04</w:t>
            </w:r>
          </w:p>
        </w:tc>
        <w:tc>
          <w:tcPr>
            <w:tcW w:w="1043" w:type="dxa"/>
            <w:noWrap w:val="0"/>
            <w:tcMar>
              <w:top w:w="0" w:type="dxa"/>
              <w:left w:w="28" w:type="dxa"/>
              <w:bottom w:w="0" w:type="dxa"/>
              <w:right w:w="28" w:type="dxa"/>
            </w:tcMar>
            <w:vAlign w:val="center"/>
          </w:tcPr>
          <w:p>
            <w:pPr>
              <w:jc w:val="center"/>
              <w:rPr>
                <w:szCs w:val="21"/>
              </w:rPr>
            </w:pPr>
            <w:r>
              <w:rPr>
                <w:rFonts w:hint="eastAsia"/>
                <w:szCs w:val="21"/>
              </w:rPr>
              <w:t>一般耕地</w:t>
            </w:r>
          </w:p>
        </w:tc>
        <w:tc>
          <w:tcPr>
            <w:tcW w:w="1041" w:type="dxa"/>
            <w:noWrap w:val="0"/>
            <w:tcMar>
              <w:top w:w="0" w:type="dxa"/>
              <w:left w:w="28" w:type="dxa"/>
              <w:bottom w:w="0" w:type="dxa"/>
              <w:right w:w="28" w:type="dxa"/>
            </w:tcMar>
            <w:vAlign w:val="center"/>
          </w:tcPr>
          <w:p>
            <w:pPr>
              <w:jc w:val="center"/>
              <w:rPr>
                <w:szCs w:val="21"/>
              </w:rPr>
            </w:pPr>
            <w:r>
              <w:rPr>
                <w:szCs w:val="21"/>
              </w:rPr>
              <w:t>0</w:t>
            </w:r>
          </w:p>
        </w:tc>
      </w:tr>
    </w:tbl>
    <w:p>
      <w:pPr>
        <w:spacing w:line="520" w:lineRule="exact"/>
        <w:ind w:firstLine="567"/>
        <w:rPr>
          <w:sz w:val="24"/>
        </w:rPr>
      </w:pPr>
      <w:r>
        <w:rPr>
          <w:sz w:val="24"/>
        </w:rPr>
        <w:t>根据实地调查，评价区属于农田生态系统，项目区植被全部为</w:t>
      </w:r>
      <w:r>
        <w:rPr>
          <w:rFonts w:hint="eastAsia"/>
          <w:sz w:val="24"/>
        </w:rPr>
        <w:t>一般</w:t>
      </w:r>
      <w:r>
        <w:rPr>
          <w:sz w:val="24"/>
        </w:rPr>
        <w:t>农田植被，农田植被主要是</w:t>
      </w:r>
      <w:r>
        <w:rPr>
          <w:rFonts w:hint="eastAsia"/>
          <w:sz w:val="24"/>
        </w:rPr>
        <w:t>小麦</w:t>
      </w:r>
      <w:r>
        <w:rPr>
          <w:sz w:val="24"/>
        </w:rPr>
        <w:t>。</w:t>
      </w:r>
    </w:p>
    <w:p>
      <w:pPr>
        <w:adjustRightInd w:val="0"/>
        <w:snapToGrid w:val="0"/>
        <w:spacing w:line="520" w:lineRule="exact"/>
        <w:ind w:firstLine="480" w:firstLineChars="200"/>
        <w:rPr>
          <w:sz w:val="24"/>
        </w:rPr>
      </w:pPr>
      <w:r>
        <w:rPr>
          <w:sz w:val="24"/>
        </w:rPr>
        <w:t>项目建设共破坏农田植被</w:t>
      </w:r>
      <w:r>
        <w:rPr>
          <w:rFonts w:hint="eastAsia"/>
          <w:sz w:val="24"/>
          <w:lang w:eastAsia="zh-CN"/>
        </w:rPr>
        <w:t>26.7亩</w:t>
      </w:r>
      <w:r>
        <w:rPr>
          <w:sz w:val="24"/>
        </w:rPr>
        <w:t>，尽管项目建设会使原有植被遭到局部损失，但破坏的面积不大，且破坏的植被以农业植被为主，为广布种和常见种。项目在建设完成后将对厂区进行绿化，从而对减少的生物量进行补偿。</w:t>
      </w:r>
    </w:p>
    <w:p>
      <w:pPr>
        <w:spacing w:line="500" w:lineRule="exact"/>
        <w:ind w:firstLine="480" w:firstLineChars="200"/>
        <w:rPr>
          <w:sz w:val="24"/>
        </w:rPr>
      </w:pPr>
      <w:r>
        <w:rPr>
          <w:sz w:val="24"/>
        </w:rPr>
        <w:t>项目施工期建筑材料及土方临时堆放在厂区的东南侧，并加蓬覆盖，避免产生扬尘。本项目所用建筑材料，如砂砾、二灰砂砾、环保砖、沥青砼均在</w:t>
      </w:r>
      <w:r>
        <w:rPr>
          <w:rFonts w:hint="eastAsia"/>
          <w:sz w:val="24"/>
        </w:rPr>
        <w:t>当地</w:t>
      </w:r>
      <w:r>
        <w:rPr>
          <w:sz w:val="24"/>
        </w:rPr>
        <w:t>购买，采用汽车运输。在建筑材料运输过程应加蓬覆盖，尽量避开村庄运输。</w:t>
      </w:r>
    </w:p>
    <w:p>
      <w:pPr>
        <w:spacing w:line="500" w:lineRule="exact"/>
        <w:ind w:firstLine="480" w:firstLineChars="200"/>
        <w:rPr>
          <w:sz w:val="24"/>
        </w:rPr>
      </w:pPr>
      <w:r>
        <w:rPr>
          <w:sz w:val="24"/>
        </w:rPr>
        <w:t>建筑材料和尚未回填的剩余土方临时放置于施工场地东南角，建筑材料搭棚覆盖，剩余土方采用防尘网覆盖，撒播草籽，以减少水土流失，在项目建设完成后用于绿化覆土，提高植被覆盖率，以最大限度降低项目对生态环境的影响。</w:t>
      </w:r>
    </w:p>
    <w:p>
      <w:pPr>
        <w:adjustRightInd w:val="0"/>
        <w:snapToGrid w:val="0"/>
        <w:spacing w:line="520" w:lineRule="exact"/>
        <w:ind w:firstLine="480" w:firstLineChars="200"/>
        <w:rPr>
          <w:bCs/>
          <w:sz w:val="24"/>
        </w:rPr>
      </w:pPr>
      <w:r>
        <w:rPr>
          <w:sz w:val="24"/>
        </w:rPr>
        <w:t>通过采取相应的生态保护和恢复措施，尤其是通过施工管理和强化施工期的保护和恢复，则本项目建设对生态环境影响是可接受的。</w:t>
      </w:r>
    </w:p>
    <w:p>
      <w:pPr>
        <w:pStyle w:val="2"/>
        <w:snapToGrid w:val="0"/>
        <w:spacing w:before="0" w:after="0" w:line="520" w:lineRule="exact"/>
        <w:rPr>
          <w:bCs w:val="0"/>
          <w:sz w:val="28"/>
          <w:szCs w:val="28"/>
        </w:rPr>
      </w:pPr>
      <w:bookmarkStart w:id="270" w:name="_Toc14347"/>
      <w:r>
        <w:rPr>
          <w:bCs w:val="0"/>
          <w:sz w:val="28"/>
          <w:szCs w:val="28"/>
        </w:rPr>
        <w:t>2.3.2 运营期主要污染源分析</w:t>
      </w:r>
      <w:bookmarkEnd w:id="255"/>
      <w:bookmarkEnd w:id="256"/>
      <w:bookmarkEnd w:id="257"/>
      <w:bookmarkEnd w:id="258"/>
      <w:bookmarkEnd w:id="259"/>
      <w:bookmarkEnd w:id="260"/>
      <w:bookmarkEnd w:id="261"/>
      <w:bookmarkEnd w:id="262"/>
      <w:bookmarkEnd w:id="263"/>
      <w:bookmarkEnd w:id="270"/>
    </w:p>
    <w:p>
      <w:pPr>
        <w:adjustRightInd w:val="0"/>
        <w:snapToGrid w:val="0"/>
        <w:spacing w:line="520" w:lineRule="exact"/>
        <w:ind w:firstLine="480" w:firstLineChars="200"/>
        <w:rPr>
          <w:b/>
          <w:sz w:val="24"/>
        </w:rPr>
      </w:pPr>
      <w:r>
        <w:rPr>
          <w:bCs/>
          <w:sz w:val="24"/>
        </w:rPr>
        <w:t>营运期间的主要污染环节见表2.3-2</w:t>
      </w:r>
      <w:r>
        <w:rPr>
          <w:rFonts w:hint="eastAsia"/>
          <w:bCs/>
          <w:sz w:val="24"/>
        </w:rPr>
        <w:t>和图2.3-1</w:t>
      </w:r>
      <w:r>
        <w:rPr>
          <w:bCs/>
          <w:sz w:val="24"/>
        </w:rPr>
        <w:t>。</w:t>
      </w:r>
    </w:p>
    <w:p>
      <w:pPr>
        <w:spacing w:after="72" w:afterLines="30" w:line="520" w:lineRule="exact"/>
        <w:jc w:val="center"/>
        <w:rPr>
          <w:b/>
          <w:sz w:val="24"/>
        </w:rPr>
      </w:pPr>
      <w:r>
        <w:rPr>
          <w:b/>
          <w:sz w:val="24"/>
        </w:rPr>
        <w:t>表2.3-2    工程产排污环节一览表</w:t>
      </w:r>
    </w:p>
    <w:tbl>
      <w:tblPr>
        <w:tblStyle w:val="17"/>
        <w:tblW w:w="8988"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30"/>
        <w:gridCol w:w="1079"/>
        <w:gridCol w:w="735"/>
        <w:gridCol w:w="1492"/>
        <w:gridCol w:w="1417"/>
        <w:gridCol w:w="363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8" w:hRule="atLeast"/>
          <w:tblHeader/>
        </w:trPr>
        <w:tc>
          <w:tcPr>
            <w:tcW w:w="1709" w:type="dxa"/>
            <w:gridSpan w:val="2"/>
            <w:noWrap w:val="0"/>
            <w:vAlign w:val="center"/>
          </w:tcPr>
          <w:p>
            <w:pPr>
              <w:spacing w:line="360" w:lineRule="exact"/>
              <w:jc w:val="center"/>
              <w:rPr>
                <w:b/>
                <w:szCs w:val="21"/>
              </w:rPr>
            </w:pPr>
            <w:r>
              <w:rPr>
                <w:b/>
                <w:szCs w:val="21"/>
              </w:rPr>
              <w:t>产排污环节</w:t>
            </w:r>
          </w:p>
        </w:tc>
        <w:tc>
          <w:tcPr>
            <w:tcW w:w="735" w:type="dxa"/>
            <w:noWrap w:val="0"/>
            <w:vAlign w:val="center"/>
          </w:tcPr>
          <w:p>
            <w:pPr>
              <w:spacing w:line="360" w:lineRule="exact"/>
              <w:jc w:val="center"/>
              <w:rPr>
                <w:b/>
                <w:szCs w:val="21"/>
              </w:rPr>
            </w:pPr>
            <w:r>
              <w:rPr>
                <w:b/>
                <w:szCs w:val="21"/>
              </w:rPr>
              <w:t>编号</w:t>
            </w:r>
          </w:p>
        </w:tc>
        <w:tc>
          <w:tcPr>
            <w:tcW w:w="1492" w:type="dxa"/>
            <w:noWrap w:val="0"/>
            <w:vAlign w:val="center"/>
          </w:tcPr>
          <w:p>
            <w:pPr>
              <w:spacing w:line="360" w:lineRule="exact"/>
              <w:jc w:val="center"/>
              <w:rPr>
                <w:b/>
                <w:szCs w:val="21"/>
              </w:rPr>
            </w:pPr>
            <w:r>
              <w:rPr>
                <w:b/>
                <w:szCs w:val="21"/>
              </w:rPr>
              <w:t>污染源</w:t>
            </w:r>
          </w:p>
        </w:tc>
        <w:tc>
          <w:tcPr>
            <w:tcW w:w="1417" w:type="dxa"/>
            <w:noWrap w:val="0"/>
            <w:vAlign w:val="center"/>
          </w:tcPr>
          <w:p>
            <w:pPr>
              <w:spacing w:line="360" w:lineRule="exact"/>
              <w:jc w:val="center"/>
              <w:rPr>
                <w:b/>
                <w:szCs w:val="21"/>
              </w:rPr>
            </w:pPr>
            <w:r>
              <w:rPr>
                <w:b/>
                <w:szCs w:val="21"/>
              </w:rPr>
              <w:t>成分</w:t>
            </w:r>
          </w:p>
        </w:tc>
        <w:tc>
          <w:tcPr>
            <w:tcW w:w="3635" w:type="dxa"/>
            <w:noWrap w:val="0"/>
            <w:vAlign w:val="center"/>
          </w:tcPr>
          <w:p>
            <w:pPr>
              <w:spacing w:line="360" w:lineRule="exact"/>
              <w:jc w:val="center"/>
              <w:rPr>
                <w:b/>
                <w:szCs w:val="21"/>
              </w:rPr>
            </w:pPr>
            <w:r>
              <w:rPr>
                <w:b/>
                <w:szCs w:val="21"/>
              </w:rPr>
              <w:t>去向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709" w:type="dxa"/>
            <w:gridSpan w:val="2"/>
            <w:vMerge w:val="restart"/>
            <w:noWrap w:val="0"/>
            <w:vAlign w:val="center"/>
          </w:tcPr>
          <w:p>
            <w:pPr>
              <w:spacing w:line="360" w:lineRule="exact"/>
              <w:jc w:val="center"/>
              <w:rPr>
                <w:szCs w:val="21"/>
              </w:rPr>
            </w:pPr>
            <w:r>
              <w:rPr>
                <w:szCs w:val="21"/>
              </w:rPr>
              <w:t>猪舍</w:t>
            </w:r>
          </w:p>
        </w:tc>
        <w:tc>
          <w:tcPr>
            <w:tcW w:w="735" w:type="dxa"/>
            <w:noWrap w:val="0"/>
            <w:vAlign w:val="center"/>
          </w:tcPr>
          <w:p>
            <w:pPr>
              <w:spacing w:line="360" w:lineRule="exact"/>
              <w:jc w:val="center"/>
              <w:rPr>
                <w:szCs w:val="21"/>
              </w:rPr>
            </w:pPr>
            <w:r>
              <w:rPr>
                <w:szCs w:val="21"/>
              </w:rPr>
              <w:t>G</w:t>
            </w:r>
            <w:r>
              <w:rPr>
                <w:szCs w:val="21"/>
                <w:vertAlign w:val="subscript"/>
              </w:rPr>
              <w:t>1</w:t>
            </w:r>
          </w:p>
        </w:tc>
        <w:tc>
          <w:tcPr>
            <w:tcW w:w="1492" w:type="dxa"/>
            <w:noWrap w:val="0"/>
            <w:vAlign w:val="center"/>
          </w:tcPr>
          <w:p>
            <w:pPr>
              <w:spacing w:line="360" w:lineRule="exact"/>
              <w:jc w:val="center"/>
              <w:rPr>
                <w:szCs w:val="21"/>
              </w:rPr>
            </w:pPr>
            <w:r>
              <w:rPr>
                <w:szCs w:val="21"/>
              </w:rPr>
              <w:t>恶臭</w:t>
            </w:r>
          </w:p>
        </w:tc>
        <w:tc>
          <w:tcPr>
            <w:tcW w:w="1417" w:type="dxa"/>
            <w:noWrap w:val="0"/>
            <w:vAlign w:val="center"/>
          </w:tcPr>
          <w:p>
            <w:pPr>
              <w:spacing w:line="360" w:lineRule="exact"/>
              <w:jc w:val="center"/>
              <w:rPr>
                <w:szCs w:val="21"/>
              </w:rPr>
            </w:pPr>
            <w:r>
              <w:rPr>
                <w:szCs w:val="21"/>
              </w:rPr>
              <w:t>H</w:t>
            </w:r>
            <w:r>
              <w:rPr>
                <w:szCs w:val="21"/>
                <w:vertAlign w:val="subscript"/>
              </w:rPr>
              <w:t>2</w:t>
            </w:r>
            <w:r>
              <w:rPr>
                <w:szCs w:val="21"/>
              </w:rPr>
              <w:t>S、NH</w:t>
            </w:r>
            <w:r>
              <w:rPr>
                <w:szCs w:val="21"/>
                <w:vertAlign w:val="subscript"/>
              </w:rPr>
              <w:t>3</w:t>
            </w:r>
          </w:p>
        </w:tc>
        <w:tc>
          <w:tcPr>
            <w:tcW w:w="3635" w:type="dxa"/>
            <w:noWrap w:val="0"/>
            <w:vAlign w:val="center"/>
          </w:tcPr>
          <w:p>
            <w:pPr>
              <w:spacing w:line="360" w:lineRule="exact"/>
              <w:jc w:val="center"/>
              <w:rPr>
                <w:szCs w:val="21"/>
              </w:rPr>
            </w:pPr>
            <w:r>
              <w:rPr>
                <w:szCs w:val="21"/>
              </w:rPr>
              <w:t>达标排放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1709" w:type="dxa"/>
            <w:gridSpan w:val="2"/>
            <w:vMerge w:val="continue"/>
            <w:noWrap w:val="0"/>
            <w:vAlign w:val="center"/>
          </w:tcPr>
          <w:p>
            <w:pPr>
              <w:spacing w:line="360" w:lineRule="exact"/>
              <w:jc w:val="center"/>
              <w:rPr>
                <w:szCs w:val="21"/>
              </w:rPr>
            </w:pPr>
          </w:p>
        </w:tc>
        <w:tc>
          <w:tcPr>
            <w:tcW w:w="735" w:type="dxa"/>
            <w:noWrap w:val="0"/>
            <w:vAlign w:val="center"/>
          </w:tcPr>
          <w:p>
            <w:pPr>
              <w:spacing w:line="360" w:lineRule="exact"/>
              <w:jc w:val="center"/>
              <w:rPr>
                <w:szCs w:val="21"/>
              </w:rPr>
            </w:pPr>
            <w:r>
              <w:rPr>
                <w:szCs w:val="21"/>
              </w:rPr>
              <w:t>W</w:t>
            </w:r>
            <w:r>
              <w:rPr>
                <w:szCs w:val="21"/>
                <w:vertAlign w:val="subscript"/>
              </w:rPr>
              <w:t>1</w:t>
            </w:r>
          </w:p>
        </w:tc>
        <w:tc>
          <w:tcPr>
            <w:tcW w:w="1492" w:type="dxa"/>
            <w:noWrap w:val="0"/>
            <w:vAlign w:val="center"/>
          </w:tcPr>
          <w:p>
            <w:pPr>
              <w:spacing w:line="360" w:lineRule="exact"/>
              <w:jc w:val="center"/>
              <w:rPr>
                <w:szCs w:val="21"/>
              </w:rPr>
            </w:pPr>
            <w:r>
              <w:rPr>
                <w:szCs w:val="21"/>
              </w:rPr>
              <w:t>猪尿液</w:t>
            </w:r>
          </w:p>
        </w:tc>
        <w:tc>
          <w:tcPr>
            <w:tcW w:w="1417" w:type="dxa"/>
            <w:vMerge w:val="restart"/>
            <w:noWrap w:val="0"/>
            <w:vAlign w:val="center"/>
          </w:tcPr>
          <w:p>
            <w:pPr>
              <w:spacing w:line="360" w:lineRule="exact"/>
              <w:jc w:val="center"/>
              <w:rPr>
                <w:szCs w:val="21"/>
              </w:rPr>
            </w:pPr>
            <w:r>
              <w:rPr>
                <w:szCs w:val="21"/>
              </w:rPr>
              <w:t>COD、NH</w:t>
            </w:r>
            <w:r>
              <w:rPr>
                <w:szCs w:val="21"/>
                <w:vertAlign w:val="subscript"/>
              </w:rPr>
              <w:t>3</w:t>
            </w:r>
            <w:r>
              <w:rPr>
                <w:szCs w:val="21"/>
              </w:rPr>
              <w:t>-N</w:t>
            </w:r>
          </w:p>
        </w:tc>
        <w:tc>
          <w:tcPr>
            <w:tcW w:w="3635" w:type="dxa"/>
            <w:vMerge w:val="restart"/>
            <w:noWrap w:val="0"/>
            <w:vAlign w:val="center"/>
          </w:tcPr>
          <w:p>
            <w:pPr>
              <w:spacing w:line="360" w:lineRule="exact"/>
              <w:jc w:val="center"/>
              <w:rPr>
                <w:szCs w:val="21"/>
              </w:rPr>
            </w:pPr>
            <w:r>
              <w:rPr>
                <w:szCs w:val="21"/>
              </w:rPr>
              <w:t>经黑膜沼气池处理后作液体肥还田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1709" w:type="dxa"/>
            <w:gridSpan w:val="2"/>
            <w:vMerge w:val="continue"/>
            <w:noWrap w:val="0"/>
            <w:vAlign w:val="center"/>
          </w:tcPr>
          <w:p>
            <w:pPr>
              <w:spacing w:line="360" w:lineRule="exact"/>
              <w:jc w:val="center"/>
              <w:rPr>
                <w:szCs w:val="21"/>
              </w:rPr>
            </w:pPr>
          </w:p>
        </w:tc>
        <w:tc>
          <w:tcPr>
            <w:tcW w:w="735" w:type="dxa"/>
            <w:noWrap w:val="0"/>
            <w:vAlign w:val="center"/>
          </w:tcPr>
          <w:p>
            <w:pPr>
              <w:spacing w:line="360" w:lineRule="exact"/>
              <w:jc w:val="center"/>
              <w:rPr>
                <w:szCs w:val="21"/>
              </w:rPr>
            </w:pPr>
            <w:r>
              <w:rPr>
                <w:szCs w:val="21"/>
              </w:rPr>
              <w:t>W</w:t>
            </w:r>
            <w:r>
              <w:rPr>
                <w:szCs w:val="21"/>
                <w:vertAlign w:val="subscript"/>
              </w:rPr>
              <w:t>2</w:t>
            </w:r>
          </w:p>
        </w:tc>
        <w:tc>
          <w:tcPr>
            <w:tcW w:w="1492" w:type="dxa"/>
            <w:noWrap w:val="0"/>
            <w:vAlign w:val="center"/>
          </w:tcPr>
          <w:p>
            <w:pPr>
              <w:spacing w:line="360" w:lineRule="exact"/>
              <w:jc w:val="center"/>
              <w:rPr>
                <w:szCs w:val="21"/>
              </w:rPr>
            </w:pPr>
            <w:r>
              <w:rPr>
                <w:szCs w:val="21"/>
              </w:rPr>
              <w:t>猪舍冲洗水</w:t>
            </w:r>
          </w:p>
        </w:tc>
        <w:tc>
          <w:tcPr>
            <w:tcW w:w="1417" w:type="dxa"/>
            <w:vMerge w:val="continue"/>
            <w:noWrap w:val="0"/>
            <w:vAlign w:val="center"/>
          </w:tcPr>
          <w:p>
            <w:pPr>
              <w:spacing w:line="360" w:lineRule="exact"/>
              <w:jc w:val="center"/>
              <w:rPr>
                <w:szCs w:val="21"/>
              </w:rPr>
            </w:pPr>
          </w:p>
        </w:tc>
        <w:tc>
          <w:tcPr>
            <w:tcW w:w="3635" w:type="dxa"/>
            <w:vMerge w:val="continue"/>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9" w:type="dxa"/>
            <w:gridSpan w:val="2"/>
            <w:vMerge w:val="continue"/>
            <w:noWrap w:val="0"/>
            <w:vAlign w:val="center"/>
          </w:tcPr>
          <w:p>
            <w:pPr>
              <w:spacing w:line="360" w:lineRule="exact"/>
              <w:jc w:val="center"/>
              <w:rPr>
                <w:szCs w:val="21"/>
              </w:rPr>
            </w:pPr>
          </w:p>
        </w:tc>
        <w:tc>
          <w:tcPr>
            <w:tcW w:w="735" w:type="dxa"/>
            <w:noWrap w:val="0"/>
            <w:vAlign w:val="center"/>
          </w:tcPr>
          <w:p>
            <w:pPr>
              <w:spacing w:line="360" w:lineRule="exact"/>
              <w:jc w:val="center"/>
              <w:rPr>
                <w:szCs w:val="21"/>
              </w:rPr>
            </w:pPr>
            <w:r>
              <w:rPr>
                <w:szCs w:val="21"/>
              </w:rPr>
              <w:t>Z</w:t>
            </w:r>
            <w:r>
              <w:rPr>
                <w:szCs w:val="21"/>
                <w:vertAlign w:val="subscript"/>
              </w:rPr>
              <w:t>1</w:t>
            </w:r>
          </w:p>
        </w:tc>
        <w:tc>
          <w:tcPr>
            <w:tcW w:w="1492" w:type="dxa"/>
            <w:noWrap w:val="0"/>
            <w:vAlign w:val="center"/>
          </w:tcPr>
          <w:p>
            <w:pPr>
              <w:spacing w:line="360" w:lineRule="exact"/>
              <w:jc w:val="center"/>
              <w:rPr>
                <w:szCs w:val="21"/>
              </w:rPr>
            </w:pPr>
            <w:r>
              <w:rPr>
                <w:szCs w:val="21"/>
              </w:rPr>
              <w:t>猪叫</w:t>
            </w:r>
          </w:p>
        </w:tc>
        <w:tc>
          <w:tcPr>
            <w:tcW w:w="1417" w:type="dxa"/>
            <w:noWrap w:val="0"/>
            <w:vAlign w:val="center"/>
          </w:tcPr>
          <w:p>
            <w:pPr>
              <w:spacing w:line="360" w:lineRule="exact"/>
              <w:jc w:val="center"/>
              <w:rPr>
                <w:szCs w:val="21"/>
              </w:rPr>
            </w:pPr>
            <w:r>
              <w:rPr>
                <w:szCs w:val="21"/>
              </w:rPr>
              <w:t>/</w:t>
            </w:r>
          </w:p>
        </w:tc>
        <w:tc>
          <w:tcPr>
            <w:tcW w:w="3635" w:type="dxa"/>
            <w:vMerge w:val="restart"/>
            <w:noWrap w:val="0"/>
            <w:vAlign w:val="center"/>
          </w:tcPr>
          <w:p>
            <w:pPr>
              <w:spacing w:line="360" w:lineRule="exact"/>
              <w:jc w:val="center"/>
              <w:rPr>
                <w:szCs w:val="21"/>
              </w:rPr>
            </w:pPr>
            <w:r>
              <w:rPr>
                <w:szCs w:val="21"/>
              </w:rPr>
              <w:t>达标排放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709" w:type="dxa"/>
            <w:gridSpan w:val="2"/>
            <w:vMerge w:val="continue"/>
            <w:noWrap w:val="0"/>
            <w:vAlign w:val="center"/>
          </w:tcPr>
          <w:p>
            <w:pPr>
              <w:spacing w:line="360" w:lineRule="exact"/>
              <w:jc w:val="center"/>
              <w:rPr>
                <w:szCs w:val="21"/>
              </w:rPr>
            </w:pPr>
          </w:p>
        </w:tc>
        <w:tc>
          <w:tcPr>
            <w:tcW w:w="735" w:type="dxa"/>
            <w:noWrap w:val="0"/>
            <w:vAlign w:val="center"/>
          </w:tcPr>
          <w:p>
            <w:pPr>
              <w:spacing w:line="360" w:lineRule="exact"/>
              <w:jc w:val="center"/>
              <w:rPr>
                <w:szCs w:val="21"/>
              </w:rPr>
            </w:pPr>
            <w:r>
              <w:rPr>
                <w:szCs w:val="21"/>
              </w:rPr>
              <w:t>Z</w:t>
            </w:r>
            <w:r>
              <w:rPr>
                <w:szCs w:val="21"/>
                <w:vertAlign w:val="subscript"/>
              </w:rPr>
              <w:t>2</w:t>
            </w:r>
          </w:p>
        </w:tc>
        <w:tc>
          <w:tcPr>
            <w:tcW w:w="1492" w:type="dxa"/>
            <w:noWrap w:val="0"/>
            <w:vAlign w:val="center"/>
          </w:tcPr>
          <w:p>
            <w:pPr>
              <w:spacing w:line="360" w:lineRule="exact"/>
              <w:jc w:val="center"/>
              <w:rPr>
                <w:szCs w:val="21"/>
              </w:rPr>
            </w:pPr>
            <w:r>
              <w:rPr>
                <w:szCs w:val="21"/>
              </w:rPr>
              <w:t>排风扇噪声</w:t>
            </w:r>
          </w:p>
        </w:tc>
        <w:tc>
          <w:tcPr>
            <w:tcW w:w="1417" w:type="dxa"/>
            <w:noWrap w:val="0"/>
            <w:vAlign w:val="center"/>
          </w:tcPr>
          <w:p>
            <w:pPr>
              <w:spacing w:line="360" w:lineRule="exact"/>
              <w:jc w:val="center"/>
              <w:rPr>
                <w:szCs w:val="21"/>
              </w:rPr>
            </w:pPr>
            <w:r>
              <w:rPr>
                <w:szCs w:val="21"/>
              </w:rPr>
              <w:t>/</w:t>
            </w:r>
          </w:p>
        </w:tc>
        <w:tc>
          <w:tcPr>
            <w:tcW w:w="3635" w:type="dxa"/>
            <w:vMerge w:val="continue"/>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1709" w:type="dxa"/>
            <w:gridSpan w:val="2"/>
            <w:vMerge w:val="continue"/>
            <w:noWrap w:val="0"/>
            <w:vAlign w:val="center"/>
          </w:tcPr>
          <w:p>
            <w:pPr>
              <w:spacing w:line="360" w:lineRule="exact"/>
              <w:jc w:val="center"/>
              <w:rPr>
                <w:szCs w:val="21"/>
              </w:rPr>
            </w:pPr>
          </w:p>
        </w:tc>
        <w:tc>
          <w:tcPr>
            <w:tcW w:w="735" w:type="dxa"/>
            <w:noWrap w:val="0"/>
            <w:vAlign w:val="center"/>
          </w:tcPr>
          <w:p>
            <w:pPr>
              <w:spacing w:line="360" w:lineRule="exact"/>
              <w:jc w:val="center"/>
              <w:rPr>
                <w:szCs w:val="21"/>
              </w:rPr>
            </w:pPr>
            <w:r>
              <w:rPr>
                <w:szCs w:val="21"/>
              </w:rPr>
              <w:t>S</w:t>
            </w:r>
            <w:r>
              <w:rPr>
                <w:szCs w:val="21"/>
                <w:vertAlign w:val="subscript"/>
              </w:rPr>
              <w:t>1</w:t>
            </w:r>
          </w:p>
        </w:tc>
        <w:tc>
          <w:tcPr>
            <w:tcW w:w="1492" w:type="dxa"/>
            <w:noWrap w:val="0"/>
            <w:vAlign w:val="center"/>
          </w:tcPr>
          <w:p>
            <w:pPr>
              <w:spacing w:line="360" w:lineRule="exact"/>
              <w:jc w:val="center"/>
              <w:rPr>
                <w:szCs w:val="21"/>
              </w:rPr>
            </w:pPr>
            <w:r>
              <w:rPr>
                <w:szCs w:val="21"/>
              </w:rPr>
              <w:t>猪粪</w:t>
            </w:r>
          </w:p>
        </w:tc>
        <w:tc>
          <w:tcPr>
            <w:tcW w:w="1417" w:type="dxa"/>
            <w:noWrap w:val="0"/>
            <w:vAlign w:val="center"/>
          </w:tcPr>
          <w:p>
            <w:pPr>
              <w:spacing w:line="360" w:lineRule="exact"/>
              <w:jc w:val="center"/>
              <w:rPr>
                <w:szCs w:val="21"/>
              </w:rPr>
            </w:pPr>
            <w:r>
              <w:rPr>
                <w:szCs w:val="21"/>
              </w:rPr>
              <w:t>/</w:t>
            </w:r>
          </w:p>
        </w:tc>
        <w:tc>
          <w:tcPr>
            <w:tcW w:w="3635" w:type="dxa"/>
            <w:noWrap w:val="0"/>
            <w:vAlign w:val="center"/>
          </w:tcPr>
          <w:p>
            <w:pPr>
              <w:spacing w:line="360" w:lineRule="exact"/>
              <w:jc w:val="center"/>
              <w:rPr>
                <w:szCs w:val="21"/>
              </w:rPr>
            </w:pPr>
            <w:r>
              <w:rPr>
                <w:szCs w:val="21"/>
              </w:rPr>
              <w:t>固粪堆存区暂存后外售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1709" w:type="dxa"/>
            <w:gridSpan w:val="2"/>
            <w:vMerge w:val="continue"/>
            <w:noWrap w:val="0"/>
            <w:vAlign w:val="center"/>
          </w:tcPr>
          <w:p>
            <w:pPr>
              <w:spacing w:line="360" w:lineRule="exact"/>
              <w:jc w:val="center"/>
              <w:rPr>
                <w:szCs w:val="21"/>
              </w:rPr>
            </w:pPr>
          </w:p>
        </w:tc>
        <w:tc>
          <w:tcPr>
            <w:tcW w:w="735" w:type="dxa"/>
            <w:noWrap w:val="0"/>
            <w:vAlign w:val="center"/>
          </w:tcPr>
          <w:p>
            <w:pPr>
              <w:spacing w:line="360" w:lineRule="exact"/>
              <w:jc w:val="center"/>
              <w:rPr>
                <w:szCs w:val="21"/>
              </w:rPr>
            </w:pPr>
            <w:r>
              <w:rPr>
                <w:szCs w:val="21"/>
              </w:rPr>
              <w:t>S</w:t>
            </w:r>
            <w:r>
              <w:rPr>
                <w:szCs w:val="21"/>
                <w:vertAlign w:val="subscript"/>
              </w:rPr>
              <w:t>2</w:t>
            </w:r>
          </w:p>
        </w:tc>
        <w:tc>
          <w:tcPr>
            <w:tcW w:w="1492" w:type="dxa"/>
            <w:noWrap w:val="0"/>
            <w:vAlign w:val="center"/>
          </w:tcPr>
          <w:p>
            <w:pPr>
              <w:spacing w:line="360" w:lineRule="exact"/>
              <w:jc w:val="center"/>
              <w:rPr>
                <w:szCs w:val="21"/>
              </w:rPr>
            </w:pPr>
            <w:r>
              <w:rPr>
                <w:szCs w:val="21"/>
              </w:rPr>
              <w:t>病死猪尸体</w:t>
            </w:r>
          </w:p>
        </w:tc>
        <w:tc>
          <w:tcPr>
            <w:tcW w:w="1417" w:type="dxa"/>
            <w:noWrap w:val="0"/>
            <w:vAlign w:val="center"/>
          </w:tcPr>
          <w:p>
            <w:pPr>
              <w:spacing w:line="360" w:lineRule="exact"/>
              <w:jc w:val="center"/>
              <w:rPr>
                <w:szCs w:val="21"/>
              </w:rPr>
            </w:pPr>
            <w:r>
              <w:rPr>
                <w:szCs w:val="21"/>
              </w:rPr>
              <w:t>/</w:t>
            </w:r>
          </w:p>
        </w:tc>
        <w:tc>
          <w:tcPr>
            <w:tcW w:w="3635" w:type="dxa"/>
            <w:noWrap w:val="0"/>
            <w:vAlign w:val="center"/>
          </w:tcPr>
          <w:p>
            <w:pPr>
              <w:spacing w:line="360" w:lineRule="exact"/>
              <w:jc w:val="center"/>
              <w:rPr>
                <w:szCs w:val="21"/>
              </w:rPr>
            </w:pPr>
            <w:r>
              <w:rPr>
                <w:bCs/>
                <w:color w:val="000000"/>
                <w:szCs w:val="21"/>
              </w:rPr>
              <w:t>由</w:t>
            </w:r>
            <w:r>
              <w:rPr>
                <w:szCs w:val="21"/>
              </w:rPr>
              <w:t>无害化处理中心处置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1709" w:type="dxa"/>
            <w:gridSpan w:val="2"/>
            <w:vMerge w:val="continue"/>
            <w:noWrap w:val="0"/>
            <w:vAlign w:val="center"/>
          </w:tcPr>
          <w:p>
            <w:pPr>
              <w:spacing w:line="360" w:lineRule="exact"/>
              <w:jc w:val="center"/>
              <w:rPr>
                <w:szCs w:val="21"/>
              </w:rPr>
            </w:pPr>
          </w:p>
        </w:tc>
        <w:tc>
          <w:tcPr>
            <w:tcW w:w="735" w:type="dxa"/>
            <w:noWrap w:val="0"/>
            <w:vAlign w:val="center"/>
          </w:tcPr>
          <w:p>
            <w:pPr>
              <w:spacing w:line="360" w:lineRule="exact"/>
              <w:jc w:val="center"/>
              <w:rPr>
                <w:szCs w:val="21"/>
              </w:rPr>
            </w:pPr>
            <w:r>
              <w:rPr>
                <w:szCs w:val="21"/>
              </w:rPr>
              <w:t>S</w:t>
            </w:r>
            <w:r>
              <w:rPr>
                <w:szCs w:val="21"/>
                <w:vertAlign w:val="subscript"/>
              </w:rPr>
              <w:t>3</w:t>
            </w:r>
          </w:p>
        </w:tc>
        <w:tc>
          <w:tcPr>
            <w:tcW w:w="1492" w:type="dxa"/>
            <w:noWrap w:val="0"/>
            <w:vAlign w:val="center"/>
          </w:tcPr>
          <w:p>
            <w:pPr>
              <w:spacing w:line="360" w:lineRule="exact"/>
              <w:jc w:val="center"/>
              <w:rPr>
                <w:szCs w:val="21"/>
              </w:rPr>
            </w:pPr>
            <w:r>
              <w:rPr>
                <w:szCs w:val="21"/>
              </w:rPr>
              <w:t>医疗废物</w:t>
            </w:r>
          </w:p>
        </w:tc>
        <w:tc>
          <w:tcPr>
            <w:tcW w:w="1417" w:type="dxa"/>
            <w:noWrap w:val="0"/>
            <w:vAlign w:val="center"/>
          </w:tcPr>
          <w:p>
            <w:pPr>
              <w:spacing w:line="360" w:lineRule="exact"/>
              <w:jc w:val="center"/>
              <w:rPr>
                <w:szCs w:val="21"/>
              </w:rPr>
            </w:pPr>
            <w:r>
              <w:rPr>
                <w:szCs w:val="21"/>
              </w:rPr>
              <w:t>/</w:t>
            </w:r>
          </w:p>
        </w:tc>
        <w:tc>
          <w:tcPr>
            <w:tcW w:w="3635" w:type="dxa"/>
            <w:noWrap w:val="0"/>
            <w:vAlign w:val="center"/>
          </w:tcPr>
          <w:p>
            <w:pPr>
              <w:spacing w:line="360" w:lineRule="exact"/>
              <w:ind w:left="-105" w:leftChars="-50" w:right="-105" w:rightChars="-50"/>
              <w:jc w:val="center"/>
              <w:rPr>
                <w:szCs w:val="21"/>
              </w:rPr>
            </w:pPr>
            <w:r>
              <w:rPr>
                <w:bCs/>
                <w:color w:val="000000"/>
                <w:szCs w:val="21"/>
              </w:rPr>
              <w:t>委托有资质单位处置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630" w:type="dxa"/>
            <w:vMerge w:val="restart"/>
            <w:noWrap w:val="0"/>
            <w:vAlign w:val="center"/>
          </w:tcPr>
          <w:p>
            <w:pPr>
              <w:spacing w:line="360" w:lineRule="exact"/>
              <w:jc w:val="center"/>
              <w:rPr>
                <w:szCs w:val="21"/>
              </w:rPr>
            </w:pPr>
            <w:r>
              <w:rPr>
                <w:szCs w:val="21"/>
              </w:rPr>
              <w:t>粪污处理区</w:t>
            </w:r>
          </w:p>
        </w:tc>
        <w:tc>
          <w:tcPr>
            <w:tcW w:w="1079" w:type="dxa"/>
            <w:vMerge w:val="restart"/>
            <w:noWrap w:val="0"/>
            <w:vAlign w:val="center"/>
          </w:tcPr>
          <w:p>
            <w:pPr>
              <w:spacing w:line="360" w:lineRule="exact"/>
              <w:jc w:val="center"/>
              <w:rPr>
                <w:szCs w:val="21"/>
              </w:rPr>
            </w:pPr>
            <w:r>
              <w:rPr>
                <w:szCs w:val="21"/>
              </w:rPr>
              <w:t>沼气工程</w:t>
            </w:r>
          </w:p>
        </w:tc>
        <w:tc>
          <w:tcPr>
            <w:tcW w:w="735" w:type="dxa"/>
            <w:noWrap w:val="0"/>
            <w:vAlign w:val="center"/>
          </w:tcPr>
          <w:p>
            <w:pPr>
              <w:spacing w:line="360" w:lineRule="exact"/>
              <w:jc w:val="center"/>
              <w:rPr>
                <w:szCs w:val="21"/>
              </w:rPr>
            </w:pPr>
            <w:r>
              <w:rPr>
                <w:szCs w:val="21"/>
              </w:rPr>
              <w:t>G</w:t>
            </w:r>
            <w:r>
              <w:rPr>
                <w:szCs w:val="21"/>
                <w:vertAlign w:val="subscript"/>
              </w:rPr>
              <w:t>2</w:t>
            </w:r>
          </w:p>
        </w:tc>
        <w:tc>
          <w:tcPr>
            <w:tcW w:w="1492" w:type="dxa"/>
            <w:noWrap w:val="0"/>
            <w:vAlign w:val="center"/>
          </w:tcPr>
          <w:p>
            <w:pPr>
              <w:spacing w:line="360" w:lineRule="exact"/>
              <w:jc w:val="center"/>
              <w:rPr>
                <w:szCs w:val="21"/>
              </w:rPr>
            </w:pPr>
            <w:r>
              <w:rPr>
                <w:szCs w:val="21"/>
              </w:rPr>
              <w:t>恶臭</w:t>
            </w:r>
          </w:p>
        </w:tc>
        <w:tc>
          <w:tcPr>
            <w:tcW w:w="1417" w:type="dxa"/>
            <w:noWrap w:val="0"/>
            <w:vAlign w:val="center"/>
          </w:tcPr>
          <w:p>
            <w:pPr>
              <w:spacing w:line="360" w:lineRule="exact"/>
              <w:jc w:val="center"/>
              <w:rPr>
                <w:szCs w:val="21"/>
              </w:rPr>
            </w:pPr>
            <w:r>
              <w:rPr>
                <w:szCs w:val="21"/>
              </w:rPr>
              <w:t>H</w:t>
            </w:r>
            <w:r>
              <w:rPr>
                <w:szCs w:val="21"/>
                <w:vertAlign w:val="subscript"/>
              </w:rPr>
              <w:t>2</w:t>
            </w:r>
            <w:r>
              <w:rPr>
                <w:szCs w:val="21"/>
              </w:rPr>
              <w:t>S、NH</w:t>
            </w:r>
            <w:r>
              <w:rPr>
                <w:szCs w:val="21"/>
                <w:vertAlign w:val="subscript"/>
              </w:rPr>
              <w:t>3</w:t>
            </w:r>
          </w:p>
        </w:tc>
        <w:tc>
          <w:tcPr>
            <w:tcW w:w="3635" w:type="dxa"/>
            <w:noWrap w:val="0"/>
            <w:vAlign w:val="center"/>
          </w:tcPr>
          <w:p>
            <w:pPr>
              <w:spacing w:line="360" w:lineRule="exact"/>
              <w:jc w:val="center"/>
              <w:rPr>
                <w:szCs w:val="21"/>
              </w:rPr>
            </w:pPr>
            <w:r>
              <w:rPr>
                <w:szCs w:val="21"/>
              </w:rPr>
              <w:t>达标排放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8" w:hRule="atLeast"/>
        </w:trPr>
        <w:tc>
          <w:tcPr>
            <w:tcW w:w="630" w:type="dxa"/>
            <w:vMerge w:val="continue"/>
            <w:noWrap w:val="0"/>
            <w:vAlign w:val="center"/>
          </w:tcPr>
          <w:p>
            <w:pPr>
              <w:spacing w:line="360" w:lineRule="exact"/>
              <w:jc w:val="center"/>
              <w:rPr>
                <w:szCs w:val="21"/>
              </w:rPr>
            </w:pPr>
          </w:p>
        </w:tc>
        <w:tc>
          <w:tcPr>
            <w:tcW w:w="1079" w:type="dxa"/>
            <w:vMerge w:val="continue"/>
            <w:noWrap w:val="0"/>
            <w:vAlign w:val="center"/>
          </w:tcPr>
          <w:p>
            <w:pPr>
              <w:spacing w:line="360" w:lineRule="exact"/>
              <w:jc w:val="center"/>
              <w:rPr>
                <w:szCs w:val="21"/>
              </w:rPr>
            </w:pPr>
          </w:p>
        </w:tc>
        <w:tc>
          <w:tcPr>
            <w:tcW w:w="735" w:type="dxa"/>
            <w:noWrap w:val="0"/>
            <w:vAlign w:val="center"/>
          </w:tcPr>
          <w:p>
            <w:pPr>
              <w:spacing w:line="360" w:lineRule="exact"/>
              <w:jc w:val="center"/>
              <w:rPr>
                <w:szCs w:val="21"/>
              </w:rPr>
            </w:pPr>
            <w:r>
              <w:rPr>
                <w:szCs w:val="21"/>
              </w:rPr>
              <w:t>Z</w:t>
            </w:r>
            <w:r>
              <w:rPr>
                <w:szCs w:val="21"/>
                <w:vertAlign w:val="subscript"/>
              </w:rPr>
              <w:t>3</w:t>
            </w:r>
          </w:p>
        </w:tc>
        <w:tc>
          <w:tcPr>
            <w:tcW w:w="1492" w:type="dxa"/>
            <w:noWrap w:val="0"/>
            <w:vAlign w:val="center"/>
          </w:tcPr>
          <w:p>
            <w:pPr>
              <w:spacing w:line="360" w:lineRule="exact"/>
              <w:jc w:val="center"/>
              <w:rPr>
                <w:szCs w:val="21"/>
              </w:rPr>
            </w:pPr>
            <w:r>
              <w:rPr>
                <w:szCs w:val="21"/>
              </w:rPr>
              <w:t>机械噪声</w:t>
            </w:r>
          </w:p>
        </w:tc>
        <w:tc>
          <w:tcPr>
            <w:tcW w:w="1417" w:type="dxa"/>
            <w:noWrap w:val="0"/>
            <w:vAlign w:val="center"/>
          </w:tcPr>
          <w:p>
            <w:pPr>
              <w:spacing w:line="360" w:lineRule="exact"/>
              <w:jc w:val="center"/>
              <w:rPr>
                <w:szCs w:val="21"/>
              </w:rPr>
            </w:pPr>
            <w:r>
              <w:rPr>
                <w:szCs w:val="21"/>
              </w:rPr>
              <w:t>/</w:t>
            </w:r>
          </w:p>
        </w:tc>
        <w:tc>
          <w:tcPr>
            <w:tcW w:w="3635" w:type="dxa"/>
            <w:noWrap w:val="0"/>
            <w:vAlign w:val="center"/>
          </w:tcPr>
          <w:p>
            <w:pPr>
              <w:spacing w:line="360" w:lineRule="exact"/>
              <w:jc w:val="center"/>
              <w:rPr>
                <w:szCs w:val="21"/>
              </w:rPr>
            </w:pPr>
            <w:r>
              <w:rPr>
                <w:szCs w:val="21"/>
              </w:rPr>
              <w:t>达标排放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630" w:type="dxa"/>
            <w:vMerge w:val="continue"/>
            <w:noWrap w:val="0"/>
            <w:vAlign w:val="center"/>
          </w:tcPr>
          <w:p>
            <w:pPr>
              <w:spacing w:line="360" w:lineRule="exact"/>
              <w:jc w:val="center"/>
              <w:rPr>
                <w:szCs w:val="21"/>
              </w:rPr>
            </w:pPr>
          </w:p>
        </w:tc>
        <w:tc>
          <w:tcPr>
            <w:tcW w:w="1079" w:type="dxa"/>
            <w:vMerge w:val="continue"/>
            <w:noWrap w:val="0"/>
            <w:vAlign w:val="center"/>
          </w:tcPr>
          <w:p>
            <w:pPr>
              <w:spacing w:line="360" w:lineRule="exact"/>
              <w:jc w:val="center"/>
              <w:rPr>
                <w:szCs w:val="21"/>
              </w:rPr>
            </w:pPr>
          </w:p>
        </w:tc>
        <w:tc>
          <w:tcPr>
            <w:tcW w:w="735" w:type="dxa"/>
            <w:noWrap w:val="0"/>
            <w:vAlign w:val="center"/>
          </w:tcPr>
          <w:p>
            <w:pPr>
              <w:spacing w:line="360" w:lineRule="exact"/>
              <w:jc w:val="center"/>
              <w:rPr>
                <w:szCs w:val="21"/>
              </w:rPr>
            </w:pPr>
            <w:r>
              <w:rPr>
                <w:szCs w:val="21"/>
              </w:rPr>
              <w:t>S</w:t>
            </w:r>
            <w:r>
              <w:rPr>
                <w:szCs w:val="21"/>
                <w:vertAlign w:val="subscript"/>
              </w:rPr>
              <w:t>4</w:t>
            </w:r>
          </w:p>
        </w:tc>
        <w:tc>
          <w:tcPr>
            <w:tcW w:w="1492" w:type="dxa"/>
            <w:noWrap w:val="0"/>
            <w:vAlign w:val="center"/>
          </w:tcPr>
          <w:p>
            <w:pPr>
              <w:spacing w:line="360" w:lineRule="exact"/>
              <w:jc w:val="center"/>
              <w:rPr>
                <w:szCs w:val="21"/>
              </w:rPr>
            </w:pPr>
            <w:r>
              <w:rPr>
                <w:szCs w:val="21"/>
              </w:rPr>
              <w:t>沼渣</w:t>
            </w:r>
          </w:p>
        </w:tc>
        <w:tc>
          <w:tcPr>
            <w:tcW w:w="1417" w:type="dxa"/>
            <w:noWrap w:val="0"/>
            <w:vAlign w:val="center"/>
          </w:tcPr>
          <w:p>
            <w:pPr>
              <w:spacing w:line="360" w:lineRule="exact"/>
              <w:jc w:val="center"/>
              <w:rPr>
                <w:szCs w:val="21"/>
              </w:rPr>
            </w:pPr>
            <w:r>
              <w:rPr>
                <w:szCs w:val="21"/>
              </w:rPr>
              <w:t>/</w:t>
            </w:r>
          </w:p>
        </w:tc>
        <w:tc>
          <w:tcPr>
            <w:tcW w:w="3635" w:type="dxa"/>
            <w:noWrap w:val="0"/>
            <w:vAlign w:val="center"/>
          </w:tcPr>
          <w:p>
            <w:pPr>
              <w:spacing w:line="360" w:lineRule="exact"/>
              <w:jc w:val="center"/>
              <w:rPr>
                <w:szCs w:val="21"/>
              </w:rPr>
            </w:pPr>
            <w:r>
              <w:rPr>
                <w:szCs w:val="21"/>
              </w:rPr>
              <w:t>固粪堆存区暂存后外售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30" w:type="dxa"/>
            <w:vMerge w:val="continue"/>
            <w:noWrap w:val="0"/>
            <w:vAlign w:val="center"/>
          </w:tcPr>
          <w:p>
            <w:pPr>
              <w:spacing w:line="360" w:lineRule="exact"/>
              <w:jc w:val="center"/>
              <w:rPr>
                <w:szCs w:val="21"/>
              </w:rPr>
            </w:pPr>
          </w:p>
        </w:tc>
        <w:tc>
          <w:tcPr>
            <w:tcW w:w="1079" w:type="dxa"/>
            <w:vMerge w:val="restart"/>
            <w:noWrap w:val="0"/>
            <w:vAlign w:val="center"/>
          </w:tcPr>
          <w:p>
            <w:pPr>
              <w:spacing w:line="360" w:lineRule="exact"/>
              <w:jc w:val="center"/>
              <w:rPr>
                <w:szCs w:val="21"/>
              </w:rPr>
            </w:pPr>
            <w:r>
              <w:rPr>
                <w:szCs w:val="21"/>
              </w:rPr>
              <w:t>堆肥区</w:t>
            </w:r>
          </w:p>
        </w:tc>
        <w:tc>
          <w:tcPr>
            <w:tcW w:w="735" w:type="dxa"/>
            <w:noWrap w:val="0"/>
            <w:vAlign w:val="center"/>
          </w:tcPr>
          <w:p>
            <w:pPr>
              <w:spacing w:line="360" w:lineRule="exact"/>
              <w:jc w:val="center"/>
              <w:rPr>
                <w:szCs w:val="21"/>
              </w:rPr>
            </w:pPr>
            <w:r>
              <w:rPr>
                <w:szCs w:val="21"/>
              </w:rPr>
              <w:t>G</w:t>
            </w:r>
            <w:r>
              <w:rPr>
                <w:szCs w:val="21"/>
                <w:vertAlign w:val="subscript"/>
              </w:rPr>
              <w:t>3</w:t>
            </w:r>
          </w:p>
        </w:tc>
        <w:tc>
          <w:tcPr>
            <w:tcW w:w="1492" w:type="dxa"/>
            <w:noWrap w:val="0"/>
            <w:vAlign w:val="center"/>
          </w:tcPr>
          <w:p>
            <w:pPr>
              <w:spacing w:line="360" w:lineRule="exact"/>
              <w:jc w:val="center"/>
              <w:rPr>
                <w:szCs w:val="21"/>
              </w:rPr>
            </w:pPr>
            <w:r>
              <w:rPr>
                <w:szCs w:val="21"/>
              </w:rPr>
              <w:t>恶臭</w:t>
            </w:r>
          </w:p>
        </w:tc>
        <w:tc>
          <w:tcPr>
            <w:tcW w:w="1417" w:type="dxa"/>
            <w:noWrap w:val="0"/>
            <w:vAlign w:val="center"/>
          </w:tcPr>
          <w:p>
            <w:pPr>
              <w:spacing w:line="360" w:lineRule="exact"/>
              <w:jc w:val="center"/>
              <w:rPr>
                <w:szCs w:val="21"/>
              </w:rPr>
            </w:pPr>
            <w:r>
              <w:rPr>
                <w:szCs w:val="21"/>
              </w:rPr>
              <w:t>H</w:t>
            </w:r>
            <w:r>
              <w:rPr>
                <w:szCs w:val="21"/>
                <w:vertAlign w:val="subscript"/>
              </w:rPr>
              <w:t>2</w:t>
            </w:r>
            <w:r>
              <w:rPr>
                <w:szCs w:val="21"/>
              </w:rPr>
              <w:t>S、NH</w:t>
            </w:r>
            <w:r>
              <w:rPr>
                <w:szCs w:val="21"/>
                <w:vertAlign w:val="subscript"/>
              </w:rPr>
              <w:t>3</w:t>
            </w:r>
          </w:p>
        </w:tc>
        <w:tc>
          <w:tcPr>
            <w:tcW w:w="3635" w:type="dxa"/>
            <w:noWrap w:val="0"/>
            <w:vAlign w:val="center"/>
          </w:tcPr>
          <w:p>
            <w:pPr>
              <w:spacing w:line="360" w:lineRule="exact"/>
              <w:jc w:val="center"/>
              <w:rPr>
                <w:szCs w:val="21"/>
              </w:rPr>
            </w:pPr>
            <w:r>
              <w:rPr>
                <w:szCs w:val="21"/>
              </w:rPr>
              <w:t>达标排放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630" w:type="dxa"/>
            <w:vMerge w:val="continue"/>
            <w:noWrap w:val="0"/>
            <w:vAlign w:val="center"/>
          </w:tcPr>
          <w:p>
            <w:pPr>
              <w:spacing w:line="360" w:lineRule="exact"/>
              <w:jc w:val="center"/>
              <w:rPr>
                <w:szCs w:val="21"/>
              </w:rPr>
            </w:pPr>
          </w:p>
        </w:tc>
        <w:tc>
          <w:tcPr>
            <w:tcW w:w="1079" w:type="dxa"/>
            <w:vMerge w:val="continue"/>
            <w:noWrap w:val="0"/>
            <w:vAlign w:val="center"/>
          </w:tcPr>
          <w:p>
            <w:pPr>
              <w:spacing w:line="360" w:lineRule="exact"/>
              <w:jc w:val="center"/>
              <w:rPr>
                <w:szCs w:val="21"/>
              </w:rPr>
            </w:pPr>
          </w:p>
        </w:tc>
        <w:tc>
          <w:tcPr>
            <w:tcW w:w="735" w:type="dxa"/>
            <w:noWrap w:val="0"/>
            <w:vAlign w:val="center"/>
          </w:tcPr>
          <w:p>
            <w:pPr>
              <w:spacing w:line="360" w:lineRule="exact"/>
              <w:jc w:val="center"/>
              <w:rPr>
                <w:szCs w:val="21"/>
              </w:rPr>
            </w:pPr>
            <w:r>
              <w:rPr>
                <w:szCs w:val="21"/>
              </w:rPr>
              <w:t>Z4</w:t>
            </w:r>
          </w:p>
        </w:tc>
        <w:tc>
          <w:tcPr>
            <w:tcW w:w="1492" w:type="dxa"/>
            <w:noWrap w:val="0"/>
            <w:vAlign w:val="center"/>
          </w:tcPr>
          <w:p>
            <w:pPr>
              <w:spacing w:line="360" w:lineRule="exact"/>
              <w:jc w:val="center"/>
              <w:rPr>
                <w:szCs w:val="21"/>
              </w:rPr>
            </w:pPr>
            <w:r>
              <w:rPr>
                <w:szCs w:val="21"/>
              </w:rPr>
              <w:t>机械噪声</w:t>
            </w:r>
          </w:p>
        </w:tc>
        <w:tc>
          <w:tcPr>
            <w:tcW w:w="1417" w:type="dxa"/>
            <w:noWrap w:val="0"/>
            <w:vAlign w:val="center"/>
          </w:tcPr>
          <w:p>
            <w:pPr>
              <w:spacing w:line="360" w:lineRule="exact"/>
              <w:jc w:val="center"/>
              <w:rPr>
                <w:szCs w:val="21"/>
              </w:rPr>
            </w:pPr>
            <w:r>
              <w:rPr>
                <w:szCs w:val="21"/>
              </w:rPr>
              <w:t>/</w:t>
            </w:r>
          </w:p>
        </w:tc>
        <w:tc>
          <w:tcPr>
            <w:tcW w:w="3635" w:type="dxa"/>
            <w:noWrap w:val="0"/>
            <w:vAlign w:val="center"/>
          </w:tcPr>
          <w:p>
            <w:pPr>
              <w:spacing w:line="360" w:lineRule="exact"/>
              <w:jc w:val="center"/>
              <w:rPr>
                <w:szCs w:val="21"/>
              </w:rPr>
            </w:pPr>
            <w:r>
              <w:rPr>
                <w:szCs w:val="21"/>
              </w:rPr>
              <w:t>达标排放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709" w:type="dxa"/>
            <w:gridSpan w:val="2"/>
            <w:vMerge w:val="restart"/>
            <w:noWrap w:val="0"/>
            <w:vAlign w:val="center"/>
          </w:tcPr>
          <w:p>
            <w:pPr>
              <w:spacing w:line="360" w:lineRule="exact"/>
              <w:jc w:val="center"/>
              <w:rPr>
                <w:szCs w:val="21"/>
              </w:rPr>
            </w:pPr>
            <w:r>
              <w:rPr>
                <w:szCs w:val="21"/>
              </w:rPr>
              <w:t>职工生活</w:t>
            </w:r>
          </w:p>
        </w:tc>
        <w:tc>
          <w:tcPr>
            <w:tcW w:w="735" w:type="dxa"/>
            <w:noWrap w:val="0"/>
            <w:vAlign w:val="center"/>
          </w:tcPr>
          <w:p>
            <w:pPr>
              <w:spacing w:line="360" w:lineRule="exact"/>
              <w:jc w:val="center"/>
              <w:rPr>
                <w:szCs w:val="21"/>
              </w:rPr>
            </w:pPr>
            <w:r>
              <w:rPr>
                <w:szCs w:val="21"/>
              </w:rPr>
              <w:t>G</w:t>
            </w:r>
            <w:r>
              <w:rPr>
                <w:szCs w:val="21"/>
                <w:vertAlign w:val="subscript"/>
              </w:rPr>
              <w:t>4</w:t>
            </w:r>
          </w:p>
        </w:tc>
        <w:tc>
          <w:tcPr>
            <w:tcW w:w="1492" w:type="dxa"/>
            <w:noWrap w:val="0"/>
            <w:vAlign w:val="center"/>
          </w:tcPr>
          <w:p>
            <w:pPr>
              <w:spacing w:line="360" w:lineRule="exact"/>
              <w:jc w:val="center"/>
              <w:rPr>
                <w:szCs w:val="21"/>
              </w:rPr>
            </w:pPr>
            <w:r>
              <w:rPr>
                <w:szCs w:val="21"/>
              </w:rPr>
              <w:t>食堂</w:t>
            </w:r>
          </w:p>
        </w:tc>
        <w:tc>
          <w:tcPr>
            <w:tcW w:w="1417" w:type="dxa"/>
            <w:noWrap w:val="0"/>
            <w:vAlign w:val="center"/>
          </w:tcPr>
          <w:p>
            <w:pPr>
              <w:spacing w:line="360" w:lineRule="exact"/>
              <w:jc w:val="center"/>
              <w:rPr>
                <w:szCs w:val="21"/>
              </w:rPr>
            </w:pPr>
            <w:r>
              <w:rPr>
                <w:szCs w:val="21"/>
              </w:rPr>
              <w:t>油烟</w:t>
            </w:r>
          </w:p>
        </w:tc>
        <w:tc>
          <w:tcPr>
            <w:tcW w:w="3635" w:type="dxa"/>
            <w:noWrap w:val="0"/>
            <w:vAlign w:val="center"/>
          </w:tcPr>
          <w:p>
            <w:pPr>
              <w:spacing w:line="360" w:lineRule="exact"/>
              <w:jc w:val="center"/>
              <w:rPr>
                <w:szCs w:val="21"/>
              </w:rPr>
            </w:pPr>
            <w:r>
              <w:rPr>
                <w:szCs w:val="21"/>
              </w:rPr>
              <w:t>达标排放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1709" w:type="dxa"/>
            <w:gridSpan w:val="2"/>
            <w:vMerge w:val="continue"/>
            <w:noWrap w:val="0"/>
            <w:vAlign w:val="center"/>
          </w:tcPr>
          <w:p>
            <w:pPr>
              <w:spacing w:line="360" w:lineRule="exact"/>
              <w:jc w:val="center"/>
              <w:rPr>
                <w:szCs w:val="21"/>
              </w:rPr>
            </w:pPr>
          </w:p>
        </w:tc>
        <w:tc>
          <w:tcPr>
            <w:tcW w:w="735" w:type="dxa"/>
            <w:noWrap w:val="0"/>
            <w:vAlign w:val="center"/>
          </w:tcPr>
          <w:p>
            <w:pPr>
              <w:spacing w:line="360" w:lineRule="exact"/>
              <w:jc w:val="center"/>
              <w:rPr>
                <w:szCs w:val="21"/>
              </w:rPr>
            </w:pPr>
            <w:r>
              <w:rPr>
                <w:szCs w:val="21"/>
              </w:rPr>
              <w:t>G</w:t>
            </w:r>
            <w:r>
              <w:rPr>
                <w:szCs w:val="21"/>
                <w:vertAlign w:val="subscript"/>
              </w:rPr>
              <w:t>5</w:t>
            </w:r>
          </w:p>
        </w:tc>
        <w:tc>
          <w:tcPr>
            <w:tcW w:w="1492" w:type="dxa"/>
            <w:noWrap w:val="0"/>
            <w:vAlign w:val="center"/>
          </w:tcPr>
          <w:p>
            <w:pPr>
              <w:spacing w:line="360" w:lineRule="exact"/>
              <w:jc w:val="center"/>
              <w:rPr>
                <w:szCs w:val="21"/>
              </w:rPr>
            </w:pPr>
            <w:r>
              <w:rPr>
                <w:szCs w:val="21"/>
              </w:rPr>
              <w:t>沼气燃烧</w:t>
            </w:r>
          </w:p>
        </w:tc>
        <w:tc>
          <w:tcPr>
            <w:tcW w:w="1417" w:type="dxa"/>
            <w:noWrap w:val="0"/>
            <w:vAlign w:val="center"/>
          </w:tcPr>
          <w:p>
            <w:pPr>
              <w:spacing w:line="360" w:lineRule="exact"/>
              <w:jc w:val="center"/>
              <w:rPr>
                <w:szCs w:val="21"/>
              </w:rPr>
            </w:pPr>
            <w:r>
              <w:rPr>
                <w:szCs w:val="21"/>
              </w:rPr>
              <w:t>SO</w:t>
            </w:r>
            <w:r>
              <w:rPr>
                <w:szCs w:val="21"/>
                <w:vertAlign w:val="subscript"/>
              </w:rPr>
              <w:t>2</w:t>
            </w:r>
            <w:r>
              <w:rPr>
                <w:szCs w:val="21"/>
              </w:rPr>
              <w:t>、NOx</w:t>
            </w:r>
          </w:p>
        </w:tc>
        <w:tc>
          <w:tcPr>
            <w:tcW w:w="3635" w:type="dxa"/>
            <w:noWrap w:val="0"/>
            <w:vAlign w:val="center"/>
          </w:tcPr>
          <w:p>
            <w:pPr>
              <w:spacing w:line="360" w:lineRule="exact"/>
              <w:jc w:val="center"/>
              <w:rPr>
                <w:szCs w:val="21"/>
              </w:rPr>
            </w:pPr>
            <w:r>
              <w:rPr>
                <w:szCs w:val="21"/>
              </w:rPr>
              <w:t>达标排放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1709" w:type="dxa"/>
            <w:gridSpan w:val="2"/>
            <w:vMerge w:val="continue"/>
            <w:noWrap w:val="0"/>
            <w:vAlign w:val="center"/>
          </w:tcPr>
          <w:p>
            <w:pPr>
              <w:spacing w:line="360" w:lineRule="exact"/>
              <w:jc w:val="center"/>
              <w:rPr>
                <w:szCs w:val="21"/>
              </w:rPr>
            </w:pPr>
          </w:p>
        </w:tc>
        <w:tc>
          <w:tcPr>
            <w:tcW w:w="735" w:type="dxa"/>
            <w:noWrap w:val="0"/>
            <w:vAlign w:val="center"/>
          </w:tcPr>
          <w:p>
            <w:pPr>
              <w:spacing w:line="360" w:lineRule="exact"/>
              <w:jc w:val="center"/>
              <w:rPr>
                <w:szCs w:val="21"/>
              </w:rPr>
            </w:pPr>
            <w:r>
              <w:rPr>
                <w:szCs w:val="21"/>
              </w:rPr>
              <w:t>W</w:t>
            </w:r>
            <w:r>
              <w:rPr>
                <w:szCs w:val="21"/>
                <w:vertAlign w:val="subscript"/>
              </w:rPr>
              <w:t>3</w:t>
            </w:r>
          </w:p>
        </w:tc>
        <w:tc>
          <w:tcPr>
            <w:tcW w:w="1492" w:type="dxa"/>
            <w:noWrap w:val="0"/>
            <w:vAlign w:val="center"/>
          </w:tcPr>
          <w:p>
            <w:pPr>
              <w:spacing w:line="360" w:lineRule="exact"/>
              <w:jc w:val="center"/>
              <w:rPr>
                <w:szCs w:val="21"/>
              </w:rPr>
            </w:pPr>
            <w:r>
              <w:rPr>
                <w:szCs w:val="21"/>
              </w:rPr>
              <w:t>生活污水</w:t>
            </w:r>
          </w:p>
        </w:tc>
        <w:tc>
          <w:tcPr>
            <w:tcW w:w="1417" w:type="dxa"/>
            <w:noWrap w:val="0"/>
            <w:vAlign w:val="center"/>
          </w:tcPr>
          <w:p>
            <w:pPr>
              <w:spacing w:line="360" w:lineRule="exact"/>
              <w:jc w:val="center"/>
              <w:rPr>
                <w:szCs w:val="21"/>
              </w:rPr>
            </w:pPr>
            <w:r>
              <w:rPr>
                <w:szCs w:val="21"/>
              </w:rPr>
              <w:t>COD、BOD</w:t>
            </w:r>
            <w:r>
              <w:rPr>
                <w:szCs w:val="21"/>
                <w:vertAlign w:val="subscript"/>
              </w:rPr>
              <w:t>5</w:t>
            </w:r>
            <w:r>
              <w:rPr>
                <w:szCs w:val="21"/>
              </w:rPr>
              <w:t>、NH</w:t>
            </w:r>
            <w:r>
              <w:rPr>
                <w:szCs w:val="21"/>
                <w:vertAlign w:val="subscript"/>
              </w:rPr>
              <w:t>3</w:t>
            </w:r>
            <w:r>
              <w:rPr>
                <w:szCs w:val="21"/>
              </w:rPr>
              <w:t>-N</w:t>
            </w:r>
          </w:p>
        </w:tc>
        <w:tc>
          <w:tcPr>
            <w:tcW w:w="3635" w:type="dxa"/>
            <w:noWrap w:val="0"/>
            <w:vAlign w:val="center"/>
          </w:tcPr>
          <w:p>
            <w:pPr>
              <w:spacing w:line="360" w:lineRule="exact"/>
              <w:jc w:val="center"/>
              <w:rPr>
                <w:szCs w:val="21"/>
              </w:rPr>
            </w:pPr>
            <w:r>
              <w:rPr>
                <w:szCs w:val="21"/>
              </w:rPr>
              <w:t>经处理后作液体肥还田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1709" w:type="dxa"/>
            <w:gridSpan w:val="2"/>
            <w:vMerge w:val="continue"/>
            <w:noWrap w:val="0"/>
            <w:vAlign w:val="center"/>
          </w:tcPr>
          <w:p>
            <w:pPr>
              <w:spacing w:line="360" w:lineRule="exact"/>
              <w:jc w:val="center"/>
              <w:rPr>
                <w:szCs w:val="21"/>
              </w:rPr>
            </w:pPr>
          </w:p>
        </w:tc>
        <w:tc>
          <w:tcPr>
            <w:tcW w:w="735" w:type="dxa"/>
            <w:noWrap w:val="0"/>
            <w:vAlign w:val="center"/>
          </w:tcPr>
          <w:p>
            <w:pPr>
              <w:spacing w:line="360" w:lineRule="exact"/>
              <w:jc w:val="center"/>
              <w:rPr>
                <w:szCs w:val="21"/>
              </w:rPr>
            </w:pPr>
            <w:r>
              <w:rPr>
                <w:szCs w:val="21"/>
              </w:rPr>
              <w:t>S</w:t>
            </w:r>
            <w:r>
              <w:rPr>
                <w:szCs w:val="21"/>
                <w:vertAlign w:val="subscript"/>
              </w:rPr>
              <w:t>5</w:t>
            </w:r>
          </w:p>
        </w:tc>
        <w:tc>
          <w:tcPr>
            <w:tcW w:w="1492" w:type="dxa"/>
            <w:noWrap w:val="0"/>
            <w:vAlign w:val="center"/>
          </w:tcPr>
          <w:p>
            <w:pPr>
              <w:spacing w:line="360" w:lineRule="exact"/>
              <w:jc w:val="center"/>
              <w:rPr>
                <w:szCs w:val="21"/>
              </w:rPr>
            </w:pPr>
            <w:r>
              <w:rPr>
                <w:szCs w:val="21"/>
              </w:rPr>
              <w:t>生活垃圾</w:t>
            </w:r>
          </w:p>
        </w:tc>
        <w:tc>
          <w:tcPr>
            <w:tcW w:w="1417" w:type="dxa"/>
            <w:noWrap w:val="0"/>
            <w:vAlign w:val="center"/>
          </w:tcPr>
          <w:p>
            <w:pPr>
              <w:spacing w:line="360" w:lineRule="exact"/>
              <w:jc w:val="center"/>
              <w:rPr>
                <w:szCs w:val="21"/>
              </w:rPr>
            </w:pPr>
            <w:r>
              <w:rPr>
                <w:szCs w:val="21"/>
              </w:rPr>
              <w:t>/</w:t>
            </w:r>
          </w:p>
        </w:tc>
        <w:tc>
          <w:tcPr>
            <w:tcW w:w="3635" w:type="dxa"/>
            <w:noWrap w:val="0"/>
            <w:vAlign w:val="center"/>
          </w:tcPr>
          <w:p>
            <w:pPr>
              <w:spacing w:line="360" w:lineRule="exact"/>
              <w:jc w:val="center"/>
              <w:rPr>
                <w:szCs w:val="21"/>
              </w:rPr>
            </w:pPr>
            <w:r>
              <w:rPr>
                <w:szCs w:val="21"/>
              </w:rPr>
              <w:t>送环卫部门处理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1709" w:type="dxa"/>
            <w:gridSpan w:val="2"/>
            <w:noWrap w:val="0"/>
            <w:vAlign w:val="center"/>
          </w:tcPr>
          <w:p>
            <w:pPr>
              <w:spacing w:line="360" w:lineRule="exact"/>
              <w:jc w:val="center"/>
              <w:rPr>
                <w:szCs w:val="21"/>
              </w:rPr>
            </w:pPr>
            <w:r>
              <w:rPr>
                <w:szCs w:val="21"/>
              </w:rPr>
              <w:t>沼气脱硫装置</w:t>
            </w:r>
          </w:p>
        </w:tc>
        <w:tc>
          <w:tcPr>
            <w:tcW w:w="735" w:type="dxa"/>
            <w:noWrap w:val="0"/>
            <w:vAlign w:val="center"/>
          </w:tcPr>
          <w:p>
            <w:pPr>
              <w:spacing w:line="360" w:lineRule="exact"/>
              <w:jc w:val="center"/>
              <w:rPr>
                <w:szCs w:val="21"/>
              </w:rPr>
            </w:pPr>
            <w:r>
              <w:rPr>
                <w:szCs w:val="21"/>
              </w:rPr>
              <w:t>S</w:t>
            </w:r>
            <w:r>
              <w:rPr>
                <w:szCs w:val="21"/>
                <w:vertAlign w:val="subscript"/>
              </w:rPr>
              <w:t>6</w:t>
            </w:r>
          </w:p>
        </w:tc>
        <w:tc>
          <w:tcPr>
            <w:tcW w:w="1492" w:type="dxa"/>
            <w:noWrap w:val="0"/>
            <w:vAlign w:val="center"/>
          </w:tcPr>
          <w:p>
            <w:pPr>
              <w:spacing w:line="360" w:lineRule="exact"/>
              <w:jc w:val="center"/>
              <w:rPr>
                <w:szCs w:val="21"/>
              </w:rPr>
            </w:pPr>
            <w:r>
              <w:rPr>
                <w:szCs w:val="21"/>
              </w:rPr>
              <w:t>废脱硫剂</w:t>
            </w:r>
          </w:p>
        </w:tc>
        <w:tc>
          <w:tcPr>
            <w:tcW w:w="1417" w:type="dxa"/>
            <w:noWrap w:val="0"/>
            <w:vAlign w:val="center"/>
          </w:tcPr>
          <w:p>
            <w:pPr>
              <w:spacing w:line="360" w:lineRule="exact"/>
              <w:jc w:val="center"/>
              <w:rPr>
                <w:szCs w:val="21"/>
              </w:rPr>
            </w:pPr>
            <w:r>
              <w:rPr>
                <w:szCs w:val="21"/>
              </w:rPr>
              <w:t>/</w:t>
            </w:r>
          </w:p>
        </w:tc>
        <w:tc>
          <w:tcPr>
            <w:tcW w:w="3635" w:type="dxa"/>
            <w:noWrap w:val="0"/>
            <w:vAlign w:val="center"/>
          </w:tcPr>
          <w:p>
            <w:pPr>
              <w:spacing w:line="360" w:lineRule="exact"/>
              <w:jc w:val="center"/>
              <w:rPr>
                <w:szCs w:val="21"/>
              </w:rPr>
            </w:pPr>
            <w:r>
              <w:rPr>
                <w:szCs w:val="21"/>
              </w:rPr>
              <w:t>生产厂家统一回收处置</w:t>
            </w:r>
          </w:p>
        </w:tc>
      </w:tr>
    </w:tbl>
    <w:p>
      <w:pPr>
        <w:adjustRightInd w:val="0"/>
        <w:snapToGrid w:val="0"/>
        <w:jc w:val="center"/>
      </w:pPr>
    </w:p>
    <w:p>
      <w:pPr>
        <w:adjustRightInd w:val="0"/>
        <w:snapToGrid w:val="0"/>
        <w:jc w:val="center"/>
        <w:rPr>
          <w:sz w:val="24"/>
        </w:rPr>
      </w:pPr>
    </w:p>
    <w:p>
      <w:pPr>
        <w:adjustRightInd w:val="0"/>
        <w:snapToGrid w:val="0"/>
        <w:jc w:val="center"/>
        <w:rPr>
          <w:sz w:val="24"/>
        </w:rPr>
      </w:pPr>
    </w:p>
    <w:p>
      <w:pPr>
        <w:adjustRightInd w:val="0"/>
        <w:snapToGrid w:val="0"/>
        <w:jc w:val="center"/>
        <w:rPr>
          <w:sz w:val="24"/>
        </w:rPr>
      </w:pPr>
    </w:p>
    <w:p>
      <w:pPr>
        <w:adjustRightInd w:val="0"/>
        <w:snapToGrid w:val="0"/>
        <w:jc w:val="center"/>
        <w:rPr>
          <w:sz w:val="24"/>
        </w:rPr>
      </w:pPr>
    </w:p>
    <w:p>
      <w:pPr>
        <w:adjustRightInd w:val="0"/>
        <w:snapToGrid w:val="0"/>
        <w:jc w:val="center"/>
        <w:rPr>
          <w:sz w:val="24"/>
        </w:rPr>
      </w:pPr>
    </w:p>
    <w:p>
      <w:pPr>
        <w:adjustRightInd w:val="0"/>
        <w:snapToGrid w:val="0"/>
        <w:jc w:val="center"/>
        <w:rPr>
          <w:sz w:val="24"/>
        </w:rPr>
      </w:pPr>
    </w:p>
    <w:p>
      <w:pPr>
        <w:adjustRightInd w:val="0"/>
        <w:snapToGrid w:val="0"/>
        <w:jc w:val="center"/>
        <w:rPr>
          <w:sz w:val="24"/>
        </w:rPr>
      </w:pPr>
    </w:p>
    <w:p>
      <w:pPr>
        <w:adjustRightInd w:val="0"/>
        <w:snapToGrid w:val="0"/>
        <w:jc w:val="center"/>
        <w:rPr>
          <w:sz w:val="24"/>
        </w:rPr>
      </w:pPr>
    </w:p>
    <w:p>
      <w:pPr>
        <w:adjustRightInd w:val="0"/>
        <w:snapToGrid w:val="0"/>
        <w:jc w:val="center"/>
        <w:rPr>
          <w:sz w:val="24"/>
        </w:rPr>
      </w:pPr>
    </w:p>
    <w:p>
      <w:pPr>
        <w:adjustRightInd w:val="0"/>
        <w:snapToGrid w:val="0"/>
        <w:jc w:val="center"/>
        <w:rPr>
          <w:sz w:val="24"/>
        </w:rPr>
      </w:pPr>
    </w:p>
    <w:p>
      <w:pPr>
        <w:adjustRightInd w:val="0"/>
        <w:snapToGrid w:val="0"/>
        <w:jc w:val="center"/>
        <w:rPr>
          <w:sz w:val="24"/>
        </w:rPr>
      </w:pPr>
    </w:p>
    <w:p>
      <w:pPr>
        <w:adjustRightInd w:val="0"/>
        <w:snapToGrid w:val="0"/>
        <w:jc w:val="center"/>
        <w:rPr>
          <w:sz w:val="24"/>
        </w:rPr>
      </w:pPr>
    </w:p>
    <w:p>
      <w:pPr>
        <w:adjustRightInd w:val="0"/>
        <w:snapToGrid w:val="0"/>
        <w:jc w:val="center"/>
        <w:rPr>
          <w:sz w:val="24"/>
        </w:rPr>
      </w:pPr>
    </w:p>
    <w:p>
      <w:pPr>
        <w:adjustRightInd w:val="0"/>
        <w:snapToGrid w:val="0"/>
        <w:jc w:val="center"/>
        <w:rPr>
          <w:sz w:val="24"/>
        </w:rPr>
      </w:pPr>
      <w:r>
        <w:drawing>
          <wp:inline distT="0" distB="0" distL="114300" distR="114300">
            <wp:extent cx="5539740" cy="4575175"/>
            <wp:effectExtent l="0" t="0" r="3810" b="15875"/>
            <wp:docPr id="6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0"/>
                    <pic:cNvPicPr>
                      <a:picLocks noChangeAspect="1"/>
                    </pic:cNvPicPr>
                  </pic:nvPicPr>
                  <pic:blipFill>
                    <a:blip r:embed="rId41"/>
                    <a:stretch>
                      <a:fillRect/>
                    </a:stretch>
                  </pic:blipFill>
                  <pic:spPr>
                    <a:xfrm>
                      <a:off x="0" y="0"/>
                      <a:ext cx="5539740" cy="4575175"/>
                    </a:xfrm>
                    <a:prstGeom prst="rect">
                      <a:avLst/>
                    </a:prstGeom>
                    <a:noFill/>
                    <a:ln>
                      <a:noFill/>
                    </a:ln>
                  </pic:spPr>
                </pic:pic>
              </a:graphicData>
            </a:graphic>
          </wp:inline>
        </w:drawing>
      </w:r>
    </w:p>
    <w:p>
      <w:pPr>
        <w:adjustRightInd w:val="0"/>
        <w:snapToGrid w:val="0"/>
        <w:jc w:val="center"/>
        <w:rPr>
          <w:sz w:val="24"/>
        </w:rPr>
      </w:pPr>
    </w:p>
    <w:p>
      <w:pPr>
        <w:adjustRightInd w:val="0"/>
        <w:snapToGrid w:val="0"/>
        <w:jc w:val="center"/>
        <w:rPr>
          <w:b/>
          <w:sz w:val="24"/>
        </w:rPr>
      </w:pPr>
      <w:r>
        <w:rPr>
          <w:b/>
          <w:sz w:val="24"/>
        </w:rPr>
        <w:t>图2.3-1            工程产排污环节分析图</w:t>
      </w:r>
    </w:p>
    <w:p>
      <w:pPr>
        <w:pStyle w:val="4"/>
        <w:numPr>
          <w:ilvl w:val="0"/>
          <w:numId w:val="0"/>
        </w:numPr>
        <w:spacing w:before="0" w:after="0" w:line="520" w:lineRule="exact"/>
        <w:rPr>
          <w:sz w:val="24"/>
          <w:szCs w:val="24"/>
        </w:rPr>
      </w:pPr>
      <w:r>
        <w:rPr>
          <w:sz w:val="24"/>
          <w:szCs w:val="24"/>
        </w:rPr>
        <w:t>2.3.2.1大气污染源</w:t>
      </w:r>
    </w:p>
    <w:p>
      <w:pPr>
        <w:spacing w:line="520" w:lineRule="exact"/>
        <w:ind w:firstLine="480" w:firstLineChars="200"/>
        <w:rPr>
          <w:sz w:val="24"/>
        </w:rPr>
      </w:pPr>
      <w:r>
        <w:rPr>
          <w:sz w:val="24"/>
        </w:rPr>
        <w:t>本项目产生的废气主要是养殖区恶臭、污水处理工程恶臭、</w:t>
      </w:r>
      <w:r>
        <w:rPr>
          <w:rFonts w:hint="eastAsia"/>
          <w:sz w:val="24"/>
        </w:rPr>
        <w:t>固粪堆存区</w:t>
      </w:r>
      <w:r>
        <w:rPr>
          <w:sz w:val="24"/>
        </w:rPr>
        <w:t>恶臭、沼气燃烧废气和生活区食堂油烟等。</w:t>
      </w:r>
    </w:p>
    <w:p>
      <w:pPr>
        <w:pStyle w:val="25"/>
        <w:spacing w:line="520" w:lineRule="exact"/>
        <w:ind w:firstLine="480"/>
      </w:pPr>
      <w:r>
        <w:t>（1）无组织排放恶臭气体</w:t>
      </w:r>
    </w:p>
    <w:p>
      <w:pPr>
        <w:pStyle w:val="25"/>
        <w:spacing w:line="520" w:lineRule="exact"/>
        <w:ind w:firstLine="480"/>
      </w:pPr>
      <w:r>
        <w:rPr>
          <w:rFonts w:hint="eastAsia" w:ascii="宋体" w:hAnsi="宋体" w:cs="宋体"/>
        </w:rPr>
        <w:t>①</w:t>
      </w:r>
      <w:r>
        <w:t>污染因素分析</w:t>
      </w:r>
    </w:p>
    <w:p>
      <w:pPr>
        <w:pStyle w:val="25"/>
        <w:spacing w:line="520" w:lineRule="exact"/>
        <w:ind w:firstLine="480"/>
      </w:pPr>
      <w:r>
        <w:t xml:space="preserve">恶臭主要来源为有机物腐败时所产生的氨气、动物有机体中蛋白质腐败时所产生的硫化氢等。 </w:t>
      </w:r>
    </w:p>
    <w:p>
      <w:pPr>
        <w:pStyle w:val="25"/>
        <w:spacing w:line="520" w:lineRule="exact"/>
        <w:ind w:firstLine="480"/>
      </w:pPr>
      <w:r>
        <w:t>猪舍中刚排泄出的粪尿中有氨、硫化氢等有害气体，在高温季节尤为明显。以上有害气体及生产中产生的尘埃、微生物排入大气，刺激人、畜呼吸道，可引起呼吸道疾病；恶臭气体使人产生不愉快的感觉，影响人的工作效率，也常引起猪只生产力下降。猪场排出的各种微生物以尘埃为载体，随风传播，可引起疫病蔓延，场区孳生大量蚊蝇也易传播疫病、污染环境。影响畜禽场恶臭产生的的主要原因是清粪方式、管理水平、粪便和污水处理程度，同时也与场址选择、场地规划和布局、畜舍设计、畜舍通风等有关。</w:t>
      </w:r>
    </w:p>
    <w:p>
      <w:pPr>
        <w:pStyle w:val="25"/>
        <w:spacing w:line="520" w:lineRule="exact"/>
        <w:ind w:firstLine="556" w:firstLineChars="232"/>
      </w:pPr>
      <w:r>
        <w:rPr>
          <w:rFonts w:hint="eastAsia" w:ascii="宋体" w:hAnsi="宋体" w:cs="宋体"/>
        </w:rPr>
        <w:t>②</w:t>
      </w:r>
      <w:r>
        <w:t>污染物源强确定</w:t>
      </w:r>
    </w:p>
    <w:p>
      <w:pPr>
        <w:adjustRightInd w:val="0"/>
        <w:snapToGrid w:val="0"/>
        <w:spacing w:line="520" w:lineRule="exact"/>
        <w:ind w:firstLine="480" w:firstLineChars="200"/>
        <w:rPr>
          <w:bCs/>
          <w:sz w:val="24"/>
          <w:szCs w:val="22"/>
        </w:rPr>
      </w:pPr>
      <w:r>
        <w:rPr>
          <w:bCs/>
          <w:sz w:val="24"/>
          <w:szCs w:val="22"/>
        </w:rPr>
        <w:t>本项目</w:t>
      </w:r>
      <w:r>
        <w:rPr>
          <w:rFonts w:hint="eastAsia"/>
          <w:bCs/>
          <w:sz w:val="24"/>
          <w:szCs w:val="22"/>
          <w:lang w:eastAsia="zh-CN"/>
        </w:rPr>
        <w:t>年出栏1.2万头</w:t>
      </w:r>
      <w:r>
        <w:rPr>
          <w:bCs/>
          <w:sz w:val="24"/>
          <w:szCs w:val="22"/>
        </w:rPr>
        <w:t>商品猪，采用干清粪工艺，本项目污染物源强类比其他生猪养殖建设项目</w:t>
      </w:r>
      <w:r>
        <w:rPr>
          <w:rFonts w:hint="eastAsia"/>
          <w:bCs/>
          <w:sz w:val="24"/>
          <w:szCs w:val="22"/>
        </w:rPr>
        <w:t>进行分析</w:t>
      </w:r>
      <w:r>
        <w:rPr>
          <w:bCs/>
          <w:sz w:val="24"/>
          <w:szCs w:val="22"/>
        </w:rPr>
        <w:t>。</w:t>
      </w:r>
    </w:p>
    <w:p>
      <w:pPr>
        <w:adjustRightInd w:val="0"/>
        <w:snapToGrid w:val="0"/>
        <w:spacing w:line="520" w:lineRule="exact"/>
        <w:ind w:firstLine="480" w:firstLineChars="200"/>
        <w:rPr>
          <w:sz w:val="24"/>
          <w:szCs w:val="22"/>
        </w:rPr>
      </w:pPr>
      <w:r>
        <w:rPr>
          <w:sz w:val="24"/>
          <w:szCs w:val="22"/>
        </w:rPr>
        <w:t>项目区内恶臭气体主要来自猪舍、沼气工程区域、</w:t>
      </w:r>
      <w:r>
        <w:rPr>
          <w:rFonts w:hint="eastAsia"/>
          <w:sz w:val="24"/>
          <w:szCs w:val="22"/>
        </w:rPr>
        <w:t>固粪堆存</w:t>
      </w:r>
      <w:r>
        <w:rPr>
          <w:sz w:val="24"/>
          <w:szCs w:val="22"/>
        </w:rPr>
        <w:t>区和沼液储存池等4个主要区域。</w:t>
      </w:r>
    </w:p>
    <w:p>
      <w:pPr>
        <w:spacing w:line="520" w:lineRule="exact"/>
        <w:ind w:firstLine="480" w:firstLineChars="200"/>
        <w:rPr>
          <w:sz w:val="24"/>
        </w:rPr>
      </w:pPr>
      <w:r>
        <w:rPr>
          <w:sz w:val="24"/>
        </w:rPr>
        <w:t>A、猪舍恶臭</w:t>
      </w:r>
    </w:p>
    <w:p>
      <w:pPr>
        <w:spacing w:line="520" w:lineRule="exact"/>
        <w:ind w:firstLine="480" w:firstLineChars="200"/>
        <w:rPr>
          <w:sz w:val="24"/>
        </w:rPr>
      </w:pPr>
      <w:bookmarkStart w:id="271" w:name="_Toc311979930"/>
      <w:bookmarkStart w:id="272" w:name="_Toc311979862"/>
      <w:bookmarkStart w:id="273" w:name="_Toc311979817"/>
      <w:bookmarkStart w:id="274" w:name="_Toc269400717"/>
      <w:r>
        <w:rPr>
          <w:sz w:val="24"/>
        </w:rPr>
        <w:t>养殖过程恶臭气体主要产生于猪舍内，为了有效核定出臭气中NH</w:t>
      </w:r>
      <w:r>
        <w:rPr>
          <w:sz w:val="24"/>
          <w:vertAlign w:val="subscript"/>
        </w:rPr>
        <w:t>3</w:t>
      </w:r>
      <w:r>
        <w:rPr>
          <w:sz w:val="24"/>
        </w:rPr>
        <w:t>、H</w:t>
      </w:r>
      <w:r>
        <w:rPr>
          <w:sz w:val="24"/>
          <w:vertAlign w:val="subscript"/>
        </w:rPr>
        <w:t>2</w:t>
      </w:r>
      <w:r>
        <w:rPr>
          <w:sz w:val="24"/>
        </w:rPr>
        <w:t>S产生情况，本次评价类比采用其他同类项目恶臭产生源强，育肥猪NH</w:t>
      </w:r>
      <w:r>
        <w:rPr>
          <w:sz w:val="24"/>
          <w:vertAlign w:val="subscript"/>
        </w:rPr>
        <w:t>3</w:t>
      </w:r>
      <w:r>
        <w:rPr>
          <w:sz w:val="24"/>
        </w:rPr>
        <w:t>产生源强为0.2g/头·d，H</w:t>
      </w:r>
      <w:r>
        <w:rPr>
          <w:sz w:val="24"/>
          <w:vertAlign w:val="subscript"/>
        </w:rPr>
        <w:t>2</w:t>
      </w:r>
      <w:r>
        <w:rPr>
          <w:sz w:val="24"/>
        </w:rPr>
        <w:t>S产生源强为0.017g/头·d，以上数据是在猪舍没有采取任何措施的情况下的产生量。</w:t>
      </w:r>
    </w:p>
    <w:p>
      <w:pPr>
        <w:tabs>
          <w:tab w:val="left" w:pos="900"/>
        </w:tabs>
        <w:spacing w:before="120" w:beforeLines="50"/>
        <w:jc w:val="center"/>
        <w:outlineLvl w:val="6"/>
        <w:rPr>
          <w:rFonts w:eastAsia="黑体"/>
          <w:bCs/>
          <w:sz w:val="24"/>
          <w:szCs w:val="22"/>
        </w:rPr>
      </w:pPr>
      <w:r>
        <w:rPr>
          <w:b/>
          <w:sz w:val="24"/>
        </w:rPr>
        <w:t xml:space="preserve">表2.3-3    </w:t>
      </w:r>
      <w:r>
        <w:rPr>
          <w:rFonts w:hint="eastAsia"/>
          <w:b/>
          <w:sz w:val="24"/>
          <w:lang w:val="en-US" w:eastAsia="zh-CN"/>
        </w:rPr>
        <w:t xml:space="preserve">   </w:t>
      </w:r>
      <w:r>
        <w:rPr>
          <w:b/>
          <w:sz w:val="24"/>
        </w:rPr>
        <w:t>项目养殖过程猪舍恶臭气体产生及排放情况一览表</w:t>
      </w:r>
      <w:bookmarkStart w:id="275" w:name="_Toc388881917"/>
      <w:bookmarkStart w:id="276" w:name="_Toc413166136"/>
      <w:bookmarkStart w:id="277" w:name="_Toc406847416"/>
      <w:bookmarkStart w:id="278" w:name="_Toc407001409"/>
    </w:p>
    <w:tbl>
      <w:tblPr>
        <w:tblStyle w:val="17"/>
        <w:tblW w:w="4973"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57" w:type="dxa"/>
          <w:bottom w:w="0" w:type="dxa"/>
          <w:right w:w="57" w:type="dxa"/>
        </w:tblCellMar>
      </w:tblPr>
      <w:tblGrid>
        <w:gridCol w:w="905"/>
        <w:gridCol w:w="811"/>
        <w:gridCol w:w="799"/>
        <w:gridCol w:w="4617"/>
        <w:gridCol w:w="804"/>
        <w:gridCol w:w="8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17" w:type="pct"/>
            <w:vMerge w:val="restart"/>
            <w:noWrap w:val="0"/>
            <w:vAlign w:val="center"/>
          </w:tcPr>
          <w:p>
            <w:pPr>
              <w:adjustRightInd w:val="0"/>
              <w:snapToGrid w:val="0"/>
              <w:jc w:val="center"/>
              <w:rPr>
                <w:szCs w:val="21"/>
              </w:rPr>
            </w:pPr>
            <w:r>
              <w:rPr>
                <w:b/>
                <w:szCs w:val="21"/>
              </w:rPr>
              <w:t>存栏数(头)</w:t>
            </w:r>
          </w:p>
        </w:tc>
        <w:tc>
          <w:tcPr>
            <w:tcW w:w="919" w:type="pct"/>
            <w:gridSpan w:val="2"/>
            <w:noWrap w:val="0"/>
            <w:tcMar>
              <w:left w:w="0" w:type="dxa"/>
              <w:right w:w="0" w:type="dxa"/>
            </w:tcMar>
            <w:vAlign w:val="center"/>
          </w:tcPr>
          <w:p>
            <w:pPr>
              <w:adjustRightInd w:val="0"/>
              <w:snapToGrid w:val="0"/>
              <w:jc w:val="center"/>
              <w:rPr>
                <w:b/>
                <w:szCs w:val="21"/>
              </w:rPr>
            </w:pPr>
            <w:r>
              <w:rPr>
                <w:b/>
                <w:szCs w:val="21"/>
              </w:rPr>
              <w:t>污染物产生量（t/a）</w:t>
            </w:r>
          </w:p>
        </w:tc>
        <w:tc>
          <w:tcPr>
            <w:tcW w:w="2636" w:type="pct"/>
            <w:vMerge w:val="restart"/>
            <w:noWrap w:val="0"/>
            <w:tcMar>
              <w:left w:w="0" w:type="dxa"/>
              <w:right w:w="0" w:type="dxa"/>
            </w:tcMar>
            <w:vAlign w:val="center"/>
          </w:tcPr>
          <w:p>
            <w:pPr>
              <w:adjustRightInd w:val="0"/>
              <w:snapToGrid w:val="0"/>
              <w:jc w:val="center"/>
              <w:rPr>
                <w:b/>
                <w:szCs w:val="21"/>
              </w:rPr>
            </w:pPr>
            <w:r>
              <w:rPr>
                <w:b/>
                <w:szCs w:val="21"/>
              </w:rPr>
              <w:t>拟处理措施</w:t>
            </w:r>
          </w:p>
        </w:tc>
        <w:tc>
          <w:tcPr>
            <w:tcW w:w="927" w:type="pct"/>
            <w:gridSpan w:val="2"/>
            <w:noWrap w:val="0"/>
            <w:tcMar>
              <w:left w:w="0" w:type="dxa"/>
              <w:right w:w="0" w:type="dxa"/>
            </w:tcMar>
            <w:vAlign w:val="center"/>
          </w:tcPr>
          <w:p>
            <w:pPr>
              <w:adjustRightInd w:val="0"/>
              <w:snapToGrid w:val="0"/>
              <w:jc w:val="center"/>
              <w:rPr>
                <w:b/>
                <w:szCs w:val="21"/>
              </w:rPr>
            </w:pPr>
            <w:r>
              <w:rPr>
                <w:b/>
                <w:szCs w:val="21"/>
              </w:rPr>
              <w:t>污染物排放量（t/a）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17" w:type="pct"/>
            <w:vMerge w:val="continue"/>
            <w:noWrap w:val="0"/>
            <w:vAlign w:val="center"/>
          </w:tcPr>
          <w:p>
            <w:pPr>
              <w:adjustRightInd w:val="0"/>
              <w:snapToGrid w:val="0"/>
              <w:jc w:val="center"/>
              <w:rPr>
                <w:b/>
                <w:szCs w:val="21"/>
              </w:rPr>
            </w:pPr>
          </w:p>
        </w:tc>
        <w:tc>
          <w:tcPr>
            <w:tcW w:w="463" w:type="pct"/>
            <w:noWrap w:val="0"/>
            <w:tcMar>
              <w:left w:w="0" w:type="dxa"/>
              <w:right w:w="0" w:type="dxa"/>
            </w:tcMar>
            <w:vAlign w:val="center"/>
          </w:tcPr>
          <w:p>
            <w:pPr>
              <w:adjustRightInd w:val="0"/>
              <w:snapToGrid w:val="0"/>
              <w:jc w:val="center"/>
              <w:rPr>
                <w:b/>
                <w:szCs w:val="21"/>
              </w:rPr>
            </w:pPr>
            <w:r>
              <w:rPr>
                <w:b/>
                <w:szCs w:val="21"/>
              </w:rPr>
              <w:t>NH</w:t>
            </w:r>
            <w:r>
              <w:rPr>
                <w:b/>
                <w:szCs w:val="21"/>
                <w:vertAlign w:val="subscript"/>
              </w:rPr>
              <w:t>3</w:t>
            </w:r>
          </w:p>
        </w:tc>
        <w:tc>
          <w:tcPr>
            <w:tcW w:w="456" w:type="pct"/>
            <w:noWrap w:val="0"/>
            <w:tcMar>
              <w:left w:w="0" w:type="dxa"/>
              <w:right w:w="0" w:type="dxa"/>
            </w:tcMar>
            <w:vAlign w:val="center"/>
          </w:tcPr>
          <w:p>
            <w:pPr>
              <w:adjustRightInd w:val="0"/>
              <w:snapToGrid w:val="0"/>
              <w:jc w:val="center"/>
              <w:rPr>
                <w:b/>
                <w:szCs w:val="21"/>
              </w:rPr>
            </w:pPr>
            <w:r>
              <w:rPr>
                <w:b/>
                <w:szCs w:val="21"/>
              </w:rPr>
              <w:t>H</w:t>
            </w:r>
            <w:r>
              <w:rPr>
                <w:b/>
                <w:szCs w:val="21"/>
                <w:vertAlign w:val="subscript"/>
              </w:rPr>
              <w:t>2</w:t>
            </w:r>
            <w:r>
              <w:rPr>
                <w:b/>
                <w:szCs w:val="21"/>
              </w:rPr>
              <w:t>S</w:t>
            </w:r>
          </w:p>
        </w:tc>
        <w:tc>
          <w:tcPr>
            <w:tcW w:w="2636" w:type="pct"/>
            <w:vMerge w:val="continue"/>
            <w:noWrap w:val="0"/>
            <w:tcMar>
              <w:left w:w="0" w:type="dxa"/>
              <w:right w:w="0" w:type="dxa"/>
            </w:tcMar>
            <w:vAlign w:val="center"/>
          </w:tcPr>
          <w:p>
            <w:pPr>
              <w:adjustRightInd w:val="0"/>
              <w:snapToGrid w:val="0"/>
              <w:jc w:val="center"/>
              <w:rPr>
                <w:b/>
                <w:szCs w:val="21"/>
              </w:rPr>
            </w:pPr>
          </w:p>
        </w:tc>
        <w:tc>
          <w:tcPr>
            <w:tcW w:w="459" w:type="pct"/>
            <w:noWrap w:val="0"/>
            <w:tcMar>
              <w:left w:w="0" w:type="dxa"/>
              <w:right w:w="0" w:type="dxa"/>
            </w:tcMar>
            <w:vAlign w:val="center"/>
          </w:tcPr>
          <w:p>
            <w:pPr>
              <w:adjustRightInd w:val="0"/>
              <w:snapToGrid w:val="0"/>
              <w:jc w:val="center"/>
              <w:rPr>
                <w:b/>
                <w:szCs w:val="21"/>
              </w:rPr>
            </w:pPr>
            <w:r>
              <w:rPr>
                <w:b/>
                <w:szCs w:val="21"/>
              </w:rPr>
              <w:t>NH</w:t>
            </w:r>
            <w:r>
              <w:rPr>
                <w:b/>
                <w:szCs w:val="21"/>
                <w:vertAlign w:val="subscript"/>
              </w:rPr>
              <w:t>3</w:t>
            </w:r>
          </w:p>
        </w:tc>
        <w:tc>
          <w:tcPr>
            <w:tcW w:w="468" w:type="pct"/>
            <w:noWrap w:val="0"/>
            <w:tcMar>
              <w:left w:w="0" w:type="dxa"/>
              <w:right w:w="0" w:type="dxa"/>
            </w:tcMar>
            <w:vAlign w:val="center"/>
          </w:tcPr>
          <w:p>
            <w:pPr>
              <w:adjustRightInd w:val="0"/>
              <w:snapToGrid w:val="0"/>
              <w:jc w:val="center"/>
              <w:rPr>
                <w:b/>
                <w:szCs w:val="21"/>
              </w:rPr>
            </w:pPr>
            <w:r>
              <w:rPr>
                <w:b/>
                <w:szCs w:val="21"/>
              </w:rPr>
              <w:t>H</w:t>
            </w:r>
            <w:r>
              <w:rPr>
                <w:b/>
                <w:szCs w:val="21"/>
                <w:vertAlign w:val="subscript"/>
              </w:rPr>
              <w:t>2</w:t>
            </w:r>
            <w:r>
              <w:rPr>
                <w:b/>
                <w:szCs w:val="21"/>
              </w:rPr>
              <w:t>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517" w:type="pct"/>
            <w:noWrap w:val="0"/>
            <w:vAlign w:val="center"/>
          </w:tcPr>
          <w:p>
            <w:pPr>
              <w:adjustRightInd w:val="0"/>
              <w:snapToGrid w:val="0"/>
              <w:jc w:val="center"/>
              <w:rPr>
                <w:szCs w:val="21"/>
              </w:rPr>
            </w:pPr>
            <w:r>
              <w:rPr>
                <w:rFonts w:hint="eastAsia"/>
                <w:szCs w:val="21"/>
                <w:lang w:val="en-US" w:eastAsia="zh-CN"/>
              </w:rPr>
              <w:t>4</w:t>
            </w:r>
            <w:r>
              <w:rPr>
                <w:rFonts w:hint="eastAsia"/>
                <w:szCs w:val="21"/>
              </w:rPr>
              <w:t>200</w:t>
            </w:r>
          </w:p>
        </w:tc>
        <w:tc>
          <w:tcPr>
            <w:tcW w:w="463" w:type="pct"/>
            <w:noWrap w:val="0"/>
            <w:tcMar>
              <w:left w:w="0" w:type="dxa"/>
              <w:right w:w="0" w:type="dxa"/>
            </w:tcMar>
            <w:vAlign w:val="center"/>
          </w:tcPr>
          <w:p>
            <w:pPr>
              <w:jc w:val="center"/>
              <w:rPr>
                <w:rFonts w:hint="eastAsia" w:eastAsia="宋体"/>
                <w:lang w:eastAsia="zh-CN"/>
              </w:rPr>
            </w:pPr>
            <w:r>
              <w:rPr>
                <w:rFonts w:hint="eastAsia"/>
                <w:lang w:eastAsia="zh-CN"/>
              </w:rPr>
              <w:t>0.3066</w:t>
            </w:r>
          </w:p>
        </w:tc>
        <w:tc>
          <w:tcPr>
            <w:tcW w:w="456" w:type="pct"/>
            <w:noWrap w:val="0"/>
            <w:tcMar>
              <w:left w:w="0" w:type="dxa"/>
              <w:right w:w="0" w:type="dxa"/>
            </w:tcMar>
            <w:vAlign w:val="center"/>
          </w:tcPr>
          <w:p>
            <w:pPr>
              <w:jc w:val="center"/>
              <w:rPr>
                <w:rFonts w:hint="eastAsia" w:eastAsia="宋体"/>
                <w:lang w:eastAsia="zh-CN"/>
              </w:rPr>
            </w:pPr>
            <w:r>
              <w:rPr>
                <w:rFonts w:hint="eastAsia"/>
                <w:lang w:eastAsia="zh-CN"/>
              </w:rPr>
              <w:t>0.0261</w:t>
            </w:r>
          </w:p>
        </w:tc>
        <w:tc>
          <w:tcPr>
            <w:tcW w:w="2636" w:type="pct"/>
            <w:noWrap w:val="0"/>
            <w:tcMar>
              <w:left w:w="0" w:type="dxa"/>
              <w:right w:w="0" w:type="dxa"/>
            </w:tcMar>
            <w:vAlign w:val="center"/>
          </w:tcPr>
          <w:p>
            <w:pPr>
              <w:adjustRightInd w:val="0"/>
              <w:snapToGrid w:val="0"/>
              <w:jc w:val="center"/>
              <w:rPr>
                <w:szCs w:val="21"/>
              </w:rPr>
            </w:pPr>
            <w:r>
              <w:rPr>
                <w:rFonts w:hint="eastAsia"/>
                <w:bCs/>
                <w:szCs w:val="21"/>
                <w:lang w:bidi="ar"/>
              </w:rPr>
              <w:t>控制饲养密度、采用节水型饮水器、加强通风、全漏缝地板并及时清粪，喷洒除臭剂，去除效率可达到</w:t>
            </w:r>
            <w:r>
              <w:rPr>
                <w:bCs/>
                <w:szCs w:val="21"/>
                <w:lang w:bidi="ar"/>
              </w:rPr>
              <w:t>70%</w:t>
            </w:r>
          </w:p>
        </w:tc>
        <w:tc>
          <w:tcPr>
            <w:tcW w:w="459" w:type="pct"/>
            <w:noWrap w:val="0"/>
            <w:tcMar>
              <w:left w:w="0" w:type="dxa"/>
              <w:right w:w="0" w:type="dxa"/>
            </w:tcMar>
            <w:vAlign w:val="center"/>
          </w:tcPr>
          <w:p>
            <w:pPr>
              <w:jc w:val="center"/>
              <w:rPr>
                <w:rFonts w:hint="eastAsia" w:eastAsia="宋体"/>
                <w:lang w:eastAsia="zh-CN"/>
              </w:rPr>
            </w:pPr>
            <w:r>
              <w:rPr>
                <w:rFonts w:hint="eastAsia"/>
                <w:lang w:eastAsia="zh-CN"/>
              </w:rPr>
              <w:t>0.0919</w:t>
            </w:r>
          </w:p>
        </w:tc>
        <w:tc>
          <w:tcPr>
            <w:tcW w:w="468" w:type="pct"/>
            <w:noWrap w:val="0"/>
            <w:tcMar>
              <w:left w:w="0" w:type="dxa"/>
              <w:right w:w="0" w:type="dxa"/>
            </w:tcMar>
            <w:vAlign w:val="center"/>
          </w:tcPr>
          <w:p>
            <w:pPr>
              <w:jc w:val="center"/>
              <w:rPr>
                <w:rFonts w:hint="eastAsia" w:eastAsia="宋体"/>
                <w:lang w:eastAsia="zh-CN"/>
              </w:rPr>
            </w:pPr>
            <w:r>
              <w:rPr>
                <w:rFonts w:hint="eastAsia"/>
                <w:lang w:eastAsia="zh-CN"/>
              </w:rPr>
              <w:t>0.0078</w:t>
            </w:r>
          </w:p>
        </w:tc>
      </w:tr>
    </w:tbl>
    <w:p>
      <w:pPr>
        <w:adjustRightInd w:val="0"/>
        <w:snapToGrid w:val="0"/>
        <w:spacing w:line="520" w:lineRule="exact"/>
        <w:ind w:firstLine="480" w:firstLineChars="200"/>
        <w:rPr>
          <w:bCs/>
          <w:sz w:val="24"/>
          <w:szCs w:val="22"/>
        </w:rPr>
      </w:pPr>
      <w:r>
        <w:rPr>
          <w:bCs/>
          <w:sz w:val="24"/>
          <w:szCs w:val="22"/>
        </w:rPr>
        <w:t>温度高时恶臭浓度高，猪粪在1～2周后发酵较快，粪便暴露面积大的发酵率高。猪舍采用漏缝地板，保证粪便冷却，并尽快从猪舍内清粪，在猪舍内加强通风，加速粪便干燥，可减少猪粪污染；并合理搭配日粮，可以一方面抑制了腐败细菌的生长，改善有机物的分解途径，减少NH</w:t>
      </w:r>
      <w:r>
        <w:rPr>
          <w:bCs/>
          <w:sz w:val="24"/>
          <w:szCs w:val="22"/>
          <w:vertAlign w:val="subscript"/>
        </w:rPr>
        <w:t>3</w:t>
      </w:r>
      <w:r>
        <w:rPr>
          <w:bCs/>
          <w:sz w:val="24"/>
          <w:szCs w:val="22"/>
        </w:rPr>
        <w:t>和H</w:t>
      </w:r>
      <w:r>
        <w:rPr>
          <w:bCs/>
          <w:sz w:val="24"/>
          <w:szCs w:val="22"/>
          <w:vertAlign w:val="subscript"/>
        </w:rPr>
        <w:t>2</w:t>
      </w:r>
      <w:r>
        <w:rPr>
          <w:bCs/>
          <w:sz w:val="24"/>
          <w:szCs w:val="22"/>
        </w:rPr>
        <w:t>S的释放量和胺类物质的产生；另一方面它又可利用H</w:t>
      </w:r>
      <w:r>
        <w:rPr>
          <w:bCs/>
          <w:sz w:val="24"/>
          <w:szCs w:val="22"/>
          <w:vertAlign w:val="subscript"/>
        </w:rPr>
        <w:t>2</w:t>
      </w:r>
      <w:r>
        <w:rPr>
          <w:bCs/>
          <w:sz w:val="24"/>
          <w:szCs w:val="22"/>
        </w:rPr>
        <w:t>S作氢供体，消耗H</w:t>
      </w:r>
      <w:r>
        <w:rPr>
          <w:bCs/>
          <w:sz w:val="24"/>
          <w:szCs w:val="22"/>
          <w:vertAlign w:val="subscript"/>
        </w:rPr>
        <w:t>2</w:t>
      </w:r>
      <w:r>
        <w:rPr>
          <w:bCs/>
          <w:sz w:val="24"/>
          <w:szCs w:val="22"/>
        </w:rPr>
        <w:t>S，从而减轻环境中的恶臭。通过以上措施可以有效抑制和去除H</w:t>
      </w:r>
      <w:r>
        <w:rPr>
          <w:bCs/>
          <w:sz w:val="24"/>
          <w:szCs w:val="22"/>
          <w:vertAlign w:val="subscript"/>
        </w:rPr>
        <w:t>2</w:t>
      </w:r>
      <w:r>
        <w:rPr>
          <w:bCs/>
          <w:sz w:val="24"/>
          <w:szCs w:val="22"/>
        </w:rPr>
        <w:t>S和NH</w:t>
      </w:r>
      <w:r>
        <w:rPr>
          <w:bCs/>
          <w:sz w:val="24"/>
          <w:szCs w:val="22"/>
          <w:vertAlign w:val="subscript"/>
        </w:rPr>
        <w:t>3</w:t>
      </w:r>
      <w:r>
        <w:rPr>
          <w:bCs/>
          <w:sz w:val="24"/>
          <w:szCs w:val="22"/>
        </w:rPr>
        <w:t>的产生量，恶臭控制及处置措施可行猪舍恶臭气体去除效率为</w:t>
      </w:r>
      <w:r>
        <w:rPr>
          <w:rFonts w:hint="eastAsia"/>
          <w:bCs/>
          <w:sz w:val="24"/>
          <w:szCs w:val="22"/>
        </w:rPr>
        <w:t>7</w:t>
      </w:r>
      <w:r>
        <w:rPr>
          <w:bCs/>
          <w:sz w:val="24"/>
          <w:szCs w:val="22"/>
        </w:rPr>
        <w:t>0%。</w:t>
      </w:r>
    </w:p>
    <w:p>
      <w:pPr>
        <w:spacing w:after="72" w:afterLines="30" w:line="520" w:lineRule="exact"/>
        <w:jc w:val="left"/>
        <w:rPr>
          <w:rFonts w:hint="eastAsia"/>
          <w:sz w:val="24"/>
        </w:rPr>
      </w:pPr>
      <w:r>
        <w:rPr>
          <w:sz w:val="24"/>
        </w:rPr>
        <w:t>B、污水</w:t>
      </w:r>
      <w:r>
        <w:rPr>
          <w:rFonts w:hint="eastAsia"/>
          <w:sz w:val="24"/>
        </w:rPr>
        <w:t>前</w:t>
      </w:r>
      <w:r>
        <w:rPr>
          <w:sz w:val="24"/>
        </w:rPr>
        <w:t>处理系统恶臭</w:t>
      </w:r>
    </w:p>
    <w:p>
      <w:pPr>
        <w:widowControl/>
        <w:spacing w:line="520" w:lineRule="exact"/>
        <w:ind w:firstLine="480" w:firstLineChars="200"/>
        <w:jc w:val="left"/>
        <w:rPr>
          <w:rFonts w:hAnsi="宋体"/>
          <w:bCs/>
          <w:sz w:val="24"/>
        </w:rPr>
      </w:pPr>
      <w:r>
        <w:rPr>
          <w:rFonts w:hint="eastAsia" w:hAnsi="宋体"/>
          <w:bCs/>
          <w:sz w:val="24"/>
        </w:rPr>
        <w:t>黑膜沼气池</w:t>
      </w:r>
      <w:r>
        <w:rPr>
          <w:rFonts w:hAnsi="宋体"/>
          <w:bCs/>
          <w:sz w:val="24"/>
        </w:rPr>
        <w:t>在接入污水前将进行固液分离，因前期固液分离环节由于设备要求，上方不能全部封闭，而</w:t>
      </w:r>
      <w:r>
        <w:rPr>
          <w:rFonts w:hint="eastAsia" w:hAnsi="宋体"/>
          <w:bCs/>
          <w:sz w:val="24"/>
        </w:rPr>
        <w:t>黑膜沼气池</w:t>
      </w:r>
      <w:r>
        <w:rPr>
          <w:rFonts w:hAnsi="宋体"/>
          <w:bCs/>
          <w:sz w:val="24"/>
        </w:rPr>
        <w:t>为密闭的，因此只有在固液分离</w:t>
      </w:r>
      <w:r>
        <w:rPr>
          <w:rFonts w:hint="eastAsia" w:hAnsi="宋体"/>
          <w:bCs/>
          <w:sz w:val="24"/>
        </w:rPr>
        <w:t>机</w:t>
      </w:r>
      <w:r>
        <w:rPr>
          <w:rFonts w:hAnsi="宋体"/>
          <w:bCs/>
          <w:sz w:val="24"/>
        </w:rPr>
        <w:t>、收集池</w:t>
      </w:r>
      <w:r>
        <w:rPr>
          <w:rFonts w:hint="eastAsia" w:hAnsi="宋体"/>
          <w:bCs/>
          <w:sz w:val="24"/>
        </w:rPr>
        <w:t>及沼液暂存池</w:t>
      </w:r>
      <w:r>
        <w:rPr>
          <w:rFonts w:hAnsi="宋体"/>
          <w:bCs/>
          <w:sz w:val="24"/>
        </w:rPr>
        <w:t>部分会产生恶臭气体。</w:t>
      </w:r>
    </w:p>
    <w:p>
      <w:pPr>
        <w:spacing w:line="520" w:lineRule="exact"/>
        <w:ind w:firstLine="480" w:firstLineChars="200"/>
        <w:rPr>
          <w:rFonts w:hint="eastAsia"/>
          <w:bCs/>
          <w:sz w:val="24"/>
          <w:highlight w:val="none"/>
        </w:rPr>
      </w:pPr>
      <w:r>
        <w:rPr>
          <w:bCs/>
          <w:kern w:val="0"/>
          <w:sz w:val="24"/>
        </w:rPr>
        <w:t>收集池恶臭源强：</w:t>
      </w:r>
      <w:r>
        <w:rPr>
          <w:bCs/>
          <w:sz w:val="24"/>
        </w:rPr>
        <w:t>根据美国EPA对城市污水处理厂恶臭污染物产生情况的研究，每处理1gBOD</w:t>
      </w:r>
      <w:r>
        <w:rPr>
          <w:bCs/>
          <w:sz w:val="24"/>
          <w:highlight w:val="none"/>
          <w:vertAlign w:val="subscript"/>
        </w:rPr>
        <w:t>5</w:t>
      </w:r>
      <w:r>
        <w:rPr>
          <w:bCs/>
          <w:sz w:val="24"/>
          <w:highlight w:val="none"/>
        </w:rPr>
        <w:t>可产生0.0031g氨气和0.00012g硫化氢。</w:t>
      </w:r>
    </w:p>
    <w:p>
      <w:pPr>
        <w:spacing w:line="520" w:lineRule="exact"/>
        <w:ind w:firstLine="480" w:firstLineChars="200"/>
        <w:rPr>
          <w:b/>
          <w:color w:val="auto"/>
          <w:kern w:val="0"/>
          <w:sz w:val="24"/>
          <w:highlight w:val="none"/>
          <w:u w:val="single"/>
        </w:rPr>
      </w:pPr>
      <w:r>
        <w:rPr>
          <w:bCs/>
          <w:color w:val="auto"/>
          <w:sz w:val="24"/>
          <w:highlight w:val="none"/>
        </w:rPr>
        <w:t>本项目废水产生量为</w:t>
      </w:r>
      <w:r>
        <w:rPr>
          <w:rFonts w:hint="eastAsia"/>
          <w:bCs/>
          <w:color w:val="auto"/>
          <w:sz w:val="24"/>
          <w:highlight w:val="none"/>
          <w:lang w:eastAsia="zh-CN"/>
        </w:rPr>
        <w:t>7512.9907</w:t>
      </w:r>
      <w:r>
        <w:rPr>
          <w:bCs/>
          <w:color w:val="auto"/>
          <w:sz w:val="24"/>
          <w:highlight w:val="none"/>
        </w:rPr>
        <w:t>m</w:t>
      </w:r>
      <w:r>
        <w:rPr>
          <w:bCs/>
          <w:color w:val="auto"/>
          <w:sz w:val="24"/>
          <w:highlight w:val="none"/>
          <w:vertAlign w:val="superscript"/>
        </w:rPr>
        <w:t>3</w:t>
      </w:r>
      <w:r>
        <w:rPr>
          <w:bCs/>
          <w:color w:val="auto"/>
          <w:sz w:val="24"/>
          <w:highlight w:val="none"/>
        </w:rPr>
        <w:t>/a，BOD</w:t>
      </w:r>
      <w:r>
        <w:rPr>
          <w:bCs/>
          <w:color w:val="auto"/>
          <w:sz w:val="24"/>
          <w:highlight w:val="none"/>
          <w:vertAlign w:val="subscript"/>
        </w:rPr>
        <w:t>5</w:t>
      </w:r>
      <w:r>
        <w:rPr>
          <w:bCs/>
          <w:color w:val="auto"/>
          <w:sz w:val="24"/>
          <w:highlight w:val="none"/>
        </w:rPr>
        <w:t>去除量</w:t>
      </w:r>
      <w:r>
        <w:rPr>
          <w:rFonts w:hint="eastAsia"/>
          <w:bCs/>
          <w:color w:val="auto"/>
          <w:sz w:val="24"/>
          <w:highlight w:val="none"/>
          <w:lang w:val="en-US" w:eastAsia="zh-CN"/>
        </w:rPr>
        <w:t>47.0726</w:t>
      </w:r>
      <w:r>
        <w:rPr>
          <w:bCs/>
          <w:color w:val="auto"/>
          <w:sz w:val="24"/>
          <w:highlight w:val="none"/>
        </w:rPr>
        <w:t>t/a，</w:t>
      </w:r>
      <w:r>
        <w:rPr>
          <w:rFonts w:hint="eastAsia"/>
          <w:bCs/>
          <w:color w:val="auto"/>
          <w:sz w:val="24"/>
          <w:highlight w:val="none"/>
        </w:rPr>
        <w:t>本工程收集暂存过程中</w:t>
      </w:r>
      <w:r>
        <w:rPr>
          <w:bCs/>
          <w:color w:val="auto"/>
          <w:sz w:val="24"/>
          <w:highlight w:val="none"/>
        </w:rPr>
        <w:t>BOD</w:t>
      </w:r>
      <w:r>
        <w:rPr>
          <w:bCs/>
          <w:color w:val="auto"/>
          <w:sz w:val="24"/>
          <w:highlight w:val="none"/>
          <w:vertAlign w:val="subscript"/>
        </w:rPr>
        <w:t>5</w:t>
      </w:r>
      <w:r>
        <w:rPr>
          <w:rFonts w:hint="eastAsia"/>
          <w:bCs/>
          <w:color w:val="auto"/>
          <w:sz w:val="24"/>
          <w:highlight w:val="none"/>
        </w:rPr>
        <w:t>处理量按照5%计算，</w:t>
      </w:r>
      <w:r>
        <w:rPr>
          <w:bCs/>
          <w:color w:val="auto"/>
          <w:sz w:val="24"/>
          <w:highlight w:val="none"/>
        </w:rPr>
        <w:t>则</w:t>
      </w:r>
      <w:r>
        <w:rPr>
          <w:rFonts w:hint="eastAsia"/>
          <w:bCs/>
          <w:color w:val="auto"/>
          <w:sz w:val="24"/>
          <w:highlight w:val="none"/>
        </w:rPr>
        <w:t>收集池</w:t>
      </w:r>
      <w:r>
        <w:rPr>
          <w:bCs/>
          <w:color w:val="auto"/>
          <w:sz w:val="24"/>
          <w:highlight w:val="none"/>
        </w:rPr>
        <w:t>NH</w:t>
      </w:r>
      <w:r>
        <w:rPr>
          <w:bCs/>
          <w:color w:val="auto"/>
          <w:sz w:val="24"/>
          <w:highlight w:val="none"/>
          <w:vertAlign w:val="subscript"/>
        </w:rPr>
        <w:t>3</w:t>
      </w:r>
      <w:r>
        <w:rPr>
          <w:bCs/>
          <w:color w:val="auto"/>
          <w:sz w:val="24"/>
          <w:highlight w:val="none"/>
        </w:rPr>
        <w:t>产生量为</w:t>
      </w:r>
      <w:r>
        <w:rPr>
          <w:rFonts w:hint="eastAsia"/>
          <w:bCs/>
          <w:color w:val="auto"/>
          <w:sz w:val="24"/>
          <w:highlight w:val="none"/>
          <w:lang w:eastAsia="zh-CN"/>
        </w:rPr>
        <w:t>0.0073</w:t>
      </w:r>
      <w:r>
        <w:rPr>
          <w:bCs/>
          <w:color w:val="auto"/>
          <w:sz w:val="24"/>
          <w:highlight w:val="none"/>
        </w:rPr>
        <w:t>t/a，H</w:t>
      </w:r>
      <w:r>
        <w:rPr>
          <w:bCs/>
          <w:color w:val="auto"/>
          <w:sz w:val="24"/>
          <w:highlight w:val="none"/>
          <w:vertAlign w:val="subscript"/>
        </w:rPr>
        <w:t>2</w:t>
      </w:r>
      <w:r>
        <w:rPr>
          <w:bCs/>
          <w:color w:val="auto"/>
          <w:sz w:val="24"/>
          <w:highlight w:val="none"/>
        </w:rPr>
        <w:t>S产生量为</w:t>
      </w:r>
      <w:r>
        <w:rPr>
          <w:rFonts w:hint="eastAsia"/>
          <w:bCs/>
          <w:color w:val="auto"/>
          <w:sz w:val="24"/>
          <w:highlight w:val="none"/>
          <w:lang w:eastAsia="zh-CN"/>
        </w:rPr>
        <w:t>0.00028</w:t>
      </w:r>
      <w:r>
        <w:rPr>
          <w:bCs/>
          <w:color w:val="auto"/>
          <w:sz w:val="24"/>
          <w:highlight w:val="none"/>
        </w:rPr>
        <w:t>t/a。</w:t>
      </w:r>
      <w:r>
        <w:rPr>
          <w:bCs/>
          <w:color w:val="auto"/>
          <w:kern w:val="0"/>
          <w:sz w:val="24"/>
          <w:highlight w:val="none"/>
        </w:rPr>
        <w:t>为进一步减小项目污水处理过程恶臭气体对周边环境的影响，对污水前处理系统收集池区域喷洒除臭剂，并加强场区绿化。</w:t>
      </w:r>
    </w:p>
    <w:p>
      <w:pPr>
        <w:spacing w:line="520" w:lineRule="exact"/>
        <w:ind w:firstLine="480" w:firstLineChars="200"/>
        <w:rPr>
          <w:rFonts w:hint="eastAsia"/>
          <w:sz w:val="24"/>
        </w:rPr>
      </w:pPr>
      <w:r>
        <w:rPr>
          <w:rFonts w:hint="eastAsia"/>
          <w:sz w:val="24"/>
        </w:rPr>
        <w:t>污水前处理区恶臭</w:t>
      </w:r>
      <w:r>
        <w:rPr>
          <w:sz w:val="24"/>
        </w:rPr>
        <w:t>排放情况见表2.3-4。</w:t>
      </w:r>
    </w:p>
    <w:p>
      <w:pPr>
        <w:spacing w:after="72" w:afterLines="30" w:line="520" w:lineRule="exact"/>
        <w:jc w:val="center"/>
        <w:rPr>
          <w:b/>
          <w:sz w:val="24"/>
        </w:rPr>
      </w:pPr>
      <w:r>
        <w:rPr>
          <w:b/>
          <w:sz w:val="24"/>
        </w:rPr>
        <w:t>表2.3-4    污水处理</w:t>
      </w:r>
      <w:r>
        <w:rPr>
          <w:rFonts w:hint="eastAsia"/>
          <w:b/>
          <w:sz w:val="24"/>
        </w:rPr>
        <w:t>区</w:t>
      </w:r>
      <w:r>
        <w:rPr>
          <w:b/>
          <w:sz w:val="24"/>
        </w:rPr>
        <w:t>臭气产生及排放一览表</w:t>
      </w:r>
    </w:p>
    <w:tbl>
      <w:tblPr>
        <w:tblStyle w:val="1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1649"/>
        <w:gridCol w:w="975"/>
        <w:gridCol w:w="1056"/>
        <w:gridCol w:w="2555"/>
        <w:gridCol w:w="1277"/>
        <w:gridCol w:w="12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97" w:hRule="atLeast"/>
        </w:trPr>
        <w:tc>
          <w:tcPr>
            <w:tcW w:w="1649" w:type="dxa"/>
            <w:vMerge w:val="restart"/>
            <w:noWrap w:val="0"/>
            <w:vAlign w:val="center"/>
          </w:tcPr>
          <w:p>
            <w:pPr>
              <w:pStyle w:val="31"/>
              <w:keepNext w:val="0"/>
              <w:keepLines w:val="0"/>
              <w:pageBreakBefore w:val="0"/>
              <w:widowControl/>
              <w:kinsoku/>
              <w:wordWrap/>
              <w:overflowPunct/>
              <w:topLinePunct w:val="0"/>
              <w:autoSpaceDE/>
              <w:autoSpaceDN/>
              <w:bidi w:val="0"/>
              <w:adjustRightInd/>
              <w:snapToGrid/>
              <w:textAlignment w:val="auto"/>
              <w:rPr>
                <w:rFonts w:eastAsia="宋体"/>
                <w:b/>
                <w:color w:val="auto"/>
                <w:sz w:val="21"/>
                <w:szCs w:val="21"/>
                <w:highlight w:val="none"/>
              </w:rPr>
            </w:pPr>
            <w:r>
              <w:rPr>
                <w:rFonts w:eastAsia="宋体"/>
                <w:b/>
                <w:color w:val="auto"/>
                <w:sz w:val="21"/>
                <w:szCs w:val="21"/>
                <w:highlight w:val="none"/>
              </w:rPr>
              <w:t>污染源</w:t>
            </w:r>
          </w:p>
        </w:tc>
        <w:tc>
          <w:tcPr>
            <w:tcW w:w="2031" w:type="dxa"/>
            <w:gridSpan w:val="2"/>
            <w:noWrap w:val="0"/>
            <w:vAlign w:val="center"/>
          </w:tcPr>
          <w:p>
            <w:pPr>
              <w:pStyle w:val="31"/>
              <w:keepNext w:val="0"/>
              <w:keepLines w:val="0"/>
              <w:pageBreakBefore w:val="0"/>
              <w:widowControl/>
              <w:kinsoku/>
              <w:wordWrap/>
              <w:overflowPunct/>
              <w:topLinePunct w:val="0"/>
              <w:autoSpaceDE/>
              <w:autoSpaceDN/>
              <w:bidi w:val="0"/>
              <w:adjustRightInd/>
              <w:snapToGrid/>
              <w:textAlignment w:val="auto"/>
              <w:rPr>
                <w:rFonts w:eastAsia="宋体"/>
                <w:b/>
                <w:color w:val="auto"/>
                <w:sz w:val="21"/>
                <w:szCs w:val="21"/>
                <w:highlight w:val="none"/>
              </w:rPr>
            </w:pPr>
            <w:r>
              <w:rPr>
                <w:rFonts w:eastAsia="宋体"/>
                <w:b/>
                <w:color w:val="auto"/>
                <w:sz w:val="21"/>
                <w:szCs w:val="21"/>
                <w:highlight w:val="none"/>
              </w:rPr>
              <w:t>污染物产生量（t/a）</w:t>
            </w:r>
          </w:p>
        </w:tc>
        <w:tc>
          <w:tcPr>
            <w:tcW w:w="2555" w:type="dxa"/>
            <w:vMerge w:val="restart"/>
            <w:noWrap w:val="0"/>
            <w:vAlign w:val="center"/>
          </w:tcPr>
          <w:p>
            <w:pPr>
              <w:pStyle w:val="31"/>
              <w:keepNext w:val="0"/>
              <w:keepLines w:val="0"/>
              <w:pageBreakBefore w:val="0"/>
              <w:widowControl/>
              <w:kinsoku/>
              <w:wordWrap/>
              <w:overflowPunct/>
              <w:topLinePunct w:val="0"/>
              <w:autoSpaceDE/>
              <w:autoSpaceDN/>
              <w:bidi w:val="0"/>
              <w:adjustRightInd/>
              <w:snapToGrid/>
              <w:textAlignment w:val="auto"/>
              <w:rPr>
                <w:rFonts w:eastAsia="宋体"/>
                <w:b/>
                <w:color w:val="auto"/>
                <w:sz w:val="21"/>
                <w:szCs w:val="21"/>
                <w:highlight w:val="none"/>
              </w:rPr>
            </w:pPr>
            <w:r>
              <w:rPr>
                <w:rFonts w:eastAsia="宋体"/>
                <w:b/>
                <w:color w:val="auto"/>
                <w:sz w:val="21"/>
                <w:szCs w:val="21"/>
                <w:highlight w:val="none"/>
              </w:rPr>
              <w:t>拟处理措施</w:t>
            </w:r>
          </w:p>
        </w:tc>
        <w:tc>
          <w:tcPr>
            <w:tcW w:w="2553" w:type="dxa"/>
            <w:gridSpan w:val="2"/>
            <w:noWrap w:val="0"/>
            <w:vAlign w:val="center"/>
          </w:tcPr>
          <w:p>
            <w:pPr>
              <w:pStyle w:val="31"/>
              <w:keepNext w:val="0"/>
              <w:keepLines w:val="0"/>
              <w:pageBreakBefore w:val="0"/>
              <w:widowControl/>
              <w:kinsoku/>
              <w:wordWrap/>
              <w:overflowPunct/>
              <w:topLinePunct w:val="0"/>
              <w:autoSpaceDE/>
              <w:autoSpaceDN/>
              <w:bidi w:val="0"/>
              <w:adjustRightInd/>
              <w:snapToGrid/>
              <w:textAlignment w:val="auto"/>
              <w:rPr>
                <w:rFonts w:eastAsia="宋体"/>
                <w:b/>
                <w:color w:val="auto"/>
                <w:sz w:val="21"/>
                <w:szCs w:val="21"/>
                <w:highlight w:val="none"/>
              </w:rPr>
            </w:pPr>
            <w:r>
              <w:rPr>
                <w:rFonts w:eastAsia="宋体"/>
                <w:b/>
                <w:color w:val="auto"/>
                <w:sz w:val="21"/>
                <w:szCs w:val="21"/>
                <w:highlight w:val="none"/>
              </w:rPr>
              <w:t>污染物排放源强（t/a）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2" w:hRule="atLeast"/>
        </w:trPr>
        <w:tc>
          <w:tcPr>
            <w:tcW w:w="1649" w:type="dxa"/>
            <w:vMerge w:val="continue"/>
            <w:noWrap w:val="0"/>
            <w:vAlign w:val="center"/>
          </w:tcPr>
          <w:p>
            <w:pPr>
              <w:pStyle w:val="31"/>
              <w:keepNext w:val="0"/>
              <w:keepLines w:val="0"/>
              <w:pageBreakBefore w:val="0"/>
              <w:widowControl/>
              <w:kinsoku/>
              <w:wordWrap/>
              <w:overflowPunct/>
              <w:topLinePunct w:val="0"/>
              <w:autoSpaceDE/>
              <w:autoSpaceDN/>
              <w:bidi w:val="0"/>
              <w:adjustRightInd/>
              <w:snapToGrid/>
              <w:textAlignment w:val="auto"/>
              <w:rPr>
                <w:rFonts w:eastAsia="宋体"/>
                <w:b/>
                <w:color w:val="auto"/>
                <w:sz w:val="21"/>
                <w:szCs w:val="21"/>
                <w:highlight w:val="none"/>
              </w:rPr>
            </w:pPr>
          </w:p>
        </w:tc>
        <w:tc>
          <w:tcPr>
            <w:tcW w:w="975" w:type="dxa"/>
            <w:noWrap w:val="0"/>
            <w:vAlign w:val="center"/>
          </w:tcPr>
          <w:p>
            <w:pPr>
              <w:pStyle w:val="31"/>
              <w:keepNext w:val="0"/>
              <w:keepLines w:val="0"/>
              <w:pageBreakBefore w:val="0"/>
              <w:widowControl/>
              <w:kinsoku/>
              <w:wordWrap/>
              <w:overflowPunct/>
              <w:topLinePunct w:val="0"/>
              <w:autoSpaceDE/>
              <w:autoSpaceDN/>
              <w:bidi w:val="0"/>
              <w:adjustRightInd/>
              <w:snapToGrid/>
              <w:textAlignment w:val="auto"/>
              <w:rPr>
                <w:rFonts w:eastAsia="宋体"/>
                <w:b/>
                <w:color w:val="auto"/>
                <w:sz w:val="21"/>
                <w:szCs w:val="21"/>
                <w:highlight w:val="none"/>
              </w:rPr>
            </w:pPr>
            <w:r>
              <w:rPr>
                <w:rFonts w:eastAsia="宋体"/>
                <w:b/>
                <w:color w:val="auto"/>
                <w:sz w:val="21"/>
                <w:szCs w:val="21"/>
                <w:highlight w:val="none"/>
              </w:rPr>
              <w:t>H</w:t>
            </w:r>
            <w:r>
              <w:rPr>
                <w:rFonts w:eastAsia="宋体"/>
                <w:b/>
                <w:color w:val="auto"/>
                <w:sz w:val="21"/>
                <w:szCs w:val="21"/>
                <w:highlight w:val="none"/>
                <w:vertAlign w:val="subscript"/>
              </w:rPr>
              <w:t>2</w:t>
            </w:r>
            <w:r>
              <w:rPr>
                <w:rFonts w:eastAsia="宋体"/>
                <w:b/>
                <w:color w:val="auto"/>
                <w:sz w:val="21"/>
                <w:szCs w:val="21"/>
                <w:highlight w:val="none"/>
              </w:rPr>
              <w:t>S</w:t>
            </w:r>
          </w:p>
        </w:tc>
        <w:tc>
          <w:tcPr>
            <w:tcW w:w="1056" w:type="dxa"/>
            <w:tcBorders>
              <w:bottom w:val="single" w:color="auto" w:sz="4" w:space="0"/>
            </w:tcBorders>
            <w:noWrap w:val="0"/>
            <w:vAlign w:val="center"/>
          </w:tcPr>
          <w:p>
            <w:pPr>
              <w:pStyle w:val="31"/>
              <w:keepNext w:val="0"/>
              <w:keepLines w:val="0"/>
              <w:pageBreakBefore w:val="0"/>
              <w:widowControl/>
              <w:kinsoku/>
              <w:wordWrap/>
              <w:overflowPunct/>
              <w:topLinePunct w:val="0"/>
              <w:autoSpaceDE/>
              <w:autoSpaceDN/>
              <w:bidi w:val="0"/>
              <w:adjustRightInd/>
              <w:snapToGrid/>
              <w:textAlignment w:val="auto"/>
              <w:rPr>
                <w:rFonts w:eastAsia="宋体"/>
                <w:b/>
                <w:color w:val="auto"/>
                <w:sz w:val="21"/>
                <w:szCs w:val="21"/>
                <w:highlight w:val="none"/>
              </w:rPr>
            </w:pPr>
            <w:r>
              <w:rPr>
                <w:rFonts w:eastAsia="宋体"/>
                <w:b/>
                <w:color w:val="auto"/>
                <w:sz w:val="21"/>
                <w:szCs w:val="21"/>
                <w:highlight w:val="none"/>
              </w:rPr>
              <w:t>NH</w:t>
            </w:r>
            <w:r>
              <w:rPr>
                <w:rFonts w:eastAsia="宋体"/>
                <w:b/>
                <w:color w:val="auto"/>
                <w:sz w:val="21"/>
                <w:szCs w:val="21"/>
                <w:highlight w:val="none"/>
                <w:vertAlign w:val="subscript"/>
              </w:rPr>
              <w:t>3</w:t>
            </w:r>
          </w:p>
        </w:tc>
        <w:tc>
          <w:tcPr>
            <w:tcW w:w="2555" w:type="dxa"/>
            <w:vMerge w:val="continue"/>
            <w:tcBorders>
              <w:bottom w:val="single" w:color="auto" w:sz="4" w:space="0"/>
            </w:tcBorders>
            <w:noWrap w:val="0"/>
            <w:vAlign w:val="center"/>
          </w:tcPr>
          <w:p>
            <w:pPr>
              <w:pStyle w:val="31"/>
              <w:keepNext w:val="0"/>
              <w:keepLines w:val="0"/>
              <w:pageBreakBefore w:val="0"/>
              <w:widowControl/>
              <w:kinsoku/>
              <w:wordWrap/>
              <w:overflowPunct/>
              <w:topLinePunct w:val="0"/>
              <w:autoSpaceDE/>
              <w:autoSpaceDN/>
              <w:bidi w:val="0"/>
              <w:adjustRightInd/>
              <w:snapToGrid/>
              <w:textAlignment w:val="auto"/>
              <w:rPr>
                <w:rFonts w:eastAsia="宋体"/>
                <w:b/>
                <w:color w:val="auto"/>
                <w:sz w:val="21"/>
                <w:szCs w:val="21"/>
                <w:highlight w:val="none"/>
              </w:rPr>
            </w:pPr>
          </w:p>
        </w:tc>
        <w:tc>
          <w:tcPr>
            <w:tcW w:w="1277" w:type="dxa"/>
            <w:noWrap w:val="0"/>
            <w:vAlign w:val="center"/>
          </w:tcPr>
          <w:p>
            <w:pPr>
              <w:pStyle w:val="31"/>
              <w:keepNext w:val="0"/>
              <w:keepLines w:val="0"/>
              <w:pageBreakBefore w:val="0"/>
              <w:widowControl/>
              <w:kinsoku/>
              <w:wordWrap/>
              <w:overflowPunct/>
              <w:topLinePunct w:val="0"/>
              <w:autoSpaceDE/>
              <w:autoSpaceDN/>
              <w:bidi w:val="0"/>
              <w:adjustRightInd/>
              <w:snapToGrid/>
              <w:textAlignment w:val="auto"/>
              <w:rPr>
                <w:rFonts w:eastAsia="宋体"/>
                <w:b/>
                <w:color w:val="auto"/>
                <w:sz w:val="21"/>
                <w:szCs w:val="21"/>
                <w:highlight w:val="none"/>
              </w:rPr>
            </w:pPr>
            <w:r>
              <w:rPr>
                <w:rFonts w:eastAsia="宋体"/>
                <w:b/>
                <w:color w:val="auto"/>
                <w:sz w:val="21"/>
                <w:szCs w:val="21"/>
                <w:highlight w:val="none"/>
              </w:rPr>
              <w:t>H</w:t>
            </w:r>
            <w:r>
              <w:rPr>
                <w:rFonts w:eastAsia="宋体"/>
                <w:b/>
                <w:color w:val="auto"/>
                <w:sz w:val="21"/>
                <w:szCs w:val="21"/>
                <w:highlight w:val="none"/>
                <w:vertAlign w:val="subscript"/>
              </w:rPr>
              <w:t>2</w:t>
            </w:r>
            <w:r>
              <w:rPr>
                <w:rFonts w:eastAsia="宋体"/>
                <w:b/>
                <w:color w:val="auto"/>
                <w:sz w:val="21"/>
                <w:szCs w:val="21"/>
                <w:highlight w:val="none"/>
              </w:rPr>
              <w:t>S</w:t>
            </w:r>
          </w:p>
        </w:tc>
        <w:tc>
          <w:tcPr>
            <w:tcW w:w="1276" w:type="dxa"/>
            <w:noWrap w:val="0"/>
            <w:vAlign w:val="center"/>
          </w:tcPr>
          <w:p>
            <w:pPr>
              <w:pStyle w:val="31"/>
              <w:keepNext w:val="0"/>
              <w:keepLines w:val="0"/>
              <w:pageBreakBefore w:val="0"/>
              <w:widowControl/>
              <w:kinsoku/>
              <w:wordWrap/>
              <w:overflowPunct/>
              <w:topLinePunct w:val="0"/>
              <w:autoSpaceDE/>
              <w:autoSpaceDN/>
              <w:bidi w:val="0"/>
              <w:adjustRightInd/>
              <w:snapToGrid/>
              <w:textAlignment w:val="auto"/>
              <w:rPr>
                <w:rFonts w:eastAsia="宋体"/>
                <w:b/>
                <w:color w:val="auto"/>
                <w:sz w:val="21"/>
                <w:szCs w:val="21"/>
                <w:highlight w:val="none"/>
              </w:rPr>
            </w:pPr>
            <w:r>
              <w:rPr>
                <w:rFonts w:eastAsia="宋体"/>
                <w:b/>
                <w:color w:val="auto"/>
                <w:sz w:val="21"/>
                <w:szCs w:val="21"/>
                <w:highlight w:val="none"/>
              </w:rPr>
              <w:t>NH</w:t>
            </w:r>
            <w:r>
              <w:rPr>
                <w:rFonts w:eastAsia="宋体"/>
                <w:b/>
                <w:color w:val="auto"/>
                <w:sz w:val="21"/>
                <w:szCs w:val="21"/>
                <w:highlight w:val="none"/>
                <w:vertAlign w:val="sub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1649" w:type="dxa"/>
            <w:noWrap w:val="0"/>
            <w:vAlign w:val="center"/>
          </w:tcPr>
          <w:p>
            <w:pPr>
              <w:pStyle w:val="31"/>
              <w:keepNext w:val="0"/>
              <w:keepLines w:val="0"/>
              <w:pageBreakBefore w:val="0"/>
              <w:widowControl/>
              <w:kinsoku/>
              <w:wordWrap/>
              <w:overflowPunct/>
              <w:topLinePunct w:val="0"/>
              <w:autoSpaceDE/>
              <w:autoSpaceDN/>
              <w:bidi w:val="0"/>
              <w:adjustRightInd/>
              <w:snapToGrid/>
              <w:textAlignment w:val="auto"/>
              <w:rPr>
                <w:rFonts w:eastAsia="宋体"/>
                <w:color w:val="auto"/>
                <w:sz w:val="21"/>
                <w:szCs w:val="21"/>
                <w:highlight w:val="none"/>
              </w:rPr>
            </w:pPr>
            <w:r>
              <w:rPr>
                <w:rFonts w:eastAsia="宋体"/>
                <w:color w:val="auto"/>
                <w:sz w:val="21"/>
                <w:szCs w:val="21"/>
                <w:highlight w:val="none"/>
              </w:rPr>
              <w:t>收集池恶臭</w:t>
            </w:r>
          </w:p>
        </w:tc>
        <w:tc>
          <w:tcPr>
            <w:tcW w:w="975" w:type="dxa"/>
            <w:noWrap w:val="0"/>
            <w:vAlign w:val="center"/>
          </w:tcPr>
          <w:p>
            <w:pPr>
              <w:pStyle w:val="31"/>
              <w:keepNext w:val="0"/>
              <w:keepLines w:val="0"/>
              <w:pageBreakBefore w:val="0"/>
              <w:widowControl/>
              <w:kinsoku/>
              <w:wordWrap/>
              <w:overflowPunct/>
              <w:topLinePunct w:val="0"/>
              <w:autoSpaceDE/>
              <w:autoSpaceDN/>
              <w:bidi w:val="0"/>
              <w:adjustRightInd/>
              <w:snapToGrid/>
              <w:textAlignment w:val="auto"/>
              <w:rPr>
                <w:rFonts w:hint="eastAsia" w:eastAsia="宋体"/>
                <w:color w:val="auto"/>
                <w:sz w:val="21"/>
                <w:szCs w:val="21"/>
                <w:highlight w:val="none"/>
                <w:lang w:eastAsia="zh-CN"/>
              </w:rPr>
            </w:pPr>
            <w:r>
              <w:rPr>
                <w:rFonts w:hint="eastAsia" w:eastAsia="宋体"/>
                <w:color w:val="auto"/>
                <w:sz w:val="21"/>
                <w:szCs w:val="21"/>
                <w:highlight w:val="none"/>
                <w:lang w:eastAsia="zh-CN"/>
              </w:rPr>
              <w:t>0.00028</w:t>
            </w:r>
          </w:p>
        </w:tc>
        <w:tc>
          <w:tcPr>
            <w:tcW w:w="1056" w:type="dxa"/>
            <w:noWrap w:val="0"/>
            <w:vAlign w:val="center"/>
          </w:tcPr>
          <w:p>
            <w:pPr>
              <w:pStyle w:val="31"/>
              <w:keepNext w:val="0"/>
              <w:keepLines w:val="0"/>
              <w:pageBreakBefore w:val="0"/>
              <w:widowControl/>
              <w:kinsoku/>
              <w:wordWrap/>
              <w:overflowPunct/>
              <w:topLinePunct w:val="0"/>
              <w:autoSpaceDE/>
              <w:autoSpaceDN/>
              <w:bidi w:val="0"/>
              <w:adjustRightInd/>
              <w:snapToGrid/>
              <w:textAlignment w:val="auto"/>
              <w:rPr>
                <w:rFonts w:hint="eastAsia" w:eastAsia="宋体"/>
                <w:color w:val="auto"/>
                <w:sz w:val="21"/>
                <w:szCs w:val="21"/>
                <w:highlight w:val="none"/>
                <w:lang w:eastAsia="zh-CN"/>
              </w:rPr>
            </w:pPr>
            <w:r>
              <w:rPr>
                <w:rFonts w:hint="eastAsia" w:eastAsia="宋体"/>
                <w:color w:val="auto"/>
                <w:sz w:val="21"/>
                <w:szCs w:val="21"/>
                <w:highlight w:val="none"/>
                <w:lang w:eastAsia="zh-CN"/>
              </w:rPr>
              <w:t>0.0073</w:t>
            </w:r>
          </w:p>
        </w:tc>
        <w:tc>
          <w:tcPr>
            <w:tcW w:w="2555" w:type="dxa"/>
            <w:noWrap w:val="0"/>
            <w:vAlign w:val="center"/>
          </w:tcPr>
          <w:p>
            <w:pPr>
              <w:pStyle w:val="31"/>
              <w:keepNext w:val="0"/>
              <w:keepLines w:val="0"/>
              <w:pageBreakBefore w:val="0"/>
              <w:widowControl/>
              <w:kinsoku/>
              <w:wordWrap/>
              <w:overflowPunct/>
              <w:topLinePunct w:val="0"/>
              <w:autoSpaceDE/>
              <w:autoSpaceDN/>
              <w:bidi w:val="0"/>
              <w:adjustRightInd/>
              <w:snapToGrid/>
              <w:textAlignment w:val="auto"/>
              <w:rPr>
                <w:rFonts w:eastAsia="宋体"/>
                <w:color w:val="auto"/>
                <w:sz w:val="21"/>
                <w:szCs w:val="21"/>
                <w:highlight w:val="none"/>
              </w:rPr>
            </w:pPr>
            <w:r>
              <w:rPr>
                <w:rFonts w:hint="eastAsia" w:eastAsia="宋体"/>
                <w:color w:val="auto"/>
                <w:sz w:val="21"/>
                <w:szCs w:val="21"/>
                <w:highlight w:val="none"/>
              </w:rPr>
              <w:t>内部和</w:t>
            </w:r>
            <w:r>
              <w:rPr>
                <w:rFonts w:eastAsia="宋体"/>
                <w:color w:val="auto"/>
                <w:sz w:val="21"/>
                <w:szCs w:val="21"/>
                <w:highlight w:val="none"/>
              </w:rPr>
              <w:t>周边恶臭产气区域喷洒除臭剂，</w:t>
            </w:r>
            <w:r>
              <w:rPr>
                <w:rFonts w:hint="eastAsia" w:eastAsia="宋体"/>
                <w:color w:val="auto"/>
                <w:sz w:val="21"/>
                <w:szCs w:val="21"/>
                <w:highlight w:val="none"/>
              </w:rPr>
              <w:t>四周</w:t>
            </w:r>
            <w:r>
              <w:rPr>
                <w:rFonts w:eastAsia="宋体"/>
                <w:color w:val="auto"/>
                <w:sz w:val="21"/>
                <w:szCs w:val="21"/>
                <w:highlight w:val="none"/>
              </w:rPr>
              <w:t>加强绿化，去除效率可达到</w:t>
            </w:r>
            <w:r>
              <w:rPr>
                <w:rFonts w:hint="eastAsia" w:eastAsia="宋体"/>
                <w:color w:val="auto"/>
                <w:sz w:val="21"/>
                <w:szCs w:val="21"/>
                <w:highlight w:val="none"/>
              </w:rPr>
              <w:t>7</w:t>
            </w:r>
            <w:r>
              <w:rPr>
                <w:rFonts w:eastAsia="宋体"/>
                <w:color w:val="auto"/>
                <w:sz w:val="21"/>
                <w:szCs w:val="21"/>
                <w:highlight w:val="none"/>
              </w:rPr>
              <w:t>0%</w:t>
            </w:r>
          </w:p>
        </w:tc>
        <w:tc>
          <w:tcPr>
            <w:tcW w:w="1277" w:type="dxa"/>
            <w:noWrap w:val="0"/>
            <w:vAlign w:val="center"/>
          </w:tcPr>
          <w:p>
            <w:pPr>
              <w:pStyle w:val="31"/>
              <w:keepNext w:val="0"/>
              <w:keepLines w:val="0"/>
              <w:pageBreakBefore w:val="0"/>
              <w:widowControl/>
              <w:kinsoku/>
              <w:wordWrap/>
              <w:overflowPunct/>
              <w:topLinePunct w:val="0"/>
              <w:autoSpaceDE/>
              <w:autoSpaceDN/>
              <w:bidi w:val="0"/>
              <w:adjustRightInd/>
              <w:snapToGrid/>
              <w:textAlignment w:val="auto"/>
              <w:rPr>
                <w:rFonts w:hint="eastAsia" w:eastAsia="宋体"/>
                <w:color w:val="auto"/>
                <w:sz w:val="21"/>
                <w:szCs w:val="21"/>
                <w:highlight w:val="none"/>
                <w:lang w:eastAsia="zh-CN"/>
              </w:rPr>
            </w:pPr>
            <w:r>
              <w:rPr>
                <w:rFonts w:hint="eastAsia" w:eastAsia="宋体"/>
                <w:color w:val="auto"/>
                <w:sz w:val="21"/>
                <w:szCs w:val="21"/>
                <w:highlight w:val="none"/>
                <w:lang w:eastAsia="zh-CN"/>
              </w:rPr>
              <w:t>0.000084</w:t>
            </w:r>
          </w:p>
        </w:tc>
        <w:tc>
          <w:tcPr>
            <w:tcW w:w="1276" w:type="dxa"/>
            <w:noWrap w:val="0"/>
            <w:vAlign w:val="center"/>
          </w:tcPr>
          <w:p>
            <w:pPr>
              <w:pStyle w:val="31"/>
              <w:keepNext w:val="0"/>
              <w:keepLines w:val="0"/>
              <w:pageBreakBefore w:val="0"/>
              <w:widowControl/>
              <w:kinsoku/>
              <w:wordWrap/>
              <w:overflowPunct/>
              <w:topLinePunct w:val="0"/>
              <w:autoSpaceDE/>
              <w:autoSpaceDN/>
              <w:bidi w:val="0"/>
              <w:adjustRightInd/>
              <w:snapToGrid/>
              <w:textAlignment w:val="auto"/>
              <w:rPr>
                <w:rFonts w:hint="eastAsia" w:eastAsia="宋体"/>
                <w:color w:val="auto"/>
                <w:sz w:val="21"/>
                <w:szCs w:val="21"/>
                <w:highlight w:val="none"/>
                <w:lang w:eastAsia="zh-CN"/>
              </w:rPr>
            </w:pPr>
            <w:r>
              <w:rPr>
                <w:rFonts w:hint="eastAsia" w:eastAsia="宋体"/>
                <w:color w:val="auto"/>
                <w:sz w:val="21"/>
                <w:szCs w:val="21"/>
                <w:highlight w:val="none"/>
                <w:lang w:eastAsia="zh-CN"/>
              </w:rPr>
              <w:t>0.00219</w:t>
            </w:r>
          </w:p>
        </w:tc>
      </w:tr>
    </w:tbl>
    <w:p>
      <w:pPr>
        <w:spacing w:line="520" w:lineRule="exact"/>
        <w:ind w:firstLine="480" w:firstLineChars="200"/>
        <w:rPr>
          <w:rFonts w:hint="eastAsia"/>
          <w:bCs/>
          <w:sz w:val="24"/>
        </w:rPr>
      </w:pPr>
      <w:r>
        <w:rPr>
          <w:rFonts w:hint="eastAsia"/>
          <w:bCs/>
          <w:sz w:val="24"/>
        </w:rPr>
        <w:t>C</w:t>
      </w:r>
      <w:r>
        <w:rPr>
          <w:bCs/>
          <w:sz w:val="24"/>
        </w:rPr>
        <w:t>、</w:t>
      </w:r>
      <w:r>
        <w:rPr>
          <w:rFonts w:hint="eastAsia"/>
          <w:bCs/>
          <w:sz w:val="24"/>
        </w:rPr>
        <w:t>沼液</w:t>
      </w:r>
      <w:r>
        <w:rPr>
          <w:bCs/>
          <w:sz w:val="24"/>
        </w:rPr>
        <w:t>暂存池</w:t>
      </w:r>
    </w:p>
    <w:p>
      <w:pPr>
        <w:spacing w:line="520" w:lineRule="exact"/>
        <w:ind w:firstLine="480" w:firstLineChars="200"/>
        <w:rPr>
          <w:b/>
          <w:sz w:val="24"/>
          <w:u w:val="single"/>
        </w:rPr>
      </w:pPr>
      <w:r>
        <w:rPr>
          <w:rFonts w:hint="eastAsia"/>
          <w:bCs/>
          <w:sz w:val="24"/>
        </w:rPr>
        <w:t>黑膜</w:t>
      </w:r>
      <w:r>
        <w:rPr>
          <w:bCs/>
          <w:sz w:val="24"/>
        </w:rPr>
        <w:t>沼气池处理后的沼液在非耕作期暂存于厂区沼液暂存池内，该池</w:t>
      </w:r>
      <w:r>
        <w:rPr>
          <w:rFonts w:hint="eastAsia"/>
          <w:bCs/>
          <w:sz w:val="24"/>
        </w:rPr>
        <w:t>内</w:t>
      </w:r>
      <w:r>
        <w:rPr>
          <w:bCs/>
          <w:sz w:val="24"/>
        </w:rPr>
        <w:t>沼液经前段</w:t>
      </w:r>
      <w:r>
        <w:rPr>
          <w:rFonts w:hint="eastAsia"/>
          <w:bCs/>
          <w:sz w:val="24"/>
        </w:rPr>
        <w:t>黑膜</w:t>
      </w:r>
      <w:r>
        <w:rPr>
          <w:bCs/>
          <w:sz w:val="24"/>
        </w:rPr>
        <w:t>沼气池</w:t>
      </w:r>
      <w:r>
        <w:rPr>
          <w:rFonts w:hint="eastAsia"/>
          <w:bCs/>
          <w:sz w:val="24"/>
        </w:rPr>
        <w:t>彻底</w:t>
      </w:r>
      <w:r>
        <w:rPr>
          <w:bCs/>
          <w:sz w:val="24"/>
        </w:rPr>
        <w:t>厌氧发酵后进入</w:t>
      </w:r>
      <w:r>
        <w:rPr>
          <w:rFonts w:hint="eastAsia"/>
          <w:bCs/>
          <w:sz w:val="24"/>
        </w:rPr>
        <w:t>沼液</w:t>
      </w:r>
      <w:r>
        <w:rPr>
          <w:bCs/>
          <w:sz w:val="24"/>
        </w:rPr>
        <w:t>暂存池内暂存</w:t>
      </w:r>
      <w:r>
        <w:rPr>
          <w:rFonts w:hint="eastAsia"/>
          <w:bCs/>
          <w:sz w:val="24"/>
        </w:rPr>
        <w:t>，</w:t>
      </w:r>
      <w:r>
        <w:rPr>
          <w:bCs/>
          <w:sz w:val="24"/>
        </w:rPr>
        <w:t>有机物大部分被分解降解，暂存池</w:t>
      </w:r>
      <w:r>
        <w:rPr>
          <w:rFonts w:hint="eastAsia"/>
          <w:bCs/>
          <w:sz w:val="24"/>
        </w:rPr>
        <w:t>内</w:t>
      </w:r>
      <w:r>
        <w:rPr>
          <w:bCs/>
          <w:sz w:val="24"/>
        </w:rPr>
        <w:t>恶臭气体排放量很小，</w:t>
      </w:r>
      <w:r>
        <w:rPr>
          <w:rFonts w:hint="eastAsia"/>
          <w:bCs/>
          <w:sz w:val="24"/>
        </w:rPr>
        <w:t>且</w:t>
      </w:r>
      <w:r>
        <w:rPr>
          <w:bCs/>
          <w:sz w:val="24"/>
        </w:rPr>
        <w:t>沼液暂存池</w:t>
      </w:r>
      <w:r>
        <w:rPr>
          <w:rFonts w:hint="eastAsia"/>
          <w:bCs/>
          <w:sz w:val="24"/>
        </w:rPr>
        <w:t>密闭</w:t>
      </w:r>
      <w:r>
        <w:rPr>
          <w:bCs/>
          <w:sz w:val="24"/>
        </w:rPr>
        <w:t>，不再定量计算分析，评价要求通过加强暂存池周边绿化建设，定期喷洒除臭剂，降低恶臭气体影响</w:t>
      </w:r>
      <w:r>
        <w:rPr>
          <w:rFonts w:hint="eastAsia"/>
          <w:bCs/>
          <w:sz w:val="24"/>
        </w:rPr>
        <w:t>。</w:t>
      </w:r>
    </w:p>
    <w:p>
      <w:pPr>
        <w:spacing w:line="520" w:lineRule="exact"/>
        <w:ind w:firstLine="480" w:firstLineChars="200"/>
        <w:rPr>
          <w:sz w:val="24"/>
        </w:rPr>
      </w:pPr>
      <w:r>
        <w:rPr>
          <w:sz w:val="24"/>
        </w:rPr>
        <w:t>D、</w:t>
      </w:r>
      <w:r>
        <w:rPr>
          <w:rFonts w:hint="eastAsia"/>
          <w:sz w:val="24"/>
        </w:rPr>
        <w:t>固粪处理区恶臭</w:t>
      </w:r>
    </w:p>
    <w:p>
      <w:pPr>
        <w:spacing w:line="500" w:lineRule="exact"/>
        <w:ind w:firstLine="480" w:firstLineChars="200"/>
        <w:rPr>
          <w:sz w:val="24"/>
          <w:highlight w:val="yellow"/>
        </w:rPr>
      </w:pPr>
      <w:r>
        <w:rPr>
          <w:rFonts w:hint="eastAsia" w:hAnsi="宋体"/>
          <w:bCs/>
          <w:sz w:val="24"/>
        </w:rPr>
        <w:t>项目对固液分离后产生的粪渣采取好氧堆肥方式进行处置。</w:t>
      </w:r>
      <w:r>
        <w:rPr>
          <w:rFonts w:hAnsi="宋体"/>
          <w:bCs/>
          <w:sz w:val="24"/>
        </w:rPr>
        <w:t>项目猪粪</w:t>
      </w:r>
      <w:r>
        <w:rPr>
          <w:rFonts w:hint="eastAsia" w:hAnsi="宋体"/>
          <w:bCs/>
          <w:sz w:val="24"/>
        </w:rPr>
        <w:t>经固液分离</w:t>
      </w:r>
      <w:r>
        <w:rPr>
          <w:rFonts w:hAnsi="宋体"/>
          <w:bCs/>
          <w:sz w:val="24"/>
        </w:rPr>
        <w:t>后清至</w:t>
      </w:r>
      <w:r>
        <w:rPr>
          <w:rFonts w:hint="eastAsia" w:hAnsi="宋体"/>
          <w:bCs/>
          <w:sz w:val="24"/>
        </w:rPr>
        <w:t>固粪堆存区</w:t>
      </w:r>
      <w:r>
        <w:rPr>
          <w:rFonts w:hAnsi="宋体"/>
          <w:bCs/>
          <w:sz w:val="24"/>
        </w:rPr>
        <w:t>进行</w:t>
      </w:r>
      <w:r>
        <w:rPr>
          <w:rFonts w:hint="eastAsia" w:hAnsi="宋体"/>
          <w:bCs/>
          <w:sz w:val="24"/>
        </w:rPr>
        <w:t>堆肥发酵</w:t>
      </w:r>
      <w:r>
        <w:rPr>
          <w:rFonts w:hAnsi="宋体"/>
          <w:bCs/>
          <w:sz w:val="24"/>
        </w:rPr>
        <w:t>，沼渣</w:t>
      </w:r>
      <w:r>
        <w:rPr>
          <w:rFonts w:hint="eastAsia" w:hAnsi="宋体"/>
          <w:bCs/>
          <w:sz w:val="24"/>
        </w:rPr>
        <w:t>经固液分离后</w:t>
      </w:r>
      <w:r>
        <w:rPr>
          <w:rFonts w:hAnsi="宋体"/>
          <w:bCs/>
          <w:sz w:val="24"/>
        </w:rPr>
        <w:t>泵至</w:t>
      </w:r>
      <w:r>
        <w:rPr>
          <w:rFonts w:hint="eastAsia" w:hAnsi="宋体"/>
          <w:bCs/>
          <w:sz w:val="24"/>
        </w:rPr>
        <w:t>固粪处理区沼渣</w:t>
      </w:r>
      <w:r>
        <w:rPr>
          <w:rFonts w:hAnsi="宋体"/>
          <w:bCs/>
          <w:sz w:val="24"/>
        </w:rPr>
        <w:t>干化池内干化</w:t>
      </w:r>
      <w:r>
        <w:rPr>
          <w:rFonts w:hint="eastAsia" w:hAnsi="宋体"/>
          <w:bCs/>
          <w:sz w:val="24"/>
        </w:rPr>
        <w:t>。</w:t>
      </w:r>
      <w:r>
        <w:rPr>
          <w:rFonts w:hAnsi="宋体"/>
          <w:bCs/>
          <w:sz w:val="24"/>
        </w:rPr>
        <w:t>建设单位拟</w:t>
      </w:r>
      <w:r>
        <w:rPr>
          <w:rFonts w:hint="eastAsia" w:hAnsi="宋体"/>
          <w:bCs/>
          <w:sz w:val="24"/>
        </w:rPr>
        <w:t>设置</w:t>
      </w:r>
      <w:r>
        <w:rPr>
          <w:rFonts w:hAnsi="宋体"/>
          <w:bCs/>
          <w:sz w:val="24"/>
        </w:rPr>
        <w:t>1</w:t>
      </w:r>
      <w:r>
        <w:rPr>
          <w:rFonts w:hint="eastAsia" w:hAnsi="宋体"/>
          <w:bCs/>
          <w:sz w:val="24"/>
        </w:rPr>
        <w:t>个固粪堆存区</w:t>
      </w:r>
      <w:r>
        <w:rPr>
          <w:rFonts w:hAnsi="宋体"/>
          <w:bCs/>
          <w:sz w:val="24"/>
        </w:rPr>
        <w:t>（</w:t>
      </w:r>
      <w:r>
        <w:rPr>
          <w:rFonts w:hint="eastAsia" w:hAnsi="宋体"/>
          <w:bCs/>
          <w:sz w:val="24"/>
        </w:rPr>
        <w:t>四面设置围墙等</w:t>
      </w:r>
      <w:r>
        <w:rPr>
          <w:rFonts w:hAnsi="宋体"/>
          <w:bCs/>
          <w:sz w:val="24"/>
        </w:rPr>
        <w:t>进行封闭</w:t>
      </w:r>
      <w:r>
        <w:rPr>
          <w:rFonts w:hint="eastAsia" w:hAnsi="宋体"/>
          <w:bCs/>
          <w:sz w:val="24"/>
        </w:rPr>
        <w:t>、顶部设置彩</w:t>
      </w:r>
    </w:p>
    <w:p>
      <w:pPr>
        <w:spacing w:line="500" w:lineRule="exact"/>
        <w:rPr>
          <w:rFonts w:hint="eastAsia" w:hAnsi="宋体"/>
          <w:bCs/>
          <w:sz w:val="24"/>
          <w:highlight w:val="none"/>
        </w:rPr>
      </w:pPr>
      <w:r>
        <w:rPr>
          <w:rFonts w:hint="eastAsia" w:hAnsi="宋体"/>
          <w:bCs/>
          <w:sz w:val="24"/>
        </w:rPr>
        <w:t>瓦顶</w:t>
      </w:r>
      <w:r>
        <w:rPr>
          <w:rFonts w:hint="eastAsia" w:hAnsi="宋体"/>
          <w:bCs/>
          <w:sz w:val="24"/>
          <w:highlight w:val="none"/>
        </w:rPr>
        <w:t>棚、底部地面硬化防渗处理</w:t>
      </w:r>
      <w:r>
        <w:rPr>
          <w:rFonts w:hAnsi="宋体"/>
          <w:bCs/>
          <w:sz w:val="24"/>
          <w:highlight w:val="none"/>
        </w:rPr>
        <w:t>）</w:t>
      </w:r>
      <w:r>
        <w:rPr>
          <w:rFonts w:hint="eastAsia" w:hAnsi="宋体"/>
          <w:bCs/>
          <w:sz w:val="24"/>
          <w:highlight w:val="none"/>
        </w:rPr>
        <w:t>。</w:t>
      </w:r>
    </w:p>
    <w:p>
      <w:pPr>
        <w:spacing w:line="500" w:lineRule="exact"/>
        <w:ind w:firstLine="480" w:firstLineChars="200"/>
        <w:rPr>
          <w:sz w:val="24"/>
          <w:highlight w:val="none"/>
        </w:rPr>
      </w:pPr>
      <w:r>
        <w:rPr>
          <w:rFonts w:hint="eastAsia" w:hAnsi="宋体"/>
          <w:bCs/>
          <w:sz w:val="24"/>
          <w:highlight w:val="none"/>
        </w:rPr>
        <w:t>根据《养猪场恶臭影响量化分析及控制对策研究》中的资料显示，以及根据类比同类已通过验收的实际运营的固粪堆存区的</w:t>
      </w:r>
      <w:r>
        <w:rPr>
          <w:bCs/>
          <w:sz w:val="24"/>
          <w:highlight w:val="none"/>
        </w:rPr>
        <w:t>H</w:t>
      </w:r>
      <w:r>
        <w:rPr>
          <w:bCs/>
          <w:sz w:val="24"/>
          <w:highlight w:val="none"/>
          <w:vertAlign w:val="subscript"/>
        </w:rPr>
        <w:t>2</w:t>
      </w:r>
      <w:r>
        <w:rPr>
          <w:bCs/>
          <w:sz w:val="24"/>
          <w:highlight w:val="none"/>
        </w:rPr>
        <w:t>S</w:t>
      </w:r>
      <w:r>
        <w:rPr>
          <w:rFonts w:hint="eastAsia"/>
          <w:bCs/>
          <w:sz w:val="24"/>
          <w:highlight w:val="none"/>
        </w:rPr>
        <w:t>和</w:t>
      </w:r>
      <w:r>
        <w:rPr>
          <w:bCs/>
          <w:sz w:val="24"/>
          <w:highlight w:val="none"/>
        </w:rPr>
        <w:t>NH</w:t>
      </w:r>
      <w:r>
        <w:rPr>
          <w:bCs/>
          <w:sz w:val="24"/>
          <w:highlight w:val="none"/>
          <w:vertAlign w:val="subscript"/>
        </w:rPr>
        <w:t>3</w:t>
      </w:r>
      <w:r>
        <w:rPr>
          <w:rFonts w:hAnsi="宋体"/>
          <w:bCs/>
          <w:sz w:val="24"/>
          <w:highlight w:val="none"/>
        </w:rPr>
        <w:t>的</w:t>
      </w:r>
      <w:r>
        <w:rPr>
          <w:rFonts w:hint="eastAsia" w:hAnsi="宋体"/>
          <w:bCs/>
          <w:sz w:val="24"/>
          <w:highlight w:val="none"/>
        </w:rPr>
        <w:t>产生速率：</w:t>
      </w:r>
      <w:r>
        <w:rPr>
          <w:bCs/>
          <w:sz w:val="24"/>
          <w:highlight w:val="none"/>
        </w:rPr>
        <w:t>H</w:t>
      </w:r>
      <w:r>
        <w:rPr>
          <w:bCs/>
          <w:sz w:val="24"/>
          <w:highlight w:val="none"/>
          <w:vertAlign w:val="subscript"/>
        </w:rPr>
        <w:t>2</w:t>
      </w:r>
      <w:r>
        <w:rPr>
          <w:bCs/>
          <w:sz w:val="24"/>
          <w:highlight w:val="none"/>
        </w:rPr>
        <w:t>S</w:t>
      </w:r>
      <w:r>
        <w:rPr>
          <w:rFonts w:hint="eastAsia" w:hAnsi="宋体"/>
          <w:bCs/>
          <w:sz w:val="24"/>
          <w:highlight w:val="none"/>
        </w:rPr>
        <w:t>产生速率</w:t>
      </w:r>
      <w:r>
        <w:rPr>
          <w:rFonts w:hAnsi="宋体"/>
          <w:bCs/>
          <w:sz w:val="24"/>
          <w:highlight w:val="none"/>
        </w:rPr>
        <w:t>为</w:t>
      </w:r>
      <w:r>
        <w:rPr>
          <w:rFonts w:hint="eastAsia" w:hAnsi="宋体"/>
          <w:bCs/>
          <w:sz w:val="24"/>
          <w:highlight w:val="none"/>
        </w:rPr>
        <w:t>0.3g/m</w:t>
      </w:r>
      <w:r>
        <w:rPr>
          <w:rFonts w:hint="eastAsia" w:hAnsi="宋体"/>
          <w:bCs/>
          <w:sz w:val="24"/>
          <w:highlight w:val="none"/>
          <w:vertAlign w:val="superscript"/>
        </w:rPr>
        <w:t>2</w:t>
      </w:r>
      <w:r>
        <w:rPr>
          <w:rFonts w:hAnsi="宋体"/>
          <w:bCs/>
          <w:sz w:val="24"/>
          <w:highlight w:val="none"/>
        </w:rPr>
        <w:t>*d，</w:t>
      </w:r>
      <w:r>
        <w:rPr>
          <w:bCs/>
          <w:sz w:val="24"/>
          <w:highlight w:val="none"/>
        </w:rPr>
        <w:t>NH</w:t>
      </w:r>
      <w:r>
        <w:rPr>
          <w:bCs/>
          <w:sz w:val="24"/>
          <w:highlight w:val="none"/>
          <w:vertAlign w:val="subscript"/>
        </w:rPr>
        <w:t>3</w:t>
      </w:r>
      <w:r>
        <w:rPr>
          <w:rFonts w:hAnsi="宋体"/>
          <w:bCs/>
          <w:sz w:val="24"/>
          <w:highlight w:val="none"/>
        </w:rPr>
        <w:t>的</w:t>
      </w:r>
      <w:r>
        <w:rPr>
          <w:rFonts w:hint="eastAsia" w:hAnsi="宋体"/>
          <w:bCs/>
          <w:sz w:val="24"/>
          <w:highlight w:val="none"/>
        </w:rPr>
        <w:t>产生速率</w:t>
      </w:r>
      <w:r>
        <w:rPr>
          <w:rFonts w:hAnsi="宋体"/>
          <w:bCs/>
          <w:sz w:val="24"/>
          <w:highlight w:val="none"/>
        </w:rPr>
        <w:t>为5</w:t>
      </w:r>
      <w:r>
        <w:rPr>
          <w:rFonts w:hint="eastAsia" w:hAnsi="宋体"/>
          <w:bCs/>
          <w:sz w:val="24"/>
          <w:highlight w:val="none"/>
        </w:rPr>
        <w:t>g/m</w:t>
      </w:r>
      <w:r>
        <w:rPr>
          <w:rFonts w:hint="eastAsia" w:hAnsi="宋体"/>
          <w:bCs/>
          <w:sz w:val="24"/>
          <w:highlight w:val="none"/>
          <w:vertAlign w:val="superscript"/>
        </w:rPr>
        <w:t>2</w:t>
      </w:r>
      <w:r>
        <w:rPr>
          <w:rFonts w:hAnsi="宋体"/>
          <w:bCs/>
          <w:sz w:val="24"/>
          <w:highlight w:val="none"/>
        </w:rPr>
        <w:t>*d</w:t>
      </w:r>
      <w:r>
        <w:rPr>
          <w:rFonts w:hint="eastAsia" w:hAnsi="宋体"/>
          <w:bCs/>
          <w:sz w:val="24"/>
          <w:highlight w:val="none"/>
        </w:rPr>
        <w:t>，堆肥区</w:t>
      </w:r>
      <w:r>
        <w:rPr>
          <w:rFonts w:hAnsi="宋体"/>
          <w:bCs/>
          <w:sz w:val="24"/>
          <w:highlight w:val="none"/>
        </w:rPr>
        <w:t>面积为</w:t>
      </w:r>
      <w:r>
        <w:rPr>
          <w:rFonts w:hint="eastAsia" w:hAnsi="宋体"/>
          <w:bCs/>
          <w:sz w:val="24"/>
          <w:highlight w:val="none"/>
        </w:rPr>
        <w:t>360m</w:t>
      </w:r>
      <w:r>
        <w:rPr>
          <w:rFonts w:hint="eastAsia" w:hAnsi="宋体"/>
          <w:bCs/>
          <w:sz w:val="24"/>
          <w:highlight w:val="none"/>
          <w:vertAlign w:val="superscript"/>
        </w:rPr>
        <w:t>2</w:t>
      </w:r>
      <w:r>
        <w:rPr>
          <w:rFonts w:hint="eastAsia" w:hAnsi="宋体"/>
          <w:bCs/>
          <w:sz w:val="24"/>
          <w:highlight w:val="none"/>
        </w:rPr>
        <w:t>，年</w:t>
      </w:r>
      <w:r>
        <w:rPr>
          <w:rFonts w:hAnsi="宋体"/>
          <w:bCs/>
          <w:sz w:val="24"/>
          <w:highlight w:val="none"/>
        </w:rPr>
        <w:t>堆肥</w:t>
      </w:r>
      <w:r>
        <w:rPr>
          <w:rFonts w:hint="eastAsia" w:hAnsi="宋体"/>
          <w:bCs/>
          <w:sz w:val="24"/>
          <w:highlight w:val="none"/>
        </w:rPr>
        <w:t>300</w:t>
      </w:r>
      <w:r>
        <w:rPr>
          <w:rFonts w:hAnsi="宋体"/>
          <w:bCs/>
          <w:sz w:val="24"/>
          <w:highlight w:val="none"/>
        </w:rPr>
        <w:t>d</w:t>
      </w:r>
      <w:r>
        <w:rPr>
          <w:rFonts w:hint="eastAsia" w:hAnsi="宋体"/>
          <w:bCs/>
          <w:sz w:val="24"/>
          <w:highlight w:val="none"/>
        </w:rPr>
        <w:t>，经计算</w:t>
      </w:r>
      <w:r>
        <w:rPr>
          <w:bCs/>
          <w:sz w:val="24"/>
          <w:highlight w:val="none"/>
        </w:rPr>
        <w:t>H</w:t>
      </w:r>
      <w:r>
        <w:rPr>
          <w:bCs/>
          <w:sz w:val="24"/>
          <w:highlight w:val="none"/>
          <w:vertAlign w:val="subscript"/>
        </w:rPr>
        <w:t>2</w:t>
      </w:r>
      <w:r>
        <w:rPr>
          <w:bCs/>
          <w:sz w:val="24"/>
          <w:highlight w:val="none"/>
        </w:rPr>
        <w:t>S</w:t>
      </w:r>
      <w:r>
        <w:rPr>
          <w:rFonts w:hAnsi="宋体"/>
          <w:bCs/>
          <w:sz w:val="24"/>
          <w:highlight w:val="none"/>
        </w:rPr>
        <w:t>的</w:t>
      </w:r>
      <w:r>
        <w:rPr>
          <w:rFonts w:hint="eastAsia" w:hAnsi="宋体"/>
          <w:bCs/>
          <w:sz w:val="24"/>
          <w:highlight w:val="none"/>
        </w:rPr>
        <w:t>产生量</w:t>
      </w:r>
      <w:r>
        <w:rPr>
          <w:rFonts w:hAnsi="宋体"/>
          <w:bCs/>
          <w:sz w:val="24"/>
          <w:highlight w:val="none"/>
        </w:rPr>
        <w:t>为0.03</w:t>
      </w:r>
      <w:r>
        <w:rPr>
          <w:rFonts w:hint="eastAsia" w:hAnsi="宋体"/>
          <w:bCs/>
          <w:sz w:val="24"/>
          <w:highlight w:val="none"/>
        </w:rPr>
        <w:t>2</w:t>
      </w:r>
      <w:r>
        <w:rPr>
          <w:rFonts w:hAnsi="宋体"/>
          <w:bCs/>
          <w:sz w:val="24"/>
          <w:highlight w:val="none"/>
        </w:rPr>
        <w:t>t</w:t>
      </w:r>
      <w:r>
        <w:rPr>
          <w:rFonts w:hint="eastAsia" w:hAnsi="宋体"/>
          <w:bCs/>
          <w:sz w:val="24"/>
          <w:highlight w:val="none"/>
        </w:rPr>
        <w:t>/</w:t>
      </w:r>
      <w:r>
        <w:rPr>
          <w:rFonts w:hAnsi="宋体"/>
          <w:bCs/>
          <w:sz w:val="24"/>
          <w:highlight w:val="none"/>
        </w:rPr>
        <w:t>a，</w:t>
      </w:r>
      <w:r>
        <w:rPr>
          <w:bCs/>
          <w:sz w:val="24"/>
          <w:highlight w:val="none"/>
        </w:rPr>
        <w:t>NH</w:t>
      </w:r>
      <w:r>
        <w:rPr>
          <w:bCs/>
          <w:sz w:val="24"/>
          <w:highlight w:val="none"/>
          <w:vertAlign w:val="subscript"/>
        </w:rPr>
        <w:t>3</w:t>
      </w:r>
      <w:r>
        <w:rPr>
          <w:rFonts w:hAnsi="宋体"/>
          <w:bCs/>
          <w:sz w:val="24"/>
          <w:highlight w:val="none"/>
        </w:rPr>
        <w:t>的</w:t>
      </w:r>
      <w:r>
        <w:rPr>
          <w:rFonts w:hint="eastAsia" w:hAnsi="宋体"/>
          <w:bCs/>
          <w:sz w:val="24"/>
          <w:highlight w:val="none"/>
        </w:rPr>
        <w:t>产生量</w:t>
      </w:r>
      <w:r>
        <w:rPr>
          <w:rFonts w:hAnsi="宋体"/>
          <w:bCs/>
          <w:sz w:val="24"/>
          <w:highlight w:val="none"/>
        </w:rPr>
        <w:t>为0.</w:t>
      </w:r>
      <w:r>
        <w:rPr>
          <w:rFonts w:hint="eastAsia" w:hAnsi="宋体"/>
          <w:bCs/>
          <w:sz w:val="24"/>
          <w:highlight w:val="none"/>
        </w:rPr>
        <w:t>54</w:t>
      </w:r>
      <w:r>
        <w:rPr>
          <w:rFonts w:hAnsi="宋体"/>
          <w:bCs/>
          <w:sz w:val="24"/>
          <w:highlight w:val="none"/>
        </w:rPr>
        <w:t>t</w:t>
      </w:r>
      <w:r>
        <w:rPr>
          <w:rFonts w:hint="eastAsia" w:hAnsi="宋体"/>
          <w:bCs/>
          <w:sz w:val="24"/>
          <w:highlight w:val="none"/>
        </w:rPr>
        <w:t>/</w:t>
      </w:r>
      <w:r>
        <w:rPr>
          <w:rFonts w:hAnsi="宋体"/>
          <w:bCs/>
          <w:sz w:val="24"/>
          <w:highlight w:val="none"/>
        </w:rPr>
        <w:t>a</w:t>
      </w:r>
      <w:r>
        <w:rPr>
          <w:rFonts w:hint="eastAsia" w:hAnsi="宋体"/>
          <w:bCs/>
          <w:sz w:val="24"/>
          <w:highlight w:val="none"/>
        </w:rPr>
        <w:t>。</w:t>
      </w:r>
      <w:r>
        <w:rPr>
          <w:sz w:val="24"/>
          <w:highlight w:val="none"/>
        </w:rPr>
        <w:t>本项目各恶臭气体产排情况结果见表2.3-5。</w:t>
      </w:r>
    </w:p>
    <w:p>
      <w:pPr>
        <w:kinsoku w:val="0"/>
        <w:overflowPunct w:val="0"/>
        <w:spacing w:after="72" w:afterLines="30" w:line="500" w:lineRule="exact"/>
        <w:jc w:val="center"/>
        <w:rPr>
          <w:b/>
          <w:sz w:val="24"/>
        </w:rPr>
      </w:pPr>
      <w:r>
        <w:rPr>
          <w:b/>
          <w:sz w:val="24"/>
        </w:rPr>
        <w:t>表2.3-5    项目养殖过程猪舍恶臭气体产生及排放情况一览表</w:t>
      </w:r>
    </w:p>
    <w:tbl>
      <w:tblPr>
        <w:tblStyle w:val="17"/>
        <w:tblpPr w:leftFromText="180" w:rightFromText="180" w:vertAnchor="text" w:tblpY="1"/>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484"/>
        <w:gridCol w:w="1121"/>
        <w:gridCol w:w="1571"/>
        <w:gridCol w:w="821"/>
        <w:gridCol w:w="3676"/>
        <w:gridCol w:w="11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blHeader/>
        </w:trPr>
        <w:tc>
          <w:tcPr>
            <w:tcW w:w="484" w:type="dxa"/>
            <w:noWrap w:val="0"/>
            <w:vAlign w:val="center"/>
          </w:tcPr>
          <w:p>
            <w:pPr>
              <w:spacing w:line="260" w:lineRule="exact"/>
              <w:jc w:val="center"/>
              <w:rPr>
                <w:b/>
                <w:snapToGrid w:val="0"/>
                <w:spacing w:val="-4"/>
                <w:szCs w:val="21"/>
              </w:rPr>
            </w:pPr>
            <w:r>
              <w:rPr>
                <w:b/>
                <w:snapToGrid w:val="0"/>
                <w:spacing w:val="-4"/>
                <w:szCs w:val="21"/>
              </w:rPr>
              <w:t>序号</w:t>
            </w:r>
          </w:p>
        </w:tc>
        <w:tc>
          <w:tcPr>
            <w:tcW w:w="1121" w:type="dxa"/>
            <w:noWrap w:val="0"/>
            <w:vAlign w:val="center"/>
          </w:tcPr>
          <w:p>
            <w:pPr>
              <w:spacing w:line="260" w:lineRule="exact"/>
              <w:jc w:val="center"/>
              <w:rPr>
                <w:b/>
                <w:snapToGrid w:val="0"/>
                <w:spacing w:val="-4"/>
                <w:szCs w:val="21"/>
              </w:rPr>
            </w:pPr>
            <w:r>
              <w:rPr>
                <w:b/>
                <w:snapToGrid w:val="0"/>
                <w:spacing w:val="-4"/>
                <w:szCs w:val="21"/>
              </w:rPr>
              <w:t>主要污染物</w:t>
            </w:r>
          </w:p>
        </w:tc>
        <w:tc>
          <w:tcPr>
            <w:tcW w:w="1571" w:type="dxa"/>
            <w:noWrap w:val="0"/>
            <w:vAlign w:val="center"/>
          </w:tcPr>
          <w:p>
            <w:pPr>
              <w:spacing w:line="260" w:lineRule="exact"/>
              <w:jc w:val="center"/>
              <w:rPr>
                <w:b/>
                <w:szCs w:val="21"/>
              </w:rPr>
            </w:pPr>
            <w:r>
              <w:rPr>
                <w:b/>
                <w:szCs w:val="21"/>
              </w:rPr>
              <w:t>污  染  源</w:t>
            </w:r>
          </w:p>
        </w:tc>
        <w:tc>
          <w:tcPr>
            <w:tcW w:w="821" w:type="dxa"/>
            <w:noWrap w:val="0"/>
            <w:vAlign w:val="center"/>
          </w:tcPr>
          <w:p>
            <w:pPr>
              <w:spacing w:line="260" w:lineRule="exact"/>
              <w:jc w:val="center"/>
              <w:rPr>
                <w:b/>
                <w:snapToGrid w:val="0"/>
                <w:spacing w:val="-4"/>
                <w:szCs w:val="21"/>
              </w:rPr>
            </w:pPr>
            <w:r>
              <w:rPr>
                <w:b/>
                <w:snapToGrid w:val="0"/>
                <w:spacing w:val="-4"/>
                <w:szCs w:val="21"/>
              </w:rPr>
              <w:t>产生量</w:t>
            </w:r>
          </w:p>
          <w:p>
            <w:pPr>
              <w:spacing w:line="260" w:lineRule="exact"/>
              <w:jc w:val="center"/>
              <w:rPr>
                <w:b/>
                <w:snapToGrid w:val="0"/>
                <w:spacing w:val="-4"/>
                <w:szCs w:val="21"/>
              </w:rPr>
            </w:pPr>
            <w:r>
              <w:rPr>
                <w:b/>
                <w:snapToGrid w:val="0"/>
                <w:spacing w:val="-4"/>
                <w:szCs w:val="21"/>
              </w:rPr>
              <w:t>(t/a)</w:t>
            </w:r>
          </w:p>
        </w:tc>
        <w:tc>
          <w:tcPr>
            <w:tcW w:w="3676" w:type="dxa"/>
            <w:noWrap w:val="0"/>
            <w:vAlign w:val="center"/>
          </w:tcPr>
          <w:p>
            <w:pPr>
              <w:spacing w:line="260" w:lineRule="exact"/>
              <w:jc w:val="center"/>
              <w:rPr>
                <w:b/>
                <w:snapToGrid w:val="0"/>
                <w:spacing w:val="-4"/>
                <w:szCs w:val="21"/>
              </w:rPr>
            </w:pPr>
            <w:r>
              <w:rPr>
                <w:b/>
                <w:snapToGrid w:val="0"/>
                <w:spacing w:val="-4"/>
                <w:szCs w:val="21"/>
              </w:rPr>
              <w:t>拟处理措施</w:t>
            </w:r>
          </w:p>
        </w:tc>
        <w:tc>
          <w:tcPr>
            <w:tcW w:w="1115" w:type="dxa"/>
            <w:noWrap w:val="0"/>
            <w:vAlign w:val="center"/>
          </w:tcPr>
          <w:p>
            <w:pPr>
              <w:spacing w:line="260" w:lineRule="exact"/>
              <w:jc w:val="center"/>
              <w:rPr>
                <w:b/>
                <w:snapToGrid w:val="0"/>
                <w:spacing w:val="-4"/>
                <w:szCs w:val="21"/>
              </w:rPr>
            </w:pPr>
            <w:r>
              <w:rPr>
                <w:b/>
                <w:snapToGrid w:val="0"/>
                <w:spacing w:val="-4"/>
                <w:szCs w:val="21"/>
              </w:rPr>
              <w:t>排放量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577" w:hRule="atLeast"/>
        </w:trPr>
        <w:tc>
          <w:tcPr>
            <w:tcW w:w="484" w:type="dxa"/>
            <w:vMerge w:val="restart"/>
            <w:noWrap w:val="0"/>
            <w:vAlign w:val="center"/>
          </w:tcPr>
          <w:p>
            <w:pPr>
              <w:spacing w:line="260" w:lineRule="exact"/>
              <w:jc w:val="center"/>
              <w:rPr>
                <w:rFonts w:hint="eastAsia"/>
                <w:snapToGrid w:val="0"/>
                <w:spacing w:val="-4"/>
                <w:szCs w:val="21"/>
              </w:rPr>
            </w:pPr>
            <w:r>
              <w:rPr>
                <w:snapToGrid w:val="0"/>
                <w:spacing w:val="-4"/>
                <w:szCs w:val="21"/>
              </w:rPr>
              <w:t>1</w:t>
            </w:r>
          </w:p>
        </w:tc>
        <w:tc>
          <w:tcPr>
            <w:tcW w:w="1121" w:type="dxa"/>
            <w:noWrap w:val="0"/>
            <w:vAlign w:val="center"/>
          </w:tcPr>
          <w:p>
            <w:pPr>
              <w:spacing w:line="260" w:lineRule="exact"/>
              <w:jc w:val="center"/>
              <w:rPr>
                <w:snapToGrid w:val="0"/>
                <w:spacing w:val="-4"/>
                <w:szCs w:val="21"/>
                <w:vertAlign w:val="subscript"/>
              </w:rPr>
            </w:pPr>
            <w:r>
              <w:rPr>
                <w:snapToGrid w:val="0"/>
                <w:spacing w:val="-4"/>
                <w:szCs w:val="21"/>
              </w:rPr>
              <w:t>NH</w:t>
            </w:r>
            <w:r>
              <w:rPr>
                <w:snapToGrid w:val="0"/>
                <w:spacing w:val="-4"/>
                <w:szCs w:val="21"/>
                <w:vertAlign w:val="subscript"/>
              </w:rPr>
              <w:t>3</w:t>
            </w:r>
          </w:p>
        </w:tc>
        <w:tc>
          <w:tcPr>
            <w:tcW w:w="1571" w:type="dxa"/>
            <w:vMerge w:val="restart"/>
            <w:noWrap w:val="0"/>
            <w:vAlign w:val="center"/>
          </w:tcPr>
          <w:p>
            <w:pPr>
              <w:spacing w:line="260" w:lineRule="exact"/>
              <w:jc w:val="center"/>
              <w:rPr>
                <w:szCs w:val="21"/>
              </w:rPr>
            </w:pPr>
            <w:r>
              <w:rPr>
                <w:szCs w:val="21"/>
              </w:rPr>
              <w:t>猪舍</w:t>
            </w:r>
          </w:p>
        </w:tc>
        <w:tc>
          <w:tcPr>
            <w:tcW w:w="821" w:type="dxa"/>
            <w:noWrap w:val="0"/>
            <w:vAlign w:val="center"/>
          </w:tcPr>
          <w:p>
            <w:pPr>
              <w:spacing w:line="260" w:lineRule="exact"/>
              <w:jc w:val="center"/>
              <w:rPr>
                <w:rFonts w:hint="eastAsia" w:eastAsia="宋体"/>
                <w:snapToGrid w:val="0"/>
                <w:spacing w:val="-4"/>
                <w:szCs w:val="21"/>
                <w:lang w:eastAsia="zh-CN"/>
              </w:rPr>
            </w:pPr>
            <w:r>
              <w:rPr>
                <w:rFonts w:hint="eastAsia"/>
                <w:snapToGrid w:val="0"/>
                <w:spacing w:val="-4"/>
                <w:szCs w:val="21"/>
                <w:lang w:eastAsia="zh-CN"/>
              </w:rPr>
              <w:t>0.3066</w:t>
            </w:r>
          </w:p>
        </w:tc>
        <w:tc>
          <w:tcPr>
            <w:tcW w:w="3676" w:type="dxa"/>
            <w:vMerge w:val="restart"/>
            <w:noWrap w:val="0"/>
            <w:vAlign w:val="center"/>
          </w:tcPr>
          <w:p>
            <w:pPr>
              <w:spacing w:line="260" w:lineRule="exact"/>
              <w:jc w:val="center"/>
              <w:rPr>
                <w:snapToGrid w:val="0"/>
                <w:spacing w:val="-4"/>
                <w:szCs w:val="21"/>
              </w:rPr>
            </w:pPr>
            <w:r>
              <w:rPr>
                <w:szCs w:val="21"/>
              </w:rPr>
              <w:t>控制饲养密度、采用节水型饮水器、加强通风、全漏缝地板，</w:t>
            </w:r>
            <w:r>
              <w:rPr>
                <w:rFonts w:hint="eastAsia"/>
                <w:szCs w:val="21"/>
              </w:rPr>
              <w:t>周边</w:t>
            </w:r>
            <w:r>
              <w:rPr>
                <w:szCs w:val="21"/>
              </w:rPr>
              <w:t>种植</w:t>
            </w:r>
            <w:r>
              <w:rPr>
                <w:rFonts w:hint="eastAsia"/>
                <w:szCs w:val="21"/>
              </w:rPr>
              <w:t>细分恶臭</w:t>
            </w:r>
            <w:r>
              <w:rPr>
                <w:szCs w:val="21"/>
              </w:rPr>
              <w:t>气体的绿植</w:t>
            </w:r>
            <w:r>
              <w:rPr>
                <w:rFonts w:hint="eastAsia"/>
                <w:szCs w:val="21"/>
              </w:rPr>
              <w:t>喷洒除臭剂，</w:t>
            </w:r>
            <w:r>
              <w:rPr>
                <w:szCs w:val="21"/>
              </w:rPr>
              <w:t>去除效率可达到</w:t>
            </w:r>
            <w:r>
              <w:rPr>
                <w:rFonts w:hint="eastAsia"/>
                <w:szCs w:val="21"/>
              </w:rPr>
              <w:t>7</w:t>
            </w:r>
            <w:r>
              <w:rPr>
                <w:szCs w:val="21"/>
              </w:rPr>
              <w:t>0%</w:t>
            </w:r>
          </w:p>
        </w:tc>
        <w:tc>
          <w:tcPr>
            <w:tcW w:w="1115" w:type="dxa"/>
            <w:noWrap w:val="0"/>
            <w:vAlign w:val="center"/>
          </w:tcPr>
          <w:p>
            <w:pPr>
              <w:spacing w:line="260" w:lineRule="exact"/>
              <w:jc w:val="center"/>
              <w:rPr>
                <w:rFonts w:hint="eastAsia" w:eastAsia="宋体"/>
                <w:snapToGrid w:val="0"/>
                <w:spacing w:val="-4"/>
                <w:szCs w:val="21"/>
                <w:lang w:eastAsia="zh-CN"/>
              </w:rPr>
            </w:pPr>
            <w:r>
              <w:rPr>
                <w:rFonts w:hint="eastAsia"/>
                <w:snapToGrid w:val="0"/>
                <w:spacing w:val="-4"/>
                <w:szCs w:val="21"/>
                <w:lang w:eastAsia="zh-CN"/>
              </w:rPr>
              <w:t>0.0919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84" w:type="dxa"/>
            <w:vMerge w:val="continue"/>
            <w:noWrap w:val="0"/>
            <w:vAlign w:val="center"/>
          </w:tcPr>
          <w:p>
            <w:pPr>
              <w:spacing w:line="260" w:lineRule="exact"/>
              <w:jc w:val="center"/>
              <w:rPr>
                <w:snapToGrid w:val="0"/>
                <w:spacing w:val="-4"/>
                <w:szCs w:val="21"/>
              </w:rPr>
            </w:pPr>
          </w:p>
        </w:tc>
        <w:tc>
          <w:tcPr>
            <w:tcW w:w="1121" w:type="dxa"/>
            <w:noWrap w:val="0"/>
            <w:vAlign w:val="center"/>
          </w:tcPr>
          <w:p>
            <w:pPr>
              <w:spacing w:line="260" w:lineRule="exact"/>
              <w:jc w:val="center"/>
              <w:rPr>
                <w:snapToGrid w:val="0"/>
                <w:spacing w:val="-4"/>
                <w:szCs w:val="21"/>
              </w:rPr>
            </w:pPr>
            <w:r>
              <w:rPr>
                <w:snapToGrid w:val="0"/>
                <w:spacing w:val="-4"/>
                <w:szCs w:val="21"/>
              </w:rPr>
              <w:t>H</w:t>
            </w:r>
            <w:r>
              <w:rPr>
                <w:snapToGrid w:val="0"/>
                <w:spacing w:val="-4"/>
                <w:szCs w:val="21"/>
                <w:vertAlign w:val="subscript"/>
              </w:rPr>
              <w:t>2</w:t>
            </w:r>
            <w:r>
              <w:rPr>
                <w:snapToGrid w:val="0"/>
                <w:spacing w:val="-4"/>
                <w:szCs w:val="21"/>
              </w:rPr>
              <w:t>S</w:t>
            </w:r>
          </w:p>
        </w:tc>
        <w:tc>
          <w:tcPr>
            <w:tcW w:w="1571" w:type="dxa"/>
            <w:vMerge w:val="continue"/>
            <w:noWrap w:val="0"/>
            <w:vAlign w:val="center"/>
          </w:tcPr>
          <w:p>
            <w:pPr>
              <w:spacing w:line="260" w:lineRule="exact"/>
              <w:jc w:val="center"/>
              <w:rPr>
                <w:szCs w:val="21"/>
              </w:rPr>
            </w:pPr>
          </w:p>
        </w:tc>
        <w:tc>
          <w:tcPr>
            <w:tcW w:w="821" w:type="dxa"/>
            <w:noWrap w:val="0"/>
            <w:vAlign w:val="center"/>
          </w:tcPr>
          <w:p>
            <w:pPr>
              <w:spacing w:line="260" w:lineRule="exact"/>
              <w:jc w:val="center"/>
              <w:rPr>
                <w:rFonts w:hint="eastAsia" w:eastAsia="宋体"/>
                <w:snapToGrid w:val="0"/>
                <w:spacing w:val="-4"/>
                <w:szCs w:val="21"/>
                <w:lang w:eastAsia="zh-CN"/>
              </w:rPr>
            </w:pPr>
            <w:r>
              <w:rPr>
                <w:rFonts w:hint="eastAsia"/>
                <w:snapToGrid w:val="0"/>
                <w:spacing w:val="-4"/>
                <w:szCs w:val="21"/>
                <w:lang w:eastAsia="zh-CN"/>
              </w:rPr>
              <w:t>0.0261</w:t>
            </w:r>
          </w:p>
        </w:tc>
        <w:tc>
          <w:tcPr>
            <w:tcW w:w="3676" w:type="dxa"/>
            <w:vMerge w:val="continue"/>
            <w:noWrap w:val="0"/>
            <w:vAlign w:val="center"/>
          </w:tcPr>
          <w:p>
            <w:pPr>
              <w:spacing w:line="260" w:lineRule="exact"/>
              <w:jc w:val="center"/>
              <w:rPr>
                <w:snapToGrid w:val="0"/>
                <w:spacing w:val="-4"/>
                <w:szCs w:val="21"/>
              </w:rPr>
            </w:pPr>
          </w:p>
        </w:tc>
        <w:tc>
          <w:tcPr>
            <w:tcW w:w="1115" w:type="dxa"/>
            <w:noWrap w:val="0"/>
            <w:vAlign w:val="center"/>
          </w:tcPr>
          <w:p>
            <w:pPr>
              <w:spacing w:line="260" w:lineRule="exact"/>
              <w:jc w:val="center"/>
              <w:rPr>
                <w:rFonts w:hint="eastAsia" w:eastAsia="宋体"/>
                <w:snapToGrid w:val="0"/>
                <w:spacing w:val="-4"/>
                <w:szCs w:val="21"/>
                <w:lang w:eastAsia="zh-CN"/>
              </w:rPr>
            </w:pPr>
            <w:r>
              <w:rPr>
                <w:rFonts w:hint="eastAsia"/>
                <w:snapToGrid w:val="0"/>
                <w:spacing w:val="-4"/>
                <w:szCs w:val="21"/>
                <w:lang w:eastAsia="zh-CN"/>
              </w:rPr>
              <w:t>0.0078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22" w:hRule="atLeast"/>
        </w:trPr>
        <w:tc>
          <w:tcPr>
            <w:tcW w:w="484" w:type="dxa"/>
            <w:vMerge w:val="restart"/>
            <w:noWrap w:val="0"/>
            <w:vAlign w:val="center"/>
          </w:tcPr>
          <w:p>
            <w:pPr>
              <w:spacing w:line="260" w:lineRule="exact"/>
              <w:jc w:val="center"/>
              <w:rPr>
                <w:rFonts w:hint="eastAsia"/>
                <w:snapToGrid w:val="0"/>
                <w:spacing w:val="-4"/>
                <w:szCs w:val="21"/>
              </w:rPr>
            </w:pPr>
            <w:r>
              <w:rPr>
                <w:snapToGrid w:val="0"/>
                <w:spacing w:val="-4"/>
                <w:szCs w:val="21"/>
              </w:rPr>
              <w:t>2</w:t>
            </w:r>
          </w:p>
        </w:tc>
        <w:tc>
          <w:tcPr>
            <w:tcW w:w="1121" w:type="dxa"/>
            <w:noWrap w:val="0"/>
            <w:vAlign w:val="center"/>
          </w:tcPr>
          <w:p>
            <w:pPr>
              <w:spacing w:line="260" w:lineRule="exact"/>
              <w:jc w:val="center"/>
              <w:rPr>
                <w:snapToGrid w:val="0"/>
                <w:color w:val="auto"/>
                <w:spacing w:val="-4"/>
                <w:szCs w:val="21"/>
                <w:highlight w:val="none"/>
              </w:rPr>
            </w:pPr>
            <w:r>
              <w:rPr>
                <w:snapToGrid w:val="0"/>
                <w:color w:val="auto"/>
                <w:spacing w:val="-4"/>
                <w:szCs w:val="21"/>
                <w:highlight w:val="none"/>
              </w:rPr>
              <w:t>NH</w:t>
            </w:r>
            <w:r>
              <w:rPr>
                <w:snapToGrid w:val="0"/>
                <w:color w:val="auto"/>
                <w:spacing w:val="-4"/>
                <w:szCs w:val="21"/>
                <w:highlight w:val="none"/>
                <w:vertAlign w:val="subscript"/>
              </w:rPr>
              <w:t>3</w:t>
            </w:r>
          </w:p>
        </w:tc>
        <w:tc>
          <w:tcPr>
            <w:tcW w:w="1571" w:type="dxa"/>
            <w:vMerge w:val="restart"/>
            <w:noWrap w:val="0"/>
            <w:vAlign w:val="center"/>
          </w:tcPr>
          <w:p>
            <w:pPr>
              <w:spacing w:line="260" w:lineRule="exact"/>
              <w:jc w:val="center"/>
              <w:rPr>
                <w:rFonts w:hint="eastAsia"/>
                <w:color w:val="auto"/>
                <w:szCs w:val="21"/>
                <w:highlight w:val="none"/>
              </w:rPr>
            </w:pPr>
            <w:r>
              <w:rPr>
                <w:rFonts w:hint="eastAsia"/>
                <w:color w:val="auto"/>
                <w:szCs w:val="21"/>
                <w:highlight w:val="none"/>
              </w:rPr>
              <w:t>污水处理</w:t>
            </w:r>
          </w:p>
        </w:tc>
        <w:tc>
          <w:tcPr>
            <w:tcW w:w="821" w:type="dxa"/>
            <w:noWrap w:val="0"/>
            <w:vAlign w:val="center"/>
          </w:tcPr>
          <w:p>
            <w:pPr>
              <w:spacing w:line="260" w:lineRule="exact"/>
              <w:jc w:val="center"/>
              <w:rPr>
                <w:rFonts w:hint="eastAsia" w:eastAsia="宋体"/>
                <w:snapToGrid w:val="0"/>
                <w:color w:val="auto"/>
                <w:spacing w:val="-4"/>
                <w:szCs w:val="21"/>
                <w:highlight w:val="none"/>
                <w:lang w:eastAsia="zh-CN"/>
              </w:rPr>
            </w:pPr>
            <w:r>
              <w:rPr>
                <w:rFonts w:hint="eastAsia"/>
                <w:snapToGrid w:val="0"/>
                <w:color w:val="auto"/>
                <w:spacing w:val="-4"/>
                <w:szCs w:val="21"/>
                <w:highlight w:val="none"/>
                <w:lang w:eastAsia="zh-CN"/>
              </w:rPr>
              <w:t>0.0073</w:t>
            </w:r>
          </w:p>
        </w:tc>
        <w:tc>
          <w:tcPr>
            <w:tcW w:w="3676" w:type="dxa"/>
            <w:vMerge w:val="restart"/>
            <w:noWrap w:val="0"/>
            <w:vAlign w:val="center"/>
          </w:tcPr>
          <w:p>
            <w:pPr>
              <w:spacing w:line="260" w:lineRule="exact"/>
              <w:jc w:val="center"/>
              <w:rPr>
                <w:snapToGrid w:val="0"/>
                <w:color w:val="auto"/>
                <w:spacing w:val="-4"/>
                <w:szCs w:val="21"/>
                <w:highlight w:val="none"/>
              </w:rPr>
            </w:pPr>
            <w:r>
              <w:rPr>
                <w:rFonts w:hint="eastAsia"/>
                <w:color w:val="auto"/>
                <w:szCs w:val="21"/>
                <w:highlight w:val="none"/>
              </w:rPr>
              <w:t>内部和</w:t>
            </w:r>
            <w:r>
              <w:rPr>
                <w:color w:val="auto"/>
                <w:szCs w:val="21"/>
                <w:highlight w:val="none"/>
              </w:rPr>
              <w:t>周边恶臭产气区域喷洒除臭剂，</w:t>
            </w:r>
            <w:r>
              <w:rPr>
                <w:rFonts w:hint="eastAsia"/>
                <w:color w:val="auto"/>
                <w:szCs w:val="21"/>
                <w:highlight w:val="none"/>
              </w:rPr>
              <w:t>四周</w:t>
            </w:r>
            <w:r>
              <w:rPr>
                <w:color w:val="auto"/>
                <w:szCs w:val="21"/>
                <w:highlight w:val="none"/>
              </w:rPr>
              <w:t>加强绿化，去除效率可达到</w:t>
            </w:r>
            <w:r>
              <w:rPr>
                <w:rFonts w:hint="eastAsia"/>
                <w:color w:val="auto"/>
                <w:szCs w:val="21"/>
                <w:highlight w:val="none"/>
              </w:rPr>
              <w:t>70</w:t>
            </w:r>
            <w:r>
              <w:rPr>
                <w:color w:val="auto"/>
                <w:szCs w:val="21"/>
                <w:highlight w:val="none"/>
              </w:rPr>
              <w:t>%</w:t>
            </w:r>
          </w:p>
        </w:tc>
        <w:tc>
          <w:tcPr>
            <w:tcW w:w="1115" w:type="dxa"/>
            <w:noWrap w:val="0"/>
            <w:vAlign w:val="center"/>
          </w:tcPr>
          <w:p>
            <w:pPr>
              <w:spacing w:line="260" w:lineRule="exact"/>
              <w:jc w:val="center"/>
              <w:rPr>
                <w:rFonts w:hint="eastAsia" w:eastAsia="宋体"/>
                <w:snapToGrid w:val="0"/>
                <w:color w:val="auto"/>
                <w:spacing w:val="-4"/>
                <w:szCs w:val="21"/>
                <w:highlight w:val="none"/>
                <w:lang w:eastAsia="zh-CN"/>
              </w:rPr>
            </w:pPr>
            <w:r>
              <w:rPr>
                <w:rFonts w:hint="eastAsia"/>
                <w:snapToGrid w:val="0"/>
                <w:color w:val="auto"/>
                <w:spacing w:val="-4"/>
                <w:szCs w:val="21"/>
                <w:highlight w:val="none"/>
                <w:lang w:eastAsia="zh-CN"/>
              </w:rPr>
              <w:t>0.00219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85" w:hRule="atLeast"/>
        </w:trPr>
        <w:tc>
          <w:tcPr>
            <w:tcW w:w="484" w:type="dxa"/>
            <w:vMerge w:val="continue"/>
            <w:noWrap w:val="0"/>
            <w:vAlign w:val="center"/>
          </w:tcPr>
          <w:p>
            <w:pPr>
              <w:spacing w:line="260" w:lineRule="exact"/>
              <w:jc w:val="center"/>
              <w:rPr>
                <w:snapToGrid w:val="0"/>
                <w:spacing w:val="-4"/>
                <w:szCs w:val="21"/>
              </w:rPr>
            </w:pPr>
          </w:p>
        </w:tc>
        <w:tc>
          <w:tcPr>
            <w:tcW w:w="1121" w:type="dxa"/>
            <w:noWrap w:val="0"/>
            <w:vAlign w:val="center"/>
          </w:tcPr>
          <w:p>
            <w:pPr>
              <w:spacing w:line="260" w:lineRule="exact"/>
              <w:jc w:val="center"/>
              <w:rPr>
                <w:snapToGrid w:val="0"/>
                <w:color w:val="auto"/>
                <w:spacing w:val="-4"/>
                <w:szCs w:val="21"/>
                <w:highlight w:val="none"/>
              </w:rPr>
            </w:pPr>
            <w:r>
              <w:rPr>
                <w:snapToGrid w:val="0"/>
                <w:color w:val="auto"/>
                <w:spacing w:val="-4"/>
                <w:szCs w:val="21"/>
                <w:highlight w:val="none"/>
              </w:rPr>
              <w:t>H</w:t>
            </w:r>
            <w:r>
              <w:rPr>
                <w:snapToGrid w:val="0"/>
                <w:color w:val="auto"/>
                <w:spacing w:val="-4"/>
                <w:szCs w:val="21"/>
                <w:highlight w:val="none"/>
                <w:vertAlign w:val="subscript"/>
              </w:rPr>
              <w:t>2</w:t>
            </w:r>
            <w:r>
              <w:rPr>
                <w:snapToGrid w:val="0"/>
                <w:color w:val="auto"/>
                <w:spacing w:val="-4"/>
                <w:szCs w:val="21"/>
                <w:highlight w:val="none"/>
              </w:rPr>
              <w:t>S</w:t>
            </w:r>
          </w:p>
        </w:tc>
        <w:tc>
          <w:tcPr>
            <w:tcW w:w="1571" w:type="dxa"/>
            <w:vMerge w:val="continue"/>
            <w:noWrap w:val="0"/>
            <w:vAlign w:val="center"/>
          </w:tcPr>
          <w:p>
            <w:pPr>
              <w:spacing w:line="260" w:lineRule="exact"/>
              <w:jc w:val="center"/>
              <w:rPr>
                <w:color w:val="auto"/>
                <w:szCs w:val="21"/>
                <w:highlight w:val="none"/>
              </w:rPr>
            </w:pPr>
          </w:p>
        </w:tc>
        <w:tc>
          <w:tcPr>
            <w:tcW w:w="821" w:type="dxa"/>
            <w:noWrap w:val="0"/>
            <w:vAlign w:val="center"/>
          </w:tcPr>
          <w:p>
            <w:pPr>
              <w:spacing w:line="260" w:lineRule="exact"/>
              <w:jc w:val="center"/>
              <w:rPr>
                <w:rFonts w:hint="eastAsia" w:eastAsia="宋体"/>
                <w:snapToGrid w:val="0"/>
                <w:color w:val="auto"/>
                <w:spacing w:val="-4"/>
                <w:szCs w:val="21"/>
                <w:highlight w:val="none"/>
                <w:lang w:eastAsia="zh-CN"/>
              </w:rPr>
            </w:pPr>
            <w:r>
              <w:rPr>
                <w:rFonts w:hint="eastAsia"/>
                <w:snapToGrid w:val="0"/>
                <w:color w:val="auto"/>
                <w:spacing w:val="-4"/>
                <w:szCs w:val="21"/>
                <w:highlight w:val="none"/>
                <w:lang w:eastAsia="zh-CN"/>
              </w:rPr>
              <w:t>0.00028</w:t>
            </w:r>
          </w:p>
        </w:tc>
        <w:tc>
          <w:tcPr>
            <w:tcW w:w="3676" w:type="dxa"/>
            <w:vMerge w:val="continue"/>
            <w:noWrap w:val="0"/>
            <w:vAlign w:val="center"/>
          </w:tcPr>
          <w:p>
            <w:pPr>
              <w:spacing w:line="260" w:lineRule="exact"/>
              <w:jc w:val="center"/>
              <w:rPr>
                <w:snapToGrid w:val="0"/>
                <w:color w:val="auto"/>
                <w:spacing w:val="-4"/>
                <w:szCs w:val="21"/>
                <w:highlight w:val="none"/>
              </w:rPr>
            </w:pPr>
          </w:p>
        </w:tc>
        <w:tc>
          <w:tcPr>
            <w:tcW w:w="1115" w:type="dxa"/>
            <w:noWrap w:val="0"/>
            <w:vAlign w:val="center"/>
          </w:tcPr>
          <w:p>
            <w:pPr>
              <w:spacing w:line="260" w:lineRule="exact"/>
              <w:jc w:val="center"/>
              <w:rPr>
                <w:rFonts w:hint="eastAsia" w:eastAsia="宋体"/>
                <w:snapToGrid w:val="0"/>
                <w:color w:val="auto"/>
                <w:spacing w:val="-4"/>
                <w:szCs w:val="21"/>
                <w:highlight w:val="none"/>
                <w:lang w:eastAsia="zh-CN"/>
              </w:rPr>
            </w:pPr>
            <w:r>
              <w:rPr>
                <w:rFonts w:hint="eastAsia"/>
                <w:snapToGrid w:val="0"/>
                <w:color w:val="auto"/>
                <w:spacing w:val="-4"/>
                <w:szCs w:val="21"/>
                <w:highlight w:val="none"/>
                <w:lang w:eastAsia="zh-CN"/>
              </w:rPr>
              <w:t>0.000084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84" w:type="dxa"/>
            <w:vMerge w:val="restart"/>
            <w:noWrap w:val="0"/>
            <w:vAlign w:val="center"/>
          </w:tcPr>
          <w:p>
            <w:pPr>
              <w:spacing w:line="260" w:lineRule="exact"/>
              <w:jc w:val="center"/>
              <w:rPr>
                <w:snapToGrid w:val="0"/>
                <w:spacing w:val="-4"/>
                <w:szCs w:val="21"/>
              </w:rPr>
            </w:pPr>
            <w:r>
              <w:rPr>
                <w:snapToGrid w:val="0"/>
                <w:spacing w:val="-4"/>
                <w:szCs w:val="21"/>
              </w:rPr>
              <w:t>3</w:t>
            </w:r>
          </w:p>
        </w:tc>
        <w:tc>
          <w:tcPr>
            <w:tcW w:w="1121" w:type="dxa"/>
            <w:noWrap w:val="0"/>
            <w:vAlign w:val="center"/>
          </w:tcPr>
          <w:p>
            <w:pPr>
              <w:spacing w:line="260" w:lineRule="exact"/>
              <w:jc w:val="center"/>
              <w:rPr>
                <w:snapToGrid w:val="0"/>
                <w:spacing w:val="-4"/>
                <w:szCs w:val="21"/>
              </w:rPr>
            </w:pPr>
            <w:r>
              <w:rPr>
                <w:snapToGrid w:val="0"/>
                <w:spacing w:val="-4"/>
                <w:szCs w:val="21"/>
              </w:rPr>
              <w:t>NH</w:t>
            </w:r>
            <w:r>
              <w:rPr>
                <w:snapToGrid w:val="0"/>
                <w:spacing w:val="-4"/>
                <w:szCs w:val="21"/>
                <w:vertAlign w:val="subscript"/>
              </w:rPr>
              <w:t>3</w:t>
            </w:r>
          </w:p>
        </w:tc>
        <w:tc>
          <w:tcPr>
            <w:tcW w:w="1571" w:type="dxa"/>
            <w:vMerge w:val="restart"/>
            <w:noWrap w:val="0"/>
            <w:vAlign w:val="center"/>
          </w:tcPr>
          <w:p>
            <w:pPr>
              <w:spacing w:line="260" w:lineRule="exact"/>
              <w:jc w:val="center"/>
              <w:rPr>
                <w:rFonts w:hint="eastAsia"/>
                <w:szCs w:val="21"/>
              </w:rPr>
            </w:pPr>
            <w:r>
              <w:rPr>
                <w:rFonts w:hint="eastAsia"/>
                <w:szCs w:val="21"/>
              </w:rPr>
              <w:t>固粪堆存区</w:t>
            </w:r>
          </w:p>
        </w:tc>
        <w:tc>
          <w:tcPr>
            <w:tcW w:w="821" w:type="dxa"/>
            <w:noWrap w:val="0"/>
            <w:vAlign w:val="center"/>
          </w:tcPr>
          <w:p>
            <w:pPr>
              <w:spacing w:line="260" w:lineRule="exact"/>
              <w:jc w:val="center"/>
              <w:rPr>
                <w:snapToGrid w:val="0"/>
                <w:spacing w:val="-4"/>
                <w:szCs w:val="21"/>
              </w:rPr>
            </w:pPr>
            <w:r>
              <w:rPr>
                <w:snapToGrid w:val="0"/>
                <w:spacing w:val="-4"/>
                <w:szCs w:val="21"/>
              </w:rPr>
              <w:t>0.</w:t>
            </w:r>
            <w:r>
              <w:rPr>
                <w:rFonts w:hint="eastAsia"/>
                <w:snapToGrid w:val="0"/>
                <w:spacing w:val="-4"/>
                <w:szCs w:val="21"/>
              </w:rPr>
              <w:t>54</w:t>
            </w:r>
          </w:p>
        </w:tc>
        <w:tc>
          <w:tcPr>
            <w:tcW w:w="3676" w:type="dxa"/>
            <w:vMerge w:val="restart"/>
            <w:noWrap w:val="0"/>
            <w:vAlign w:val="center"/>
          </w:tcPr>
          <w:p>
            <w:pPr>
              <w:spacing w:line="260" w:lineRule="exact"/>
              <w:jc w:val="center"/>
              <w:rPr>
                <w:snapToGrid w:val="0"/>
                <w:spacing w:val="-4"/>
                <w:szCs w:val="21"/>
              </w:rPr>
            </w:pPr>
            <w:r>
              <w:rPr>
                <w:rFonts w:hint="eastAsia"/>
                <w:snapToGrid w:val="0"/>
                <w:spacing w:val="-4"/>
                <w:szCs w:val="21"/>
              </w:rPr>
              <w:t>内部和</w:t>
            </w:r>
            <w:r>
              <w:rPr>
                <w:snapToGrid w:val="0"/>
                <w:spacing w:val="-4"/>
                <w:szCs w:val="21"/>
              </w:rPr>
              <w:t>四周喷洒除臭剂，设置绿化带，去除率可达</w:t>
            </w:r>
            <w:r>
              <w:rPr>
                <w:rFonts w:hint="eastAsia"/>
                <w:snapToGrid w:val="0"/>
                <w:spacing w:val="-4"/>
                <w:szCs w:val="21"/>
              </w:rPr>
              <w:t>70</w:t>
            </w:r>
            <w:r>
              <w:rPr>
                <w:snapToGrid w:val="0"/>
                <w:spacing w:val="-4"/>
                <w:szCs w:val="21"/>
              </w:rPr>
              <w:t>%，设施绿化带</w:t>
            </w:r>
          </w:p>
        </w:tc>
        <w:tc>
          <w:tcPr>
            <w:tcW w:w="1115" w:type="dxa"/>
            <w:noWrap w:val="0"/>
            <w:vAlign w:val="center"/>
          </w:tcPr>
          <w:p>
            <w:pPr>
              <w:spacing w:line="260" w:lineRule="exact"/>
              <w:jc w:val="center"/>
              <w:rPr>
                <w:snapToGrid w:val="0"/>
                <w:spacing w:val="-4"/>
                <w:szCs w:val="21"/>
              </w:rPr>
            </w:pPr>
            <w:r>
              <w:rPr>
                <w:rFonts w:hint="eastAsia"/>
                <w:snapToGrid w:val="0"/>
                <w:spacing w:val="-4"/>
                <w:szCs w:val="21"/>
              </w:rPr>
              <w:t>0.162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162" w:hRule="atLeast"/>
        </w:trPr>
        <w:tc>
          <w:tcPr>
            <w:tcW w:w="484" w:type="dxa"/>
            <w:vMerge w:val="continue"/>
            <w:noWrap w:val="0"/>
            <w:vAlign w:val="center"/>
          </w:tcPr>
          <w:p>
            <w:pPr>
              <w:spacing w:line="260" w:lineRule="exact"/>
              <w:jc w:val="center"/>
              <w:rPr>
                <w:snapToGrid w:val="0"/>
                <w:spacing w:val="-4"/>
                <w:szCs w:val="21"/>
              </w:rPr>
            </w:pPr>
          </w:p>
        </w:tc>
        <w:tc>
          <w:tcPr>
            <w:tcW w:w="1121" w:type="dxa"/>
            <w:noWrap w:val="0"/>
            <w:vAlign w:val="center"/>
          </w:tcPr>
          <w:p>
            <w:pPr>
              <w:spacing w:line="260" w:lineRule="exact"/>
              <w:jc w:val="center"/>
              <w:rPr>
                <w:snapToGrid w:val="0"/>
                <w:spacing w:val="-4"/>
                <w:szCs w:val="21"/>
              </w:rPr>
            </w:pPr>
            <w:r>
              <w:rPr>
                <w:snapToGrid w:val="0"/>
                <w:spacing w:val="-4"/>
                <w:szCs w:val="21"/>
              </w:rPr>
              <w:t>H</w:t>
            </w:r>
            <w:r>
              <w:rPr>
                <w:snapToGrid w:val="0"/>
                <w:spacing w:val="-4"/>
                <w:szCs w:val="21"/>
                <w:vertAlign w:val="subscript"/>
              </w:rPr>
              <w:t>2</w:t>
            </w:r>
            <w:r>
              <w:rPr>
                <w:snapToGrid w:val="0"/>
                <w:spacing w:val="-4"/>
                <w:szCs w:val="21"/>
              </w:rPr>
              <w:t>S</w:t>
            </w:r>
          </w:p>
        </w:tc>
        <w:tc>
          <w:tcPr>
            <w:tcW w:w="1571" w:type="dxa"/>
            <w:vMerge w:val="continue"/>
            <w:noWrap w:val="0"/>
            <w:vAlign w:val="center"/>
          </w:tcPr>
          <w:p>
            <w:pPr>
              <w:spacing w:line="260" w:lineRule="exact"/>
              <w:jc w:val="center"/>
              <w:rPr>
                <w:snapToGrid w:val="0"/>
                <w:spacing w:val="-4"/>
                <w:szCs w:val="21"/>
              </w:rPr>
            </w:pPr>
          </w:p>
        </w:tc>
        <w:tc>
          <w:tcPr>
            <w:tcW w:w="821" w:type="dxa"/>
            <w:noWrap w:val="0"/>
            <w:vAlign w:val="center"/>
          </w:tcPr>
          <w:p>
            <w:pPr>
              <w:spacing w:line="260" w:lineRule="exact"/>
              <w:jc w:val="center"/>
              <w:rPr>
                <w:snapToGrid w:val="0"/>
                <w:spacing w:val="-4"/>
                <w:szCs w:val="21"/>
              </w:rPr>
            </w:pPr>
            <w:r>
              <w:rPr>
                <w:rFonts w:hint="eastAsia"/>
                <w:snapToGrid w:val="0"/>
                <w:spacing w:val="-4"/>
                <w:szCs w:val="21"/>
              </w:rPr>
              <w:t>0.032</w:t>
            </w:r>
          </w:p>
        </w:tc>
        <w:tc>
          <w:tcPr>
            <w:tcW w:w="3676" w:type="dxa"/>
            <w:vMerge w:val="continue"/>
            <w:noWrap w:val="0"/>
            <w:vAlign w:val="center"/>
          </w:tcPr>
          <w:p>
            <w:pPr>
              <w:spacing w:line="260" w:lineRule="exact"/>
              <w:jc w:val="center"/>
              <w:rPr>
                <w:snapToGrid w:val="0"/>
                <w:spacing w:val="-4"/>
                <w:szCs w:val="21"/>
              </w:rPr>
            </w:pPr>
          </w:p>
        </w:tc>
        <w:tc>
          <w:tcPr>
            <w:tcW w:w="1115" w:type="dxa"/>
            <w:noWrap w:val="0"/>
            <w:vAlign w:val="center"/>
          </w:tcPr>
          <w:p>
            <w:pPr>
              <w:spacing w:line="260" w:lineRule="exact"/>
              <w:jc w:val="center"/>
              <w:rPr>
                <w:rFonts w:hint="eastAsia" w:eastAsia="宋体"/>
                <w:snapToGrid w:val="0"/>
                <w:spacing w:val="-4"/>
                <w:szCs w:val="21"/>
                <w:lang w:eastAsia="zh-CN"/>
              </w:rPr>
            </w:pPr>
            <w:r>
              <w:rPr>
                <w:rFonts w:hint="eastAsia"/>
                <w:snapToGrid w:val="0"/>
                <w:spacing w:val="-4"/>
                <w:szCs w:val="21"/>
                <w:lang w:eastAsia="zh-CN"/>
              </w:rPr>
              <w:t>0.0271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307" w:hRule="atLeast"/>
        </w:trPr>
        <w:tc>
          <w:tcPr>
            <w:tcW w:w="484" w:type="dxa"/>
            <w:vMerge w:val="restart"/>
            <w:noWrap w:val="0"/>
            <w:vAlign w:val="center"/>
          </w:tcPr>
          <w:p>
            <w:pPr>
              <w:spacing w:line="260" w:lineRule="exact"/>
              <w:jc w:val="center"/>
              <w:rPr>
                <w:snapToGrid w:val="0"/>
                <w:spacing w:val="-4"/>
                <w:szCs w:val="21"/>
              </w:rPr>
            </w:pPr>
            <w:r>
              <w:rPr>
                <w:snapToGrid w:val="0"/>
                <w:spacing w:val="-4"/>
                <w:szCs w:val="21"/>
              </w:rPr>
              <w:t>合计</w:t>
            </w:r>
          </w:p>
        </w:tc>
        <w:tc>
          <w:tcPr>
            <w:tcW w:w="1121" w:type="dxa"/>
            <w:noWrap w:val="0"/>
            <w:vAlign w:val="center"/>
          </w:tcPr>
          <w:p>
            <w:pPr>
              <w:spacing w:line="260" w:lineRule="exact"/>
              <w:jc w:val="center"/>
              <w:rPr>
                <w:snapToGrid w:val="0"/>
                <w:spacing w:val="-4"/>
                <w:szCs w:val="21"/>
              </w:rPr>
            </w:pPr>
            <w:r>
              <w:rPr>
                <w:snapToGrid w:val="0"/>
                <w:spacing w:val="-4"/>
                <w:szCs w:val="21"/>
              </w:rPr>
              <w:t>NH</w:t>
            </w:r>
            <w:r>
              <w:rPr>
                <w:snapToGrid w:val="0"/>
                <w:spacing w:val="-4"/>
                <w:szCs w:val="21"/>
                <w:vertAlign w:val="subscript"/>
              </w:rPr>
              <w:t>3</w:t>
            </w:r>
          </w:p>
        </w:tc>
        <w:tc>
          <w:tcPr>
            <w:tcW w:w="1571" w:type="dxa"/>
            <w:vMerge w:val="restart"/>
            <w:noWrap w:val="0"/>
            <w:vAlign w:val="center"/>
          </w:tcPr>
          <w:p>
            <w:pPr>
              <w:spacing w:line="260" w:lineRule="exact"/>
              <w:jc w:val="center"/>
              <w:rPr>
                <w:snapToGrid w:val="0"/>
                <w:spacing w:val="-4"/>
                <w:szCs w:val="21"/>
              </w:rPr>
            </w:pPr>
            <w:r>
              <w:rPr>
                <w:snapToGrid w:val="0"/>
                <w:spacing w:val="-4"/>
                <w:szCs w:val="21"/>
              </w:rPr>
              <w:t>全厂</w:t>
            </w:r>
          </w:p>
        </w:tc>
        <w:tc>
          <w:tcPr>
            <w:tcW w:w="821" w:type="dxa"/>
            <w:noWrap w:val="0"/>
            <w:vAlign w:val="center"/>
          </w:tcPr>
          <w:p>
            <w:pPr>
              <w:spacing w:line="260" w:lineRule="exact"/>
              <w:jc w:val="center"/>
              <w:rPr>
                <w:rFonts w:hint="eastAsia" w:eastAsia="宋体"/>
                <w:snapToGrid w:val="0"/>
                <w:spacing w:val="-4"/>
                <w:szCs w:val="21"/>
                <w:lang w:eastAsia="zh-CN"/>
              </w:rPr>
            </w:pPr>
            <w:r>
              <w:rPr>
                <w:rFonts w:hint="eastAsia"/>
                <w:snapToGrid w:val="0"/>
                <w:spacing w:val="-4"/>
                <w:szCs w:val="21"/>
                <w:lang w:eastAsia="zh-CN"/>
              </w:rPr>
              <w:t>0.8539</w:t>
            </w:r>
          </w:p>
        </w:tc>
        <w:tc>
          <w:tcPr>
            <w:tcW w:w="3676" w:type="dxa"/>
            <w:vMerge w:val="restart"/>
            <w:noWrap w:val="0"/>
            <w:vAlign w:val="center"/>
          </w:tcPr>
          <w:p>
            <w:pPr>
              <w:spacing w:line="260" w:lineRule="exact"/>
              <w:jc w:val="center"/>
              <w:rPr>
                <w:snapToGrid w:val="0"/>
                <w:spacing w:val="-4"/>
                <w:szCs w:val="21"/>
              </w:rPr>
            </w:pPr>
            <w:r>
              <w:rPr>
                <w:snapToGrid w:val="0"/>
                <w:spacing w:val="-4"/>
                <w:szCs w:val="21"/>
              </w:rPr>
              <w:t>/</w:t>
            </w:r>
          </w:p>
        </w:tc>
        <w:tc>
          <w:tcPr>
            <w:tcW w:w="1115" w:type="dxa"/>
            <w:noWrap w:val="0"/>
            <w:vAlign w:val="center"/>
          </w:tcPr>
          <w:p>
            <w:pPr>
              <w:spacing w:line="260" w:lineRule="exact"/>
              <w:jc w:val="center"/>
              <w:rPr>
                <w:rFonts w:hint="eastAsia" w:eastAsia="宋体"/>
                <w:snapToGrid w:val="0"/>
                <w:spacing w:val="-4"/>
                <w:szCs w:val="21"/>
                <w:lang w:eastAsia="zh-CN"/>
              </w:rPr>
            </w:pPr>
            <w:r>
              <w:rPr>
                <w:rFonts w:hint="eastAsia"/>
                <w:snapToGrid w:val="0"/>
                <w:spacing w:val="-4"/>
                <w:szCs w:val="21"/>
                <w:lang w:eastAsia="zh-CN"/>
              </w:rPr>
              <w:t>0.2561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trHeight w:val="268" w:hRule="atLeast"/>
        </w:trPr>
        <w:tc>
          <w:tcPr>
            <w:tcW w:w="484" w:type="dxa"/>
            <w:vMerge w:val="continue"/>
            <w:noWrap w:val="0"/>
            <w:vAlign w:val="center"/>
          </w:tcPr>
          <w:p>
            <w:pPr>
              <w:spacing w:line="260" w:lineRule="exact"/>
              <w:jc w:val="center"/>
              <w:rPr>
                <w:snapToGrid w:val="0"/>
                <w:spacing w:val="-4"/>
                <w:szCs w:val="21"/>
              </w:rPr>
            </w:pPr>
          </w:p>
        </w:tc>
        <w:tc>
          <w:tcPr>
            <w:tcW w:w="1121" w:type="dxa"/>
            <w:noWrap w:val="0"/>
            <w:vAlign w:val="center"/>
          </w:tcPr>
          <w:p>
            <w:pPr>
              <w:spacing w:line="260" w:lineRule="exact"/>
              <w:jc w:val="center"/>
              <w:rPr>
                <w:snapToGrid w:val="0"/>
                <w:spacing w:val="-4"/>
                <w:szCs w:val="21"/>
              </w:rPr>
            </w:pPr>
            <w:r>
              <w:rPr>
                <w:snapToGrid w:val="0"/>
                <w:spacing w:val="-4"/>
                <w:szCs w:val="21"/>
              </w:rPr>
              <w:t>H</w:t>
            </w:r>
            <w:r>
              <w:rPr>
                <w:snapToGrid w:val="0"/>
                <w:spacing w:val="-4"/>
                <w:szCs w:val="21"/>
                <w:vertAlign w:val="subscript"/>
              </w:rPr>
              <w:t>2</w:t>
            </w:r>
            <w:r>
              <w:rPr>
                <w:snapToGrid w:val="0"/>
                <w:spacing w:val="-4"/>
                <w:szCs w:val="21"/>
              </w:rPr>
              <w:t>S</w:t>
            </w:r>
          </w:p>
        </w:tc>
        <w:tc>
          <w:tcPr>
            <w:tcW w:w="1571" w:type="dxa"/>
            <w:vMerge w:val="continue"/>
            <w:noWrap w:val="0"/>
            <w:vAlign w:val="center"/>
          </w:tcPr>
          <w:p>
            <w:pPr>
              <w:spacing w:line="260" w:lineRule="exact"/>
              <w:jc w:val="center"/>
              <w:rPr>
                <w:snapToGrid w:val="0"/>
                <w:spacing w:val="-4"/>
                <w:szCs w:val="21"/>
              </w:rPr>
            </w:pPr>
          </w:p>
        </w:tc>
        <w:tc>
          <w:tcPr>
            <w:tcW w:w="821" w:type="dxa"/>
            <w:noWrap w:val="0"/>
            <w:vAlign w:val="center"/>
          </w:tcPr>
          <w:p>
            <w:pPr>
              <w:spacing w:line="260" w:lineRule="exact"/>
              <w:jc w:val="center"/>
              <w:rPr>
                <w:rFonts w:hint="eastAsia" w:eastAsia="宋体"/>
                <w:snapToGrid w:val="0"/>
                <w:spacing w:val="-4"/>
                <w:szCs w:val="21"/>
                <w:lang w:eastAsia="zh-CN"/>
              </w:rPr>
            </w:pPr>
            <w:r>
              <w:rPr>
                <w:rFonts w:hint="eastAsia"/>
                <w:snapToGrid w:val="0"/>
                <w:spacing w:val="-4"/>
                <w:szCs w:val="21"/>
                <w:lang w:eastAsia="zh-CN"/>
              </w:rPr>
              <w:t>0.05838</w:t>
            </w:r>
          </w:p>
        </w:tc>
        <w:tc>
          <w:tcPr>
            <w:tcW w:w="3676" w:type="dxa"/>
            <w:vMerge w:val="continue"/>
            <w:noWrap w:val="0"/>
            <w:vAlign w:val="center"/>
          </w:tcPr>
          <w:p>
            <w:pPr>
              <w:spacing w:line="260" w:lineRule="exact"/>
              <w:jc w:val="center"/>
              <w:rPr>
                <w:snapToGrid w:val="0"/>
                <w:spacing w:val="-4"/>
                <w:szCs w:val="21"/>
              </w:rPr>
            </w:pPr>
          </w:p>
        </w:tc>
        <w:tc>
          <w:tcPr>
            <w:tcW w:w="1115" w:type="dxa"/>
            <w:noWrap w:val="0"/>
            <w:vAlign w:val="center"/>
          </w:tcPr>
          <w:p>
            <w:pPr>
              <w:spacing w:line="260" w:lineRule="exact"/>
              <w:jc w:val="center"/>
              <w:rPr>
                <w:rFonts w:hint="eastAsia" w:eastAsia="宋体"/>
                <w:snapToGrid w:val="0"/>
                <w:spacing w:val="-4"/>
                <w:szCs w:val="21"/>
                <w:lang w:eastAsia="zh-CN"/>
              </w:rPr>
            </w:pPr>
            <w:r>
              <w:rPr>
                <w:rFonts w:hint="eastAsia"/>
                <w:snapToGrid w:val="0"/>
                <w:spacing w:val="-4"/>
                <w:szCs w:val="21"/>
                <w:lang w:eastAsia="zh-CN"/>
              </w:rPr>
              <w:t>0.0175</w:t>
            </w:r>
          </w:p>
        </w:tc>
      </w:tr>
    </w:tbl>
    <w:p>
      <w:pPr>
        <w:tabs>
          <w:tab w:val="left" w:leader="middleDot" w:pos="8399"/>
        </w:tabs>
        <w:spacing w:line="520" w:lineRule="exact"/>
        <w:rPr>
          <w:rFonts w:hint="eastAsia"/>
          <w:sz w:val="24"/>
        </w:rPr>
      </w:pPr>
      <w:r>
        <w:rPr>
          <w:sz w:val="24"/>
        </w:rPr>
        <w:t>（2）沼气</w:t>
      </w:r>
      <w:r>
        <w:rPr>
          <w:rFonts w:hint="eastAsia"/>
          <w:sz w:val="24"/>
        </w:rPr>
        <w:t>燃烧</w:t>
      </w:r>
      <w:r>
        <w:rPr>
          <w:sz w:val="24"/>
        </w:rPr>
        <w:t>废气</w:t>
      </w:r>
    </w:p>
    <w:p>
      <w:pPr>
        <w:spacing w:line="500" w:lineRule="exact"/>
        <w:ind w:firstLine="480" w:firstLineChars="200"/>
        <w:rPr>
          <w:rFonts w:hAnsi="宋体"/>
          <w:sz w:val="24"/>
        </w:rPr>
      </w:pPr>
      <w:r>
        <w:rPr>
          <w:rFonts w:hAnsi="宋体"/>
          <w:sz w:val="24"/>
        </w:rPr>
        <w:t>项目产生的沼气通过气水分离</w:t>
      </w:r>
      <w:r>
        <w:rPr>
          <w:rFonts w:hint="eastAsia" w:hAnsi="宋体"/>
          <w:sz w:val="24"/>
        </w:rPr>
        <w:t>器</w:t>
      </w:r>
      <w:r>
        <w:rPr>
          <w:rFonts w:hAnsi="宋体"/>
          <w:sz w:val="24"/>
        </w:rPr>
        <w:t>、</w:t>
      </w:r>
      <w:r>
        <w:rPr>
          <w:rFonts w:hint="eastAsia" w:hAnsi="宋体"/>
          <w:sz w:val="24"/>
        </w:rPr>
        <w:t>干法脱硫</w:t>
      </w:r>
      <w:r>
        <w:rPr>
          <w:rFonts w:hAnsi="宋体"/>
          <w:sz w:val="24"/>
        </w:rPr>
        <w:t>后H</w:t>
      </w:r>
      <w:r>
        <w:rPr>
          <w:rFonts w:hAnsi="宋体"/>
          <w:sz w:val="24"/>
          <w:vertAlign w:val="subscript"/>
        </w:rPr>
        <w:t>2</w:t>
      </w:r>
      <w:r>
        <w:rPr>
          <w:rFonts w:hAnsi="宋体"/>
          <w:sz w:val="24"/>
        </w:rPr>
        <w:t>S含量≤20mg/m</w:t>
      </w:r>
      <w:r>
        <w:rPr>
          <w:rFonts w:hAnsi="宋体"/>
          <w:sz w:val="24"/>
          <w:vertAlign w:val="superscript"/>
        </w:rPr>
        <w:t>3</w:t>
      </w:r>
      <w:r>
        <w:rPr>
          <w:rFonts w:hAnsi="宋体"/>
          <w:sz w:val="24"/>
        </w:rPr>
        <w:t>，用于食堂灶台燃料</w:t>
      </w:r>
      <w:r>
        <w:rPr>
          <w:rFonts w:hint="eastAsia" w:hAnsi="宋体"/>
          <w:sz w:val="24"/>
        </w:rPr>
        <w:t>，多余部分经火炬燃烧器放空燃烧</w:t>
      </w:r>
      <w:r>
        <w:rPr>
          <w:rFonts w:hAnsi="宋体"/>
          <w:sz w:val="24"/>
        </w:rPr>
        <w:t>。</w:t>
      </w:r>
    </w:p>
    <w:p>
      <w:pPr>
        <w:pStyle w:val="25"/>
        <w:spacing w:line="520" w:lineRule="exact"/>
        <w:ind w:firstLine="420"/>
        <w:rPr>
          <w:rFonts w:hint="eastAsia" w:hAnsi="宋体"/>
          <w:kern w:val="0"/>
          <w:szCs w:val="20"/>
        </w:rPr>
      </w:pPr>
      <w:r>
        <w:rPr>
          <w:rFonts w:hint="eastAsia" w:hAnsi="宋体"/>
          <w:kern w:val="0"/>
          <w:szCs w:val="20"/>
          <w:lang w:val="en-US" w:eastAsia="zh-CN"/>
        </w:rPr>
        <w:t>本项目年沼气产生量为29456.25m</w:t>
      </w:r>
      <w:r>
        <w:rPr>
          <w:rFonts w:hint="eastAsia" w:hAnsi="宋体"/>
          <w:kern w:val="0"/>
          <w:szCs w:val="20"/>
          <w:vertAlign w:val="superscript"/>
          <w:lang w:val="en-US" w:eastAsia="zh-CN"/>
        </w:rPr>
        <w:t>3</w:t>
      </w:r>
      <w:r>
        <w:rPr>
          <w:rFonts w:hint="eastAsia" w:hAnsi="宋体"/>
          <w:kern w:val="0"/>
          <w:szCs w:val="20"/>
          <w:lang w:val="en-US" w:eastAsia="zh-CN"/>
        </w:rPr>
        <w:t>/a。</w:t>
      </w:r>
      <w:r>
        <w:rPr>
          <w:rFonts w:hint="eastAsia" w:hAnsi="宋体"/>
          <w:kern w:val="0"/>
          <w:szCs w:val="20"/>
        </w:rPr>
        <w:t>沼气是清洁能源，燃烧后主要为</w:t>
      </w:r>
      <w:r>
        <w:rPr>
          <w:rFonts w:hAnsi="宋体"/>
          <w:kern w:val="0"/>
          <w:szCs w:val="20"/>
        </w:rPr>
        <w:t>CO</w:t>
      </w:r>
      <w:r>
        <w:rPr>
          <w:rFonts w:hAnsi="宋体"/>
          <w:kern w:val="0"/>
          <w:szCs w:val="20"/>
          <w:vertAlign w:val="subscript"/>
        </w:rPr>
        <w:t>2</w:t>
      </w:r>
      <w:r>
        <w:rPr>
          <w:rFonts w:hint="eastAsia" w:hAnsi="宋体"/>
          <w:kern w:val="0"/>
          <w:szCs w:val="20"/>
        </w:rPr>
        <w:t>和</w:t>
      </w:r>
      <w:r>
        <w:rPr>
          <w:rFonts w:hAnsi="宋体"/>
          <w:kern w:val="0"/>
          <w:szCs w:val="20"/>
        </w:rPr>
        <w:t>H</w:t>
      </w:r>
      <w:r>
        <w:rPr>
          <w:rFonts w:hAnsi="宋体"/>
          <w:kern w:val="0"/>
          <w:szCs w:val="20"/>
          <w:vertAlign w:val="subscript"/>
        </w:rPr>
        <w:t>2</w:t>
      </w:r>
      <w:r>
        <w:rPr>
          <w:rFonts w:hAnsi="宋体"/>
          <w:kern w:val="0"/>
          <w:szCs w:val="20"/>
        </w:rPr>
        <w:t>O</w:t>
      </w:r>
      <w:r>
        <w:rPr>
          <w:rFonts w:hint="eastAsia" w:hAnsi="宋体"/>
          <w:kern w:val="0"/>
          <w:szCs w:val="20"/>
        </w:rPr>
        <w:t>，但沼气中含有少量的</w:t>
      </w:r>
      <w:r>
        <w:rPr>
          <w:rFonts w:hAnsi="宋体"/>
          <w:kern w:val="0"/>
          <w:szCs w:val="20"/>
        </w:rPr>
        <w:t>H</w:t>
      </w:r>
      <w:r>
        <w:rPr>
          <w:rFonts w:hAnsi="宋体"/>
          <w:kern w:val="0"/>
          <w:szCs w:val="20"/>
          <w:vertAlign w:val="subscript"/>
        </w:rPr>
        <w:t>2</w:t>
      </w:r>
      <w:r>
        <w:rPr>
          <w:rFonts w:hAnsi="宋体"/>
          <w:kern w:val="0"/>
          <w:szCs w:val="20"/>
        </w:rPr>
        <w:t>S</w:t>
      </w:r>
      <w:r>
        <w:rPr>
          <w:rFonts w:hint="eastAsia" w:hAnsi="宋体"/>
          <w:kern w:val="0"/>
          <w:szCs w:val="20"/>
        </w:rPr>
        <w:t>成分，</w:t>
      </w:r>
      <w:r>
        <w:rPr>
          <w:rFonts w:hAnsi="宋体"/>
          <w:kern w:val="0"/>
          <w:szCs w:val="20"/>
        </w:rPr>
        <w:t>H</w:t>
      </w:r>
      <w:r>
        <w:rPr>
          <w:rFonts w:hAnsi="宋体"/>
          <w:kern w:val="0"/>
          <w:szCs w:val="20"/>
          <w:vertAlign w:val="subscript"/>
        </w:rPr>
        <w:t>2</w:t>
      </w:r>
      <w:r>
        <w:rPr>
          <w:rFonts w:hAnsi="宋体"/>
          <w:kern w:val="0"/>
          <w:szCs w:val="20"/>
        </w:rPr>
        <w:t>S</w:t>
      </w:r>
      <w:r>
        <w:rPr>
          <w:rFonts w:hint="eastAsia" w:hAnsi="宋体"/>
          <w:kern w:val="0"/>
          <w:szCs w:val="20"/>
        </w:rPr>
        <w:t>燃烧会产生一定量的</w:t>
      </w:r>
      <w:r>
        <w:rPr>
          <w:rFonts w:hAnsi="宋体"/>
          <w:kern w:val="0"/>
          <w:szCs w:val="20"/>
        </w:rPr>
        <w:t>SO</w:t>
      </w:r>
      <w:r>
        <w:rPr>
          <w:rFonts w:hAnsi="宋体"/>
          <w:kern w:val="0"/>
          <w:szCs w:val="20"/>
          <w:vertAlign w:val="subscript"/>
        </w:rPr>
        <w:t>2</w:t>
      </w:r>
      <w:r>
        <w:rPr>
          <w:rFonts w:hint="eastAsia" w:hAnsi="宋体"/>
          <w:kern w:val="0"/>
          <w:szCs w:val="20"/>
        </w:rPr>
        <w:t>，同时沼气燃烧还会产生少量</w:t>
      </w:r>
      <w:r>
        <w:rPr>
          <w:rFonts w:hAnsi="宋体"/>
          <w:kern w:val="0"/>
          <w:szCs w:val="20"/>
        </w:rPr>
        <w:t>NO</w:t>
      </w:r>
      <w:r>
        <w:rPr>
          <w:rFonts w:hAnsi="宋体"/>
          <w:kern w:val="0"/>
          <w:szCs w:val="20"/>
          <w:vertAlign w:val="subscript"/>
        </w:rPr>
        <w:t>X</w:t>
      </w:r>
      <w:r>
        <w:rPr>
          <w:rFonts w:hint="eastAsia" w:hAnsi="宋体"/>
          <w:kern w:val="0"/>
          <w:szCs w:val="20"/>
        </w:rPr>
        <w:t>。根据王钢主编的《沼气脱硫技术研究》文章（来自《化学工程师》杂志，文章编号：</w:t>
      </w:r>
      <w:r>
        <w:rPr>
          <w:rFonts w:hAnsi="宋体"/>
          <w:kern w:val="0"/>
          <w:szCs w:val="20"/>
        </w:rPr>
        <w:t>1002-1124</w:t>
      </w:r>
      <w:r>
        <w:rPr>
          <w:rFonts w:hint="eastAsia" w:hAnsi="宋体"/>
          <w:kern w:val="0"/>
          <w:szCs w:val="20"/>
        </w:rPr>
        <w:t>（</w:t>
      </w:r>
      <w:r>
        <w:rPr>
          <w:rFonts w:hAnsi="宋体"/>
          <w:kern w:val="0"/>
          <w:szCs w:val="20"/>
        </w:rPr>
        <w:t>2008</w:t>
      </w:r>
      <w:r>
        <w:rPr>
          <w:rFonts w:hint="eastAsia" w:hAnsi="宋体"/>
          <w:kern w:val="0"/>
          <w:szCs w:val="20"/>
        </w:rPr>
        <w:t>）</w:t>
      </w:r>
      <w:r>
        <w:rPr>
          <w:rFonts w:hAnsi="宋体"/>
          <w:kern w:val="0"/>
          <w:szCs w:val="20"/>
        </w:rPr>
        <w:t>01-0032-03</w:t>
      </w:r>
      <w:r>
        <w:rPr>
          <w:rFonts w:hint="eastAsia" w:hAnsi="宋体"/>
          <w:kern w:val="0"/>
          <w:szCs w:val="20"/>
        </w:rPr>
        <w:t>），类比确定项目沼气中</w:t>
      </w:r>
      <w:r>
        <w:rPr>
          <w:rFonts w:hAnsi="宋体"/>
          <w:kern w:val="0"/>
          <w:szCs w:val="20"/>
        </w:rPr>
        <w:t>H</w:t>
      </w:r>
      <w:r>
        <w:rPr>
          <w:rFonts w:hAnsi="宋体"/>
          <w:kern w:val="0"/>
          <w:szCs w:val="20"/>
          <w:vertAlign w:val="subscript"/>
        </w:rPr>
        <w:t>2</w:t>
      </w:r>
      <w:r>
        <w:rPr>
          <w:rFonts w:hAnsi="宋体"/>
          <w:kern w:val="0"/>
          <w:szCs w:val="20"/>
        </w:rPr>
        <w:t>S</w:t>
      </w:r>
      <w:r>
        <w:rPr>
          <w:rFonts w:hint="eastAsia" w:hAnsi="宋体"/>
          <w:kern w:val="0"/>
          <w:szCs w:val="20"/>
        </w:rPr>
        <w:t>质量浓度为</w:t>
      </w:r>
      <w:r>
        <w:rPr>
          <w:rFonts w:hAnsi="宋体"/>
          <w:kern w:val="0"/>
          <w:szCs w:val="20"/>
        </w:rPr>
        <w:t>2g/m</w:t>
      </w:r>
      <w:r>
        <w:rPr>
          <w:rFonts w:hAnsi="宋体"/>
          <w:kern w:val="0"/>
          <w:szCs w:val="20"/>
          <w:vertAlign w:val="superscript"/>
        </w:rPr>
        <w:t>3</w:t>
      </w:r>
      <w:r>
        <w:rPr>
          <w:rFonts w:hint="eastAsia" w:hAnsi="宋体"/>
          <w:kern w:val="0"/>
          <w:szCs w:val="20"/>
        </w:rPr>
        <w:t>，经脱硫设备处理后（脱硫效率为</w:t>
      </w:r>
      <w:r>
        <w:rPr>
          <w:rFonts w:hAnsi="宋体"/>
          <w:kern w:val="0"/>
          <w:szCs w:val="20"/>
        </w:rPr>
        <w:t>99.2%</w:t>
      </w:r>
      <w:r>
        <w:rPr>
          <w:rFonts w:hint="eastAsia" w:hAnsi="宋体"/>
          <w:kern w:val="0"/>
          <w:szCs w:val="20"/>
        </w:rPr>
        <w:t>），沼气中</w:t>
      </w:r>
      <w:r>
        <w:rPr>
          <w:rFonts w:hAnsi="宋体"/>
          <w:kern w:val="0"/>
          <w:szCs w:val="20"/>
        </w:rPr>
        <w:t>H</w:t>
      </w:r>
      <w:r>
        <w:rPr>
          <w:rFonts w:hAnsi="宋体"/>
          <w:kern w:val="0"/>
          <w:szCs w:val="20"/>
          <w:vertAlign w:val="subscript"/>
        </w:rPr>
        <w:t>2</w:t>
      </w:r>
      <w:r>
        <w:rPr>
          <w:rFonts w:hAnsi="宋体"/>
          <w:kern w:val="0"/>
          <w:szCs w:val="20"/>
        </w:rPr>
        <w:t>S</w:t>
      </w:r>
      <w:r>
        <w:rPr>
          <w:rFonts w:hint="eastAsia" w:hAnsi="宋体"/>
          <w:kern w:val="0"/>
          <w:szCs w:val="20"/>
        </w:rPr>
        <w:t>含量为</w:t>
      </w:r>
      <w:r>
        <w:rPr>
          <w:rFonts w:hAnsi="宋体"/>
          <w:kern w:val="0"/>
          <w:szCs w:val="20"/>
        </w:rPr>
        <w:t>16mg/m</w:t>
      </w:r>
      <w:r>
        <w:rPr>
          <w:rFonts w:hAnsi="宋体"/>
          <w:kern w:val="0"/>
          <w:szCs w:val="20"/>
          <w:vertAlign w:val="superscript"/>
        </w:rPr>
        <w:t>3</w:t>
      </w:r>
      <w:r>
        <w:rPr>
          <w:rFonts w:hint="eastAsia" w:hAnsi="宋体"/>
          <w:kern w:val="0"/>
          <w:szCs w:val="20"/>
        </w:rPr>
        <w:t>，能够满足《规模化畜禽养殖场沼气工程设计规范》（</w:t>
      </w:r>
      <w:r>
        <w:rPr>
          <w:rFonts w:hAnsi="宋体"/>
          <w:kern w:val="0"/>
          <w:szCs w:val="20"/>
        </w:rPr>
        <w:t>NYT1222-2006</w:t>
      </w:r>
      <w:r>
        <w:rPr>
          <w:rFonts w:hint="eastAsia" w:hAnsi="宋体"/>
          <w:kern w:val="0"/>
          <w:szCs w:val="20"/>
        </w:rPr>
        <w:t>）中关于沼气净化系统处理后的硫化氢小于</w:t>
      </w:r>
      <w:r>
        <w:rPr>
          <w:rFonts w:hAnsi="宋体"/>
          <w:kern w:val="0"/>
          <w:szCs w:val="20"/>
        </w:rPr>
        <w:t>20mg/m</w:t>
      </w:r>
      <w:r>
        <w:rPr>
          <w:rFonts w:hAnsi="宋体"/>
          <w:kern w:val="0"/>
          <w:szCs w:val="20"/>
          <w:vertAlign w:val="superscript"/>
        </w:rPr>
        <w:t>3</w:t>
      </w:r>
      <w:r>
        <w:rPr>
          <w:rFonts w:hint="eastAsia" w:hAnsi="宋体"/>
          <w:kern w:val="0"/>
          <w:szCs w:val="20"/>
        </w:rPr>
        <w:t>的要求。</w:t>
      </w:r>
    </w:p>
    <w:p>
      <w:pPr>
        <w:pStyle w:val="25"/>
        <w:spacing w:line="520" w:lineRule="exact"/>
        <w:ind w:firstLine="480"/>
        <w:rPr>
          <w:rFonts w:hint="eastAsia" w:hAnsi="宋体"/>
          <w:kern w:val="0"/>
          <w:szCs w:val="20"/>
          <w:lang w:val="en-US"/>
        </w:rPr>
      </w:pPr>
      <w:r>
        <w:rPr>
          <w:rFonts w:hint="eastAsia" w:hAnsi="宋体"/>
          <w:kern w:val="0"/>
          <w:szCs w:val="20"/>
          <w:lang w:val="en-US" w:eastAsia="zh-CN"/>
        </w:rPr>
        <w:t>根据《第一次全国污染源普查工业产排污系数手册》中的产生系数核算（即136259.17m</w:t>
      </w:r>
      <w:r>
        <w:rPr>
          <w:rFonts w:hint="eastAsia" w:hAnsi="宋体"/>
          <w:kern w:val="0"/>
          <w:szCs w:val="20"/>
          <w:vertAlign w:val="superscript"/>
          <w:lang w:val="en-US" w:eastAsia="zh-CN"/>
        </w:rPr>
        <w:t>3</w:t>
      </w:r>
      <w:r>
        <w:rPr>
          <w:rFonts w:hint="eastAsia" w:hAnsi="宋体"/>
          <w:kern w:val="0"/>
          <w:szCs w:val="20"/>
          <w:lang w:val="en-US" w:eastAsia="zh-CN"/>
        </w:rPr>
        <w:t>/万m</w:t>
      </w:r>
      <w:r>
        <w:rPr>
          <w:rFonts w:hint="eastAsia" w:hAnsi="宋体"/>
          <w:kern w:val="0"/>
          <w:szCs w:val="20"/>
          <w:vertAlign w:val="superscript"/>
          <w:lang w:val="en-US" w:eastAsia="zh-CN"/>
        </w:rPr>
        <w:t>3</w:t>
      </w:r>
      <w:r>
        <w:rPr>
          <w:rFonts w:hint="eastAsia" w:hAnsi="宋体"/>
          <w:kern w:val="0"/>
          <w:szCs w:val="20"/>
          <w:lang w:val="en-US" w:eastAsia="zh-CN"/>
        </w:rPr>
        <w:t>-原料），沼气燃烧产生的烟气量为443339.6m</w:t>
      </w:r>
      <w:r>
        <w:rPr>
          <w:rFonts w:hint="eastAsia" w:hAnsi="宋体"/>
          <w:kern w:val="0"/>
          <w:szCs w:val="20"/>
          <w:vertAlign w:val="superscript"/>
          <w:lang w:val="en-US" w:eastAsia="zh-CN"/>
        </w:rPr>
        <w:t>3</w:t>
      </w:r>
      <w:r>
        <w:rPr>
          <w:rFonts w:hint="eastAsia" w:hAnsi="宋体"/>
          <w:kern w:val="0"/>
          <w:szCs w:val="20"/>
          <w:lang w:val="en-US" w:eastAsia="zh-CN"/>
        </w:rPr>
        <w:t>/a。</w:t>
      </w:r>
    </w:p>
    <w:p>
      <w:pPr>
        <w:pStyle w:val="25"/>
        <w:spacing w:line="520" w:lineRule="exact"/>
        <w:ind w:firstLine="480"/>
        <w:rPr>
          <w:rFonts w:hint="eastAsia" w:hAnsi="宋体"/>
          <w:kern w:val="0"/>
          <w:szCs w:val="20"/>
          <w:lang w:val="en-US"/>
        </w:rPr>
      </w:pPr>
      <w:r>
        <w:rPr>
          <w:rFonts w:hint="eastAsia" w:hAnsi="宋体"/>
          <w:kern w:val="0"/>
          <w:szCs w:val="20"/>
          <w:lang w:val="en-US" w:eastAsia="zh-CN"/>
        </w:rPr>
        <w:t>沼气燃烧产生SO</w:t>
      </w:r>
      <w:r>
        <w:rPr>
          <w:rFonts w:hint="eastAsia" w:hAnsi="宋体"/>
          <w:kern w:val="0"/>
          <w:szCs w:val="20"/>
          <w:vertAlign w:val="subscript"/>
          <w:lang w:val="en-US" w:eastAsia="zh-CN"/>
        </w:rPr>
        <w:t>2</w:t>
      </w:r>
      <w:r>
        <w:rPr>
          <w:rFonts w:hint="eastAsia" w:hAnsi="宋体"/>
          <w:kern w:val="0"/>
          <w:szCs w:val="20"/>
          <w:lang w:val="en-US" w:eastAsia="zh-CN"/>
        </w:rPr>
        <w:t>量为29456.25×16×10</w:t>
      </w:r>
      <w:r>
        <w:rPr>
          <w:rFonts w:hint="eastAsia" w:hAnsi="宋体"/>
          <w:kern w:val="0"/>
          <w:szCs w:val="20"/>
          <w:vertAlign w:val="superscript"/>
          <w:lang w:val="en-US" w:eastAsia="zh-CN"/>
        </w:rPr>
        <w:t>-6</w:t>
      </w:r>
      <w:r>
        <w:rPr>
          <w:rFonts w:hint="eastAsia" w:hAnsi="宋体"/>
          <w:kern w:val="0"/>
          <w:szCs w:val="20"/>
          <w:lang w:val="en-US" w:eastAsia="zh-CN"/>
        </w:rPr>
        <w:t>×64÷34=0.91kg/a，即0.00089t/a。</w:t>
      </w:r>
    </w:p>
    <w:p>
      <w:pPr>
        <w:pStyle w:val="25"/>
        <w:spacing w:line="520" w:lineRule="exact"/>
        <w:ind w:firstLine="480"/>
        <w:rPr>
          <w:rFonts w:hAnsi="宋体"/>
          <w:kern w:val="0"/>
          <w:szCs w:val="20"/>
          <w:lang w:val="en-US"/>
        </w:rPr>
      </w:pPr>
      <w:r>
        <w:rPr>
          <w:rFonts w:hint="eastAsia" w:hAnsi="宋体"/>
          <w:kern w:val="0"/>
          <w:szCs w:val="20"/>
          <w:lang w:val="en-US" w:eastAsia="zh-CN"/>
        </w:rPr>
        <w:t>根据《2006年全国氮氧化物排放统计技术要求》，沼气燃烧过程NO</w:t>
      </w:r>
      <w:r>
        <w:rPr>
          <w:rFonts w:hint="eastAsia" w:hAnsi="宋体"/>
          <w:kern w:val="0"/>
          <w:szCs w:val="20"/>
          <w:vertAlign w:val="subscript"/>
          <w:lang w:val="en-US" w:eastAsia="zh-CN"/>
        </w:rPr>
        <w:t>X</w:t>
      </w:r>
      <w:r>
        <w:rPr>
          <w:rFonts w:hint="eastAsia" w:hAnsi="宋体"/>
          <w:kern w:val="0"/>
          <w:szCs w:val="20"/>
          <w:lang w:val="en-US" w:eastAsia="zh-CN"/>
        </w:rPr>
        <w:t>排放系数为5.0kg/10</w:t>
      </w:r>
      <w:r>
        <w:rPr>
          <w:rFonts w:hint="eastAsia" w:hAnsi="宋体"/>
          <w:kern w:val="0"/>
          <w:szCs w:val="20"/>
          <w:vertAlign w:val="superscript"/>
          <w:lang w:val="en-US" w:eastAsia="zh-CN"/>
        </w:rPr>
        <w:t>8</w:t>
      </w:r>
      <w:r>
        <w:rPr>
          <w:rFonts w:hint="eastAsia" w:hAnsi="宋体"/>
          <w:kern w:val="0"/>
          <w:szCs w:val="20"/>
          <w:lang w:val="en-US" w:eastAsia="zh-CN"/>
        </w:rPr>
        <w:t>kJ，沼气的发热值为21524kJ/m</w:t>
      </w:r>
      <w:r>
        <w:rPr>
          <w:rFonts w:hint="eastAsia" w:hAnsi="宋体"/>
          <w:kern w:val="0"/>
          <w:szCs w:val="20"/>
          <w:vertAlign w:val="superscript"/>
          <w:lang w:val="en-US" w:eastAsia="zh-CN"/>
        </w:rPr>
        <w:t>3</w:t>
      </w:r>
      <w:r>
        <w:rPr>
          <w:rFonts w:hint="eastAsia" w:hAnsi="宋体"/>
          <w:kern w:val="0"/>
          <w:szCs w:val="20"/>
          <w:lang w:val="en-US" w:eastAsia="zh-CN"/>
        </w:rPr>
        <w:t>，则本项目NO</w:t>
      </w:r>
      <w:r>
        <w:rPr>
          <w:rFonts w:hint="eastAsia" w:hAnsi="宋体"/>
          <w:kern w:val="0"/>
          <w:szCs w:val="20"/>
          <w:vertAlign w:val="subscript"/>
          <w:lang w:val="en-US" w:eastAsia="zh-CN"/>
        </w:rPr>
        <w:t>X</w:t>
      </w:r>
      <w:r>
        <w:rPr>
          <w:rFonts w:hint="eastAsia" w:hAnsi="宋体"/>
          <w:kern w:val="0"/>
          <w:szCs w:val="20"/>
          <w:lang w:val="en-US" w:eastAsia="zh-CN"/>
        </w:rPr>
        <w:t>产生量为0.029t/a。</w:t>
      </w:r>
    </w:p>
    <w:p>
      <w:pPr>
        <w:spacing w:line="520" w:lineRule="exact"/>
        <w:jc w:val="center"/>
        <w:rPr>
          <w:b/>
          <w:sz w:val="24"/>
        </w:rPr>
      </w:pPr>
      <w:r>
        <w:rPr>
          <w:rFonts w:hint="eastAsia" w:cs="宋体"/>
          <w:b/>
          <w:sz w:val="24"/>
          <w:lang w:bidi="ar"/>
        </w:rPr>
        <w:t>表</w:t>
      </w:r>
      <w:r>
        <w:rPr>
          <w:b/>
          <w:sz w:val="24"/>
          <w:lang w:bidi="ar"/>
        </w:rPr>
        <w:t xml:space="preserve">2.3-6  </w:t>
      </w:r>
      <w:r>
        <w:rPr>
          <w:rFonts w:hint="eastAsia" w:cs="宋体"/>
          <w:b/>
          <w:sz w:val="24"/>
          <w:lang w:bidi="ar"/>
        </w:rPr>
        <w:t>沼气燃烧废气产排情况一览表</w:t>
      </w:r>
    </w:p>
    <w:tbl>
      <w:tblPr>
        <w:tblStyle w:val="17"/>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24"/>
        <w:gridCol w:w="1015"/>
        <w:gridCol w:w="642"/>
        <w:gridCol w:w="1067"/>
        <w:gridCol w:w="1557"/>
        <w:gridCol w:w="1386"/>
        <w:gridCol w:w="1504"/>
        <w:gridCol w:w="11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14" w:type="pct"/>
            <w:gridSpan w:val="2"/>
            <w:tcBorders>
              <w:top w:val="single" w:color="auto" w:sz="12" w:space="0"/>
              <w:left w:val="single" w:color="auto" w:sz="12"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b/>
                <w:szCs w:val="21"/>
              </w:rPr>
            </w:pPr>
            <w:r>
              <w:rPr>
                <w:rFonts w:hint="eastAsia" w:cs="宋体"/>
                <w:b/>
                <w:szCs w:val="21"/>
                <w:lang w:bidi="ar"/>
              </w:rPr>
              <w:t>沼气用量</w:t>
            </w:r>
          </w:p>
          <w:p>
            <w:pPr>
              <w:keepNext w:val="0"/>
              <w:keepLines w:val="0"/>
              <w:pageBreakBefore w:val="0"/>
              <w:widowControl w:val="0"/>
              <w:kinsoku/>
              <w:wordWrap/>
              <w:overflowPunct/>
              <w:topLinePunct w:val="0"/>
              <w:autoSpaceDE/>
              <w:autoSpaceDN/>
              <w:bidi w:val="0"/>
              <w:adjustRightInd/>
              <w:snapToGrid/>
              <w:jc w:val="center"/>
              <w:textAlignment w:val="auto"/>
              <w:rPr>
                <w:b/>
                <w:szCs w:val="21"/>
              </w:rPr>
            </w:pPr>
            <w:r>
              <w:rPr>
                <w:b/>
                <w:szCs w:val="21"/>
                <w:lang w:bidi="ar"/>
              </w:rPr>
              <w:t>(m</w:t>
            </w:r>
            <w:r>
              <w:rPr>
                <w:b/>
                <w:szCs w:val="21"/>
                <w:vertAlign w:val="superscript"/>
                <w:lang w:bidi="ar"/>
              </w:rPr>
              <w:t>3</w:t>
            </w:r>
            <w:r>
              <w:rPr>
                <w:b/>
                <w:szCs w:val="21"/>
                <w:lang w:bidi="ar"/>
              </w:rPr>
              <w:t>/a)</w:t>
            </w:r>
          </w:p>
        </w:tc>
        <w:tc>
          <w:tcPr>
            <w:tcW w:w="362" w:type="pct"/>
            <w:tcBorders>
              <w:top w:val="single" w:color="auto" w:sz="12"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b/>
                <w:szCs w:val="21"/>
              </w:rPr>
            </w:pPr>
            <w:r>
              <w:rPr>
                <w:rFonts w:hint="eastAsia" w:cs="宋体"/>
                <w:b/>
                <w:szCs w:val="21"/>
                <w:lang w:bidi="ar"/>
              </w:rPr>
              <w:t>污染物名称</w:t>
            </w:r>
          </w:p>
        </w:tc>
        <w:tc>
          <w:tcPr>
            <w:tcW w:w="583" w:type="pct"/>
            <w:tcBorders>
              <w:top w:val="single" w:color="auto" w:sz="12"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b/>
                <w:szCs w:val="21"/>
              </w:rPr>
            </w:pPr>
            <w:r>
              <w:rPr>
                <w:rFonts w:hint="eastAsia" w:cs="宋体"/>
                <w:b/>
                <w:szCs w:val="21"/>
                <w:lang w:bidi="ar"/>
              </w:rPr>
              <w:t>烟气量</w:t>
            </w:r>
          </w:p>
          <w:p>
            <w:pPr>
              <w:keepNext w:val="0"/>
              <w:keepLines w:val="0"/>
              <w:pageBreakBefore w:val="0"/>
              <w:widowControl w:val="0"/>
              <w:kinsoku/>
              <w:wordWrap/>
              <w:overflowPunct/>
              <w:topLinePunct w:val="0"/>
              <w:autoSpaceDE/>
              <w:autoSpaceDN/>
              <w:bidi w:val="0"/>
              <w:adjustRightInd/>
              <w:snapToGrid/>
              <w:jc w:val="center"/>
              <w:textAlignment w:val="auto"/>
              <w:rPr>
                <w:b/>
                <w:szCs w:val="21"/>
              </w:rPr>
            </w:pPr>
            <w:r>
              <w:rPr>
                <w:rFonts w:hint="eastAsia" w:cs="宋体"/>
                <w:b/>
                <w:szCs w:val="21"/>
                <w:lang w:bidi="ar"/>
              </w:rPr>
              <w:t>（</w:t>
            </w:r>
            <w:r>
              <w:rPr>
                <w:b/>
                <w:szCs w:val="21"/>
                <w:lang w:bidi="ar"/>
              </w:rPr>
              <w:t>m</w:t>
            </w:r>
            <w:r>
              <w:rPr>
                <w:b/>
                <w:szCs w:val="21"/>
                <w:vertAlign w:val="superscript"/>
                <w:lang w:bidi="ar"/>
              </w:rPr>
              <w:t>3</w:t>
            </w:r>
            <w:r>
              <w:rPr>
                <w:b/>
                <w:szCs w:val="21"/>
                <w:lang w:bidi="ar"/>
              </w:rPr>
              <w:t>/a</w:t>
            </w:r>
            <w:r>
              <w:rPr>
                <w:rFonts w:hint="eastAsia" w:cs="宋体"/>
                <w:b/>
                <w:szCs w:val="21"/>
                <w:lang w:bidi="ar"/>
              </w:rPr>
              <w:t>）</w:t>
            </w:r>
          </w:p>
        </w:tc>
        <w:tc>
          <w:tcPr>
            <w:tcW w:w="873" w:type="pct"/>
            <w:tcBorders>
              <w:top w:val="single" w:color="auto" w:sz="12"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b/>
                <w:szCs w:val="21"/>
              </w:rPr>
            </w:pPr>
            <w:r>
              <w:rPr>
                <w:rFonts w:hint="eastAsia" w:cs="宋体"/>
                <w:b/>
                <w:szCs w:val="21"/>
                <w:lang w:bidi="ar"/>
              </w:rPr>
              <w:t>产生浓度</w:t>
            </w:r>
          </w:p>
          <w:p>
            <w:pPr>
              <w:keepNext w:val="0"/>
              <w:keepLines w:val="0"/>
              <w:pageBreakBefore w:val="0"/>
              <w:widowControl w:val="0"/>
              <w:kinsoku/>
              <w:wordWrap/>
              <w:overflowPunct/>
              <w:topLinePunct w:val="0"/>
              <w:autoSpaceDE/>
              <w:autoSpaceDN/>
              <w:bidi w:val="0"/>
              <w:adjustRightInd/>
              <w:snapToGrid/>
              <w:jc w:val="center"/>
              <w:textAlignment w:val="auto"/>
              <w:rPr>
                <w:b/>
                <w:szCs w:val="21"/>
              </w:rPr>
            </w:pPr>
            <w:r>
              <w:rPr>
                <w:rFonts w:hint="eastAsia" w:cs="宋体"/>
                <w:b/>
                <w:szCs w:val="21"/>
                <w:lang w:bidi="ar"/>
              </w:rPr>
              <w:t>（</w:t>
            </w:r>
            <w:r>
              <w:rPr>
                <w:b/>
                <w:szCs w:val="21"/>
                <w:lang w:bidi="ar"/>
              </w:rPr>
              <w:t>mg/m</w:t>
            </w:r>
            <w:r>
              <w:rPr>
                <w:b/>
                <w:szCs w:val="21"/>
                <w:vertAlign w:val="superscript"/>
                <w:lang w:bidi="ar"/>
              </w:rPr>
              <w:t>3</w:t>
            </w:r>
            <w:r>
              <w:rPr>
                <w:rFonts w:hint="eastAsia" w:cs="宋体"/>
                <w:b/>
                <w:szCs w:val="21"/>
                <w:lang w:bidi="ar"/>
              </w:rPr>
              <w:t>）</w:t>
            </w:r>
          </w:p>
        </w:tc>
        <w:tc>
          <w:tcPr>
            <w:tcW w:w="777" w:type="pct"/>
            <w:tcBorders>
              <w:top w:val="single" w:color="auto" w:sz="12"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b/>
                <w:szCs w:val="21"/>
              </w:rPr>
            </w:pPr>
            <w:r>
              <w:rPr>
                <w:rFonts w:hint="eastAsia" w:cs="宋体"/>
                <w:b/>
                <w:szCs w:val="21"/>
                <w:lang w:bidi="ar"/>
              </w:rPr>
              <w:t>产生量（</w:t>
            </w:r>
            <w:r>
              <w:rPr>
                <w:b/>
                <w:szCs w:val="21"/>
                <w:lang w:bidi="ar"/>
              </w:rPr>
              <w:t>t/a</w:t>
            </w:r>
            <w:r>
              <w:rPr>
                <w:rFonts w:hint="eastAsia" w:cs="宋体"/>
                <w:b/>
                <w:szCs w:val="21"/>
                <w:lang w:bidi="ar"/>
              </w:rPr>
              <w:t>）</w:t>
            </w:r>
          </w:p>
        </w:tc>
        <w:tc>
          <w:tcPr>
            <w:tcW w:w="843" w:type="pct"/>
            <w:tcBorders>
              <w:top w:val="single" w:color="auto" w:sz="12"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b/>
                <w:szCs w:val="21"/>
              </w:rPr>
            </w:pPr>
            <w:r>
              <w:rPr>
                <w:rFonts w:hint="eastAsia" w:cs="宋体"/>
                <w:b/>
                <w:szCs w:val="21"/>
                <w:lang w:bidi="ar"/>
              </w:rPr>
              <w:t>排放浓度</w:t>
            </w:r>
          </w:p>
          <w:p>
            <w:pPr>
              <w:keepNext w:val="0"/>
              <w:keepLines w:val="0"/>
              <w:pageBreakBefore w:val="0"/>
              <w:widowControl w:val="0"/>
              <w:kinsoku/>
              <w:wordWrap/>
              <w:overflowPunct/>
              <w:topLinePunct w:val="0"/>
              <w:autoSpaceDE/>
              <w:autoSpaceDN/>
              <w:bidi w:val="0"/>
              <w:adjustRightInd/>
              <w:snapToGrid/>
              <w:jc w:val="center"/>
              <w:textAlignment w:val="auto"/>
              <w:rPr>
                <w:b/>
                <w:szCs w:val="21"/>
              </w:rPr>
            </w:pPr>
            <w:r>
              <w:rPr>
                <w:rFonts w:hint="eastAsia" w:cs="宋体"/>
                <w:b/>
                <w:szCs w:val="21"/>
                <w:lang w:bidi="ar"/>
              </w:rPr>
              <w:t>（</w:t>
            </w:r>
            <w:r>
              <w:rPr>
                <w:b/>
                <w:szCs w:val="21"/>
                <w:lang w:bidi="ar"/>
              </w:rPr>
              <w:t>mg/m</w:t>
            </w:r>
            <w:r>
              <w:rPr>
                <w:b/>
                <w:szCs w:val="21"/>
                <w:vertAlign w:val="superscript"/>
                <w:lang w:bidi="ar"/>
              </w:rPr>
              <w:t>3</w:t>
            </w:r>
            <w:r>
              <w:rPr>
                <w:rFonts w:hint="eastAsia" w:cs="宋体"/>
                <w:b/>
                <w:szCs w:val="21"/>
                <w:lang w:bidi="ar"/>
              </w:rPr>
              <w:t>）</w:t>
            </w:r>
          </w:p>
        </w:tc>
        <w:tc>
          <w:tcPr>
            <w:tcW w:w="644" w:type="pct"/>
            <w:tcBorders>
              <w:top w:val="single" w:color="auto" w:sz="12" w:space="0"/>
              <w:left w:val="single" w:color="auto" w:sz="4" w:space="0"/>
              <w:bottom w:val="single" w:color="auto" w:sz="4" w:space="0"/>
              <w:right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b/>
                <w:szCs w:val="21"/>
              </w:rPr>
            </w:pPr>
            <w:r>
              <w:rPr>
                <w:rFonts w:hint="eastAsia" w:cs="宋体"/>
                <w:b/>
                <w:szCs w:val="21"/>
                <w:lang w:bidi="ar"/>
              </w:rPr>
              <w:t>排放量（</w:t>
            </w:r>
            <w:r>
              <w:rPr>
                <w:b/>
                <w:szCs w:val="21"/>
                <w:lang w:bidi="ar"/>
              </w:rPr>
              <w:t>t/a</w:t>
            </w:r>
            <w:r>
              <w:rPr>
                <w:rFonts w:hint="eastAsia" w:cs="宋体"/>
                <w:b/>
                <w:szCs w:val="21"/>
                <w:lang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65" w:hRule="atLeast"/>
        </w:trPr>
        <w:tc>
          <w:tcPr>
            <w:tcW w:w="352" w:type="pct"/>
            <w:vMerge w:val="restart"/>
            <w:tcBorders>
              <w:top w:val="single" w:color="auto" w:sz="4" w:space="0"/>
              <w:left w:val="single" w:color="auto" w:sz="12" w:space="0"/>
              <w:bottom w:val="single" w:color="auto" w:sz="12"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szCs w:val="21"/>
              </w:rPr>
            </w:pPr>
            <w:r>
              <w:rPr>
                <w:rFonts w:hint="eastAsia" w:cs="宋体"/>
                <w:szCs w:val="21"/>
                <w:lang w:bidi="ar"/>
              </w:rPr>
              <w:t>火炬燃烧</w:t>
            </w:r>
          </w:p>
        </w:tc>
        <w:tc>
          <w:tcPr>
            <w:tcW w:w="561" w:type="pct"/>
            <w:vMerge w:val="restart"/>
            <w:tcBorders>
              <w:top w:val="single" w:color="auto" w:sz="4" w:space="0"/>
              <w:left w:val="single" w:color="auto" w:sz="4" w:space="0"/>
              <w:bottom w:val="single" w:color="auto" w:sz="12"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color w:val="000000"/>
                <w:szCs w:val="21"/>
                <w:lang w:eastAsia="zh-CN"/>
              </w:rPr>
            </w:pPr>
            <w:r>
              <w:rPr>
                <w:rFonts w:hint="eastAsia"/>
                <w:szCs w:val="21"/>
                <w:lang w:eastAsia="zh-CN" w:bidi="ar"/>
              </w:rPr>
              <w:t>29456.25</w:t>
            </w:r>
          </w:p>
        </w:tc>
        <w:tc>
          <w:tcPr>
            <w:tcW w:w="362"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szCs w:val="21"/>
              </w:rPr>
            </w:pPr>
            <w:r>
              <w:rPr>
                <w:szCs w:val="21"/>
                <w:lang w:bidi="ar"/>
              </w:rPr>
              <w:t>SO</w:t>
            </w:r>
            <w:r>
              <w:rPr>
                <w:szCs w:val="21"/>
                <w:vertAlign w:val="subscript"/>
                <w:lang w:bidi="ar"/>
              </w:rPr>
              <w:t>2</w:t>
            </w:r>
          </w:p>
        </w:tc>
        <w:tc>
          <w:tcPr>
            <w:tcW w:w="583" w:type="pct"/>
            <w:vMerge w:val="restart"/>
            <w:tcBorders>
              <w:top w:val="single" w:color="auto" w:sz="4" w:space="0"/>
              <w:left w:val="single" w:color="auto" w:sz="4" w:space="0"/>
              <w:bottom w:val="single" w:color="auto" w:sz="12"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000000"/>
                <w:szCs w:val="21"/>
              </w:rPr>
            </w:pPr>
            <w:r>
              <w:rPr>
                <w:rFonts w:hint="eastAsia"/>
                <w:color w:val="000000"/>
                <w:szCs w:val="21"/>
              </w:rPr>
              <w:t>443339.6</w:t>
            </w:r>
          </w:p>
        </w:tc>
        <w:tc>
          <w:tcPr>
            <w:tcW w:w="873"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szCs w:val="21"/>
                <w:lang w:val="en-US" w:eastAsia="zh-CN"/>
              </w:rPr>
            </w:pPr>
            <w:r>
              <w:rPr>
                <w:rFonts w:hint="eastAsia"/>
                <w:szCs w:val="21"/>
                <w:lang w:val="en-US" w:eastAsia="zh-CN" w:bidi="ar"/>
              </w:rPr>
              <w:t>2.00</w:t>
            </w:r>
          </w:p>
        </w:tc>
        <w:tc>
          <w:tcPr>
            <w:tcW w:w="77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szCs w:val="21"/>
                <w:lang w:eastAsia="zh-CN"/>
              </w:rPr>
            </w:pPr>
            <w:r>
              <w:rPr>
                <w:rFonts w:hint="eastAsia"/>
                <w:szCs w:val="21"/>
                <w:lang w:eastAsia="zh-CN" w:bidi="ar"/>
              </w:rPr>
              <w:t>0.00089</w:t>
            </w:r>
          </w:p>
        </w:tc>
        <w:tc>
          <w:tcPr>
            <w:tcW w:w="15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szCs w:val="21"/>
              </w:rPr>
            </w:pPr>
            <w:r>
              <w:rPr>
                <w:rFonts w:hint="eastAsia"/>
                <w:szCs w:val="21"/>
                <w:lang w:val="en-US" w:eastAsia="zh-CN" w:bidi="ar"/>
              </w:rPr>
              <w:t>2.00</w:t>
            </w:r>
          </w:p>
        </w:tc>
        <w:tc>
          <w:tcPr>
            <w:tcW w:w="644" w:type="pct"/>
            <w:tcBorders>
              <w:top w:val="single" w:color="auto" w:sz="4" w:space="0"/>
              <w:left w:val="single" w:color="auto" w:sz="4" w:space="0"/>
              <w:bottom w:val="single" w:color="auto" w:sz="4" w:space="0"/>
              <w:right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szCs w:val="21"/>
                <w:lang w:val="en-US" w:eastAsia="zh-CN"/>
              </w:rPr>
            </w:pPr>
            <w:r>
              <w:rPr>
                <w:rFonts w:hint="eastAsia"/>
                <w:szCs w:val="21"/>
                <w:lang w:eastAsia="zh-CN" w:bidi="ar"/>
              </w:rPr>
              <w:t>0.00089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352" w:type="pct"/>
            <w:vMerge w:val="continue"/>
            <w:tcBorders>
              <w:top w:val="single" w:color="auto" w:sz="4" w:space="0"/>
              <w:left w:val="single" w:color="auto" w:sz="12" w:space="0"/>
              <w:bottom w:val="single" w:color="auto" w:sz="12"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textAlignment w:val="auto"/>
              <w:rPr>
                <w:sz w:val="20"/>
                <w:szCs w:val="20"/>
              </w:rPr>
            </w:pPr>
          </w:p>
        </w:tc>
        <w:tc>
          <w:tcPr>
            <w:tcW w:w="561" w:type="pct"/>
            <w:vMerge w:val="continue"/>
            <w:tcBorders>
              <w:top w:val="single" w:color="auto" w:sz="4" w:space="0"/>
              <w:left w:val="single" w:color="auto" w:sz="4" w:space="0"/>
              <w:bottom w:val="single" w:color="auto" w:sz="12"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textAlignment w:val="auto"/>
              <w:rPr>
                <w:sz w:val="20"/>
                <w:szCs w:val="20"/>
              </w:rPr>
            </w:pPr>
          </w:p>
        </w:tc>
        <w:tc>
          <w:tcPr>
            <w:tcW w:w="362" w:type="pct"/>
            <w:tcBorders>
              <w:top w:val="single" w:color="auto" w:sz="4" w:space="0"/>
              <w:left w:val="single" w:color="auto" w:sz="4" w:space="0"/>
              <w:bottom w:val="single" w:color="auto" w:sz="12"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szCs w:val="21"/>
              </w:rPr>
            </w:pPr>
            <w:r>
              <w:rPr>
                <w:szCs w:val="21"/>
                <w:lang w:bidi="ar"/>
              </w:rPr>
              <w:t>NO</w:t>
            </w:r>
            <w:r>
              <w:rPr>
                <w:szCs w:val="21"/>
                <w:vertAlign w:val="subscript"/>
                <w:lang w:bidi="ar"/>
              </w:rPr>
              <w:t>X</w:t>
            </w:r>
          </w:p>
        </w:tc>
        <w:tc>
          <w:tcPr>
            <w:tcW w:w="583" w:type="pct"/>
            <w:vMerge w:val="continue"/>
            <w:tcBorders>
              <w:top w:val="single" w:color="auto" w:sz="4" w:space="0"/>
              <w:left w:val="single" w:color="auto" w:sz="4" w:space="0"/>
              <w:bottom w:val="single" w:color="auto" w:sz="12"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textAlignment w:val="auto"/>
              <w:rPr>
                <w:sz w:val="20"/>
                <w:szCs w:val="20"/>
              </w:rPr>
            </w:pPr>
          </w:p>
        </w:tc>
        <w:tc>
          <w:tcPr>
            <w:tcW w:w="873" w:type="pct"/>
            <w:tcBorders>
              <w:top w:val="single" w:color="auto" w:sz="4" w:space="0"/>
              <w:left w:val="single" w:color="auto" w:sz="4" w:space="0"/>
              <w:bottom w:val="single" w:color="auto" w:sz="12"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szCs w:val="21"/>
                <w:lang w:val="en-US" w:eastAsia="zh-CN"/>
              </w:rPr>
            </w:pPr>
            <w:r>
              <w:rPr>
                <w:rFonts w:hint="eastAsia"/>
                <w:szCs w:val="21"/>
                <w:lang w:val="en-US" w:eastAsia="zh-CN" w:bidi="ar"/>
              </w:rPr>
              <w:t>65.41</w:t>
            </w:r>
          </w:p>
        </w:tc>
        <w:tc>
          <w:tcPr>
            <w:tcW w:w="777" w:type="pct"/>
            <w:tcBorders>
              <w:top w:val="single" w:color="auto" w:sz="4" w:space="0"/>
              <w:left w:val="single" w:color="auto" w:sz="4" w:space="0"/>
              <w:bottom w:val="single" w:color="auto" w:sz="12"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szCs w:val="21"/>
              </w:rPr>
            </w:pPr>
            <w:r>
              <w:rPr>
                <w:rFonts w:hint="eastAsia"/>
                <w:szCs w:val="21"/>
                <w:lang w:val="en-US" w:eastAsia="zh-CN" w:bidi="ar"/>
              </w:rPr>
              <w:t>0.029</w:t>
            </w:r>
          </w:p>
        </w:tc>
        <w:tc>
          <w:tcPr>
            <w:tcW w:w="1509" w:type="dxa"/>
            <w:tcBorders>
              <w:top w:val="single" w:color="auto" w:sz="4" w:space="0"/>
              <w:left w:val="single" w:color="auto" w:sz="4" w:space="0"/>
              <w:bottom w:val="single" w:color="auto" w:sz="12"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szCs w:val="21"/>
              </w:rPr>
            </w:pPr>
            <w:r>
              <w:rPr>
                <w:rFonts w:hint="eastAsia"/>
                <w:szCs w:val="21"/>
                <w:lang w:val="en-US" w:eastAsia="zh-CN" w:bidi="ar"/>
              </w:rPr>
              <w:t>65.41</w:t>
            </w:r>
          </w:p>
        </w:tc>
        <w:tc>
          <w:tcPr>
            <w:tcW w:w="644" w:type="pct"/>
            <w:tcBorders>
              <w:top w:val="single" w:color="auto" w:sz="4" w:space="0"/>
              <w:left w:val="single" w:color="auto" w:sz="4" w:space="0"/>
              <w:bottom w:val="single" w:color="auto" w:sz="12" w:space="0"/>
              <w:right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szCs w:val="21"/>
                <w:lang w:val="en-US" w:eastAsia="zh-CN"/>
              </w:rPr>
            </w:pPr>
            <w:r>
              <w:rPr>
                <w:rFonts w:hint="eastAsia"/>
                <w:szCs w:val="21"/>
                <w:lang w:val="en-US" w:eastAsia="zh-CN" w:bidi="ar"/>
              </w:rPr>
              <w:t>0.029</w:t>
            </w:r>
          </w:p>
        </w:tc>
      </w:tr>
    </w:tbl>
    <w:p>
      <w:pPr>
        <w:spacing w:line="520" w:lineRule="exact"/>
        <w:ind w:firstLine="480" w:firstLineChars="200"/>
        <w:rPr>
          <w:sz w:val="24"/>
        </w:rPr>
      </w:pPr>
      <w:r>
        <w:rPr>
          <w:rFonts w:hAnsi="宋体"/>
          <w:sz w:val="24"/>
        </w:rPr>
        <w:t>（</w:t>
      </w:r>
      <w:r>
        <w:rPr>
          <w:sz w:val="24"/>
        </w:rPr>
        <w:t>3</w:t>
      </w:r>
      <w:r>
        <w:rPr>
          <w:rFonts w:hAnsi="宋体"/>
          <w:sz w:val="24"/>
        </w:rPr>
        <w:t>）食堂油烟废气源强分析</w:t>
      </w:r>
    </w:p>
    <w:p>
      <w:pPr>
        <w:spacing w:line="520" w:lineRule="exact"/>
        <w:ind w:firstLine="480" w:firstLineChars="200"/>
        <w:rPr>
          <w:rFonts w:hAnsi="宋体"/>
          <w:sz w:val="24"/>
        </w:rPr>
      </w:pPr>
      <w:r>
        <w:rPr>
          <w:rFonts w:hAnsi="宋体"/>
          <w:sz w:val="24"/>
        </w:rPr>
        <w:t>该项目厨房设灶台</w:t>
      </w:r>
      <w:r>
        <w:rPr>
          <w:sz w:val="24"/>
        </w:rPr>
        <w:t>1</w:t>
      </w:r>
      <w:r>
        <w:rPr>
          <w:rFonts w:hAnsi="宋体"/>
          <w:sz w:val="24"/>
        </w:rPr>
        <w:t>个，使用</w:t>
      </w:r>
      <w:r>
        <w:rPr>
          <w:rFonts w:hint="eastAsia" w:hAnsi="宋体"/>
          <w:sz w:val="24"/>
        </w:rPr>
        <w:t>沼气</w:t>
      </w:r>
      <w:r>
        <w:rPr>
          <w:rFonts w:hAnsi="宋体"/>
          <w:sz w:val="24"/>
        </w:rPr>
        <w:t>作为日常餐饮烹饪的能源，厨房在烹饪炒作时将产生厨房油烟废气污染。该项目建成后劳动定员</w:t>
      </w:r>
      <w:r>
        <w:rPr>
          <w:rFonts w:hint="eastAsia"/>
          <w:sz w:val="24"/>
        </w:rPr>
        <w:t>10</w:t>
      </w:r>
      <w:r>
        <w:rPr>
          <w:rFonts w:hAnsi="宋体"/>
          <w:sz w:val="24"/>
        </w:rPr>
        <w:t>人，食堂每天供应三餐，每人每日消耗动植物油以</w:t>
      </w:r>
      <w:r>
        <w:rPr>
          <w:sz w:val="24"/>
        </w:rPr>
        <w:t>25g/d</w:t>
      </w:r>
      <w:r>
        <w:rPr>
          <w:rFonts w:hAnsi="宋体"/>
          <w:sz w:val="24"/>
        </w:rPr>
        <w:t>计，年消耗食用油</w:t>
      </w:r>
      <w:r>
        <w:rPr>
          <w:rFonts w:hint="eastAsia"/>
          <w:sz w:val="24"/>
        </w:rPr>
        <w:t>0.0913</w:t>
      </w:r>
      <w:r>
        <w:rPr>
          <w:sz w:val="24"/>
        </w:rPr>
        <w:t>t/a</w:t>
      </w:r>
      <w:r>
        <w:rPr>
          <w:rFonts w:hAnsi="宋体"/>
          <w:sz w:val="24"/>
        </w:rPr>
        <w:t>，做饭时挥发损失约</w:t>
      </w:r>
      <w:r>
        <w:rPr>
          <w:sz w:val="24"/>
        </w:rPr>
        <w:t>3%</w:t>
      </w:r>
      <w:r>
        <w:rPr>
          <w:rFonts w:hAnsi="宋体"/>
          <w:sz w:val="24"/>
        </w:rPr>
        <w:t>，则厨房油烟产生量约</w:t>
      </w:r>
      <w:r>
        <w:rPr>
          <w:rFonts w:hint="eastAsia"/>
          <w:sz w:val="24"/>
        </w:rPr>
        <w:t>0.0027</w:t>
      </w:r>
      <w:r>
        <w:rPr>
          <w:sz w:val="24"/>
        </w:rPr>
        <w:t>t/a</w:t>
      </w:r>
      <w:r>
        <w:rPr>
          <w:rFonts w:hAnsi="宋体"/>
          <w:sz w:val="24"/>
        </w:rPr>
        <w:t>。项目废气量为</w:t>
      </w:r>
      <w:r>
        <w:rPr>
          <w:rFonts w:hint="eastAsia"/>
          <w:sz w:val="24"/>
        </w:rPr>
        <w:t>1</w:t>
      </w:r>
      <w:r>
        <w:rPr>
          <w:sz w:val="24"/>
        </w:rPr>
        <w:t>000m</w:t>
      </w:r>
      <w:r>
        <w:rPr>
          <w:sz w:val="24"/>
          <w:vertAlign w:val="superscript"/>
        </w:rPr>
        <w:t>3</w:t>
      </w:r>
      <w:r>
        <w:rPr>
          <w:sz w:val="24"/>
        </w:rPr>
        <w:t>/h</w:t>
      </w:r>
      <w:r>
        <w:rPr>
          <w:rFonts w:hAnsi="宋体"/>
          <w:sz w:val="24"/>
        </w:rPr>
        <w:t>，每天产生4h，则油烟产生浓度为</w:t>
      </w:r>
      <w:r>
        <w:rPr>
          <w:rFonts w:hint="eastAsia" w:hAnsi="宋体"/>
          <w:sz w:val="24"/>
        </w:rPr>
        <w:t>1.85</w:t>
      </w:r>
      <w:r>
        <w:rPr>
          <w:rFonts w:hAnsi="宋体"/>
          <w:sz w:val="24"/>
        </w:rPr>
        <w:t>mg/m</w:t>
      </w:r>
      <w:r>
        <w:rPr>
          <w:rFonts w:hAnsi="宋体"/>
          <w:sz w:val="24"/>
          <w:vertAlign w:val="superscript"/>
        </w:rPr>
        <w:t>3</w:t>
      </w:r>
      <w:r>
        <w:rPr>
          <w:rFonts w:hAnsi="宋体"/>
          <w:sz w:val="24"/>
        </w:rPr>
        <w:t>，建设单位安装净化效率不低于</w:t>
      </w:r>
      <w:r>
        <w:rPr>
          <w:rFonts w:hint="eastAsia"/>
          <w:sz w:val="24"/>
        </w:rPr>
        <w:t>90</w:t>
      </w:r>
      <w:r>
        <w:rPr>
          <w:sz w:val="24"/>
        </w:rPr>
        <w:t>%</w:t>
      </w:r>
      <w:r>
        <w:rPr>
          <w:rFonts w:hAnsi="宋体"/>
          <w:sz w:val="24"/>
        </w:rPr>
        <w:t>的油烟净化装置，经处理后排放。经计算，处理后餐厅油烟年排放量为</w:t>
      </w:r>
      <w:r>
        <w:rPr>
          <w:sz w:val="24"/>
        </w:rPr>
        <w:t>0.00</w:t>
      </w:r>
      <w:r>
        <w:rPr>
          <w:rFonts w:hint="eastAsia"/>
          <w:sz w:val="24"/>
        </w:rPr>
        <w:t>03</w:t>
      </w:r>
      <w:r>
        <w:rPr>
          <w:sz w:val="24"/>
        </w:rPr>
        <w:t>t/a</w:t>
      </w:r>
      <w:r>
        <w:rPr>
          <w:rFonts w:hAnsi="宋体"/>
          <w:sz w:val="24"/>
        </w:rPr>
        <w:t>，排放浓度为</w:t>
      </w:r>
      <w:r>
        <w:rPr>
          <w:rFonts w:hint="eastAsia"/>
          <w:sz w:val="24"/>
        </w:rPr>
        <w:t>0.19</w:t>
      </w:r>
      <w:r>
        <w:rPr>
          <w:sz w:val="24"/>
        </w:rPr>
        <w:t>mg/m</w:t>
      </w:r>
      <w:r>
        <w:rPr>
          <w:sz w:val="24"/>
          <w:vertAlign w:val="superscript"/>
        </w:rPr>
        <w:t>3</w:t>
      </w:r>
      <w:r>
        <w:rPr>
          <w:rFonts w:hAnsi="宋体"/>
          <w:sz w:val="24"/>
        </w:rPr>
        <w:t>，</w:t>
      </w:r>
      <w:r>
        <w:rPr>
          <w:rFonts w:hint="eastAsia"/>
          <w:color w:val="000000"/>
          <w:sz w:val="24"/>
          <w:lang w:bidi="ar"/>
        </w:rPr>
        <w:t>能够满足《餐饮业油烟污染物排放标准》</w:t>
      </w:r>
      <w:r>
        <w:rPr>
          <w:color w:val="000000"/>
          <w:sz w:val="24"/>
          <w:lang w:bidi="ar"/>
        </w:rPr>
        <w:t>(DB41/1604—2018)</w:t>
      </w:r>
      <w:r>
        <w:rPr>
          <w:rFonts w:hint="eastAsia"/>
          <w:color w:val="000000"/>
          <w:sz w:val="24"/>
          <w:lang w:bidi="ar"/>
        </w:rPr>
        <w:t>规定限值油烟</w:t>
      </w:r>
      <w:r>
        <w:rPr>
          <w:color w:val="000000"/>
          <w:sz w:val="24"/>
          <w:lang w:bidi="ar"/>
        </w:rPr>
        <w:t>1.5mg/m</w:t>
      </w:r>
      <w:r>
        <w:rPr>
          <w:color w:val="000000"/>
          <w:sz w:val="24"/>
          <w:vertAlign w:val="superscript"/>
          <w:lang w:bidi="ar"/>
        </w:rPr>
        <w:t>3</w:t>
      </w:r>
      <w:r>
        <w:rPr>
          <w:rFonts w:hint="eastAsia"/>
          <w:color w:val="000000"/>
          <w:sz w:val="24"/>
          <w:lang w:bidi="ar"/>
        </w:rPr>
        <w:t>要求，实现达标排放</w:t>
      </w:r>
      <w:r>
        <w:rPr>
          <w:rFonts w:hAnsi="宋体"/>
          <w:sz w:val="24"/>
        </w:rPr>
        <w:t>。</w:t>
      </w:r>
    </w:p>
    <w:p>
      <w:pPr>
        <w:adjustRightInd w:val="0"/>
        <w:snapToGrid w:val="0"/>
        <w:spacing w:line="520" w:lineRule="exact"/>
        <w:ind w:firstLine="480" w:firstLineChars="200"/>
        <w:rPr>
          <w:sz w:val="24"/>
          <w:lang w:bidi="ar"/>
        </w:rPr>
      </w:pPr>
      <w:r>
        <w:rPr>
          <w:rFonts w:hint="eastAsia"/>
          <w:sz w:val="24"/>
          <w:lang w:bidi="ar"/>
        </w:rPr>
        <w:t>（</w:t>
      </w:r>
      <w:r>
        <w:rPr>
          <w:sz w:val="24"/>
          <w:lang w:bidi="ar"/>
        </w:rPr>
        <w:t>4</w:t>
      </w:r>
      <w:r>
        <w:rPr>
          <w:rFonts w:hint="eastAsia"/>
          <w:sz w:val="24"/>
          <w:lang w:bidi="ar"/>
        </w:rPr>
        <w:t>）项目</w:t>
      </w:r>
      <w:r>
        <w:rPr>
          <w:sz w:val="24"/>
          <w:lang w:bidi="ar"/>
        </w:rPr>
        <w:t>大气污染物无组织排放核算。</w:t>
      </w:r>
    </w:p>
    <w:p>
      <w:pPr>
        <w:spacing w:line="520" w:lineRule="exact"/>
        <w:ind w:firstLine="482" w:firstLineChars="200"/>
        <w:jc w:val="center"/>
        <w:rPr>
          <w:b/>
          <w:kern w:val="0"/>
          <w:sz w:val="24"/>
          <w:lang w:bidi="ar"/>
        </w:rPr>
      </w:pPr>
      <w:r>
        <w:rPr>
          <w:b/>
          <w:kern w:val="0"/>
          <w:sz w:val="24"/>
          <w:lang w:bidi="ar"/>
        </w:rPr>
        <w:t>表2.3-7   大气污染物排放量核算表</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09"/>
        <w:gridCol w:w="755"/>
        <w:gridCol w:w="912"/>
        <w:gridCol w:w="902"/>
        <w:gridCol w:w="1619"/>
        <w:gridCol w:w="1943"/>
        <w:gridCol w:w="1176"/>
        <w:gridCol w:w="11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509" w:type="dxa"/>
            <w:vMerge w:val="restart"/>
            <w:noWrap w:val="0"/>
            <w:vAlign w:val="center"/>
          </w:tcPr>
          <w:p>
            <w:pPr>
              <w:jc w:val="center"/>
              <w:rPr>
                <w:kern w:val="0"/>
                <w:szCs w:val="21"/>
                <w:lang w:bidi="ar"/>
              </w:rPr>
            </w:pPr>
            <w:r>
              <w:rPr>
                <w:kern w:val="0"/>
                <w:szCs w:val="21"/>
                <w:lang w:bidi="ar"/>
              </w:rPr>
              <w:t>序号</w:t>
            </w:r>
          </w:p>
        </w:tc>
        <w:tc>
          <w:tcPr>
            <w:tcW w:w="755" w:type="dxa"/>
            <w:vMerge w:val="restart"/>
            <w:noWrap w:val="0"/>
            <w:vAlign w:val="center"/>
          </w:tcPr>
          <w:p>
            <w:pPr>
              <w:jc w:val="center"/>
              <w:rPr>
                <w:kern w:val="0"/>
                <w:szCs w:val="21"/>
                <w:lang w:bidi="ar"/>
              </w:rPr>
            </w:pPr>
            <w:r>
              <w:rPr>
                <w:kern w:val="0"/>
                <w:szCs w:val="21"/>
                <w:lang w:bidi="ar"/>
              </w:rPr>
              <w:t>排放口编号</w:t>
            </w:r>
          </w:p>
        </w:tc>
        <w:tc>
          <w:tcPr>
            <w:tcW w:w="912" w:type="dxa"/>
            <w:vMerge w:val="restart"/>
            <w:noWrap w:val="0"/>
            <w:vAlign w:val="center"/>
          </w:tcPr>
          <w:p>
            <w:pPr>
              <w:jc w:val="center"/>
              <w:rPr>
                <w:kern w:val="0"/>
                <w:szCs w:val="21"/>
                <w:lang w:bidi="ar"/>
              </w:rPr>
            </w:pPr>
            <w:r>
              <w:rPr>
                <w:kern w:val="0"/>
                <w:szCs w:val="21"/>
                <w:lang w:bidi="ar"/>
              </w:rPr>
              <w:t>产污环节</w:t>
            </w:r>
          </w:p>
        </w:tc>
        <w:tc>
          <w:tcPr>
            <w:tcW w:w="902" w:type="dxa"/>
            <w:vMerge w:val="restart"/>
            <w:noWrap w:val="0"/>
            <w:vAlign w:val="center"/>
          </w:tcPr>
          <w:p>
            <w:pPr>
              <w:jc w:val="center"/>
              <w:rPr>
                <w:kern w:val="0"/>
                <w:szCs w:val="21"/>
                <w:lang w:bidi="ar"/>
              </w:rPr>
            </w:pPr>
            <w:r>
              <w:rPr>
                <w:kern w:val="0"/>
                <w:szCs w:val="21"/>
                <w:lang w:bidi="ar"/>
              </w:rPr>
              <w:t>污染物</w:t>
            </w:r>
          </w:p>
        </w:tc>
        <w:tc>
          <w:tcPr>
            <w:tcW w:w="1619" w:type="dxa"/>
            <w:vMerge w:val="restart"/>
            <w:noWrap w:val="0"/>
            <w:vAlign w:val="center"/>
          </w:tcPr>
          <w:p>
            <w:pPr>
              <w:jc w:val="center"/>
              <w:rPr>
                <w:kern w:val="0"/>
                <w:szCs w:val="21"/>
                <w:lang w:bidi="ar"/>
              </w:rPr>
            </w:pPr>
            <w:r>
              <w:rPr>
                <w:kern w:val="0"/>
                <w:szCs w:val="21"/>
                <w:lang w:bidi="ar"/>
              </w:rPr>
              <w:t>主要污染防治措施</w:t>
            </w:r>
          </w:p>
        </w:tc>
        <w:tc>
          <w:tcPr>
            <w:tcW w:w="3119" w:type="dxa"/>
            <w:gridSpan w:val="2"/>
            <w:noWrap w:val="0"/>
            <w:vAlign w:val="center"/>
          </w:tcPr>
          <w:p>
            <w:pPr>
              <w:jc w:val="center"/>
              <w:rPr>
                <w:kern w:val="0"/>
                <w:szCs w:val="21"/>
                <w:lang w:bidi="ar"/>
              </w:rPr>
            </w:pPr>
            <w:r>
              <w:rPr>
                <w:kern w:val="0"/>
                <w:szCs w:val="21"/>
                <w:lang w:bidi="ar"/>
              </w:rPr>
              <w:t>国家</w:t>
            </w:r>
            <w:r>
              <w:rPr>
                <w:rFonts w:hint="eastAsia"/>
                <w:kern w:val="0"/>
                <w:szCs w:val="21"/>
                <w:lang w:bidi="ar"/>
              </w:rPr>
              <w:t>或</w:t>
            </w:r>
            <w:r>
              <w:rPr>
                <w:kern w:val="0"/>
                <w:szCs w:val="21"/>
                <w:lang w:bidi="ar"/>
              </w:rPr>
              <w:t>地方污染物排放标准</w:t>
            </w:r>
          </w:p>
        </w:tc>
        <w:tc>
          <w:tcPr>
            <w:tcW w:w="1132" w:type="dxa"/>
            <w:vMerge w:val="restart"/>
            <w:noWrap w:val="0"/>
            <w:vAlign w:val="center"/>
          </w:tcPr>
          <w:p>
            <w:pPr>
              <w:jc w:val="center"/>
              <w:rPr>
                <w:kern w:val="0"/>
                <w:szCs w:val="21"/>
                <w:lang w:bidi="ar"/>
              </w:rPr>
            </w:pPr>
            <w:r>
              <w:rPr>
                <w:kern w:val="0"/>
                <w:szCs w:val="21"/>
                <w:lang w:bidi="ar"/>
              </w:rPr>
              <w:t>核算年排放量（t/a）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509" w:type="dxa"/>
            <w:vMerge w:val="continue"/>
            <w:noWrap w:val="0"/>
            <w:vAlign w:val="center"/>
          </w:tcPr>
          <w:p>
            <w:pPr>
              <w:jc w:val="center"/>
              <w:rPr>
                <w:kern w:val="0"/>
                <w:szCs w:val="21"/>
                <w:lang w:bidi="ar"/>
              </w:rPr>
            </w:pPr>
          </w:p>
        </w:tc>
        <w:tc>
          <w:tcPr>
            <w:tcW w:w="755" w:type="dxa"/>
            <w:vMerge w:val="continue"/>
            <w:noWrap w:val="0"/>
            <w:vAlign w:val="center"/>
          </w:tcPr>
          <w:p>
            <w:pPr>
              <w:jc w:val="center"/>
              <w:rPr>
                <w:kern w:val="0"/>
                <w:szCs w:val="21"/>
                <w:lang w:bidi="ar"/>
              </w:rPr>
            </w:pPr>
          </w:p>
        </w:tc>
        <w:tc>
          <w:tcPr>
            <w:tcW w:w="912" w:type="dxa"/>
            <w:vMerge w:val="continue"/>
            <w:noWrap w:val="0"/>
            <w:vAlign w:val="center"/>
          </w:tcPr>
          <w:p>
            <w:pPr>
              <w:jc w:val="center"/>
              <w:rPr>
                <w:kern w:val="0"/>
                <w:szCs w:val="21"/>
                <w:lang w:bidi="ar"/>
              </w:rPr>
            </w:pPr>
          </w:p>
        </w:tc>
        <w:tc>
          <w:tcPr>
            <w:tcW w:w="902" w:type="dxa"/>
            <w:vMerge w:val="continue"/>
            <w:noWrap w:val="0"/>
            <w:vAlign w:val="center"/>
          </w:tcPr>
          <w:p>
            <w:pPr>
              <w:jc w:val="center"/>
              <w:rPr>
                <w:kern w:val="0"/>
                <w:szCs w:val="21"/>
                <w:lang w:bidi="ar"/>
              </w:rPr>
            </w:pPr>
          </w:p>
        </w:tc>
        <w:tc>
          <w:tcPr>
            <w:tcW w:w="1619" w:type="dxa"/>
            <w:vMerge w:val="continue"/>
            <w:noWrap w:val="0"/>
            <w:vAlign w:val="center"/>
          </w:tcPr>
          <w:p>
            <w:pPr>
              <w:jc w:val="center"/>
              <w:rPr>
                <w:kern w:val="0"/>
                <w:szCs w:val="21"/>
                <w:lang w:bidi="ar"/>
              </w:rPr>
            </w:pPr>
          </w:p>
        </w:tc>
        <w:tc>
          <w:tcPr>
            <w:tcW w:w="1943" w:type="dxa"/>
            <w:noWrap w:val="0"/>
            <w:vAlign w:val="center"/>
          </w:tcPr>
          <w:p>
            <w:pPr>
              <w:jc w:val="center"/>
              <w:rPr>
                <w:kern w:val="0"/>
                <w:szCs w:val="21"/>
                <w:lang w:bidi="ar"/>
              </w:rPr>
            </w:pPr>
            <w:r>
              <w:rPr>
                <w:kern w:val="0"/>
                <w:szCs w:val="21"/>
                <w:lang w:bidi="ar"/>
              </w:rPr>
              <w:t>标准名称</w:t>
            </w:r>
          </w:p>
        </w:tc>
        <w:tc>
          <w:tcPr>
            <w:tcW w:w="1176" w:type="dxa"/>
            <w:noWrap w:val="0"/>
            <w:vAlign w:val="center"/>
          </w:tcPr>
          <w:p>
            <w:pPr>
              <w:jc w:val="center"/>
              <w:rPr>
                <w:rFonts w:hint="eastAsia"/>
                <w:kern w:val="0"/>
                <w:szCs w:val="21"/>
                <w:lang w:bidi="ar"/>
              </w:rPr>
            </w:pPr>
            <w:r>
              <w:rPr>
                <w:kern w:val="0"/>
                <w:szCs w:val="21"/>
                <w:lang w:bidi="ar"/>
              </w:rPr>
              <w:t>浓度值</w:t>
            </w:r>
            <w:r>
              <w:rPr>
                <w:rFonts w:hint="eastAsia"/>
                <w:kern w:val="0"/>
                <w:szCs w:val="21"/>
                <w:lang w:bidi="ar"/>
              </w:rPr>
              <w:t>/</w:t>
            </w:r>
            <w:r>
              <w:rPr>
                <w:szCs w:val="21"/>
              </w:rPr>
              <w:t>µg/m</w:t>
            </w:r>
            <w:r>
              <w:rPr>
                <w:szCs w:val="21"/>
                <w:vertAlign w:val="superscript"/>
              </w:rPr>
              <w:t>3</w:t>
            </w:r>
          </w:p>
        </w:tc>
        <w:tc>
          <w:tcPr>
            <w:tcW w:w="1132" w:type="dxa"/>
            <w:vMerge w:val="continue"/>
            <w:noWrap w:val="0"/>
            <w:vAlign w:val="center"/>
          </w:tcPr>
          <w:p>
            <w:pPr>
              <w:jc w:val="center"/>
              <w:rPr>
                <w:kern w:val="0"/>
                <w:szCs w:val="21"/>
                <w:lang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48" w:hRule="atLeast"/>
          <w:jc w:val="center"/>
        </w:trPr>
        <w:tc>
          <w:tcPr>
            <w:tcW w:w="509" w:type="dxa"/>
            <w:vMerge w:val="restart"/>
            <w:noWrap w:val="0"/>
            <w:vAlign w:val="center"/>
          </w:tcPr>
          <w:p>
            <w:pPr>
              <w:jc w:val="center"/>
              <w:rPr>
                <w:kern w:val="0"/>
                <w:szCs w:val="21"/>
                <w:lang w:bidi="ar"/>
              </w:rPr>
            </w:pPr>
            <w:r>
              <w:rPr>
                <w:rFonts w:hint="eastAsia"/>
                <w:kern w:val="0"/>
                <w:szCs w:val="21"/>
                <w:lang w:bidi="ar"/>
              </w:rPr>
              <w:t>1有组织</w:t>
            </w:r>
          </w:p>
        </w:tc>
        <w:tc>
          <w:tcPr>
            <w:tcW w:w="755" w:type="dxa"/>
            <w:vMerge w:val="restart"/>
            <w:noWrap w:val="0"/>
            <w:vAlign w:val="center"/>
          </w:tcPr>
          <w:p>
            <w:pPr>
              <w:jc w:val="center"/>
              <w:rPr>
                <w:rFonts w:hint="eastAsia"/>
                <w:kern w:val="0"/>
                <w:szCs w:val="21"/>
                <w:lang w:bidi="ar"/>
              </w:rPr>
            </w:pPr>
            <w:r>
              <w:rPr>
                <w:rFonts w:hint="eastAsia"/>
                <w:kern w:val="0"/>
                <w:szCs w:val="21"/>
                <w:lang w:bidi="ar"/>
              </w:rPr>
              <w:t>沼气燃烧</w:t>
            </w:r>
          </w:p>
        </w:tc>
        <w:tc>
          <w:tcPr>
            <w:tcW w:w="912" w:type="dxa"/>
            <w:vMerge w:val="restart"/>
            <w:noWrap w:val="0"/>
            <w:vAlign w:val="center"/>
          </w:tcPr>
          <w:p>
            <w:pPr>
              <w:jc w:val="center"/>
              <w:rPr>
                <w:rFonts w:hint="eastAsia"/>
                <w:kern w:val="0"/>
                <w:szCs w:val="21"/>
                <w:lang w:bidi="ar"/>
              </w:rPr>
            </w:pPr>
            <w:r>
              <w:rPr>
                <w:rFonts w:hint="eastAsia"/>
                <w:kern w:val="0"/>
                <w:szCs w:val="21"/>
                <w:lang w:bidi="ar"/>
              </w:rPr>
              <w:t>火炬燃烧</w:t>
            </w:r>
          </w:p>
        </w:tc>
        <w:tc>
          <w:tcPr>
            <w:tcW w:w="902" w:type="dxa"/>
            <w:noWrap w:val="0"/>
            <w:vAlign w:val="center"/>
          </w:tcPr>
          <w:p>
            <w:pPr>
              <w:jc w:val="center"/>
              <w:rPr>
                <w:kern w:val="0"/>
                <w:szCs w:val="21"/>
                <w:lang w:bidi="ar"/>
              </w:rPr>
            </w:pPr>
            <w:r>
              <w:rPr>
                <w:rFonts w:hint="eastAsia"/>
                <w:kern w:val="0"/>
                <w:szCs w:val="21"/>
                <w:lang w:bidi="ar"/>
              </w:rPr>
              <w:t>SO</w:t>
            </w:r>
            <w:r>
              <w:rPr>
                <w:kern w:val="0"/>
                <w:szCs w:val="21"/>
                <w:vertAlign w:val="subscript"/>
                <w:lang w:bidi="ar"/>
              </w:rPr>
              <w:t>2</w:t>
            </w:r>
          </w:p>
        </w:tc>
        <w:tc>
          <w:tcPr>
            <w:tcW w:w="1619" w:type="dxa"/>
            <w:vMerge w:val="restart"/>
            <w:noWrap w:val="0"/>
            <w:vAlign w:val="center"/>
          </w:tcPr>
          <w:p>
            <w:pPr>
              <w:jc w:val="center"/>
              <w:rPr>
                <w:rFonts w:hint="eastAsia"/>
                <w:kern w:val="0"/>
                <w:szCs w:val="21"/>
                <w:lang w:bidi="ar"/>
              </w:rPr>
            </w:pPr>
            <w:r>
              <w:rPr>
                <w:rFonts w:hint="eastAsia"/>
                <w:kern w:val="0"/>
                <w:szCs w:val="21"/>
                <w:lang w:bidi="ar"/>
              </w:rPr>
              <w:t>合理利用</w:t>
            </w:r>
            <w:r>
              <w:rPr>
                <w:kern w:val="0"/>
                <w:szCs w:val="21"/>
                <w:lang w:bidi="ar"/>
              </w:rPr>
              <w:t>，燃烧废</w:t>
            </w:r>
            <w:r>
              <w:rPr>
                <w:rFonts w:hint="eastAsia"/>
                <w:kern w:val="0"/>
                <w:szCs w:val="21"/>
                <w:lang w:bidi="ar"/>
              </w:rPr>
              <w:t>由1根8m高排气筒外婆</w:t>
            </w:r>
          </w:p>
        </w:tc>
        <w:tc>
          <w:tcPr>
            <w:tcW w:w="1943" w:type="dxa"/>
            <w:vMerge w:val="restart"/>
            <w:noWrap w:val="0"/>
            <w:vAlign w:val="center"/>
          </w:tcPr>
          <w:p>
            <w:pPr>
              <w:jc w:val="center"/>
              <w:rPr>
                <w:kern w:val="0"/>
                <w:szCs w:val="21"/>
                <w:lang w:bidi="ar"/>
              </w:rPr>
            </w:pPr>
            <w:r>
              <w:rPr>
                <w:kern w:val="0"/>
                <w:szCs w:val="21"/>
                <w:lang w:bidi="ar"/>
              </w:rPr>
              <w:t>《大气污染物</w:t>
            </w:r>
            <w:r>
              <w:rPr>
                <w:rFonts w:hint="eastAsia"/>
                <w:kern w:val="0"/>
                <w:szCs w:val="21"/>
                <w:lang w:bidi="ar"/>
              </w:rPr>
              <w:t>综合</w:t>
            </w:r>
            <w:r>
              <w:rPr>
                <w:kern w:val="0"/>
                <w:szCs w:val="21"/>
                <w:lang w:bidi="ar"/>
              </w:rPr>
              <w:t>排放标准》（GB16297-1996）</w:t>
            </w:r>
          </w:p>
          <w:p>
            <w:pPr>
              <w:jc w:val="center"/>
              <w:rPr>
                <w:kern w:val="0"/>
                <w:szCs w:val="21"/>
                <w:lang w:bidi="ar"/>
              </w:rPr>
            </w:pPr>
            <w:r>
              <w:rPr>
                <w:kern w:val="0"/>
                <w:szCs w:val="21"/>
                <w:lang w:bidi="ar"/>
              </w:rPr>
              <w:t>表2</w:t>
            </w:r>
            <w:r>
              <w:rPr>
                <w:rFonts w:hint="eastAsia"/>
                <w:kern w:val="0"/>
                <w:szCs w:val="21"/>
                <w:lang w:bidi="ar"/>
              </w:rPr>
              <w:t>限制要求</w:t>
            </w:r>
            <w:r>
              <w:rPr>
                <w:kern w:val="0"/>
                <w:szCs w:val="21"/>
                <w:lang w:bidi="ar"/>
              </w:rPr>
              <w:t xml:space="preserve"> </w:t>
            </w:r>
          </w:p>
        </w:tc>
        <w:tc>
          <w:tcPr>
            <w:tcW w:w="1176" w:type="dxa"/>
            <w:noWrap w:val="0"/>
            <w:vAlign w:val="center"/>
          </w:tcPr>
          <w:p>
            <w:pPr>
              <w:jc w:val="center"/>
              <w:rPr>
                <w:color w:val="000000"/>
              </w:rPr>
            </w:pPr>
            <w:r>
              <w:rPr>
                <w:rFonts w:hint="eastAsia"/>
                <w:szCs w:val="21"/>
              </w:rPr>
              <w:t>550</w:t>
            </w:r>
            <w:r>
              <w:rPr>
                <w:szCs w:val="21"/>
              </w:rPr>
              <w:t>000</w:t>
            </w:r>
          </w:p>
        </w:tc>
        <w:tc>
          <w:tcPr>
            <w:tcW w:w="1132"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kern w:val="0"/>
                <w:szCs w:val="21"/>
                <w:lang w:eastAsia="zh-CN" w:bidi="ar"/>
              </w:rPr>
            </w:pPr>
            <w:r>
              <w:rPr>
                <w:rFonts w:hint="eastAsia"/>
                <w:szCs w:val="21"/>
                <w:lang w:eastAsia="zh-CN" w:bidi="ar"/>
              </w:rPr>
              <w:t>0.00089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509" w:type="dxa"/>
            <w:vMerge w:val="continue"/>
            <w:noWrap w:val="0"/>
            <w:vAlign w:val="center"/>
          </w:tcPr>
          <w:p>
            <w:pPr>
              <w:jc w:val="center"/>
              <w:rPr>
                <w:rFonts w:hint="eastAsia"/>
                <w:kern w:val="0"/>
                <w:szCs w:val="21"/>
                <w:lang w:bidi="ar"/>
              </w:rPr>
            </w:pPr>
          </w:p>
        </w:tc>
        <w:tc>
          <w:tcPr>
            <w:tcW w:w="755" w:type="dxa"/>
            <w:vMerge w:val="continue"/>
            <w:noWrap w:val="0"/>
            <w:vAlign w:val="center"/>
          </w:tcPr>
          <w:p>
            <w:pPr>
              <w:jc w:val="center"/>
              <w:rPr>
                <w:rFonts w:hint="eastAsia"/>
                <w:kern w:val="0"/>
                <w:szCs w:val="21"/>
                <w:lang w:bidi="ar"/>
              </w:rPr>
            </w:pPr>
          </w:p>
        </w:tc>
        <w:tc>
          <w:tcPr>
            <w:tcW w:w="912" w:type="dxa"/>
            <w:vMerge w:val="continue"/>
            <w:noWrap w:val="0"/>
            <w:vAlign w:val="center"/>
          </w:tcPr>
          <w:p>
            <w:pPr>
              <w:jc w:val="center"/>
              <w:rPr>
                <w:rFonts w:hint="eastAsia"/>
                <w:kern w:val="0"/>
                <w:szCs w:val="21"/>
                <w:lang w:bidi="ar"/>
              </w:rPr>
            </w:pPr>
          </w:p>
        </w:tc>
        <w:tc>
          <w:tcPr>
            <w:tcW w:w="902" w:type="dxa"/>
            <w:noWrap w:val="0"/>
            <w:vAlign w:val="center"/>
          </w:tcPr>
          <w:p>
            <w:pPr>
              <w:jc w:val="center"/>
              <w:rPr>
                <w:kern w:val="0"/>
                <w:szCs w:val="21"/>
                <w:lang w:bidi="ar"/>
              </w:rPr>
            </w:pPr>
            <w:r>
              <w:rPr>
                <w:rFonts w:hint="eastAsia"/>
                <w:kern w:val="0"/>
                <w:szCs w:val="21"/>
                <w:lang w:bidi="ar"/>
              </w:rPr>
              <w:t>NO</w:t>
            </w:r>
            <w:r>
              <w:rPr>
                <w:rFonts w:hint="eastAsia"/>
                <w:kern w:val="0"/>
                <w:szCs w:val="21"/>
                <w:vertAlign w:val="subscript"/>
                <w:lang w:bidi="ar"/>
              </w:rPr>
              <w:t>x</w:t>
            </w:r>
          </w:p>
        </w:tc>
        <w:tc>
          <w:tcPr>
            <w:tcW w:w="1619" w:type="dxa"/>
            <w:vMerge w:val="continue"/>
            <w:noWrap w:val="0"/>
            <w:vAlign w:val="center"/>
          </w:tcPr>
          <w:p>
            <w:pPr>
              <w:jc w:val="center"/>
              <w:rPr>
                <w:kern w:val="0"/>
                <w:szCs w:val="21"/>
                <w:lang w:bidi="ar"/>
              </w:rPr>
            </w:pPr>
          </w:p>
        </w:tc>
        <w:tc>
          <w:tcPr>
            <w:tcW w:w="1943" w:type="dxa"/>
            <w:vMerge w:val="continue"/>
            <w:noWrap w:val="0"/>
            <w:vAlign w:val="center"/>
          </w:tcPr>
          <w:p>
            <w:pPr>
              <w:jc w:val="center"/>
              <w:rPr>
                <w:kern w:val="0"/>
                <w:szCs w:val="21"/>
                <w:lang w:bidi="ar"/>
              </w:rPr>
            </w:pPr>
          </w:p>
        </w:tc>
        <w:tc>
          <w:tcPr>
            <w:tcW w:w="1176" w:type="dxa"/>
            <w:noWrap w:val="0"/>
            <w:vAlign w:val="center"/>
          </w:tcPr>
          <w:p>
            <w:pPr>
              <w:jc w:val="center"/>
              <w:rPr>
                <w:color w:val="000000"/>
              </w:rPr>
            </w:pPr>
            <w:r>
              <w:rPr>
                <w:rFonts w:hint="eastAsia"/>
                <w:spacing w:val="-4"/>
                <w:szCs w:val="21"/>
              </w:rPr>
              <w:t>240</w:t>
            </w:r>
            <w:r>
              <w:rPr>
                <w:szCs w:val="21"/>
              </w:rPr>
              <w:t>000</w:t>
            </w:r>
          </w:p>
        </w:tc>
        <w:tc>
          <w:tcPr>
            <w:tcW w:w="1132"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kern w:val="0"/>
                <w:szCs w:val="21"/>
                <w:lang w:bidi="ar"/>
              </w:rPr>
            </w:pPr>
            <w:r>
              <w:rPr>
                <w:rFonts w:hint="eastAsia"/>
                <w:szCs w:val="21"/>
                <w:lang w:val="en-US" w:eastAsia="zh-CN" w:bidi="ar"/>
              </w:rPr>
              <w:t>0.029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509" w:type="dxa"/>
            <w:vMerge w:val="restart"/>
            <w:noWrap w:val="0"/>
            <w:vAlign w:val="center"/>
          </w:tcPr>
          <w:p>
            <w:pPr>
              <w:jc w:val="center"/>
              <w:rPr>
                <w:kern w:val="0"/>
                <w:szCs w:val="21"/>
                <w:lang w:bidi="ar"/>
              </w:rPr>
            </w:pPr>
            <w:r>
              <w:rPr>
                <w:kern w:val="0"/>
                <w:szCs w:val="21"/>
                <w:lang w:bidi="ar"/>
              </w:rPr>
              <w:t>2</w:t>
            </w:r>
            <w:r>
              <w:rPr>
                <w:rFonts w:hint="eastAsia"/>
                <w:kern w:val="0"/>
                <w:szCs w:val="21"/>
                <w:lang w:bidi="ar"/>
              </w:rPr>
              <w:t>无组织</w:t>
            </w:r>
          </w:p>
        </w:tc>
        <w:tc>
          <w:tcPr>
            <w:tcW w:w="755" w:type="dxa"/>
            <w:vMerge w:val="restart"/>
            <w:noWrap w:val="0"/>
            <w:vAlign w:val="center"/>
          </w:tcPr>
          <w:p>
            <w:pPr>
              <w:jc w:val="center"/>
              <w:rPr>
                <w:kern w:val="0"/>
                <w:szCs w:val="21"/>
                <w:lang w:bidi="ar"/>
              </w:rPr>
            </w:pPr>
            <w:r>
              <w:rPr>
                <w:rFonts w:hint="eastAsia"/>
                <w:kern w:val="0"/>
                <w:szCs w:val="21"/>
                <w:lang w:bidi="ar"/>
              </w:rPr>
              <w:t>养殖场</w:t>
            </w:r>
          </w:p>
        </w:tc>
        <w:tc>
          <w:tcPr>
            <w:tcW w:w="912" w:type="dxa"/>
            <w:vMerge w:val="restart"/>
            <w:noWrap w:val="0"/>
            <w:vAlign w:val="center"/>
          </w:tcPr>
          <w:p>
            <w:pPr>
              <w:jc w:val="center"/>
              <w:rPr>
                <w:szCs w:val="21"/>
              </w:rPr>
            </w:pPr>
            <w:r>
              <w:rPr>
                <w:szCs w:val="21"/>
              </w:rPr>
              <w:t>养殖</w:t>
            </w:r>
            <w:r>
              <w:rPr>
                <w:rFonts w:hint="eastAsia"/>
                <w:szCs w:val="21"/>
              </w:rPr>
              <w:t>、</w:t>
            </w:r>
            <w:r>
              <w:rPr>
                <w:szCs w:val="21"/>
              </w:rPr>
              <w:t>固粪及污水处理过程</w:t>
            </w:r>
          </w:p>
        </w:tc>
        <w:tc>
          <w:tcPr>
            <w:tcW w:w="902" w:type="dxa"/>
            <w:noWrap w:val="0"/>
            <w:vAlign w:val="center"/>
          </w:tcPr>
          <w:p>
            <w:pPr>
              <w:jc w:val="center"/>
              <w:rPr>
                <w:kern w:val="0"/>
                <w:szCs w:val="21"/>
                <w:lang w:bidi="ar"/>
              </w:rPr>
            </w:pPr>
            <w:r>
              <w:rPr>
                <w:szCs w:val="21"/>
              </w:rPr>
              <w:t>NH</w:t>
            </w:r>
            <w:r>
              <w:rPr>
                <w:szCs w:val="21"/>
                <w:vertAlign w:val="subscript"/>
              </w:rPr>
              <w:t>3</w:t>
            </w:r>
          </w:p>
        </w:tc>
        <w:tc>
          <w:tcPr>
            <w:tcW w:w="1619" w:type="dxa"/>
            <w:vMerge w:val="restart"/>
            <w:noWrap w:val="0"/>
            <w:vAlign w:val="center"/>
          </w:tcPr>
          <w:p>
            <w:pPr>
              <w:jc w:val="center"/>
              <w:rPr>
                <w:kern w:val="0"/>
                <w:szCs w:val="21"/>
                <w:lang w:bidi="ar"/>
              </w:rPr>
            </w:pPr>
            <w:r>
              <w:rPr>
                <w:szCs w:val="21"/>
              </w:rPr>
              <w:t>控制养殖密度、及时清粪、</w:t>
            </w:r>
            <w:r>
              <w:rPr>
                <w:rFonts w:hint="eastAsia"/>
                <w:szCs w:val="21"/>
              </w:rPr>
              <w:t>沼液储存池</w:t>
            </w:r>
            <w:r>
              <w:rPr>
                <w:szCs w:val="21"/>
              </w:rPr>
              <w:t>密闭、喷洒除臭剂、</w:t>
            </w:r>
            <w:r>
              <w:rPr>
                <w:rFonts w:hint="eastAsia"/>
                <w:szCs w:val="21"/>
              </w:rPr>
              <w:t>种植</w:t>
            </w:r>
            <w:r>
              <w:rPr>
                <w:szCs w:val="21"/>
              </w:rPr>
              <w:t>吸附恶臭绿植</w:t>
            </w:r>
          </w:p>
        </w:tc>
        <w:tc>
          <w:tcPr>
            <w:tcW w:w="1943" w:type="dxa"/>
            <w:vMerge w:val="restart"/>
            <w:noWrap w:val="0"/>
            <w:vAlign w:val="center"/>
          </w:tcPr>
          <w:p>
            <w:pPr>
              <w:jc w:val="center"/>
              <w:rPr>
                <w:kern w:val="0"/>
                <w:szCs w:val="21"/>
                <w:lang w:bidi="ar"/>
              </w:rPr>
            </w:pPr>
            <w:r>
              <w:rPr>
                <w:szCs w:val="21"/>
              </w:rPr>
              <w:t>《恶臭污染物排放标准》表1中二级</w:t>
            </w:r>
          </w:p>
        </w:tc>
        <w:tc>
          <w:tcPr>
            <w:tcW w:w="1176" w:type="dxa"/>
            <w:noWrap w:val="0"/>
            <w:vAlign w:val="center"/>
          </w:tcPr>
          <w:p>
            <w:pPr>
              <w:jc w:val="center"/>
              <w:rPr>
                <w:kern w:val="0"/>
                <w:szCs w:val="21"/>
                <w:lang w:bidi="ar"/>
              </w:rPr>
            </w:pPr>
            <w:r>
              <w:rPr>
                <w:kern w:val="0"/>
                <w:szCs w:val="21"/>
                <w:lang w:bidi="ar"/>
              </w:rPr>
              <w:t>1500</w:t>
            </w:r>
          </w:p>
        </w:tc>
        <w:tc>
          <w:tcPr>
            <w:tcW w:w="1132" w:type="dxa"/>
            <w:noWrap w:val="0"/>
            <w:vAlign w:val="center"/>
          </w:tcPr>
          <w:p>
            <w:pPr>
              <w:spacing w:line="260" w:lineRule="exact"/>
              <w:jc w:val="center"/>
              <w:rPr>
                <w:rFonts w:hint="eastAsia" w:eastAsia="宋体"/>
                <w:kern w:val="0"/>
                <w:szCs w:val="21"/>
                <w:lang w:eastAsia="zh-CN" w:bidi="ar"/>
              </w:rPr>
            </w:pPr>
            <w:r>
              <w:rPr>
                <w:rFonts w:hint="eastAsia"/>
                <w:snapToGrid w:val="0"/>
                <w:spacing w:val="-4"/>
                <w:szCs w:val="21"/>
                <w:lang w:eastAsia="zh-CN"/>
              </w:rPr>
              <w:t>0.2561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509" w:type="dxa"/>
            <w:vMerge w:val="continue"/>
            <w:noWrap w:val="0"/>
            <w:vAlign w:val="center"/>
          </w:tcPr>
          <w:p>
            <w:pPr>
              <w:jc w:val="center"/>
              <w:rPr>
                <w:kern w:val="0"/>
                <w:szCs w:val="21"/>
                <w:lang w:bidi="ar"/>
              </w:rPr>
            </w:pPr>
          </w:p>
        </w:tc>
        <w:tc>
          <w:tcPr>
            <w:tcW w:w="755" w:type="dxa"/>
            <w:vMerge w:val="continue"/>
            <w:noWrap w:val="0"/>
            <w:vAlign w:val="center"/>
          </w:tcPr>
          <w:p>
            <w:pPr>
              <w:jc w:val="center"/>
              <w:rPr>
                <w:kern w:val="0"/>
                <w:szCs w:val="21"/>
                <w:lang w:bidi="ar"/>
              </w:rPr>
            </w:pPr>
          </w:p>
        </w:tc>
        <w:tc>
          <w:tcPr>
            <w:tcW w:w="912" w:type="dxa"/>
            <w:vMerge w:val="continue"/>
            <w:noWrap w:val="0"/>
            <w:vAlign w:val="center"/>
          </w:tcPr>
          <w:p>
            <w:pPr>
              <w:jc w:val="center"/>
              <w:rPr>
                <w:szCs w:val="21"/>
              </w:rPr>
            </w:pPr>
          </w:p>
        </w:tc>
        <w:tc>
          <w:tcPr>
            <w:tcW w:w="902" w:type="dxa"/>
            <w:noWrap w:val="0"/>
            <w:vAlign w:val="center"/>
          </w:tcPr>
          <w:p>
            <w:pPr>
              <w:jc w:val="center"/>
              <w:rPr>
                <w:kern w:val="0"/>
                <w:szCs w:val="21"/>
                <w:lang w:bidi="ar"/>
              </w:rPr>
            </w:pPr>
            <w:r>
              <w:rPr>
                <w:rFonts w:hint="eastAsia"/>
                <w:kern w:val="0"/>
                <w:szCs w:val="21"/>
                <w:lang w:bidi="ar"/>
              </w:rPr>
              <w:t>H</w:t>
            </w:r>
            <w:r>
              <w:rPr>
                <w:rFonts w:hint="eastAsia"/>
                <w:kern w:val="0"/>
                <w:szCs w:val="21"/>
                <w:vertAlign w:val="subscript"/>
                <w:lang w:bidi="ar"/>
              </w:rPr>
              <w:t>2</w:t>
            </w:r>
            <w:r>
              <w:rPr>
                <w:rFonts w:hint="eastAsia"/>
                <w:kern w:val="0"/>
                <w:szCs w:val="21"/>
                <w:lang w:bidi="ar"/>
              </w:rPr>
              <w:t>S</w:t>
            </w:r>
          </w:p>
        </w:tc>
        <w:tc>
          <w:tcPr>
            <w:tcW w:w="1619" w:type="dxa"/>
            <w:vMerge w:val="continue"/>
            <w:noWrap w:val="0"/>
            <w:vAlign w:val="center"/>
          </w:tcPr>
          <w:p>
            <w:pPr>
              <w:jc w:val="center"/>
              <w:rPr>
                <w:kern w:val="0"/>
                <w:szCs w:val="21"/>
                <w:lang w:bidi="ar"/>
              </w:rPr>
            </w:pPr>
          </w:p>
        </w:tc>
        <w:tc>
          <w:tcPr>
            <w:tcW w:w="1943" w:type="dxa"/>
            <w:vMerge w:val="continue"/>
            <w:noWrap w:val="0"/>
            <w:vAlign w:val="center"/>
          </w:tcPr>
          <w:p>
            <w:pPr>
              <w:jc w:val="center"/>
              <w:rPr>
                <w:kern w:val="0"/>
                <w:szCs w:val="21"/>
                <w:lang w:bidi="ar"/>
              </w:rPr>
            </w:pPr>
          </w:p>
        </w:tc>
        <w:tc>
          <w:tcPr>
            <w:tcW w:w="1176" w:type="dxa"/>
            <w:noWrap w:val="0"/>
            <w:vAlign w:val="center"/>
          </w:tcPr>
          <w:p>
            <w:pPr>
              <w:jc w:val="center"/>
              <w:rPr>
                <w:kern w:val="0"/>
                <w:szCs w:val="21"/>
                <w:lang w:bidi="ar"/>
              </w:rPr>
            </w:pPr>
            <w:r>
              <w:rPr>
                <w:kern w:val="0"/>
                <w:szCs w:val="21"/>
                <w:lang w:bidi="ar"/>
              </w:rPr>
              <w:t>60</w:t>
            </w:r>
          </w:p>
        </w:tc>
        <w:tc>
          <w:tcPr>
            <w:tcW w:w="1132" w:type="dxa"/>
            <w:noWrap w:val="0"/>
            <w:vAlign w:val="center"/>
          </w:tcPr>
          <w:p>
            <w:pPr>
              <w:spacing w:line="260" w:lineRule="exact"/>
              <w:jc w:val="center"/>
              <w:rPr>
                <w:rFonts w:hint="eastAsia" w:eastAsia="宋体"/>
                <w:kern w:val="0"/>
                <w:szCs w:val="21"/>
                <w:lang w:eastAsia="zh-CN" w:bidi="ar"/>
              </w:rPr>
            </w:pPr>
            <w:r>
              <w:rPr>
                <w:rFonts w:hint="eastAsia"/>
                <w:snapToGrid w:val="0"/>
                <w:spacing w:val="-4"/>
                <w:szCs w:val="21"/>
                <w:lang w:eastAsia="zh-CN"/>
              </w:rPr>
              <w:t>0.0175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948" w:type="dxa"/>
            <w:gridSpan w:val="8"/>
            <w:noWrap w:val="0"/>
            <w:vAlign w:val="center"/>
          </w:tcPr>
          <w:p>
            <w:pPr>
              <w:jc w:val="center"/>
              <w:rPr>
                <w:rFonts w:hint="eastAsia"/>
                <w:kern w:val="0"/>
                <w:szCs w:val="21"/>
                <w:lang w:bidi="ar"/>
              </w:rPr>
            </w:pPr>
            <w:r>
              <w:rPr>
                <w:rFonts w:hint="eastAsia"/>
                <w:kern w:val="0"/>
                <w:szCs w:val="21"/>
                <w:lang w:bidi="ar"/>
              </w:rPr>
              <w:t>无组织</w:t>
            </w:r>
            <w:r>
              <w:rPr>
                <w:kern w:val="0"/>
                <w:szCs w:val="21"/>
                <w:lang w:bidi="ar"/>
              </w:rPr>
              <w:t>排放总计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078" w:type="dxa"/>
            <w:gridSpan w:val="4"/>
            <w:vMerge w:val="restart"/>
            <w:noWrap w:val="0"/>
            <w:vAlign w:val="center"/>
          </w:tcPr>
          <w:p>
            <w:pPr>
              <w:jc w:val="center"/>
              <w:rPr>
                <w:rFonts w:hint="eastAsia"/>
                <w:kern w:val="0"/>
                <w:szCs w:val="21"/>
                <w:lang w:bidi="ar"/>
              </w:rPr>
            </w:pPr>
            <w:r>
              <w:rPr>
                <w:rFonts w:hint="eastAsia"/>
                <w:kern w:val="0"/>
                <w:szCs w:val="21"/>
                <w:lang w:bidi="ar"/>
              </w:rPr>
              <w:t>无组织</w:t>
            </w:r>
            <w:r>
              <w:rPr>
                <w:kern w:val="0"/>
                <w:szCs w:val="21"/>
                <w:lang w:bidi="ar"/>
              </w:rPr>
              <w:t>排放总计</w:t>
            </w:r>
          </w:p>
        </w:tc>
        <w:tc>
          <w:tcPr>
            <w:tcW w:w="3562" w:type="dxa"/>
            <w:gridSpan w:val="2"/>
            <w:noWrap w:val="0"/>
            <w:vAlign w:val="center"/>
          </w:tcPr>
          <w:p>
            <w:pPr>
              <w:jc w:val="center"/>
              <w:rPr>
                <w:kern w:val="0"/>
                <w:szCs w:val="21"/>
                <w:lang w:bidi="ar"/>
              </w:rPr>
            </w:pPr>
            <w:r>
              <w:rPr>
                <w:szCs w:val="21"/>
              </w:rPr>
              <w:t>NH</w:t>
            </w:r>
            <w:r>
              <w:rPr>
                <w:szCs w:val="21"/>
                <w:vertAlign w:val="subscript"/>
              </w:rPr>
              <w:t>3</w:t>
            </w:r>
          </w:p>
        </w:tc>
        <w:tc>
          <w:tcPr>
            <w:tcW w:w="2308" w:type="dxa"/>
            <w:gridSpan w:val="2"/>
            <w:noWrap w:val="0"/>
            <w:vAlign w:val="center"/>
          </w:tcPr>
          <w:p>
            <w:pPr>
              <w:spacing w:line="260" w:lineRule="exact"/>
              <w:jc w:val="center"/>
              <w:rPr>
                <w:rFonts w:hint="eastAsia" w:eastAsia="宋体"/>
                <w:kern w:val="0"/>
                <w:szCs w:val="21"/>
                <w:lang w:eastAsia="zh-CN" w:bidi="ar"/>
              </w:rPr>
            </w:pPr>
            <w:r>
              <w:rPr>
                <w:rFonts w:hint="eastAsia"/>
                <w:snapToGrid w:val="0"/>
                <w:spacing w:val="-4"/>
                <w:szCs w:val="21"/>
                <w:lang w:eastAsia="zh-CN"/>
              </w:rPr>
              <w:t>0.2561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078" w:type="dxa"/>
            <w:gridSpan w:val="4"/>
            <w:vMerge w:val="continue"/>
            <w:noWrap w:val="0"/>
            <w:vAlign w:val="center"/>
          </w:tcPr>
          <w:p>
            <w:pPr>
              <w:jc w:val="center"/>
              <w:rPr>
                <w:rFonts w:hint="eastAsia"/>
                <w:kern w:val="0"/>
                <w:szCs w:val="21"/>
                <w:lang w:bidi="ar"/>
              </w:rPr>
            </w:pPr>
          </w:p>
        </w:tc>
        <w:tc>
          <w:tcPr>
            <w:tcW w:w="3562" w:type="dxa"/>
            <w:gridSpan w:val="2"/>
            <w:noWrap w:val="0"/>
            <w:vAlign w:val="center"/>
          </w:tcPr>
          <w:p>
            <w:pPr>
              <w:jc w:val="center"/>
              <w:rPr>
                <w:kern w:val="0"/>
                <w:szCs w:val="21"/>
                <w:lang w:bidi="ar"/>
              </w:rPr>
            </w:pPr>
            <w:r>
              <w:rPr>
                <w:rFonts w:hint="eastAsia"/>
                <w:kern w:val="0"/>
                <w:szCs w:val="21"/>
                <w:lang w:bidi="ar"/>
              </w:rPr>
              <w:t>H</w:t>
            </w:r>
            <w:r>
              <w:rPr>
                <w:rFonts w:hint="eastAsia"/>
                <w:kern w:val="0"/>
                <w:szCs w:val="21"/>
                <w:vertAlign w:val="subscript"/>
                <w:lang w:bidi="ar"/>
              </w:rPr>
              <w:t>2</w:t>
            </w:r>
            <w:r>
              <w:rPr>
                <w:rFonts w:hint="eastAsia"/>
                <w:kern w:val="0"/>
                <w:szCs w:val="21"/>
                <w:lang w:bidi="ar"/>
              </w:rPr>
              <w:t>S</w:t>
            </w:r>
          </w:p>
        </w:tc>
        <w:tc>
          <w:tcPr>
            <w:tcW w:w="2308" w:type="dxa"/>
            <w:gridSpan w:val="2"/>
            <w:noWrap w:val="0"/>
            <w:vAlign w:val="center"/>
          </w:tcPr>
          <w:p>
            <w:pPr>
              <w:spacing w:line="260" w:lineRule="exact"/>
              <w:jc w:val="center"/>
              <w:rPr>
                <w:rFonts w:hint="eastAsia" w:eastAsia="宋体"/>
                <w:kern w:val="0"/>
                <w:szCs w:val="21"/>
                <w:lang w:eastAsia="zh-CN" w:bidi="ar"/>
              </w:rPr>
            </w:pPr>
            <w:r>
              <w:rPr>
                <w:rFonts w:hint="eastAsia"/>
                <w:snapToGrid w:val="0"/>
                <w:spacing w:val="-4"/>
                <w:szCs w:val="21"/>
                <w:lang w:eastAsia="zh-CN"/>
              </w:rPr>
              <w:t>0.0175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078" w:type="dxa"/>
            <w:gridSpan w:val="4"/>
            <w:vMerge w:val="restart"/>
            <w:noWrap w:val="0"/>
            <w:vAlign w:val="center"/>
          </w:tcPr>
          <w:p>
            <w:pPr>
              <w:jc w:val="center"/>
              <w:rPr>
                <w:rFonts w:hint="eastAsia"/>
                <w:kern w:val="0"/>
                <w:szCs w:val="21"/>
                <w:lang w:bidi="ar"/>
              </w:rPr>
            </w:pPr>
            <w:r>
              <w:rPr>
                <w:rFonts w:hint="eastAsia"/>
                <w:kern w:val="0"/>
                <w:szCs w:val="21"/>
                <w:lang w:bidi="ar"/>
              </w:rPr>
              <w:t>有组织</w:t>
            </w:r>
            <w:r>
              <w:rPr>
                <w:kern w:val="0"/>
                <w:szCs w:val="21"/>
                <w:lang w:bidi="ar"/>
              </w:rPr>
              <w:t>排放总计</w:t>
            </w:r>
          </w:p>
        </w:tc>
        <w:tc>
          <w:tcPr>
            <w:tcW w:w="3562" w:type="dxa"/>
            <w:gridSpan w:val="2"/>
            <w:noWrap w:val="0"/>
            <w:vAlign w:val="center"/>
          </w:tcPr>
          <w:p>
            <w:pPr>
              <w:jc w:val="center"/>
              <w:rPr>
                <w:kern w:val="0"/>
                <w:szCs w:val="21"/>
                <w:lang w:bidi="ar"/>
              </w:rPr>
            </w:pPr>
            <w:r>
              <w:rPr>
                <w:rFonts w:hint="eastAsia"/>
                <w:kern w:val="0"/>
                <w:szCs w:val="21"/>
                <w:lang w:bidi="ar"/>
              </w:rPr>
              <w:t>SO</w:t>
            </w:r>
            <w:r>
              <w:rPr>
                <w:kern w:val="0"/>
                <w:szCs w:val="21"/>
                <w:vertAlign w:val="subscript"/>
                <w:lang w:bidi="ar"/>
              </w:rPr>
              <w:t>2</w:t>
            </w:r>
          </w:p>
        </w:tc>
        <w:tc>
          <w:tcPr>
            <w:tcW w:w="2308" w:type="dxa"/>
            <w:gridSpan w:val="2"/>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kern w:val="0"/>
                <w:szCs w:val="21"/>
                <w:lang w:eastAsia="zh-CN" w:bidi="ar"/>
              </w:rPr>
            </w:pPr>
            <w:r>
              <w:rPr>
                <w:rFonts w:hint="eastAsia"/>
                <w:szCs w:val="21"/>
                <w:lang w:eastAsia="zh-CN" w:bidi="ar"/>
              </w:rPr>
              <w:t>0.00089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078" w:type="dxa"/>
            <w:gridSpan w:val="4"/>
            <w:vMerge w:val="continue"/>
            <w:noWrap w:val="0"/>
            <w:vAlign w:val="center"/>
          </w:tcPr>
          <w:p>
            <w:pPr>
              <w:jc w:val="center"/>
              <w:rPr>
                <w:rFonts w:hint="eastAsia"/>
                <w:kern w:val="0"/>
                <w:szCs w:val="21"/>
                <w:lang w:bidi="ar"/>
              </w:rPr>
            </w:pPr>
          </w:p>
        </w:tc>
        <w:tc>
          <w:tcPr>
            <w:tcW w:w="3562" w:type="dxa"/>
            <w:gridSpan w:val="2"/>
            <w:noWrap w:val="0"/>
            <w:vAlign w:val="center"/>
          </w:tcPr>
          <w:p>
            <w:pPr>
              <w:jc w:val="center"/>
              <w:rPr>
                <w:kern w:val="0"/>
                <w:szCs w:val="21"/>
                <w:lang w:bidi="ar"/>
              </w:rPr>
            </w:pPr>
            <w:r>
              <w:rPr>
                <w:rFonts w:hint="eastAsia"/>
                <w:kern w:val="0"/>
                <w:szCs w:val="21"/>
                <w:lang w:bidi="ar"/>
              </w:rPr>
              <w:t>NO</w:t>
            </w:r>
            <w:r>
              <w:rPr>
                <w:rFonts w:hint="eastAsia"/>
                <w:kern w:val="0"/>
                <w:szCs w:val="21"/>
                <w:vertAlign w:val="subscript"/>
                <w:lang w:bidi="ar"/>
              </w:rPr>
              <w:t>x</w:t>
            </w:r>
          </w:p>
        </w:tc>
        <w:tc>
          <w:tcPr>
            <w:tcW w:w="2308" w:type="dxa"/>
            <w:gridSpan w:val="2"/>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kern w:val="0"/>
                <w:szCs w:val="21"/>
                <w:lang w:bidi="ar"/>
              </w:rPr>
            </w:pPr>
            <w:r>
              <w:rPr>
                <w:rFonts w:hint="eastAsia"/>
                <w:szCs w:val="21"/>
                <w:lang w:val="en-US" w:eastAsia="zh-CN" w:bidi="ar"/>
              </w:rPr>
              <w:t>0.029</w:t>
            </w:r>
          </w:p>
        </w:tc>
      </w:tr>
    </w:tbl>
    <w:p>
      <w:pPr>
        <w:spacing w:line="520" w:lineRule="exact"/>
        <w:ind w:firstLine="480" w:firstLineChars="200"/>
        <w:rPr>
          <w:kern w:val="0"/>
          <w:sz w:val="24"/>
          <w:lang w:bidi="ar"/>
        </w:rPr>
      </w:pPr>
      <w:r>
        <w:rPr>
          <w:rFonts w:hint="eastAsia"/>
          <w:kern w:val="0"/>
          <w:sz w:val="24"/>
          <w:lang w:bidi="ar"/>
        </w:rPr>
        <w:t>（5）全场污染物年排放量核算</w:t>
      </w:r>
    </w:p>
    <w:p>
      <w:pPr>
        <w:spacing w:line="520" w:lineRule="exact"/>
        <w:ind w:firstLine="482" w:firstLineChars="200"/>
        <w:jc w:val="center"/>
        <w:rPr>
          <w:rFonts w:hint="eastAsia"/>
          <w:b/>
          <w:kern w:val="0"/>
          <w:sz w:val="24"/>
          <w:lang w:bidi="ar"/>
        </w:rPr>
      </w:pPr>
      <w:r>
        <w:rPr>
          <w:b/>
          <w:kern w:val="0"/>
          <w:sz w:val="24"/>
          <w:lang w:bidi="ar"/>
        </w:rPr>
        <w:t>表2.3-8   大气污染物</w:t>
      </w:r>
      <w:r>
        <w:rPr>
          <w:rFonts w:hint="eastAsia"/>
          <w:b/>
          <w:kern w:val="0"/>
          <w:sz w:val="24"/>
          <w:lang w:bidi="ar"/>
        </w:rPr>
        <w:t>年</w:t>
      </w:r>
      <w:r>
        <w:rPr>
          <w:b/>
          <w:kern w:val="0"/>
          <w:sz w:val="24"/>
          <w:lang w:bidi="ar"/>
        </w:rPr>
        <w:t>排放量核算表</w:t>
      </w:r>
    </w:p>
    <w:tbl>
      <w:tblPr>
        <w:tblStyle w:val="1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982"/>
        <w:gridCol w:w="2982"/>
        <w:gridCol w:w="29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cantSplit/>
          <w:trHeight w:val="454" w:hRule="atLeast"/>
        </w:trPr>
        <w:tc>
          <w:tcPr>
            <w:tcW w:w="2982" w:type="dxa"/>
            <w:noWrap w:val="0"/>
            <w:vAlign w:val="center"/>
          </w:tcPr>
          <w:p>
            <w:pPr>
              <w:jc w:val="center"/>
              <w:rPr>
                <w:rFonts w:hint="eastAsia"/>
                <w:kern w:val="0"/>
                <w:szCs w:val="21"/>
                <w:lang w:bidi="ar"/>
              </w:rPr>
            </w:pPr>
            <w:r>
              <w:rPr>
                <w:rFonts w:hint="eastAsia"/>
                <w:kern w:val="0"/>
                <w:szCs w:val="21"/>
                <w:lang w:bidi="ar"/>
              </w:rPr>
              <w:t>序号</w:t>
            </w:r>
          </w:p>
        </w:tc>
        <w:tc>
          <w:tcPr>
            <w:tcW w:w="2982" w:type="dxa"/>
            <w:noWrap w:val="0"/>
            <w:vAlign w:val="center"/>
          </w:tcPr>
          <w:p>
            <w:pPr>
              <w:jc w:val="center"/>
              <w:rPr>
                <w:rFonts w:hint="eastAsia"/>
                <w:kern w:val="0"/>
                <w:szCs w:val="21"/>
                <w:lang w:bidi="ar"/>
              </w:rPr>
            </w:pPr>
            <w:r>
              <w:rPr>
                <w:rFonts w:hint="eastAsia"/>
                <w:kern w:val="0"/>
                <w:szCs w:val="21"/>
                <w:lang w:bidi="ar"/>
              </w:rPr>
              <w:t>污染物</w:t>
            </w:r>
          </w:p>
        </w:tc>
        <w:tc>
          <w:tcPr>
            <w:tcW w:w="2982" w:type="dxa"/>
            <w:noWrap w:val="0"/>
            <w:vAlign w:val="center"/>
          </w:tcPr>
          <w:p>
            <w:pPr>
              <w:jc w:val="center"/>
              <w:rPr>
                <w:rFonts w:hint="eastAsia"/>
                <w:kern w:val="0"/>
                <w:szCs w:val="21"/>
                <w:lang w:bidi="ar"/>
              </w:rPr>
            </w:pPr>
            <w:r>
              <w:rPr>
                <w:rFonts w:hint="eastAsia"/>
                <w:kern w:val="0"/>
                <w:szCs w:val="21"/>
                <w:lang w:bidi="ar"/>
              </w:rPr>
              <w:t>年排放量（t/a）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982" w:type="dxa"/>
            <w:noWrap w:val="0"/>
            <w:vAlign w:val="center"/>
          </w:tcPr>
          <w:p>
            <w:pPr>
              <w:jc w:val="center"/>
              <w:rPr>
                <w:rFonts w:hint="eastAsia"/>
                <w:bCs/>
                <w:kern w:val="0"/>
                <w:szCs w:val="21"/>
                <w:lang w:bidi="ar"/>
              </w:rPr>
            </w:pPr>
            <w:r>
              <w:rPr>
                <w:rFonts w:hint="eastAsia"/>
                <w:bCs/>
                <w:kern w:val="0"/>
                <w:szCs w:val="21"/>
                <w:lang w:bidi="ar"/>
              </w:rPr>
              <w:t>1</w:t>
            </w:r>
          </w:p>
        </w:tc>
        <w:tc>
          <w:tcPr>
            <w:tcW w:w="2982" w:type="dxa"/>
            <w:noWrap w:val="0"/>
            <w:vAlign w:val="center"/>
          </w:tcPr>
          <w:p>
            <w:pPr>
              <w:jc w:val="center"/>
              <w:rPr>
                <w:bCs/>
                <w:kern w:val="0"/>
                <w:szCs w:val="21"/>
                <w:lang w:bidi="ar"/>
              </w:rPr>
            </w:pPr>
            <w:r>
              <w:rPr>
                <w:bCs/>
                <w:szCs w:val="21"/>
              </w:rPr>
              <w:t>SO</w:t>
            </w:r>
            <w:r>
              <w:rPr>
                <w:bCs/>
                <w:szCs w:val="21"/>
                <w:vertAlign w:val="subscript"/>
              </w:rPr>
              <w:t>2</w:t>
            </w:r>
          </w:p>
        </w:tc>
        <w:tc>
          <w:tcPr>
            <w:tcW w:w="2982"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bCs/>
                <w:kern w:val="0"/>
                <w:szCs w:val="21"/>
                <w:lang w:eastAsia="zh-CN" w:bidi="ar"/>
              </w:rPr>
            </w:pPr>
            <w:r>
              <w:rPr>
                <w:rFonts w:hint="eastAsia"/>
                <w:szCs w:val="21"/>
                <w:lang w:eastAsia="zh-CN" w:bidi="ar"/>
              </w:rPr>
              <w:t>0.00089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982" w:type="dxa"/>
            <w:noWrap w:val="0"/>
            <w:vAlign w:val="center"/>
          </w:tcPr>
          <w:p>
            <w:pPr>
              <w:jc w:val="center"/>
              <w:rPr>
                <w:rFonts w:hint="eastAsia"/>
                <w:bCs/>
                <w:kern w:val="0"/>
                <w:szCs w:val="21"/>
                <w:lang w:bidi="ar"/>
              </w:rPr>
            </w:pPr>
            <w:r>
              <w:rPr>
                <w:rFonts w:hint="eastAsia"/>
                <w:bCs/>
                <w:kern w:val="0"/>
                <w:szCs w:val="21"/>
                <w:lang w:bidi="ar"/>
              </w:rPr>
              <w:t>2</w:t>
            </w:r>
          </w:p>
        </w:tc>
        <w:tc>
          <w:tcPr>
            <w:tcW w:w="2982" w:type="dxa"/>
            <w:noWrap w:val="0"/>
            <w:vAlign w:val="center"/>
          </w:tcPr>
          <w:p>
            <w:pPr>
              <w:jc w:val="center"/>
              <w:rPr>
                <w:bCs/>
                <w:kern w:val="0"/>
                <w:szCs w:val="21"/>
                <w:lang w:bidi="ar"/>
              </w:rPr>
            </w:pPr>
            <w:r>
              <w:rPr>
                <w:bCs/>
                <w:szCs w:val="21"/>
              </w:rPr>
              <w:t>NO</w:t>
            </w:r>
            <w:r>
              <w:rPr>
                <w:bCs/>
                <w:szCs w:val="21"/>
                <w:vertAlign w:val="subscript"/>
              </w:rPr>
              <w:t>2</w:t>
            </w:r>
          </w:p>
        </w:tc>
        <w:tc>
          <w:tcPr>
            <w:tcW w:w="2982"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kern w:val="0"/>
                <w:szCs w:val="21"/>
                <w:lang w:bidi="ar"/>
              </w:rPr>
            </w:pPr>
            <w:r>
              <w:rPr>
                <w:rFonts w:hint="eastAsia"/>
                <w:szCs w:val="21"/>
                <w:lang w:val="en-US" w:eastAsia="zh-CN" w:bidi="ar"/>
              </w:rPr>
              <w:t>0.029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982" w:type="dxa"/>
            <w:noWrap w:val="0"/>
            <w:vAlign w:val="center"/>
          </w:tcPr>
          <w:p>
            <w:pPr>
              <w:jc w:val="center"/>
              <w:rPr>
                <w:rFonts w:hint="eastAsia"/>
                <w:bCs/>
                <w:kern w:val="0"/>
                <w:szCs w:val="21"/>
                <w:lang w:bidi="ar"/>
              </w:rPr>
            </w:pPr>
            <w:r>
              <w:rPr>
                <w:rFonts w:hint="eastAsia"/>
                <w:bCs/>
                <w:kern w:val="0"/>
                <w:szCs w:val="21"/>
                <w:lang w:bidi="ar"/>
              </w:rPr>
              <w:t>3</w:t>
            </w:r>
          </w:p>
        </w:tc>
        <w:tc>
          <w:tcPr>
            <w:tcW w:w="2982" w:type="dxa"/>
            <w:noWrap w:val="0"/>
            <w:vAlign w:val="center"/>
          </w:tcPr>
          <w:p>
            <w:pPr>
              <w:jc w:val="center"/>
              <w:rPr>
                <w:bCs/>
                <w:kern w:val="0"/>
                <w:szCs w:val="21"/>
                <w:lang w:bidi="ar"/>
              </w:rPr>
            </w:pPr>
            <w:r>
              <w:rPr>
                <w:bCs/>
                <w:szCs w:val="21"/>
              </w:rPr>
              <w:t>NH</w:t>
            </w:r>
            <w:r>
              <w:rPr>
                <w:bCs/>
                <w:szCs w:val="21"/>
                <w:vertAlign w:val="subscript"/>
              </w:rPr>
              <w:t>3</w:t>
            </w:r>
          </w:p>
        </w:tc>
        <w:tc>
          <w:tcPr>
            <w:tcW w:w="2982" w:type="dxa"/>
            <w:noWrap w:val="0"/>
            <w:vAlign w:val="center"/>
          </w:tcPr>
          <w:p>
            <w:pPr>
              <w:spacing w:line="260" w:lineRule="exact"/>
              <w:jc w:val="center"/>
              <w:rPr>
                <w:rFonts w:hint="eastAsia" w:eastAsia="宋体"/>
                <w:bCs/>
                <w:kern w:val="0"/>
                <w:szCs w:val="21"/>
                <w:lang w:eastAsia="zh-CN" w:bidi="ar"/>
              </w:rPr>
            </w:pPr>
            <w:r>
              <w:rPr>
                <w:rFonts w:hint="eastAsia"/>
                <w:snapToGrid w:val="0"/>
                <w:spacing w:val="-4"/>
                <w:szCs w:val="21"/>
                <w:lang w:eastAsia="zh-CN"/>
              </w:rPr>
              <w:t>0.2561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982" w:type="dxa"/>
            <w:noWrap w:val="0"/>
            <w:vAlign w:val="center"/>
          </w:tcPr>
          <w:p>
            <w:pPr>
              <w:jc w:val="center"/>
              <w:rPr>
                <w:rFonts w:hint="eastAsia"/>
                <w:bCs/>
                <w:kern w:val="0"/>
                <w:szCs w:val="21"/>
                <w:lang w:bidi="ar"/>
              </w:rPr>
            </w:pPr>
            <w:r>
              <w:rPr>
                <w:rFonts w:hint="eastAsia"/>
                <w:bCs/>
                <w:kern w:val="0"/>
                <w:szCs w:val="21"/>
                <w:lang w:bidi="ar"/>
              </w:rPr>
              <w:t>4</w:t>
            </w:r>
          </w:p>
        </w:tc>
        <w:tc>
          <w:tcPr>
            <w:tcW w:w="2982" w:type="dxa"/>
            <w:noWrap w:val="0"/>
            <w:vAlign w:val="center"/>
          </w:tcPr>
          <w:p>
            <w:pPr>
              <w:jc w:val="center"/>
              <w:rPr>
                <w:bCs/>
                <w:kern w:val="0"/>
                <w:szCs w:val="21"/>
                <w:lang w:bidi="ar"/>
              </w:rPr>
            </w:pPr>
            <w:r>
              <w:rPr>
                <w:rFonts w:hint="eastAsia"/>
                <w:bCs/>
                <w:kern w:val="0"/>
                <w:szCs w:val="21"/>
                <w:lang w:bidi="ar"/>
              </w:rPr>
              <w:t>H</w:t>
            </w:r>
            <w:r>
              <w:rPr>
                <w:rFonts w:hint="eastAsia"/>
                <w:bCs/>
                <w:kern w:val="0"/>
                <w:szCs w:val="21"/>
                <w:vertAlign w:val="subscript"/>
                <w:lang w:bidi="ar"/>
              </w:rPr>
              <w:t>2</w:t>
            </w:r>
            <w:r>
              <w:rPr>
                <w:rFonts w:hint="eastAsia"/>
                <w:bCs/>
                <w:kern w:val="0"/>
                <w:szCs w:val="21"/>
                <w:lang w:bidi="ar"/>
              </w:rPr>
              <w:t>S</w:t>
            </w:r>
          </w:p>
        </w:tc>
        <w:tc>
          <w:tcPr>
            <w:tcW w:w="2982" w:type="dxa"/>
            <w:noWrap w:val="0"/>
            <w:vAlign w:val="center"/>
          </w:tcPr>
          <w:p>
            <w:pPr>
              <w:spacing w:line="260" w:lineRule="exact"/>
              <w:jc w:val="center"/>
              <w:rPr>
                <w:rFonts w:hint="eastAsia" w:eastAsia="宋体"/>
                <w:bCs/>
                <w:kern w:val="0"/>
                <w:szCs w:val="21"/>
                <w:lang w:eastAsia="zh-CN" w:bidi="ar"/>
              </w:rPr>
            </w:pPr>
            <w:r>
              <w:rPr>
                <w:rFonts w:hint="eastAsia"/>
                <w:snapToGrid w:val="0"/>
                <w:spacing w:val="-4"/>
                <w:szCs w:val="21"/>
                <w:lang w:eastAsia="zh-CN"/>
              </w:rPr>
              <w:t>0.0175</w:t>
            </w:r>
          </w:p>
        </w:tc>
      </w:tr>
      <w:bookmarkEnd w:id="271"/>
      <w:bookmarkEnd w:id="272"/>
      <w:bookmarkEnd w:id="273"/>
      <w:bookmarkEnd w:id="274"/>
      <w:bookmarkEnd w:id="275"/>
      <w:bookmarkEnd w:id="276"/>
      <w:bookmarkEnd w:id="277"/>
      <w:bookmarkEnd w:id="278"/>
    </w:tbl>
    <w:p>
      <w:pPr>
        <w:pStyle w:val="4"/>
        <w:numPr>
          <w:ilvl w:val="0"/>
          <w:numId w:val="0"/>
        </w:numPr>
        <w:spacing w:before="0" w:after="0" w:line="520" w:lineRule="exact"/>
        <w:rPr>
          <w:sz w:val="24"/>
          <w:szCs w:val="24"/>
        </w:rPr>
      </w:pPr>
      <w:r>
        <w:rPr>
          <w:sz w:val="24"/>
          <w:szCs w:val="24"/>
        </w:rPr>
        <w:t>2.3.2.2废水污染物</w:t>
      </w:r>
    </w:p>
    <w:p>
      <w:pPr>
        <w:spacing w:line="520" w:lineRule="exact"/>
        <w:ind w:firstLine="480" w:firstLineChars="200"/>
        <w:rPr>
          <w:sz w:val="24"/>
        </w:rPr>
      </w:pPr>
      <w:r>
        <w:rPr>
          <w:sz w:val="24"/>
        </w:rPr>
        <w:t>（1）污染因素分析</w:t>
      </w:r>
    </w:p>
    <w:p>
      <w:pPr>
        <w:pStyle w:val="25"/>
        <w:spacing w:line="520" w:lineRule="exact"/>
        <w:ind w:firstLine="480"/>
      </w:pPr>
      <w:r>
        <w:t>废水是养猪场产生的重要污染物，包括猪尿、猪舍冲洗废水、刮板冲洗废水及员工生活污水等，废水中含有高浓度有机物和N、P等，如若处理不当，如不经处理直接排入附近的水体，将对周边水体和人群健康存在巨大的潜在风险。</w:t>
      </w:r>
    </w:p>
    <w:p>
      <w:pPr>
        <w:pStyle w:val="25"/>
        <w:spacing w:line="520" w:lineRule="exact"/>
        <w:ind w:firstLine="480"/>
      </w:pPr>
      <w:r>
        <w:t>A、猪尿</w:t>
      </w:r>
    </w:p>
    <w:p>
      <w:pPr>
        <w:pStyle w:val="25"/>
        <w:spacing w:line="520" w:lineRule="exact"/>
        <w:ind w:firstLine="480"/>
      </w:pPr>
      <w:r>
        <w:t>本项目投入运营后育肥猪存栏</w:t>
      </w:r>
      <w:r>
        <w:rPr>
          <w:rFonts w:hint="eastAsia"/>
          <w:lang w:val="en-US" w:eastAsia="zh-CN"/>
        </w:rPr>
        <w:t>4</w:t>
      </w:r>
      <w:r>
        <w:rPr>
          <w:rFonts w:hint="eastAsia"/>
        </w:rPr>
        <w:t>200</w:t>
      </w:r>
      <w:r>
        <w:t>头，猪的尿液产生量根据《畜禽养殖污染防治最佳可行技术指南》（征求意见稿），猪尿排泄量计算公式为：Yu=0.205+0.438W（kg）</w:t>
      </w:r>
    </w:p>
    <w:p>
      <w:pPr>
        <w:pStyle w:val="25"/>
        <w:spacing w:line="520" w:lineRule="exact"/>
        <w:ind w:firstLine="0" w:firstLineChars="0"/>
        <w:rPr>
          <w:snapToGrid w:val="0"/>
        </w:rPr>
      </w:pPr>
      <w:r>
        <w:rPr>
          <w:rFonts w:hint="eastAsia"/>
          <w:lang w:eastAsia="zh-CN"/>
        </w:rPr>
        <w:t>，</w:t>
      </w:r>
      <w:r>
        <w:t>式中</w:t>
      </w:r>
      <w:r>
        <w:rPr>
          <w:rFonts w:hint="eastAsia"/>
        </w:rPr>
        <w:t>：</w:t>
      </w:r>
      <w:r>
        <w:t>Yu为猪尿排泄量，W为猪的饮水量</w:t>
      </w:r>
      <w:r>
        <w:rPr>
          <w:snapToGrid w:val="0"/>
        </w:rPr>
        <w:t>。经计算夏季猪尿产生量为</w:t>
      </w:r>
      <w:r>
        <w:rPr>
          <w:rFonts w:hint="eastAsia"/>
          <w:bCs/>
          <w:snapToGrid w:val="0"/>
          <w:lang w:val="en-US" w:eastAsia="zh-CN"/>
        </w:rPr>
        <w:t>21.084</w:t>
      </w:r>
      <w:r>
        <w:rPr>
          <w:snapToGrid w:val="0"/>
        </w:rPr>
        <w:t>m</w:t>
      </w:r>
      <w:r>
        <w:rPr>
          <w:snapToGrid w:val="0"/>
          <w:vertAlign w:val="superscript"/>
        </w:rPr>
        <w:t>3</w:t>
      </w:r>
      <w:r>
        <w:rPr>
          <w:snapToGrid w:val="0"/>
        </w:rPr>
        <w:t>/d，其他季节猪尿产生量为</w:t>
      </w:r>
      <w:r>
        <w:rPr>
          <w:rFonts w:hint="eastAsia"/>
          <w:bCs/>
          <w:snapToGrid w:val="0"/>
          <w:lang w:val="en-US" w:eastAsia="zh-CN"/>
        </w:rPr>
        <w:t>12.81</w:t>
      </w:r>
      <w:r>
        <w:rPr>
          <w:snapToGrid w:val="0"/>
        </w:rPr>
        <w:t>m</w:t>
      </w:r>
      <w:r>
        <w:rPr>
          <w:snapToGrid w:val="0"/>
          <w:vertAlign w:val="superscript"/>
        </w:rPr>
        <w:t>3</w:t>
      </w:r>
      <w:r>
        <w:rPr>
          <w:snapToGrid w:val="0"/>
        </w:rPr>
        <w:t>/d，全年猪尿产生量为</w:t>
      </w:r>
      <w:r>
        <w:rPr>
          <w:rFonts w:hint="eastAsia"/>
          <w:bCs/>
          <w:snapToGrid w:val="0"/>
          <w:lang w:val="en-US" w:eastAsia="zh-CN"/>
        </w:rPr>
        <w:t>5685.078</w:t>
      </w:r>
      <w:r>
        <w:rPr>
          <w:snapToGrid w:val="0"/>
        </w:rPr>
        <w:t>m</w:t>
      </w:r>
      <w:r>
        <w:rPr>
          <w:snapToGrid w:val="0"/>
          <w:vertAlign w:val="superscript"/>
        </w:rPr>
        <w:t>3</w:t>
      </w:r>
      <w:r>
        <w:rPr>
          <w:snapToGrid w:val="0"/>
        </w:rPr>
        <w:t>/a。</w:t>
      </w:r>
    </w:p>
    <w:p>
      <w:pPr>
        <w:spacing w:line="520" w:lineRule="exact"/>
        <w:ind w:firstLine="480" w:firstLineChars="200"/>
        <w:rPr>
          <w:sz w:val="24"/>
        </w:rPr>
      </w:pPr>
      <w:r>
        <w:rPr>
          <w:sz w:val="24"/>
        </w:rPr>
        <w:t>B</w:t>
      </w:r>
      <w:r>
        <w:rPr>
          <w:rFonts w:hAnsi="宋体"/>
          <w:sz w:val="24"/>
        </w:rPr>
        <w:t>、猪舍冲洗废水</w:t>
      </w:r>
    </w:p>
    <w:p>
      <w:pPr>
        <w:spacing w:line="520" w:lineRule="exact"/>
        <w:ind w:firstLine="480" w:firstLineChars="200"/>
        <w:rPr>
          <w:rFonts w:hAnsi="宋体"/>
          <w:bCs/>
          <w:sz w:val="24"/>
        </w:rPr>
      </w:pPr>
      <w:r>
        <w:rPr>
          <w:rFonts w:hAnsi="宋体"/>
          <w:sz w:val="24"/>
        </w:rPr>
        <w:t>依据</w:t>
      </w:r>
      <w:r>
        <w:rPr>
          <w:rFonts w:hint="eastAsia" w:hAnsi="宋体"/>
          <w:sz w:val="24"/>
        </w:rPr>
        <w:t>同类</w:t>
      </w:r>
      <w:r>
        <w:rPr>
          <w:rFonts w:hAnsi="宋体"/>
          <w:sz w:val="24"/>
        </w:rPr>
        <w:t>养殖场运行中的干清粪工艺的冲洗规律，利用高压水枪在猪转栏时对各猪舍进行冲洗、消毒。育肥舍冲洗频率为每年3次，</w:t>
      </w:r>
      <w:r>
        <w:rPr>
          <w:rFonts w:hint="eastAsia" w:hAnsi="宋体"/>
          <w:sz w:val="24"/>
        </w:rPr>
        <w:t>每次冲洗用水量约为158.17</w:t>
      </w:r>
      <w:r>
        <w:rPr>
          <w:rFonts w:hAnsi="宋体"/>
          <w:bCs/>
          <w:sz w:val="24"/>
        </w:rPr>
        <w:t>m</w:t>
      </w:r>
      <w:r>
        <w:rPr>
          <w:rFonts w:hAnsi="宋体"/>
          <w:bCs/>
          <w:sz w:val="24"/>
          <w:vertAlign w:val="superscript"/>
        </w:rPr>
        <w:t>3</w:t>
      </w:r>
      <w:r>
        <w:rPr>
          <w:rFonts w:hAnsi="宋体"/>
          <w:sz w:val="24"/>
        </w:rPr>
        <w:t>，则</w:t>
      </w:r>
      <w:r>
        <w:rPr>
          <w:rFonts w:hAnsi="宋体"/>
          <w:bCs/>
          <w:sz w:val="24"/>
        </w:rPr>
        <w:t>项目猪舍冲洗水量为</w:t>
      </w:r>
      <w:r>
        <w:rPr>
          <w:rFonts w:hint="eastAsia" w:hAnsi="宋体"/>
          <w:sz w:val="24"/>
          <w:lang w:eastAsia="zh-CN"/>
        </w:rPr>
        <w:t>593.1</w:t>
      </w:r>
      <w:r>
        <w:rPr>
          <w:rFonts w:hAnsi="宋体"/>
          <w:bCs/>
          <w:sz w:val="24"/>
        </w:rPr>
        <w:t>m</w:t>
      </w:r>
      <w:r>
        <w:rPr>
          <w:rFonts w:hAnsi="宋体"/>
          <w:bCs/>
          <w:sz w:val="24"/>
          <w:vertAlign w:val="superscript"/>
        </w:rPr>
        <w:t>3</w:t>
      </w:r>
      <w:r>
        <w:rPr>
          <w:rFonts w:hAnsi="宋体"/>
          <w:bCs/>
          <w:sz w:val="24"/>
        </w:rPr>
        <w:t>/a（合</w:t>
      </w:r>
      <w:r>
        <w:rPr>
          <w:rFonts w:hint="eastAsia" w:hAnsi="宋体"/>
          <w:bCs/>
          <w:sz w:val="24"/>
        </w:rPr>
        <w:t>1.3</w:t>
      </w:r>
      <w:r>
        <w:rPr>
          <w:rFonts w:hAnsi="宋体"/>
          <w:bCs/>
          <w:sz w:val="24"/>
        </w:rPr>
        <w:t>m</w:t>
      </w:r>
      <w:r>
        <w:rPr>
          <w:rFonts w:hAnsi="宋体"/>
          <w:bCs/>
          <w:sz w:val="24"/>
          <w:vertAlign w:val="superscript"/>
        </w:rPr>
        <w:t>3</w:t>
      </w:r>
      <w:r>
        <w:rPr>
          <w:rFonts w:hAnsi="宋体"/>
          <w:bCs/>
          <w:sz w:val="24"/>
        </w:rPr>
        <w:t>/d），冲洗过程损耗量按10%计，则猪舍冲洗废水产生量为</w:t>
      </w:r>
      <w:r>
        <w:rPr>
          <w:rFonts w:hint="eastAsia" w:hAnsi="宋体"/>
          <w:bCs/>
          <w:sz w:val="24"/>
        </w:rPr>
        <w:t>427.05</w:t>
      </w:r>
      <w:r>
        <w:rPr>
          <w:rFonts w:hAnsi="宋体"/>
          <w:bCs/>
          <w:sz w:val="24"/>
        </w:rPr>
        <w:t>m</w:t>
      </w:r>
      <w:r>
        <w:rPr>
          <w:rFonts w:hAnsi="宋体"/>
          <w:bCs/>
          <w:sz w:val="24"/>
          <w:vertAlign w:val="superscript"/>
        </w:rPr>
        <w:t>3</w:t>
      </w:r>
      <w:r>
        <w:rPr>
          <w:rFonts w:hAnsi="宋体"/>
          <w:bCs/>
          <w:sz w:val="24"/>
        </w:rPr>
        <w:t>/a</w:t>
      </w:r>
      <w:r>
        <w:rPr>
          <w:rFonts w:hint="eastAsia" w:hAnsi="宋体"/>
          <w:bCs/>
          <w:sz w:val="24"/>
        </w:rPr>
        <w:t>（合1.17</w:t>
      </w:r>
      <w:r>
        <w:rPr>
          <w:rFonts w:hAnsi="宋体"/>
          <w:bCs/>
          <w:sz w:val="24"/>
        </w:rPr>
        <w:t>m</w:t>
      </w:r>
      <w:r>
        <w:rPr>
          <w:rFonts w:hAnsi="宋体"/>
          <w:bCs/>
          <w:sz w:val="24"/>
          <w:vertAlign w:val="superscript"/>
        </w:rPr>
        <w:t>3</w:t>
      </w:r>
      <w:r>
        <w:rPr>
          <w:rFonts w:hAnsi="宋体"/>
          <w:bCs/>
          <w:sz w:val="24"/>
        </w:rPr>
        <w:t>/d</w:t>
      </w:r>
      <w:r>
        <w:rPr>
          <w:rFonts w:hint="eastAsia" w:hAnsi="宋体"/>
          <w:bCs/>
          <w:sz w:val="24"/>
        </w:rPr>
        <w:t>）。</w:t>
      </w:r>
    </w:p>
    <w:p>
      <w:pPr>
        <w:spacing w:line="520" w:lineRule="exact"/>
        <w:ind w:firstLine="480" w:firstLineChars="200"/>
        <w:rPr>
          <w:sz w:val="24"/>
        </w:rPr>
      </w:pPr>
      <w:r>
        <w:rPr>
          <w:sz w:val="24"/>
        </w:rPr>
        <w:t>C、员工生活及办公废水</w:t>
      </w:r>
    </w:p>
    <w:p>
      <w:pPr>
        <w:spacing w:line="520" w:lineRule="exact"/>
        <w:ind w:firstLine="480" w:firstLineChars="200"/>
        <w:rPr>
          <w:sz w:val="24"/>
        </w:rPr>
      </w:pPr>
      <w:r>
        <w:rPr>
          <w:sz w:val="24"/>
        </w:rPr>
        <w:t>项目设有员工食堂和宿舍，食堂污水经隔油池预处理后，与其他生活污水一同经内部管道引至</w:t>
      </w:r>
      <w:r>
        <w:rPr>
          <w:rFonts w:hint="eastAsia"/>
          <w:sz w:val="24"/>
        </w:rPr>
        <w:t>黑膜沼气池</w:t>
      </w:r>
      <w:r>
        <w:rPr>
          <w:sz w:val="24"/>
        </w:rPr>
        <w:t>进行处理。</w:t>
      </w:r>
    </w:p>
    <w:p>
      <w:pPr>
        <w:spacing w:line="520" w:lineRule="exact"/>
        <w:ind w:firstLine="480" w:firstLineChars="200"/>
        <w:rPr>
          <w:sz w:val="24"/>
        </w:rPr>
      </w:pPr>
      <w:r>
        <w:rPr>
          <w:sz w:val="24"/>
        </w:rPr>
        <w:t>项目劳动定员</w:t>
      </w:r>
      <w:r>
        <w:rPr>
          <w:rFonts w:hint="eastAsia"/>
          <w:sz w:val="24"/>
        </w:rPr>
        <w:t>10</w:t>
      </w:r>
      <w:r>
        <w:rPr>
          <w:sz w:val="24"/>
        </w:rPr>
        <w:t>人，用水量按120L/人·d，年工作365天，则生活用水量为</w:t>
      </w:r>
      <w:r>
        <w:rPr>
          <w:rFonts w:hint="eastAsia"/>
          <w:sz w:val="24"/>
        </w:rPr>
        <w:t>1.2</w:t>
      </w:r>
      <w:r>
        <w:rPr>
          <w:sz w:val="24"/>
        </w:rPr>
        <w:t>m</w:t>
      </w:r>
      <w:r>
        <w:rPr>
          <w:sz w:val="24"/>
          <w:vertAlign w:val="superscript"/>
        </w:rPr>
        <w:t>3</w:t>
      </w:r>
      <w:r>
        <w:rPr>
          <w:sz w:val="24"/>
        </w:rPr>
        <w:t>/d、</w:t>
      </w:r>
      <w:r>
        <w:rPr>
          <w:rFonts w:hint="eastAsia"/>
          <w:sz w:val="24"/>
        </w:rPr>
        <w:t>438</w:t>
      </w:r>
      <w:r>
        <w:rPr>
          <w:sz w:val="24"/>
        </w:rPr>
        <w:t>m</w:t>
      </w:r>
      <w:r>
        <w:rPr>
          <w:sz w:val="24"/>
          <w:vertAlign w:val="superscript"/>
        </w:rPr>
        <w:t>3</w:t>
      </w:r>
      <w:r>
        <w:rPr>
          <w:sz w:val="24"/>
        </w:rPr>
        <w:t>/a。废水排放量按用水量的80%计算，则生活污水产生量为</w:t>
      </w:r>
      <w:r>
        <w:rPr>
          <w:rFonts w:hint="eastAsia"/>
          <w:sz w:val="24"/>
        </w:rPr>
        <w:t>0.96</w:t>
      </w:r>
      <w:r>
        <w:rPr>
          <w:sz w:val="24"/>
        </w:rPr>
        <w:t>m</w:t>
      </w:r>
      <w:r>
        <w:rPr>
          <w:sz w:val="24"/>
          <w:vertAlign w:val="superscript"/>
        </w:rPr>
        <w:t>3</w:t>
      </w:r>
      <w:r>
        <w:rPr>
          <w:sz w:val="24"/>
        </w:rPr>
        <w:t>/d、</w:t>
      </w:r>
      <w:r>
        <w:rPr>
          <w:rFonts w:hint="eastAsia"/>
          <w:sz w:val="24"/>
        </w:rPr>
        <w:t>350.4</w:t>
      </w:r>
      <w:r>
        <w:rPr>
          <w:sz w:val="24"/>
        </w:rPr>
        <w:t>m</w:t>
      </w:r>
      <w:r>
        <w:rPr>
          <w:sz w:val="24"/>
          <w:vertAlign w:val="superscript"/>
        </w:rPr>
        <w:t>3</w:t>
      </w:r>
      <w:r>
        <w:rPr>
          <w:sz w:val="24"/>
        </w:rPr>
        <w:t>/a。</w:t>
      </w:r>
    </w:p>
    <w:p>
      <w:pPr>
        <w:spacing w:line="520" w:lineRule="exact"/>
        <w:ind w:firstLine="480" w:firstLineChars="200"/>
        <w:rPr>
          <w:rFonts w:hint="eastAsia"/>
          <w:sz w:val="24"/>
        </w:rPr>
      </w:pPr>
      <w:r>
        <w:rPr>
          <w:rFonts w:hint="eastAsia"/>
          <w:sz w:val="24"/>
        </w:rPr>
        <w:t>D、</w:t>
      </w:r>
      <w:r>
        <w:rPr>
          <w:sz w:val="24"/>
        </w:rPr>
        <w:t>猪粪带入</w:t>
      </w:r>
      <w:r>
        <w:rPr>
          <w:rFonts w:hint="eastAsia"/>
          <w:sz w:val="24"/>
        </w:rPr>
        <w:t>黑膜沼气池</w:t>
      </w:r>
      <w:r>
        <w:rPr>
          <w:sz w:val="24"/>
        </w:rPr>
        <w:t>的废水</w:t>
      </w:r>
    </w:p>
    <w:p>
      <w:pPr>
        <w:spacing w:line="520" w:lineRule="exact"/>
        <w:ind w:firstLine="480" w:firstLineChars="200"/>
        <w:rPr>
          <w:color w:val="auto"/>
          <w:sz w:val="24"/>
          <w:highlight w:val="none"/>
        </w:rPr>
      </w:pPr>
      <w:r>
        <w:rPr>
          <w:color w:val="auto"/>
          <w:sz w:val="24"/>
          <w:highlight w:val="none"/>
        </w:rPr>
        <w:t>本项目采用干清粪工艺，粪尿产生后经粪污储存池暂存后用泵运至污水</w:t>
      </w:r>
      <w:r>
        <w:rPr>
          <w:rFonts w:hint="eastAsia"/>
          <w:color w:val="auto"/>
          <w:sz w:val="24"/>
          <w:highlight w:val="none"/>
        </w:rPr>
        <w:t>前</w:t>
      </w:r>
      <w:r>
        <w:rPr>
          <w:color w:val="auto"/>
          <w:sz w:val="24"/>
          <w:highlight w:val="none"/>
        </w:rPr>
        <w:t>处理系统进行固液分离，经固液分离后，</w:t>
      </w:r>
      <w:r>
        <w:rPr>
          <w:rFonts w:hint="eastAsia"/>
          <w:color w:val="auto"/>
          <w:sz w:val="24"/>
          <w:highlight w:val="none"/>
        </w:rPr>
        <w:t>分离出</w:t>
      </w:r>
      <w:r>
        <w:rPr>
          <w:color w:val="auto"/>
          <w:sz w:val="24"/>
          <w:highlight w:val="none"/>
        </w:rPr>
        <w:t>的猪粪</w:t>
      </w:r>
      <w:r>
        <w:rPr>
          <w:rFonts w:hint="eastAsia"/>
          <w:color w:val="auto"/>
          <w:sz w:val="24"/>
          <w:highlight w:val="none"/>
        </w:rPr>
        <w:t>运至固粪堆存区制有机肥基料</w:t>
      </w:r>
      <w:r>
        <w:rPr>
          <w:color w:val="auto"/>
          <w:sz w:val="24"/>
          <w:highlight w:val="none"/>
        </w:rPr>
        <w:t>，污水进入</w:t>
      </w:r>
      <w:r>
        <w:rPr>
          <w:rFonts w:hint="eastAsia"/>
          <w:color w:val="auto"/>
          <w:sz w:val="24"/>
          <w:highlight w:val="none"/>
        </w:rPr>
        <w:t>黑膜</w:t>
      </w:r>
      <w:r>
        <w:rPr>
          <w:color w:val="auto"/>
          <w:sz w:val="24"/>
          <w:highlight w:val="none"/>
        </w:rPr>
        <w:t>沼气池进行处理，</w:t>
      </w:r>
      <w:r>
        <w:rPr>
          <w:rFonts w:hint="eastAsia"/>
          <w:color w:val="auto"/>
          <w:sz w:val="24"/>
          <w:highlight w:val="none"/>
        </w:rPr>
        <w:t>则猪粪一经</w:t>
      </w:r>
      <w:r>
        <w:rPr>
          <w:color w:val="auto"/>
          <w:sz w:val="24"/>
          <w:highlight w:val="none"/>
        </w:rPr>
        <w:t>产生含水率为</w:t>
      </w:r>
      <w:r>
        <w:rPr>
          <w:rFonts w:hint="eastAsia"/>
          <w:color w:val="auto"/>
          <w:sz w:val="24"/>
          <w:highlight w:val="none"/>
        </w:rPr>
        <w:t>80</w:t>
      </w:r>
      <w:r>
        <w:rPr>
          <w:color w:val="auto"/>
          <w:sz w:val="24"/>
          <w:highlight w:val="none"/>
        </w:rPr>
        <w:t>%，经固液分离后含水率为</w:t>
      </w:r>
      <w:r>
        <w:rPr>
          <w:rFonts w:hint="eastAsia"/>
          <w:color w:val="auto"/>
          <w:sz w:val="24"/>
          <w:highlight w:val="none"/>
        </w:rPr>
        <w:t>55</w:t>
      </w:r>
      <w:r>
        <w:rPr>
          <w:color w:val="auto"/>
          <w:sz w:val="24"/>
          <w:highlight w:val="none"/>
        </w:rPr>
        <w:t>%，固液分离出的</w:t>
      </w:r>
      <w:r>
        <w:rPr>
          <w:rFonts w:hint="eastAsia"/>
          <w:color w:val="auto"/>
          <w:sz w:val="24"/>
          <w:highlight w:val="none"/>
        </w:rPr>
        <w:t>猪粪</w:t>
      </w:r>
      <w:r>
        <w:rPr>
          <w:color w:val="auto"/>
          <w:sz w:val="24"/>
          <w:highlight w:val="none"/>
        </w:rPr>
        <w:t>的水分水量为</w:t>
      </w:r>
      <w:r>
        <w:rPr>
          <w:rFonts w:hint="eastAsia"/>
          <w:color w:val="auto"/>
          <w:sz w:val="24"/>
          <w:highlight w:val="none"/>
          <w:lang w:eastAsia="zh-CN"/>
        </w:rPr>
        <w:t>2.88</w:t>
      </w:r>
      <w:r>
        <w:rPr>
          <w:color w:val="auto"/>
          <w:sz w:val="24"/>
          <w:highlight w:val="none"/>
        </w:rPr>
        <w:t>m</w:t>
      </w:r>
      <w:r>
        <w:rPr>
          <w:color w:val="auto"/>
          <w:sz w:val="24"/>
          <w:highlight w:val="none"/>
          <w:vertAlign w:val="superscript"/>
        </w:rPr>
        <w:t>3</w:t>
      </w:r>
      <w:r>
        <w:rPr>
          <w:color w:val="auto"/>
          <w:sz w:val="24"/>
          <w:highlight w:val="none"/>
        </w:rPr>
        <w:t>/d、</w:t>
      </w:r>
      <w:r>
        <w:rPr>
          <w:rFonts w:hint="eastAsia"/>
          <w:color w:val="auto"/>
          <w:sz w:val="24"/>
          <w:highlight w:val="none"/>
          <w:lang w:eastAsia="zh-CN"/>
        </w:rPr>
        <w:t>1050.4627</w:t>
      </w:r>
      <w:r>
        <w:rPr>
          <w:color w:val="auto"/>
          <w:sz w:val="24"/>
          <w:highlight w:val="none"/>
        </w:rPr>
        <w:t>m</w:t>
      </w:r>
      <w:r>
        <w:rPr>
          <w:color w:val="auto"/>
          <w:sz w:val="24"/>
          <w:highlight w:val="none"/>
          <w:vertAlign w:val="superscript"/>
        </w:rPr>
        <w:t>3</w:t>
      </w:r>
      <w:r>
        <w:rPr>
          <w:color w:val="auto"/>
          <w:sz w:val="24"/>
          <w:highlight w:val="none"/>
        </w:rPr>
        <w:t>/a。</w:t>
      </w:r>
    </w:p>
    <w:p>
      <w:pPr>
        <w:spacing w:line="520" w:lineRule="exact"/>
        <w:ind w:firstLine="480" w:firstLineChars="200"/>
        <w:rPr>
          <w:sz w:val="24"/>
        </w:rPr>
      </w:pPr>
      <w:bookmarkStart w:id="279" w:name="_Toc413166137"/>
      <w:bookmarkStart w:id="280" w:name="_Toc311979818"/>
      <w:bookmarkStart w:id="281" w:name="_Toc388881918"/>
      <w:bookmarkStart w:id="282" w:name="_Toc407001410"/>
      <w:bookmarkStart w:id="283" w:name="_Toc311979863"/>
      <w:bookmarkStart w:id="284" w:name="_Toc311979931"/>
      <w:bookmarkStart w:id="285" w:name="_Toc406847417"/>
      <w:bookmarkStart w:id="286" w:name="_Toc269400718"/>
      <w:r>
        <w:rPr>
          <w:rFonts w:hAnsi="宋体"/>
          <w:sz w:val="24"/>
        </w:rPr>
        <w:t>（</w:t>
      </w:r>
      <w:r>
        <w:rPr>
          <w:rFonts w:hint="eastAsia"/>
          <w:sz w:val="24"/>
        </w:rPr>
        <w:t>2</w:t>
      </w:r>
      <w:r>
        <w:rPr>
          <w:rFonts w:hAnsi="宋体"/>
          <w:sz w:val="24"/>
        </w:rPr>
        <w:t>）污水水质分析</w:t>
      </w:r>
    </w:p>
    <w:p>
      <w:pPr>
        <w:spacing w:line="520" w:lineRule="exact"/>
        <w:ind w:firstLine="480" w:firstLineChars="200"/>
        <w:rPr>
          <w:bCs/>
          <w:sz w:val="24"/>
        </w:rPr>
      </w:pPr>
      <w:r>
        <w:rPr>
          <w:rFonts w:hAnsi="宋体"/>
          <w:bCs/>
          <w:sz w:val="24"/>
        </w:rPr>
        <w:t>项目养殖废水总量为</w:t>
      </w:r>
      <w:r>
        <w:rPr>
          <w:rFonts w:hint="eastAsia" w:hAnsi="宋体"/>
          <w:bCs/>
          <w:sz w:val="24"/>
          <w:lang w:val="en-US" w:eastAsia="zh-CN"/>
        </w:rPr>
        <w:t>7162.5907</w:t>
      </w:r>
      <w:r>
        <w:rPr>
          <w:bCs/>
          <w:sz w:val="24"/>
        </w:rPr>
        <w:t>m</w:t>
      </w:r>
      <w:r>
        <w:rPr>
          <w:bCs/>
          <w:sz w:val="24"/>
          <w:vertAlign w:val="superscript"/>
        </w:rPr>
        <w:t>3</w:t>
      </w:r>
      <w:r>
        <w:rPr>
          <w:bCs/>
          <w:sz w:val="24"/>
        </w:rPr>
        <w:t>/a</w:t>
      </w:r>
      <w:r>
        <w:rPr>
          <w:rFonts w:hint="eastAsia" w:hAnsi="宋体"/>
          <w:bCs/>
          <w:sz w:val="24"/>
        </w:rPr>
        <w:t>，根据</w:t>
      </w:r>
      <w:r>
        <w:rPr>
          <w:rFonts w:hAnsi="宋体"/>
          <w:bCs/>
          <w:sz w:val="24"/>
        </w:rPr>
        <w:t>类比</w:t>
      </w:r>
      <w:r>
        <w:rPr>
          <w:rFonts w:hint="eastAsia" w:hAnsi="宋体"/>
          <w:bCs/>
          <w:sz w:val="24"/>
        </w:rPr>
        <w:t>同类</w:t>
      </w:r>
      <w:r>
        <w:rPr>
          <w:rFonts w:hAnsi="宋体"/>
          <w:bCs/>
          <w:sz w:val="24"/>
        </w:rPr>
        <w:t>工养殖场的清粪后养殖废水中主要污染物产生浓度分别为</w:t>
      </w:r>
      <w:r>
        <w:rPr>
          <w:bCs/>
          <w:sz w:val="24"/>
        </w:rPr>
        <w:t>COD1</w:t>
      </w:r>
      <w:r>
        <w:rPr>
          <w:sz w:val="24"/>
        </w:rPr>
        <w:t>9500mg/L</w:t>
      </w:r>
      <w:r>
        <w:rPr>
          <w:rFonts w:hAnsi="宋体"/>
          <w:bCs/>
          <w:sz w:val="24"/>
        </w:rPr>
        <w:t>、</w:t>
      </w:r>
      <w:r>
        <w:rPr>
          <w:bCs/>
          <w:sz w:val="24"/>
        </w:rPr>
        <w:t>BOD</w:t>
      </w:r>
      <w:r>
        <w:rPr>
          <w:bCs/>
          <w:sz w:val="24"/>
          <w:vertAlign w:val="subscript"/>
        </w:rPr>
        <w:t xml:space="preserve">5 </w:t>
      </w:r>
      <w:r>
        <w:rPr>
          <w:bCs/>
          <w:sz w:val="24"/>
        </w:rPr>
        <w:t>8000mg/L</w:t>
      </w:r>
      <w:r>
        <w:rPr>
          <w:rFonts w:hAnsi="宋体"/>
          <w:bCs/>
          <w:sz w:val="24"/>
        </w:rPr>
        <w:t>、</w:t>
      </w:r>
      <w:r>
        <w:rPr>
          <w:bCs/>
          <w:sz w:val="24"/>
        </w:rPr>
        <w:t>SS 16000mg/L</w:t>
      </w:r>
      <w:r>
        <w:rPr>
          <w:rFonts w:hAnsi="宋体"/>
          <w:bCs/>
          <w:sz w:val="24"/>
        </w:rPr>
        <w:t>、</w:t>
      </w:r>
      <w:r>
        <w:rPr>
          <w:bCs/>
          <w:sz w:val="24"/>
        </w:rPr>
        <w:t>NH</w:t>
      </w:r>
      <w:r>
        <w:rPr>
          <w:bCs/>
          <w:sz w:val="24"/>
          <w:vertAlign w:val="subscript"/>
        </w:rPr>
        <w:t>3</w:t>
      </w:r>
      <w:r>
        <w:rPr>
          <w:bCs/>
          <w:sz w:val="24"/>
        </w:rPr>
        <w:t>-N</w:t>
      </w:r>
      <w:r>
        <w:rPr>
          <w:sz w:val="24"/>
        </w:rPr>
        <w:t>1200mg/L</w:t>
      </w:r>
      <w:r>
        <w:rPr>
          <w:rFonts w:hAnsi="宋体"/>
          <w:bCs/>
          <w:sz w:val="24"/>
        </w:rPr>
        <w:t>。</w:t>
      </w:r>
    </w:p>
    <w:p>
      <w:pPr>
        <w:spacing w:line="520" w:lineRule="exact"/>
        <w:ind w:firstLine="480" w:firstLineChars="200"/>
        <w:rPr>
          <w:sz w:val="24"/>
        </w:rPr>
      </w:pPr>
      <w:r>
        <w:rPr>
          <w:rFonts w:hAnsi="宋体"/>
          <w:bCs/>
          <w:sz w:val="24"/>
        </w:rPr>
        <w:t>生活污水</w:t>
      </w:r>
      <w:r>
        <w:rPr>
          <w:rFonts w:hint="eastAsia" w:hAnsi="宋体"/>
          <w:bCs/>
          <w:sz w:val="24"/>
        </w:rPr>
        <w:t>排放</w:t>
      </w:r>
      <w:r>
        <w:rPr>
          <w:rFonts w:hAnsi="宋体"/>
          <w:bCs/>
          <w:sz w:val="24"/>
        </w:rPr>
        <w:t>量为</w:t>
      </w:r>
      <w:r>
        <w:rPr>
          <w:rFonts w:hint="eastAsia"/>
          <w:sz w:val="24"/>
        </w:rPr>
        <w:t>0.96</w:t>
      </w:r>
      <w:r>
        <w:rPr>
          <w:sz w:val="24"/>
        </w:rPr>
        <w:t>m</w:t>
      </w:r>
      <w:r>
        <w:rPr>
          <w:sz w:val="24"/>
          <w:vertAlign w:val="superscript"/>
        </w:rPr>
        <w:t>3</w:t>
      </w:r>
      <w:r>
        <w:rPr>
          <w:sz w:val="24"/>
        </w:rPr>
        <w:t>/d、</w:t>
      </w:r>
      <w:r>
        <w:rPr>
          <w:rFonts w:hint="eastAsia"/>
          <w:sz w:val="24"/>
        </w:rPr>
        <w:t>350.4</w:t>
      </w:r>
      <w:r>
        <w:rPr>
          <w:sz w:val="24"/>
        </w:rPr>
        <w:t>m</w:t>
      </w:r>
      <w:r>
        <w:rPr>
          <w:sz w:val="24"/>
          <w:vertAlign w:val="superscript"/>
        </w:rPr>
        <w:t>3</w:t>
      </w:r>
      <w:r>
        <w:rPr>
          <w:sz w:val="24"/>
        </w:rPr>
        <w:t>/a</w:t>
      </w:r>
      <w:r>
        <w:rPr>
          <w:rFonts w:hAnsi="宋体"/>
          <w:bCs/>
          <w:sz w:val="24"/>
        </w:rPr>
        <w:t>，主要污染物产生浓度分别为</w:t>
      </w:r>
      <w:r>
        <w:rPr>
          <w:bCs/>
          <w:sz w:val="24"/>
        </w:rPr>
        <w:t>COD300mg/L</w:t>
      </w:r>
      <w:r>
        <w:rPr>
          <w:rFonts w:hAnsi="宋体"/>
          <w:bCs/>
          <w:sz w:val="24"/>
        </w:rPr>
        <w:t>、</w:t>
      </w:r>
      <w:r>
        <w:rPr>
          <w:bCs/>
          <w:sz w:val="24"/>
        </w:rPr>
        <w:t>BOD</w:t>
      </w:r>
      <w:r>
        <w:rPr>
          <w:bCs/>
          <w:sz w:val="24"/>
          <w:vertAlign w:val="subscript"/>
        </w:rPr>
        <w:t>5</w:t>
      </w:r>
      <w:r>
        <w:rPr>
          <w:bCs/>
          <w:sz w:val="24"/>
        </w:rPr>
        <w:t>150mg/L</w:t>
      </w:r>
      <w:r>
        <w:rPr>
          <w:rFonts w:hAnsi="宋体"/>
          <w:bCs/>
          <w:sz w:val="24"/>
        </w:rPr>
        <w:t>、</w:t>
      </w:r>
      <w:r>
        <w:rPr>
          <w:bCs/>
          <w:sz w:val="24"/>
        </w:rPr>
        <w:t>SS200mg/L</w:t>
      </w:r>
      <w:r>
        <w:rPr>
          <w:rFonts w:hAnsi="宋体"/>
          <w:bCs/>
          <w:sz w:val="24"/>
        </w:rPr>
        <w:t>、</w:t>
      </w:r>
      <w:r>
        <w:rPr>
          <w:bCs/>
          <w:sz w:val="24"/>
        </w:rPr>
        <w:t>NH</w:t>
      </w:r>
      <w:r>
        <w:rPr>
          <w:bCs/>
          <w:sz w:val="24"/>
          <w:vertAlign w:val="subscript"/>
        </w:rPr>
        <w:t>3</w:t>
      </w:r>
      <w:r>
        <w:rPr>
          <w:bCs/>
          <w:sz w:val="24"/>
        </w:rPr>
        <w:t>-N30mg/L</w:t>
      </w:r>
      <w:r>
        <w:rPr>
          <w:rFonts w:hAnsi="宋体"/>
          <w:bCs/>
          <w:sz w:val="24"/>
        </w:rPr>
        <w:t>。</w:t>
      </w:r>
    </w:p>
    <w:p>
      <w:pPr>
        <w:spacing w:line="520" w:lineRule="exact"/>
        <w:ind w:firstLine="480" w:firstLineChars="200"/>
        <w:rPr>
          <w:bCs/>
          <w:sz w:val="24"/>
          <w:u w:val="single"/>
        </w:rPr>
      </w:pPr>
      <w:r>
        <w:rPr>
          <w:rFonts w:hAnsi="宋体"/>
          <w:sz w:val="24"/>
        </w:rPr>
        <w:t>养殖场在春、秋</w:t>
      </w:r>
      <w:r>
        <w:rPr>
          <w:rFonts w:hint="eastAsia" w:hAnsi="宋体"/>
          <w:sz w:val="24"/>
        </w:rPr>
        <w:t>、冬</w:t>
      </w:r>
      <w:r>
        <w:rPr>
          <w:rFonts w:hAnsi="宋体"/>
          <w:sz w:val="24"/>
        </w:rPr>
        <w:t>季节</w:t>
      </w:r>
      <w:r>
        <w:rPr>
          <w:rFonts w:hint="eastAsia" w:hAnsi="宋体"/>
          <w:sz w:val="24"/>
        </w:rPr>
        <w:t>用排水</w:t>
      </w:r>
      <w:r>
        <w:rPr>
          <w:rFonts w:hAnsi="宋体"/>
          <w:sz w:val="24"/>
        </w:rPr>
        <w:t>量无明显差异，因此</w:t>
      </w:r>
      <w:r>
        <w:rPr>
          <w:rFonts w:hint="eastAsia" w:hAnsi="宋体"/>
          <w:sz w:val="24"/>
        </w:rPr>
        <w:t>项目废水</w:t>
      </w:r>
      <w:r>
        <w:rPr>
          <w:rFonts w:hAnsi="宋体"/>
          <w:sz w:val="24"/>
        </w:rPr>
        <w:t>排放量分析按照夏季及</w:t>
      </w:r>
      <w:r>
        <w:rPr>
          <w:rFonts w:hint="eastAsia" w:hAnsi="宋体"/>
          <w:bCs/>
          <w:sz w:val="24"/>
        </w:rPr>
        <w:t>春、</w:t>
      </w:r>
      <w:r>
        <w:rPr>
          <w:rFonts w:hAnsi="宋体"/>
          <w:bCs/>
          <w:sz w:val="24"/>
        </w:rPr>
        <w:t>秋、冬季节</w:t>
      </w:r>
      <w:r>
        <w:rPr>
          <w:rFonts w:hint="eastAsia" w:hAnsi="宋体"/>
          <w:bCs/>
          <w:sz w:val="24"/>
        </w:rPr>
        <w:t>（即</w:t>
      </w:r>
      <w:r>
        <w:rPr>
          <w:rFonts w:hAnsi="宋体"/>
          <w:bCs/>
          <w:sz w:val="24"/>
        </w:rPr>
        <w:t>非夏季）</w:t>
      </w:r>
      <w:r>
        <w:rPr>
          <w:rFonts w:hint="eastAsia" w:hAnsi="宋体"/>
          <w:bCs/>
          <w:sz w:val="24"/>
        </w:rPr>
        <w:t>进行</w:t>
      </w:r>
      <w:r>
        <w:rPr>
          <w:rFonts w:hAnsi="宋体"/>
          <w:bCs/>
          <w:sz w:val="24"/>
        </w:rPr>
        <w:t>分析，养殖废水与生活污水混合后，废水总排水量为</w:t>
      </w:r>
      <w:r>
        <w:rPr>
          <w:rFonts w:hint="eastAsia" w:hAnsi="宋体"/>
          <w:bCs/>
          <w:sz w:val="24"/>
          <w:lang w:eastAsia="zh-CN"/>
        </w:rPr>
        <w:t>7512.9907</w:t>
      </w:r>
      <w:r>
        <w:rPr>
          <w:rFonts w:hint="eastAsia" w:hAnsi="宋体"/>
          <w:bCs/>
          <w:sz w:val="24"/>
        </w:rPr>
        <w:t>m</w:t>
      </w:r>
      <w:r>
        <w:rPr>
          <w:rFonts w:hAnsi="宋体"/>
          <w:bCs/>
          <w:sz w:val="24"/>
          <w:vertAlign w:val="superscript"/>
        </w:rPr>
        <w:t>3</w:t>
      </w:r>
      <w:r>
        <w:rPr>
          <w:rFonts w:hint="eastAsia" w:hAnsi="宋体"/>
          <w:bCs/>
          <w:sz w:val="24"/>
        </w:rPr>
        <w:t>/a</w:t>
      </w:r>
      <w:r>
        <w:rPr>
          <w:rFonts w:hAnsi="宋体"/>
          <w:bCs/>
          <w:sz w:val="24"/>
        </w:rPr>
        <w:t>，</w:t>
      </w:r>
      <w:r>
        <w:rPr>
          <w:bCs/>
          <w:sz w:val="24"/>
        </w:rPr>
        <w:t>夏季</w:t>
      </w:r>
      <w:r>
        <w:rPr>
          <w:rFonts w:hint="eastAsia"/>
          <w:bCs/>
          <w:sz w:val="24"/>
          <w:lang w:eastAsia="zh-CN"/>
        </w:rPr>
        <w:t>23.18</w:t>
      </w:r>
      <w:r>
        <w:rPr>
          <w:bCs/>
          <w:sz w:val="24"/>
        </w:rPr>
        <w:t>m</w:t>
      </w:r>
      <w:r>
        <w:rPr>
          <w:bCs/>
          <w:sz w:val="24"/>
          <w:vertAlign w:val="superscript"/>
        </w:rPr>
        <w:t>3</w:t>
      </w:r>
      <w:r>
        <w:rPr>
          <w:bCs/>
          <w:sz w:val="24"/>
        </w:rPr>
        <w:t>/d，其他季节</w:t>
      </w:r>
      <w:r>
        <w:rPr>
          <w:rFonts w:hint="eastAsia"/>
          <w:bCs/>
          <w:sz w:val="24"/>
          <w:lang w:eastAsia="zh-CN"/>
        </w:rPr>
        <w:t>14.69</w:t>
      </w:r>
      <w:r>
        <w:rPr>
          <w:bCs/>
          <w:sz w:val="24"/>
        </w:rPr>
        <w:t>m</w:t>
      </w:r>
      <w:r>
        <w:rPr>
          <w:bCs/>
          <w:sz w:val="24"/>
          <w:vertAlign w:val="superscript"/>
        </w:rPr>
        <w:t>3</w:t>
      </w:r>
      <w:r>
        <w:rPr>
          <w:bCs/>
          <w:sz w:val="24"/>
        </w:rPr>
        <w:t>/d</w:t>
      </w:r>
      <w:r>
        <w:rPr>
          <w:rFonts w:hAnsi="宋体"/>
          <w:bCs/>
          <w:sz w:val="24"/>
        </w:rPr>
        <w:t>。</w:t>
      </w:r>
    </w:p>
    <w:p>
      <w:pPr>
        <w:spacing w:line="520" w:lineRule="exact"/>
        <w:ind w:firstLine="480" w:firstLineChars="200"/>
        <w:rPr>
          <w:rFonts w:hint="eastAsia"/>
          <w:sz w:val="24"/>
          <w:highlight w:val="none"/>
        </w:rPr>
      </w:pPr>
      <w:r>
        <w:rPr>
          <w:rFonts w:hAnsi="宋体"/>
          <w:bCs/>
          <w:sz w:val="24"/>
        </w:rPr>
        <w:t>本项目采取</w:t>
      </w:r>
      <w:r>
        <w:rPr>
          <w:rFonts w:hint="eastAsia" w:hAnsi="宋体"/>
          <w:bCs/>
          <w:sz w:val="24"/>
        </w:rPr>
        <w:t>“</w:t>
      </w:r>
      <w:r>
        <w:rPr>
          <w:rFonts w:hint="eastAsia" w:hAnsi="宋体"/>
          <w:sz w:val="24"/>
        </w:rPr>
        <w:t>干清粪</w:t>
      </w:r>
      <w:r>
        <w:rPr>
          <w:rFonts w:hAnsi="宋体"/>
          <w:sz w:val="24"/>
        </w:rPr>
        <w:t>、</w:t>
      </w:r>
      <w:r>
        <w:rPr>
          <w:rFonts w:hint="eastAsia"/>
          <w:sz w:val="24"/>
        </w:rPr>
        <w:t>黑</w:t>
      </w:r>
      <w:r>
        <w:rPr>
          <w:rFonts w:hint="eastAsia"/>
          <w:sz w:val="24"/>
          <w:highlight w:val="none"/>
        </w:rPr>
        <w:t>膜沼气池</w:t>
      </w:r>
      <w:r>
        <w:rPr>
          <w:rFonts w:hAnsi="宋体"/>
          <w:sz w:val="24"/>
          <w:highlight w:val="none"/>
        </w:rPr>
        <w:t>、沼气沼液沼渣综合利用</w:t>
      </w:r>
      <w:r>
        <w:rPr>
          <w:rFonts w:hint="eastAsia" w:hAnsi="宋体"/>
          <w:bCs/>
          <w:sz w:val="24"/>
          <w:highlight w:val="none"/>
        </w:rPr>
        <w:t>”</w:t>
      </w:r>
      <w:r>
        <w:rPr>
          <w:rFonts w:hAnsi="宋体"/>
          <w:sz w:val="24"/>
          <w:highlight w:val="none"/>
        </w:rPr>
        <w:t>处理工艺</w:t>
      </w:r>
      <w:r>
        <w:rPr>
          <w:rFonts w:hAnsi="宋体"/>
          <w:bCs/>
          <w:sz w:val="24"/>
          <w:highlight w:val="none"/>
        </w:rPr>
        <w:t>，养殖废水和生活污水进入</w:t>
      </w:r>
      <w:r>
        <w:rPr>
          <w:rFonts w:hint="eastAsia" w:hAnsi="宋体"/>
          <w:bCs/>
          <w:sz w:val="24"/>
          <w:highlight w:val="none"/>
        </w:rPr>
        <w:t>黑膜沼气池</w:t>
      </w:r>
      <w:r>
        <w:rPr>
          <w:rFonts w:hAnsi="宋体"/>
          <w:bCs/>
          <w:sz w:val="24"/>
          <w:highlight w:val="none"/>
        </w:rPr>
        <w:t>进行</w:t>
      </w:r>
      <w:r>
        <w:rPr>
          <w:rFonts w:hint="eastAsia" w:hAnsi="宋体"/>
          <w:bCs/>
          <w:sz w:val="24"/>
          <w:highlight w:val="none"/>
        </w:rPr>
        <w:t>30d厌氧发酵</w:t>
      </w:r>
      <w:r>
        <w:rPr>
          <w:rFonts w:hAnsi="宋体"/>
          <w:bCs/>
          <w:sz w:val="24"/>
          <w:highlight w:val="none"/>
        </w:rPr>
        <w:t>处理</w:t>
      </w:r>
      <w:r>
        <w:rPr>
          <w:rFonts w:hint="eastAsia" w:hAnsi="宋体"/>
          <w:bCs/>
          <w:sz w:val="24"/>
          <w:highlight w:val="none"/>
        </w:rPr>
        <w:t>，</w:t>
      </w:r>
      <w:r>
        <w:rPr>
          <w:rFonts w:hint="eastAsia" w:hAnsi="宋体"/>
          <w:sz w:val="24"/>
          <w:highlight w:val="none"/>
        </w:rPr>
        <w:t>黑膜沼气池</w:t>
      </w:r>
      <w:r>
        <w:rPr>
          <w:rFonts w:hAnsi="宋体"/>
          <w:sz w:val="24"/>
          <w:highlight w:val="none"/>
        </w:rPr>
        <w:t>设计容积为</w:t>
      </w:r>
      <w:r>
        <w:rPr>
          <w:rFonts w:hint="eastAsia" w:hAnsi="宋体"/>
          <w:sz w:val="24"/>
          <w:highlight w:val="none"/>
        </w:rPr>
        <w:t>1200</w:t>
      </w:r>
      <w:r>
        <w:rPr>
          <w:bCs/>
          <w:sz w:val="24"/>
          <w:highlight w:val="none"/>
        </w:rPr>
        <w:t>m</w:t>
      </w:r>
      <w:r>
        <w:rPr>
          <w:bCs/>
          <w:sz w:val="24"/>
          <w:highlight w:val="none"/>
          <w:vertAlign w:val="superscript"/>
        </w:rPr>
        <w:t>3</w:t>
      </w:r>
      <w:r>
        <w:rPr>
          <w:rFonts w:hint="eastAsia" w:hAnsi="宋体"/>
          <w:sz w:val="24"/>
          <w:highlight w:val="none"/>
        </w:rPr>
        <w:t>，</w:t>
      </w:r>
      <w:r>
        <w:rPr>
          <w:rFonts w:hAnsi="宋体"/>
          <w:sz w:val="24"/>
          <w:highlight w:val="none"/>
        </w:rPr>
        <w:t>满足</w:t>
      </w:r>
      <w:r>
        <w:rPr>
          <w:rFonts w:hint="eastAsia" w:hAnsi="宋体"/>
          <w:sz w:val="24"/>
          <w:highlight w:val="none"/>
        </w:rPr>
        <w:t>夏季</w:t>
      </w:r>
      <w:r>
        <w:rPr>
          <w:rFonts w:hAnsi="宋体"/>
          <w:sz w:val="24"/>
          <w:highlight w:val="none"/>
        </w:rPr>
        <w:t>最大容纳</w:t>
      </w:r>
      <w:r>
        <w:rPr>
          <w:rFonts w:hint="eastAsia" w:hAnsi="宋体"/>
          <w:sz w:val="24"/>
          <w:highlight w:val="none"/>
        </w:rPr>
        <w:t>30天共</w:t>
      </w:r>
      <w:r>
        <w:rPr>
          <w:rFonts w:hint="eastAsia" w:hAnsi="宋体"/>
          <w:sz w:val="24"/>
          <w:highlight w:val="none"/>
          <w:lang w:val="en-US" w:eastAsia="zh-CN"/>
        </w:rPr>
        <w:t>695.4</w:t>
      </w:r>
      <w:r>
        <w:rPr>
          <w:bCs/>
          <w:sz w:val="24"/>
          <w:highlight w:val="none"/>
        </w:rPr>
        <w:t>m</w:t>
      </w:r>
      <w:r>
        <w:rPr>
          <w:bCs/>
          <w:sz w:val="24"/>
          <w:highlight w:val="none"/>
          <w:vertAlign w:val="superscript"/>
        </w:rPr>
        <w:t>3</w:t>
      </w:r>
      <w:r>
        <w:rPr>
          <w:rFonts w:hint="eastAsia" w:hAnsi="宋体"/>
          <w:sz w:val="24"/>
          <w:highlight w:val="none"/>
        </w:rPr>
        <w:t>废水处理需求。</w:t>
      </w:r>
    </w:p>
    <w:p>
      <w:pPr>
        <w:spacing w:line="520" w:lineRule="exact"/>
        <w:ind w:firstLine="480" w:firstLineChars="200"/>
        <w:rPr>
          <w:rFonts w:hAnsi="宋体"/>
          <w:sz w:val="24"/>
        </w:rPr>
      </w:pPr>
      <w:r>
        <w:rPr>
          <w:rFonts w:hAnsi="宋体"/>
          <w:bCs/>
          <w:sz w:val="24"/>
        </w:rPr>
        <w:t>项目场区废水产生后统一进入</w:t>
      </w:r>
      <w:r>
        <w:rPr>
          <w:rFonts w:hint="eastAsia" w:hAnsi="宋体"/>
          <w:bCs/>
          <w:sz w:val="24"/>
        </w:rPr>
        <w:t>黑膜沼气池</w:t>
      </w:r>
      <w:r>
        <w:rPr>
          <w:rFonts w:hAnsi="宋体"/>
          <w:bCs/>
          <w:sz w:val="24"/>
        </w:rPr>
        <w:t>进行处理，经过厌氧发酵的出水沼液在耕作施肥期用于配套消纳地进行综合利用，在非耕作期于场内沼液储存池中暂存，不外排。</w:t>
      </w:r>
      <w:r>
        <w:rPr>
          <w:rFonts w:hAnsi="宋体"/>
          <w:sz w:val="24"/>
        </w:rPr>
        <w:t>项目</w:t>
      </w:r>
      <w:r>
        <w:rPr>
          <w:rFonts w:hint="eastAsia" w:hAnsi="宋体"/>
          <w:sz w:val="24"/>
        </w:rPr>
        <w:t>黑膜</w:t>
      </w:r>
      <w:r>
        <w:rPr>
          <w:rFonts w:hAnsi="宋体"/>
          <w:sz w:val="24"/>
        </w:rPr>
        <w:t>中主要污染物去除效率为</w:t>
      </w:r>
      <w:r>
        <w:rPr>
          <w:sz w:val="24"/>
        </w:rPr>
        <w:t>COD</w:t>
      </w:r>
      <w:r>
        <w:rPr>
          <w:rFonts w:hint="eastAsia"/>
          <w:sz w:val="24"/>
        </w:rPr>
        <w:t>84</w:t>
      </w:r>
      <w:r>
        <w:rPr>
          <w:sz w:val="24"/>
        </w:rPr>
        <w:t>%</w:t>
      </w:r>
      <w:r>
        <w:rPr>
          <w:rFonts w:hAnsi="宋体"/>
          <w:sz w:val="24"/>
        </w:rPr>
        <w:t>、</w:t>
      </w:r>
      <w:r>
        <w:rPr>
          <w:sz w:val="24"/>
        </w:rPr>
        <w:t>BOD</w:t>
      </w:r>
      <w:r>
        <w:rPr>
          <w:sz w:val="24"/>
          <w:vertAlign w:val="subscript"/>
        </w:rPr>
        <w:t>5</w:t>
      </w:r>
      <w:r>
        <w:rPr>
          <w:sz w:val="24"/>
        </w:rPr>
        <w:t>8</w:t>
      </w:r>
      <w:r>
        <w:rPr>
          <w:rFonts w:hint="eastAsia"/>
          <w:sz w:val="24"/>
        </w:rPr>
        <w:t>1.8</w:t>
      </w:r>
      <w:r>
        <w:rPr>
          <w:sz w:val="24"/>
        </w:rPr>
        <w:t>%</w:t>
      </w:r>
      <w:r>
        <w:rPr>
          <w:rFonts w:hAnsi="宋体"/>
          <w:sz w:val="24"/>
        </w:rPr>
        <w:t>、</w:t>
      </w:r>
      <w:r>
        <w:rPr>
          <w:sz w:val="24"/>
        </w:rPr>
        <w:t>SS87%</w:t>
      </w:r>
      <w:r>
        <w:rPr>
          <w:rFonts w:hAnsi="宋体"/>
          <w:sz w:val="24"/>
        </w:rPr>
        <w:t>、氨氮</w:t>
      </w:r>
      <w:r>
        <w:rPr>
          <w:rFonts w:hint="eastAsia"/>
          <w:sz w:val="24"/>
        </w:rPr>
        <w:t>22</w:t>
      </w:r>
      <w:r>
        <w:rPr>
          <w:sz w:val="24"/>
        </w:rPr>
        <w:t>%</w:t>
      </w:r>
      <w:r>
        <w:rPr>
          <w:rFonts w:hAnsi="宋体"/>
          <w:sz w:val="24"/>
        </w:rPr>
        <w:t>。</w:t>
      </w:r>
    </w:p>
    <w:p>
      <w:pPr>
        <w:spacing w:line="520" w:lineRule="exact"/>
        <w:ind w:firstLine="480" w:firstLineChars="200"/>
        <w:rPr>
          <w:rFonts w:hint="eastAsia" w:hAnsi="宋体"/>
          <w:bCs/>
          <w:sz w:val="24"/>
        </w:rPr>
      </w:pPr>
      <w:r>
        <w:rPr>
          <w:rFonts w:hAnsi="宋体"/>
          <w:bCs/>
          <w:sz w:val="24"/>
        </w:rPr>
        <w:t>项目废水主要污染物产生及排放汇总表见表</w:t>
      </w:r>
      <w:r>
        <w:rPr>
          <w:bCs/>
          <w:sz w:val="24"/>
        </w:rPr>
        <w:t>2.3- 9</w:t>
      </w:r>
      <w:r>
        <w:rPr>
          <w:rFonts w:hAnsi="宋体"/>
          <w:bCs/>
          <w:sz w:val="24"/>
        </w:rPr>
        <w:t>。</w:t>
      </w:r>
    </w:p>
    <w:p>
      <w:pPr>
        <w:kinsoku w:val="0"/>
        <w:overflowPunct w:val="0"/>
        <w:spacing w:after="72" w:afterLines="30" w:line="500" w:lineRule="exact"/>
        <w:jc w:val="center"/>
        <w:rPr>
          <w:b/>
          <w:sz w:val="24"/>
        </w:rPr>
      </w:pPr>
      <w:r>
        <w:rPr>
          <w:rFonts w:hAnsi="宋体"/>
          <w:b/>
          <w:sz w:val="24"/>
        </w:rPr>
        <w:t>表</w:t>
      </w:r>
      <w:r>
        <w:rPr>
          <w:b/>
          <w:sz w:val="24"/>
        </w:rPr>
        <w:t xml:space="preserve">2.3-9   </w:t>
      </w:r>
      <w:r>
        <w:rPr>
          <w:rFonts w:hAnsi="宋体"/>
          <w:b/>
          <w:sz w:val="24"/>
        </w:rPr>
        <w:t>工程废水主要污染物产生及排放情况一览表</w:t>
      </w:r>
    </w:p>
    <w:tbl>
      <w:tblPr>
        <w:tblStyle w:val="17"/>
        <w:tblW w:w="8760" w:type="dxa"/>
        <w:tblInd w:w="-1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49"/>
        <w:gridCol w:w="1246"/>
        <w:gridCol w:w="1118"/>
        <w:gridCol w:w="1402"/>
        <w:gridCol w:w="1398"/>
        <w:gridCol w:w="1114"/>
        <w:gridCol w:w="133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1149" w:type="dxa"/>
            <w:noWrap w:val="0"/>
            <w:tcMar>
              <w:left w:w="0" w:type="dxa"/>
              <w:right w:w="0" w:type="dxa"/>
            </w:tcMar>
            <w:vAlign w:val="center"/>
          </w:tcPr>
          <w:p>
            <w:pPr>
              <w:adjustRightInd w:val="0"/>
              <w:snapToGrid w:val="0"/>
              <w:spacing w:line="360" w:lineRule="exact"/>
              <w:jc w:val="center"/>
              <w:rPr>
                <w:b/>
                <w:bCs/>
                <w:szCs w:val="21"/>
              </w:rPr>
            </w:pPr>
            <w:r>
              <w:rPr>
                <w:rFonts w:hAnsi="宋体"/>
                <w:b/>
                <w:bCs/>
                <w:szCs w:val="21"/>
              </w:rPr>
              <w:t>来源</w:t>
            </w:r>
          </w:p>
        </w:tc>
        <w:tc>
          <w:tcPr>
            <w:tcW w:w="1246" w:type="dxa"/>
            <w:noWrap w:val="0"/>
            <w:vAlign w:val="center"/>
          </w:tcPr>
          <w:p>
            <w:pPr>
              <w:adjustRightInd w:val="0"/>
              <w:snapToGrid w:val="0"/>
              <w:spacing w:line="360" w:lineRule="exact"/>
              <w:jc w:val="center"/>
              <w:rPr>
                <w:b/>
                <w:bCs/>
                <w:szCs w:val="21"/>
              </w:rPr>
            </w:pPr>
            <w:r>
              <w:rPr>
                <w:rFonts w:hAnsi="宋体"/>
                <w:b/>
                <w:bCs/>
                <w:szCs w:val="21"/>
              </w:rPr>
              <w:t>水量</w:t>
            </w:r>
            <w:r>
              <w:rPr>
                <w:b/>
                <w:bCs/>
                <w:szCs w:val="21"/>
              </w:rPr>
              <w:t>m</w:t>
            </w:r>
            <w:r>
              <w:rPr>
                <w:b/>
                <w:bCs/>
                <w:szCs w:val="21"/>
                <w:vertAlign w:val="superscript"/>
              </w:rPr>
              <w:t>3</w:t>
            </w:r>
            <w:r>
              <w:rPr>
                <w:b/>
                <w:bCs/>
                <w:szCs w:val="21"/>
              </w:rPr>
              <w:t>/a</w:t>
            </w:r>
          </w:p>
        </w:tc>
        <w:tc>
          <w:tcPr>
            <w:tcW w:w="1118" w:type="dxa"/>
            <w:noWrap w:val="0"/>
            <w:tcMar>
              <w:left w:w="0" w:type="dxa"/>
              <w:right w:w="0" w:type="dxa"/>
            </w:tcMar>
            <w:vAlign w:val="center"/>
          </w:tcPr>
          <w:p>
            <w:pPr>
              <w:adjustRightInd w:val="0"/>
              <w:snapToGrid w:val="0"/>
              <w:spacing w:line="360" w:lineRule="exact"/>
              <w:jc w:val="center"/>
              <w:rPr>
                <w:b/>
                <w:bCs/>
                <w:szCs w:val="21"/>
              </w:rPr>
            </w:pPr>
            <w:r>
              <w:rPr>
                <w:rFonts w:hAnsi="宋体"/>
                <w:b/>
                <w:bCs/>
                <w:szCs w:val="21"/>
              </w:rPr>
              <w:t>指标</w:t>
            </w:r>
          </w:p>
        </w:tc>
        <w:tc>
          <w:tcPr>
            <w:tcW w:w="1402" w:type="dxa"/>
            <w:noWrap w:val="0"/>
            <w:vAlign w:val="center"/>
          </w:tcPr>
          <w:p>
            <w:pPr>
              <w:adjustRightInd w:val="0"/>
              <w:snapToGrid w:val="0"/>
              <w:spacing w:line="360" w:lineRule="exact"/>
              <w:jc w:val="center"/>
              <w:rPr>
                <w:b/>
                <w:bCs/>
                <w:szCs w:val="21"/>
              </w:rPr>
            </w:pPr>
            <w:r>
              <w:rPr>
                <w:rFonts w:hAnsi="宋体"/>
                <w:b/>
                <w:bCs/>
                <w:szCs w:val="21"/>
              </w:rPr>
              <w:t>浓度</w:t>
            </w:r>
            <w:r>
              <w:rPr>
                <w:b/>
                <w:bCs/>
                <w:szCs w:val="21"/>
              </w:rPr>
              <w:t>mg/L</w:t>
            </w:r>
          </w:p>
        </w:tc>
        <w:tc>
          <w:tcPr>
            <w:tcW w:w="1398" w:type="dxa"/>
            <w:noWrap w:val="0"/>
            <w:tcMar>
              <w:left w:w="0" w:type="dxa"/>
              <w:right w:w="0" w:type="dxa"/>
            </w:tcMar>
            <w:vAlign w:val="center"/>
          </w:tcPr>
          <w:p>
            <w:pPr>
              <w:adjustRightInd w:val="0"/>
              <w:snapToGrid w:val="0"/>
              <w:spacing w:line="360" w:lineRule="exact"/>
              <w:jc w:val="center"/>
              <w:rPr>
                <w:b/>
                <w:bCs/>
                <w:szCs w:val="21"/>
              </w:rPr>
            </w:pPr>
            <w:r>
              <w:rPr>
                <w:rFonts w:hAnsi="宋体"/>
                <w:b/>
                <w:bCs/>
                <w:szCs w:val="21"/>
              </w:rPr>
              <w:t>产生量</w:t>
            </w:r>
            <w:r>
              <w:rPr>
                <w:b/>
                <w:bCs/>
                <w:szCs w:val="21"/>
              </w:rPr>
              <w:t>t/a</w:t>
            </w:r>
          </w:p>
        </w:tc>
        <w:tc>
          <w:tcPr>
            <w:tcW w:w="1114" w:type="dxa"/>
            <w:noWrap w:val="0"/>
            <w:vAlign w:val="center"/>
          </w:tcPr>
          <w:p>
            <w:pPr>
              <w:adjustRightInd w:val="0"/>
              <w:snapToGrid w:val="0"/>
              <w:spacing w:line="360" w:lineRule="exact"/>
              <w:jc w:val="center"/>
              <w:rPr>
                <w:b/>
                <w:bCs/>
                <w:szCs w:val="21"/>
              </w:rPr>
            </w:pPr>
            <w:r>
              <w:rPr>
                <w:rFonts w:hAnsi="宋体"/>
                <w:b/>
                <w:bCs/>
                <w:szCs w:val="21"/>
              </w:rPr>
              <w:t>排放量</w:t>
            </w:r>
            <w:r>
              <w:rPr>
                <w:b/>
                <w:bCs/>
                <w:szCs w:val="21"/>
              </w:rPr>
              <w:t>t/a</w:t>
            </w:r>
          </w:p>
        </w:tc>
        <w:tc>
          <w:tcPr>
            <w:tcW w:w="1333" w:type="dxa"/>
            <w:noWrap w:val="0"/>
            <w:tcMar>
              <w:left w:w="0" w:type="dxa"/>
              <w:right w:w="0" w:type="dxa"/>
            </w:tcMar>
            <w:vAlign w:val="center"/>
          </w:tcPr>
          <w:p>
            <w:pPr>
              <w:adjustRightInd w:val="0"/>
              <w:snapToGrid w:val="0"/>
              <w:spacing w:line="360" w:lineRule="exact"/>
              <w:jc w:val="center"/>
              <w:rPr>
                <w:b/>
                <w:bCs/>
                <w:szCs w:val="21"/>
              </w:rPr>
            </w:pPr>
            <w:r>
              <w:rPr>
                <w:rFonts w:hAnsi="宋体"/>
                <w:b/>
                <w:bCs/>
                <w:szCs w:val="21"/>
              </w:rPr>
              <w:t>去向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149" w:type="dxa"/>
            <w:vMerge w:val="restart"/>
            <w:noWrap w:val="0"/>
            <w:tcMar>
              <w:left w:w="0" w:type="dxa"/>
              <w:right w:w="0" w:type="dxa"/>
            </w:tcMar>
            <w:vAlign w:val="center"/>
          </w:tcPr>
          <w:p>
            <w:pPr>
              <w:spacing w:line="360" w:lineRule="exact"/>
              <w:jc w:val="center"/>
              <w:rPr>
                <w:szCs w:val="21"/>
              </w:rPr>
            </w:pPr>
            <w:r>
              <w:rPr>
                <w:rFonts w:hAnsi="宋体"/>
                <w:szCs w:val="21"/>
              </w:rPr>
              <w:t>养殖废水</w:t>
            </w:r>
          </w:p>
        </w:tc>
        <w:tc>
          <w:tcPr>
            <w:tcW w:w="1246" w:type="dxa"/>
            <w:vMerge w:val="restart"/>
            <w:noWrap w:val="0"/>
            <w:vAlign w:val="center"/>
          </w:tcPr>
          <w:p>
            <w:pPr>
              <w:spacing w:line="360" w:lineRule="exact"/>
              <w:jc w:val="center"/>
              <w:rPr>
                <w:rFonts w:hint="eastAsia" w:eastAsia="宋体"/>
                <w:szCs w:val="21"/>
                <w:lang w:eastAsia="zh-CN"/>
              </w:rPr>
            </w:pPr>
            <w:r>
              <w:rPr>
                <w:rFonts w:hint="eastAsia"/>
                <w:bCs/>
                <w:szCs w:val="21"/>
                <w:lang w:val="en-US" w:eastAsia="zh-CN"/>
              </w:rPr>
              <w:t>7162.5907</w:t>
            </w:r>
          </w:p>
        </w:tc>
        <w:tc>
          <w:tcPr>
            <w:tcW w:w="1118" w:type="dxa"/>
            <w:noWrap w:val="0"/>
            <w:tcMar>
              <w:left w:w="0" w:type="dxa"/>
              <w:right w:w="0" w:type="dxa"/>
            </w:tcMar>
            <w:vAlign w:val="center"/>
          </w:tcPr>
          <w:p>
            <w:pPr>
              <w:spacing w:line="360" w:lineRule="exact"/>
              <w:jc w:val="center"/>
              <w:rPr>
                <w:szCs w:val="21"/>
              </w:rPr>
            </w:pPr>
            <w:r>
              <w:rPr>
                <w:szCs w:val="21"/>
              </w:rPr>
              <w:t>COD</w:t>
            </w:r>
          </w:p>
        </w:tc>
        <w:tc>
          <w:tcPr>
            <w:tcW w:w="1402" w:type="dxa"/>
            <w:noWrap w:val="0"/>
            <w:vAlign w:val="bottom"/>
          </w:tcPr>
          <w:p>
            <w:pPr>
              <w:spacing w:line="360" w:lineRule="exact"/>
              <w:jc w:val="center"/>
              <w:rPr>
                <w:szCs w:val="21"/>
              </w:rPr>
            </w:pPr>
            <w:r>
              <w:rPr>
                <w:rFonts w:hint="eastAsia"/>
                <w:szCs w:val="21"/>
              </w:rPr>
              <w:t>19500</w:t>
            </w:r>
          </w:p>
        </w:tc>
        <w:tc>
          <w:tcPr>
            <w:tcW w:w="1398" w:type="dxa"/>
            <w:noWrap w:val="0"/>
            <w:tcMar>
              <w:left w:w="0" w:type="dxa"/>
              <w:right w:w="0" w:type="dxa"/>
            </w:tcMar>
            <w:vAlign w:val="bottom"/>
          </w:tcPr>
          <w:p>
            <w:pPr>
              <w:widowControl/>
              <w:jc w:val="center"/>
              <w:rPr>
                <w:rFonts w:hint="default" w:eastAsia="宋体"/>
                <w:kern w:val="0"/>
                <w:szCs w:val="21"/>
                <w:lang w:val="en-US" w:eastAsia="zh-CN"/>
              </w:rPr>
            </w:pPr>
            <w:r>
              <w:rPr>
                <w:rFonts w:hint="eastAsia"/>
                <w:szCs w:val="21"/>
                <w:lang w:val="en-US" w:eastAsia="zh-CN"/>
              </w:rPr>
              <w:t>140.37</w:t>
            </w:r>
          </w:p>
        </w:tc>
        <w:tc>
          <w:tcPr>
            <w:tcW w:w="1114" w:type="dxa"/>
            <w:vMerge w:val="restart"/>
            <w:noWrap w:val="0"/>
            <w:vAlign w:val="center"/>
          </w:tcPr>
          <w:p>
            <w:pPr>
              <w:adjustRightInd w:val="0"/>
              <w:snapToGrid w:val="0"/>
              <w:spacing w:line="360" w:lineRule="exact"/>
              <w:jc w:val="center"/>
              <w:rPr>
                <w:bCs/>
                <w:szCs w:val="21"/>
              </w:rPr>
            </w:pPr>
            <w:r>
              <w:rPr>
                <w:bCs/>
                <w:szCs w:val="21"/>
              </w:rPr>
              <w:t>0</w:t>
            </w:r>
          </w:p>
        </w:tc>
        <w:tc>
          <w:tcPr>
            <w:tcW w:w="1333" w:type="dxa"/>
            <w:vMerge w:val="restart"/>
            <w:noWrap w:val="0"/>
            <w:tcMar>
              <w:left w:w="0" w:type="dxa"/>
              <w:right w:w="0" w:type="dxa"/>
            </w:tcMar>
            <w:vAlign w:val="center"/>
          </w:tcPr>
          <w:p>
            <w:pPr>
              <w:adjustRightInd w:val="0"/>
              <w:snapToGrid w:val="0"/>
              <w:spacing w:line="360" w:lineRule="exact"/>
              <w:jc w:val="center"/>
              <w:rPr>
                <w:bCs/>
                <w:szCs w:val="21"/>
              </w:rPr>
            </w:pPr>
            <w:r>
              <w:rPr>
                <w:rFonts w:hAnsi="宋体"/>
                <w:bCs/>
                <w:szCs w:val="21"/>
              </w:rPr>
              <w:t>农肥施用季节做农肥，雨季由沼液储存池暂时贮存，不外排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49" w:type="dxa"/>
            <w:vMerge w:val="continue"/>
            <w:noWrap w:val="0"/>
            <w:tcMar>
              <w:left w:w="0" w:type="dxa"/>
              <w:right w:w="0" w:type="dxa"/>
            </w:tcMar>
            <w:vAlign w:val="center"/>
          </w:tcPr>
          <w:p>
            <w:pPr>
              <w:spacing w:line="360" w:lineRule="exact"/>
              <w:jc w:val="center"/>
              <w:rPr>
                <w:szCs w:val="21"/>
              </w:rPr>
            </w:pPr>
          </w:p>
        </w:tc>
        <w:tc>
          <w:tcPr>
            <w:tcW w:w="1246" w:type="dxa"/>
            <w:vMerge w:val="continue"/>
            <w:noWrap w:val="0"/>
            <w:vAlign w:val="center"/>
          </w:tcPr>
          <w:p>
            <w:pPr>
              <w:spacing w:line="360" w:lineRule="exact"/>
              <w:jc w:val="center"/>
              <w:rPr>
                <w:szCs w:val="21"/>
              </w:rPr>
            </w:pPr>
          </w:p>
        </w:tc>
        <w:tc>
          <w:tcPr>
            <w:tcW w:w="1118" w:type="dxa"/>
            <w:noWrap w:val="0"/>
            <w:tcMar>
              <w:left w:w="0" w:type="dxa"/>
              <w:right w:w="0" w:type="dxa"/>
            </w:tcMar>
            <w:vAlign w:val="center"/>
          </w:tcPr>
          <w:p>
            <w:pPr>
              <w:spacing w:line="360" w:lineRule="exact"/>
              <w:jc w:val="center"/>
              <w:rPr>
                <w:szCs w:val="21"/>
              </w:rPr>
            </w:pPr>
            <w:r>
              <w:rPr>
                <w:szCs w:val="21"/>
              </w:rPr>
              <w:t>BOD</w:t>
            </w:r>
            <w:r>
              <w:rPr>
                <w:szCs w:val="21"/>
                <w:vertAlign w:val="subscript"/>
              </w:rPr>
              <w:t>5</w:t>
            </w:r>
          </w:p>
        </w:tc>
        <w:tc>
          <w:tcPr>
            <w:tcW w:w="1402" w:type="dxa"/>
            <w:noWrap w:val="0"/>
            <w:vAlign w:val="bottom"/>
          </w:tcPr>
          <w:p>
            <w:pPr>
              <w:spacing w:line="360" w:lineRule="exact"/>
              <w:jc w:val="center"/>
              <w:rPr>
                <w:szCs w:val="21"/>
              </w:rPr>
            </w:pPr>
            <w:r>
              <w:rPr>
                <w:rFonts w:hint="eastAsia"/>
                <w:szCs w:val="21"/>
              </w:rPr>
              <w:t>8000</w:t>
            </w:r>
          </w:p>
        </w:tc>
        <w:tc>
          <w:tcPr>
            <w:tcW w:w="1398" w:type="dxa"/>
            <w:noWrap w:val="0"/>
            <w:tcMar>
              <w:left w:w="0" w:type="dxa"/>
              <w:right w:w="0" w:type="dxa"/>
            </w:tcMar>
            <w:vAlign w:val="bottom"/>
          </w:tcPr>
          <w:p>
            <w:pPr>
              <w:jc w:val="center"/>
              <w:rPr>
                <w:rFonts w:hint="default" w:eastAsia="宋体"/>
                <w:szCs w:val="21"/>
                <w:lang w:val="en-US" w:eastAsia="zh-CN"/>
              </w:rPr>
            </w:pPr>
            <w:r>
              <w:rPr>
                <w:rFonts w:hint="eastAsia"/>
                <w:szCs w:val="21"/>
                <w:lang w:val="en-US" w:eastAsia="zh-CN"/>
              </w:rPr>
              <w:t>57.59</w:t>
            </w:r>
          </w:p>
        </w:tc>
        <w:tc>
          <w:tcPr>
            <w:tcW w:w="1114" w:type="dxa"/>
            <w:vMerge w:val="continue"/>
            <w:noWrap w:val="0"/>
            <w:vAlign w:val="center"/>
          </w:tcPr>
          <w:p>
            <w:pPr>
              <w:adjustRightInd w:val="0"/>
              <w:snapToGrid w:val="0"/>
              <w:spacing w:line="360" w:lineRule="exact"/>
              <w:jc w:val="center"/>
              <w:rPr>
                <w:bCs/>
                <w:szCs w:val="21"/>
              </w:rPr>
            </w:pPr>
          </w:p>
        </w:tc>
        <w:tc>
          <w:tcPr>
            <w:tcW w:w="1333" w:type="dxa"/>
            <w:vMerge w:val="continue"/>
            <w:noWrap w:val="0"/>
            <w:tcMar>
              <w:left w:w="0" w:type="dxa"/>
              <w:right w:w="0" w:type="dxa"/>
            </w:tcMar>
            <w:vAlign w:val="center"/>
          </w:tcPr>
          <w:p>
            <w:pPr>
              <w:adjustRightInd w:val="0"/>
              <w:snapToGrid w:val="0"/>
              <w:spacing w:line="360" w:lineRule="exact"/>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49" w:type="dxa"/>
            <w:vMerge w:val="continue"/>
            <w:noWrap w:val="0"/>
            <w:tcMar>
              <w:left w:w="0" w:type="dxa"/>
              <w:right w:w="0" w:type="dxa"/>
            </w:tcMar>
            <w:vAlign w:val="center"/>
          </w:tcPr>
          <w:p>
            <w:pPr>
              <w:spacing w:line="360" w:lineRule="exact"/>
              <w:jc w:val="center"/>
              <w:rPr>
                <w:szCs w:val="21"/>
              </w:rPr>
            </w:pPr>
          </w:p>
        </w:tc>
        <w:tc>
          <w:tcPr>
            <w:tcW w:w="1246" w:type="dxa"/>
            <w:vMerge w:val="continue"/>
            <w:noWrap w:val="0"/>
            <w:vAlign w:val="center"/>
          </w:tcPr>
          <w:p>
            <w:pPr>
              <w:spacing w:line="360" w:lineRule="exact"/>
              <w:jc w:val="center"/>
              <w:rPr>
                <w:szCs w:val="21"/>
              </w:rPr>
            </w:pPr>
          </w:p>
        </w:tc>
        <w:tc>
          <w:tcPr>
            <w:tcW w:w="1118" w:type="dxa"/>
            <w:noWrap w:val="0"/>
            <w:tcMar>
              <w:left w:w="0" w:type="dxa"/>
              <w:right w:w="0" w:type="dxa"/>
            </w:tcMar>
            <w:vAlign w:val="center"/>
          </w:tcPr>
          <w:p>
            <w:pPr>
              <w:spacing w:line="360" w:lineRule="exact"/>
              <w:jc w:val="center"/>
              <w:rPr>
                <w:szCs w:val="21"/>
              </w:rPr>
            </w:pPr>
            <w:r>
              <w:rPr>
                <w:szCs w:val="21"/>
              </w:rPr>
              <w:t>SS</w:t>
            </w:r>
          </w:p>
        </w:tc>
        <w:tc>
          <w:tcPr>
            <w:tcW w:w="1402" w:type="dxa"/>
            <w:noWrap w:val="0"/>
            <w:vAlign w:val="bottom"/>
          </w:tcPr>
          <w:p>
            <w:pPr>
              <w:spacing w:line="360" w:lineRule="exact"/>
              <w:jc w:val="center"/>
              <w:rPr>
                <w:szCs w:val="21"/>
              </w:rPr>
            </w:pPr>
            <w:r>
              <w:rPr>
                <w:rFonts w:hint="eastAsia"/>
                <w:szCs w:val="21"/>
              </w:rPr>
              <w:t>16000</w:t>
            </w:r>
          </w:p>
        </w:tc>
        <w:tc>
          <w:tcPr>
            <w:tcW w:w="1398" w:type="dxa"/>
            <w:noWrap w:val="0"/>
            <w:tcMar>
              <w:left w:w="0" w:type="dxa"/>
              <w:right w:w="0" w:type="dxa"/>
            </w:tcMar>
            <w:vAlign w:val="bottom"/>
          </w:tcPr>
          <w:p>
            <w:pPr>
              <w:jc w:val="center"/>
              <w:rPr>
                <w:rFonts w:hint="default" w:eastAsia="宋体"/>
                <w:szCs w:val="21"/>
                <w:lang w:val="en-US" w:eastAsia="zh-CN"/>
              </w:rPr>
            </w:pPr>
            <w:r>
              <w:rPr>
                <w:rFonts w:hint="eastAsia"/>
                <w:szCs w:val="21"/>
                <w:lang w:val="en-US" w:eastAsia="zh-CN"/>
              </w:rPr>
              <w:t>115.18</w:t>
            </w:r>
          </w:p>
        </w:tc>
        <w:tc>
          <w:tcPr>
            <w:tcW w:w="1114" w:type="dxa"/>
            <w:vMerge w:val="continue"/>
            <w:noWrap w:val="0"/>
            <w:vAlign w:val="center"/>
          </w:tcPr>
          <w:p>
            <w:pPr>
              <w:adjustRightInd w:val="0"/>
              <w:snapToGrid w:val="0"/>
              <w:spacing w:line="360" w:lineRule="exact"/>
              <w:jc w:val="center"/>
              <w:rPr>
                <w:bCs/>
                <w:szCs w:val="21"/>
              </w:rPr>
            </w:pPr>
          </w:p>
        </w:tc>
        <w:tc>
          <w:tcPr>
            <w:tcW w:w="1333" w:type="dxa"/>
            <w:vMerge w:val="continue"/>
            <w:noWrap w:val="0"/>
            <w:tcMar>
              <w:left w:w="0" w:type="dxa"/>
              <w:right w:w="0" w:type="dxa"/>
            </w:tcMar>
            <w:vAlign w:val="center"/>
          </w:tcPr>
          <w:p>
            <w:pPr>
              <w:adjustRightInd w:val="0"/>
              <w:snapToGrid w:val="0"/>
              <w:spacing w:line="360" w:lineRule="exact"/>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49" w:type="dxa"/>
            <w:vMerge w:val="continue"/>
            <w:noWrap w:val="0"/>
            <w:tcMar>
              <w:left w:w="0" w:type="dxa"/>
              <w:right w:w="0" w:type="dxa"/>
            </w:tcMar>
            <w:vAlign w:val="center"/>
          </w:tcPr>
          <w:p>
            <w:pPr>
              <w:spacing w:line="360" w:lineRule="exact"/>
              <w:jc w:val="center"/>
              <w:rPr>
                <w:szCs w:val="21"/>
              </w:rPr>
            </w:pPr>
          </w:p>
        </w:tc>
        <w:tc>
          <w:tcPr>
            <w:tcW w:w="1246" w:type="dxa"/>
            <w:vMerge w:val="continue"/>
            <w:noWrap w:val="0"/>
            <w:vAlign w:val="center"/>
          </w:tcPr>
          <w:p>
            <w:pPr>
              <w:spacing w:line="360" w:lineRule="exact"/>
              <w:jc w:val="center"/>
              <w:rPr>
                <w:szCs w:val="21"/>
              </w:rPr>
            </w:pPr>
          </w:p>
        </w:tc>
        <w:tc>
          <w:tcPr>
            <w:tcW w:w="1118" w:type="dxa"/>
            <w:noWrap w:val="0"/>
            <w:tcMar>
              <w:left w:w="0" w:type="dxa"/>
              <w:right w:w="0" w:type="dxa"/>
            </w:tcMar>
            <w:vAlign w:val="center"/>
          </w:tcPr>
          <w:p>
            <w:pPr>
              <w:spacing w:line="360" w:lineRule="exact"/>
              <w:jc w:val="center"/>
              <w:rPr>
                <w:szCs w:val="21"/>
              </w:rPr>
            </w:pPr>
            <w:r>
              <w:rPr>
                <w:szCs w:val="21"/>
              </w:rPr>
              <w:t>NH</w:t>
            </w:r>
            <w:r>
              <w:rPr>
                <w:szCs w:val="21"/>
                <w:vertAlign w:val="subscript"/>
              </w:rPr>
              <w:t>3</w:t>
            </w:r>
            <w:r>
              <w:rPr>
                <w:szCs w:val="21"/>
              </w:rPr>
              <w:t>-N</w:t>
            </w:r>
          </w:p>
        </w:tc>
        <w:tc>
          <w:tcPr>
            <w:tcW w:w="1402" w:type="dxa"/>
            <w:noWrap w:val="0"/>
            <w:vAlign w:val="bottom"/>
          </w:tcPr>
          <w:p>
            <w:pPr>
              <w:spacing w:line="360" w:lineRule="exact"/>
              <w:jc w:val="center"/>
              <w:rPr>
                <w:szCs w:val="21"/>
              </w:rPr>
            </w:pPr>
            <w:r>
              <w:rPr>
                <w:szCs w:val="21"/>
              </w:rPr>
              <w:t>1</w:t>
            </w:r>
            <w:r>
              <w:rPr>
                <w:rFonts w:hint="eastAsia"/>
                <w:szCs w:val="21"/>
              </w:rPr>
              <w:t>200</w:t>
            </w:r>
          </w:p>
        </w:tc>
        <w:tc>
          <w:tcPr>
            <w:tcW w:w="1398" w:type="dxa"/>
            <w:noWrap w:val="0"/>
            <w:tcMar>
              <w:left w:w="0" w:type="dxa"/>
              <w:right w:w="0" w:type="dxa"/>
            </w:tcMar>
            <w:vAlign w:val="bottom"/>
          </w:tcPr>
          <w:p>
            <w:pPr>
              <w:jc w:val="center"/>
              <w:rPr>
                <w:rFonts w:hint="default" w:eastAsia="宋体"/>
                <w:szCs w:val="21"/>
                <w:lang w:val="en-US" w:eastAsia="zh-CN"/>
              </w:rPr>
            </w:pPr>
            <w:r>
              <w:rPr>
                <w:rFonts w:hint="eastAsia"/>
                <w:szCs w:val="21"/>
                <w:lang w:val="en-US" w:eastAsia="zh-CN"/>
              </w:rPr>
              <w:t>8.64</w:t>
            </w:r>
          </w:p>
        </w:tc>
        <w:tc>
          <w:tcPr>
            <w:tcW w:w="1114" w:type="dxa"/>
            <w:vMerge w:val="continue"/>
            <w:noWrap w:val="0"/>
            <w:vAlign w:val="center"/>
          </w:tcPr>
          <w:p>
            <w:pPr>
              <w:adjustRightInd w:val="0"/>
              <w:snapToGrid w:val="0"/>
              <w:spacing w:line="360" w:lineRule="exact"/>
              <w:jc w:val="center"/>
              <w:rPr>
                <w:bCs/>
                <w:szCs w:val="21"/>
              </w:rPr>
            </w:pPr>
          </w:p>
        </w:tc>
        <w:tc>
          <w:tcPr>
            <w:tcW w:w="1333" w:type="dxa"/>
            <w:vMerge w:val="continue"/>
            <w:noWrap w:val="0"/>
            <w:tcMar>
              <w:left w:w="0" w:type="dxa"/>
              <w:right w:w="0" w:type="dxa"/>
            </w:tcMar>
            <w:vAlign w:val="center"/>
          </w:tcPr>
          <w:p>
            <w:pPr>
              <w:adjustRightInd w:val="0"/>
              <w:snapToGrid w:val="0"/>
              <w:spacing w:line="360" w:lineRule="exact"/>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49" w:type="dxa"/>
            <w:vMerge w:val="restart"/>
            <w:noWrap w:val="0"/>
            <w:tcMar>
              <w:left w:w="0" w:type="dxa"/>
              <w:right w:w="0" w:type="dxa"/>
            </w:tcMar>
            <w:vAlign w:val="center"/>
          </w:tcPr>
          <w:p>
            <w:pPr>
              <w:spacing w:line="360" w:lineRule="exact"/>
              <w:jc w:val="center"/>
              <w:rPr>
                <w:szCs w:val="21"/>
              </w:rPr>
            </w:pPr>
            <w:r>
              <w:rPr>
                <w:rFonts w:hAnsi="宋体"/>
                <w:szCs w:val="21"/>
              </w:rPr>
              <w:t>生活污水</w:t>
            </w:r>
          </w:p>
        </w:tc>
        <w:tc>
          <w:tcPr>
            <w:tcW w:w="1246" w:type="dxa"/>
            <w:vMerge w:val="restart"/>
            <w:noWrap w:val="0"/>
            <w:vAlign w:val="center"/>
          </w:tcPr>
          <w:p>
            <w:pPr>
              <w:jc w:val="center"/>
              <w:rPr>
                <w:bCs/>
                <w:szCs w:val="21"/>
              </w:rPr>
            </w:pPr>
            <w:r>
              <w:rPr>
                <w:rFonts w:hint="eastAsia"/>
                <w:bCs/>
                <w:szCs w:val="21"/>
              </w:rPr>
              <w:t>350.4</w:t>
            </w:r>
          </w:p>
        </w:tc>
        <w:tc>
          <w:tcPr>
            <w:tcW w:w="1118" w:type="dxa"/>
            <w:noWrap w:val="0"/>
            <w:tcMar>
              <w:left w:w="0" w:type="dxa"/>
              <w:right w:w="0" w:type="dxa"/>
            </w:tcMar>
            <w:vAlign w:val="center"/>
          </w:tcPr>
          <w:p>
            <w:pPr>
              <w:jc w:val="center"/>
              <w:rPr>
                <w:bCs/>
                <w:szCs w:val="21"/>
              </w:rPr>
            </w:pPr>
            <w:r>
              <w:rPr>
                <w:bCs/>
                <w:szCs w:val="21"/>
              </w:rPr>
              <w:t>COD</w:t>
            </w:r>
          </w:p>
        </w:tc>
        <w:tc>
          <w:tcPr>
            <w:tcW w:w="1402" w:type="dxa"/>
            <w:noWrap w:val="0"/>
            <w:vAlign w:val="center"/>
          </w:tcPr>
          <w:p>
            <w:pPr>
              <w:jc w:val="center"/>
              <w:rPr>
                <w:bCs/>
                <w:szCs w:val="21"/>
              </w:rPr>
            </w:pPr>
            <w:r>
              <w:rPr>
                <w:bCs/>
                <w:szCs w:val="21"/>
              </w:rPr>
              <w:t>300</w:t>
            </w:r>
          </w:p>
        </w:tc>
        <w:tc>
          <w:tcPr>
            <w:tcW w:w="1398" w:type="dxa"/>
            <w:noWrap w:val="0"/>
            <w:tcMar>
              <w:left w:w="0" w:type="dxa"/>
              <w:right w:w="0" w:type="dxa"/>
            </w:tcMar>
            <w:vAlign w:val="bottom"/>
          </w:tcPr>
          <w:p>
            <w:pPr>
              <w:jc w:val="center"/>
              <w:rPr>
                <w:szCs w:val="21"/>
              </w:rPr>
            </w:pPr>
            <w:r>
              <w:rPr>
                <w:rFonts w:hint="eastAsia"/>
                <w:szCs w:val="21"/>
              </w:rPr>
              <w:t>0.105</w:t>
            </w:r>
          </w:p>
        </w:tc>
        <w:tc>
          <w:tcPr>
            <w:tcW w:w="1114" w:type="dxa"/>
            <w:vMerge w:val="continue"/>
            <w:noWrap w:val="0"/>
            <w:vAlign w:val="center"/>
          </w:tcPr>
          <w:p>
            <w:pPr>
              <w:adjustRightInd w:val="0"/>
              <w:snapToGrid w:val="0"/>
              <w:spacing w:line="360" w:lineRule="exact"/>
              <w:jc w:val="center"/>
              <w:rPr>
                <w:bCs/>
                <w:szCs w:val="21"/>
              </w:rPr>
            </w:pPr>
          </w:p>
        </w:tc>
        <w:tc>
          <w:tcPr>
            <w:tcW w:w="1333" w:type="dxa"/>
            <w:vMerge w:val="continue"/>
            <w:noWrap w:val="0"/>
            <w:tcMar>
              <w:left w:w="0" w:type="dxa"/>
              <w:right w:w="0" w:type="dxa"/>
            </w:tcMar>
            <w:vAlign w:val="center"/>
          </w:tcPr>
          <w:p>
            <w:pPr>
              <w:adjustRightInd w:val="0"/>
              <w:snapToGrid w:val="0"/>
              <w:spacing w:line="360" w:lineRule="exact"/>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49" w:type="dxa"/>
            <w:vMerge w:val="continue"/>
            <w:noWrap w:val="0"/>
            <w:tcMar>
              <w:left w:w="0" w:type="dxa"/>
              <w:right w:w="0" w:type="dxa"/>
            </w:tcMar>
            <w:vAlign w:val="center"/>
          </w:tcPr>
          <w:p>
            <w:pPr>
              <w:spacing w:line="360" w:lineRule="exact"/>
              <w:jc w:val="center"/>
              <w:rPr>
                <w:szCs w:val="21"/>
              </w:rPr>
            </w:pPr>
          </w:p>
        </w:tc>
        <w:tc>
          <w:tcPr>
            <w:tcW w:w="1246" w:type="dxa"/>
            <w:vMerge w:val="continue"/>
            <w:noWrap w:val="0"/>
            <w:vAlign w:val="center"/>
          </w:tcPr>
          <w:p>
            <w:pPr>
              <w:spacing w:line="360" w:lineRule="exact"/>
              <w:jc w:val="center"/>
              <w:rPr>
                <w:szCs w:val="21"/>
              </w:rPr>
            </w:pPr>
          </w:p>
        </w:tc>
        <w:tc>
          <w:tcPr>
            <w:tcW w:w="1118" w:type="dxa"/>
            <w:noWrap w:val="0"/>
            <w:tcMar>
              <w:left w:w="0" w:type="dxa"/>
              <w:right w:w="0" w:type="dxa"/>
            </w:tcMar>
            <w:vAlign w:val="center"/>
          </w:tcPr>
          <w:p>
            <w:pPr>
              <w:spacing w:line="360" w:lineRule="exact"/>
              <w:jc w:val="center"/>
              <w:rPr>
                <w:szCs w:val="21"/>
              </w:rPr>
            </w:pPr>
            <w:r>
              <w:rPr>
                <w:bCs/>
                <w:szCs w:val="21"/>
              </w:rPr>
              <w:t>BOD</w:t>
            </w:r>
            <w:r>
              <w:rPr>
                <w:bCs/>
                <w:szCs w:val="21"/>
                <w:vertAlign w:val="subscript"/>
              </w:rPr>
              <w:t>5</w:t>
            </w:r>
          </w:p>
        </w:tc>
        <w:tc>
          <w:tcPr>
            <w:tcW w:w="1402" w:type="dxa"/>
            <w:noWrap w:val="0"/>
            <w:vAlign w:val="center"/>
          </w:tcPr>
          <w:p>
            <w:pPr>
              <w:spacing w:line="360" w:lineRule="exact"/>
              <w:jc w:val="center"/>
              <w:rPr>
                <w:szCs w:val="21"/>
              </w:rPr>
            </w:pPr>
            <w:r>
              <w:rPr>
                <w:bCs/>
                <w:szCs w:val="21"/>
              </w:rPr>
              <w:t>150</w:t>
            </w:r>
          </w:p>
        </w:tc>
        <w:tc>
          <w:tcPr>
            <w:tcW w:w="1398" w:type="dxa"/>
            <w:noWrap w:val="0"/>
            <w:tcMar>
              <w:left w:w="0" w:type="dxa"/>
              <w:right w:w="0" w:type="dxa"/>
            </w:tcMar>
            <w:vAlign w:val="bottom"/>
          </w:tcPr>
          <w:p>
            <w:pPr>
              <w:jc w:val="center"/>
              <w:rPr>
                <w:szCs w:val="21"/>
              </w:rPr>
            </w:pPr>
            <w:r>
              <w:rPr>
                <w:rFonts w:hint="eastAsia"/>
                <w:szCs w:val="21"/>
              </w:rPr>
              <w:t>0.0526</w:t>
            </w:r>
          </w:p>
        </w:tc>
        <w:tc>
          <w:tcPr>
            <w:tcW w:w="1114" w:type="dxa"/>
            <w:vMerge w:val="continue"/>
            <w:noWrap w:val="0"/>
            <w:vAlign w:val="center"/>
          </w:tcPr>
          <w:p>
            <w:pPr>
              <w:adjustRightInd w:val="0"/>
              <w:snapToGrid w:val="0"/>
              <w:spacing w:line="360" w:lineRule="exact"/>
              <w:jc w:val="center"/>
              <w:rPr>
                <w:bCs/>
                <w:szCs w:val="21"/>
              </w:rPr>
            </w:pPr>
          </w:p>
        </w:tc>
        <w:tc>
          <w:tcPr>
            <w:tcW w:w="1333" w:type="dxa"/>
            <w:vMerge w:val="continue"/>
            <w:noWrap w:val="0"/>
            <w:tcMar>
              <w:left w:w="0" w:type="dxa"/>
              <w:right w:w="0" w:type="dxa"/>
            </w:tcMar>
            <w:vAlign w:val="center"/>
          </w:tcPr>
          <w:p>
            <w:pPr>
              <w:adjustRightInd w:val="0"/>
              <w:snapToGrid w:val="0"/>
              <w:spacing w:line="360" w:lineRule="exact"/>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49" w:type="dxa"/>
            <w:vMerge w:val="continue"/>
            <w:noWrap w:val="0"/>
            <w:tcMar>
              <w:left w:w="0" w:type="dxa"/>
              <w:right w:w="0" w:type="dxa"/>
            </w:tcMar>
            <w:vAlign w:val="center"/>
          </w:tcPr>
          <w:p>
            <w:pPr>
              <w:spacing w:line="360" w:lineRule="exact"/>
              <w:jc w:val="center"/>
              <w:rPr>
                <w:szCs w:val="21"/>
              </w:rPr>
            </w:pPr>
          </w:p>
        </w:tc>
        <w:tc>
          <w:tcPr>
            <w:tcW w:w="1246" w:type="dxa"/>
            <w:vMerge w:val="continue"/>
            <w:noWrap w:val="0"/>
            <w:vAlign w:val="center"/>
          </w:tcPr>
          <w:p>
            <w:pPr>
              <w:spacing w:line="360" w:lineRule="exact"/>
              <w:jc w:val="center"/>
              <w:rPr>
                <w:szCs w:val="21"/>
              </w:rPr>
            </w:pPr>
          </w:p>
        </w:tc>
        <w:tc>
          <w:tcPr>
            <w:tcW w:w="1118" w:type="dxa"/>
            <w:noWrap w:val="0"/>
            <w:tcMar>
              <w:left w:w="0" w:type="dxa"/>
              <w:right w:w="0" w:type="dxa"/>
            </w:tcMar>
            <w:vAlign w:val="center"/>
          </w:tcPr>
          <w:p>
            <w:pPr>
              <w:spacing w:line="360" w:lineRule="exact"/>
              <w:jc w:val="center"/>
              <w:rPr>
                <w:szCs w:val="21"/>
              </w:rPr>
            </w:pPr>
            <w:r>
              <w:rPr>
                <w:bCs/>
                <w:szCs w:val="21"/>
              </w:rPr>
              <w:t>SS</w:t>
            </w:r>
          </w:p>
        </w:tc>
        <w:tc>
          <w:tcPr>
            <w:tcW w:w="1402" w:type="dxa"/>
            <w:noWrap w:val="0"/>
            <w:vAlign w:val="center"/>
          </w:tcPr>
          <w:p>
            <w:pPr>
              <w:spacing w:line="360" w:lineRule="exact"/>
              <w:jc w:val="center"/>
              <w:rPr>
                <w:szCs w:val="21"/>
              </w:rPr>
            </w:pPr>
            <w:r>
              <w:rPr>
                <w:bCs/>
                <w:szCs w:val="21"/>
              </w:rPr>
              <w:t>200</w:t>
            </w:r>
          </w:p>
        </w:tc>
        <w:tc>
          <w:tcPr>
            <w:tcW w:w="1398" w:type="dxa"/>
            <w:noWrap w:val="0"/>
            <w:tcMar>
              <w:left w:w="0" w:type="dxa"/>
              <w:right w:w="0" w:type="dxa"/>
            </w:tcMar>
            <w:vAlign w:val="bottom"/>
          </w:tcPr>
          <w:p>
            <w:pPr>
              <w:jc w:val="center"/>
              <w:rPr>
                <w:szCs w:val="21"/>
              </w:rPr>
            </w:pPr>
            <w:r>
              <w:rPr>
                <w:rFonts w:hint="eastAsia"/>
                <w:szCs w:val="21"/>
              </w:rPr>
              <w:t>0.7008</w:t>
            </w:r>
          </w:p>
        </w:tc>
        <w:tc>
          <w:tcPr>
            <w:tcW w:w="1114" w:type="dxa"/>
            <w:vMerge w:val="continue"/>
            <w:noWrap w:val="0"/>
            <w:vAlign w:val="center"/>
          </w:tcPr>
          <w:p>
            <w:pPr>
              <w:adjustRightInd w:val="0"/>
              <w:snapToGrid w:val="0"/>
              <w:spacing w:line="360" w:lineRule="exact"/>
              <w:jc w:val="center"/>
              <w:rPr>
                <w:bCs/>
                <w:szCs w:val="21"/>
              </w:rPr>
            </w:pPr>
          </w:p>
        </w:tc>
        <w:tc>
          <w:tcPr>
            <w:tcW w:w="1333" w:type="dxa"/>
            <w:vMerge w:val="continue"/>
            <w:noWrap w:val="0"/>
            <w:tcMar>
              <w:left w:w="0" w:type="dxa"/>
              <w:right w:w="0" w:type="dxa"/>
            </w:tcMar>
            <w:vAlign w:val="center"/>
          </w:tcPr>
          <w:p>
            <w:pPr>
              <w:adjustRightInd w:val="0"/>
              <w:snapToGrid w:val="0"/>
              <w:spacing w:line="360" w:lineRule="exact"/>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49" w:type="dxa"/>
            <w:vMerge w:val="continue"/>
            <w:noWrap w:val="0"/>
            <w:tcMar>
              <w:left w:w="0" w:type="dxa"/>
              <w:right w:w="0" w:type="dxa"/>
            </w:tcMar>
            <w:vAlign w:val="center"/>
          </w:tcPr>
          <w:p>
            <w:pPr>
              <w:spacing w:line="360" w:lineRule="exact"/>
              <w:jc w:val="center"/>
              <w:rPr>
                <w:szCs w:val="21"/>
              </w:rPr>
            </w:pPr>
          </w:p>
        </w:tc>
        <w:tc>
          <w:tcPr>
            <w:tcW w:w="1246" w:type="dxa"/>
            <w:vMerge w:val="continue"/>
            <w:noWrap w:val="0"/>
            <w:vAlign w:val="center"/>
          </w:tcPr>
          <w:p>
            <w:pPr>
              <w:spacing w:line="360" w:lineRule="exact"/>
              <w:jc w:val="center"/>
              <w:rPr>
                <w:szCs w:val="21"/>
              </w:rPr>
            </w:pPr>
          </w:p>
        </w:tc>
        <w:tc>
          <w:tcPr>
            <w:tcW w:w="1118" w:type="dxa"/>
            <w:noWrap w:val="0"/>
            <w:tcMar>
              <w:left w:w="0" w:type="dxa"/>
              <w:right w:w="0" w:type="dxa"/>
            </w:tcMar>
            <w:vAlign w:val="center"/>
          </w:tcPr>
          <w:p>
            <w:pPr>
              <w:spacing w:line="360" w:lineRule="exact"/>
              <w:jc w:val="center"/>
              <w:rPr>
                <w:szCs w:val="21"/>
              </w:rPr>
            </w:pPr>
            <w:r>
              <w:rPr>
                <w:bCs/>
                <w:szCs w:val="21"/>
              </w:rPr>
              <w:t>NH</w:t>
            </w:r>
            <w:r>
              <w:rPr>
                <w:bCs/>
                <w:szCs w:val="21"/>
                <w:vertAlign w:val="subscript"/>
              </w:rPr>
              <w:t>3</w:t>
            </w:r>
            <w:r>
              <w:rPr>
                <w:bCs/>
                <w:szCs w:val="21"/>
              </w:rPr>
              <w:t>-N</w:t>
            </w:r>
          </w:p>
        </w:tc>
        <w:tc>
          <w:tcPr>
            <w:tcW w:w="1402" w:type="dxa"/>
            <w:noWrap w:val="0"/>
            <w:vAlign w:val="center"/>
          </w:tcPr>
          <w:p>
            <w:pPr>
              <w:spacing w:line="360" w:lineRule="exact"/>
              <w:jc w:val="center"/>
              <w:rPr>
                <w:szCs w:val="21"/>
              </w:rPr>
            </w:pPr>
            <w:r>
              <w:rPr>
                <w:bCs/>
                <w:szCs w:val="21"/>
              </w:rPr>
              <w:t>30</w:t>
            </w:r>
          </w:p>
        </w:tc>
        <w:tc>
          <w:tcPr>
            <w:tcW w:w="1398" w:type="dxa"/>
            <w:noWrap w:val="0"/>
            <w:tcMar>
              <w:left w:w="0" w:type="dxa"/>
              <w:right w:w="0" w:type="dxa"/>
            </w:tcMar>
            <w:vAlign w:val="bottom"/>
          </w:tcPr>
          <w:p>
            <w:pPr>
              <w:jc w:val="center"/>
              <w:rPr>
                <w:szCs w:val="21"/>
              </w:rPr>
            </w:pPr>
            <w:r>
              <w:rPr>
                <w:rFonts w:hint="eastAsia"/>
                <w:szCs w:val="21"/>
              </w:rPr>
              <w:t>0.0105</w:t>
            </w:r>
          </w:p>
        </w:tc>
        <w:tc>
          <w:tcPr>
            <w:tcW w:w="1114" w:type="dxa"/>
            <w:vMerge w:val="continue"/>
            <w:noWrap w:val="0"/>
            <w:vAlign w:val="center"/>
          </w:tcPr>
          <w:p>
            <w:pPr>
              <w:adjustRightInd w:val="0"/>
              <w:snapToGrid w:val="0"/>
              <w:spacing w:line="360" w:lineRule="exact"/>
              <w:jc w:val="center"/>
              <w:rPr>
                <w:bCs/>
                <w:szCs w:val="21"/>
              </w:rPr>
            </w:pPr>
          </w:p>
        </w:tc>
        <w:tc>
          <w:tcPr>
            <w:tcW w:w="1333" w:type="dxa"/>
            <w:vMerge w:val="continue"/>
            <w:noWrap w:val="0"/>
            <w:tcMar>
              <w:left w:w="0" w:type="dxa"/>
              <w:right w:w="0" w:type="dxa"/>
            </w:tcMar>
            <w:vAlign w:val="center"/>
          </w:tcPr>
          <w:p>
            <w:pPr>
              <w:adjustRightInd w:val="0"/>
              <w:snapToGrid w:val="0"/>
              <w:spacing w:line="360" w:lineRule="exact"/>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49" w:type="dxa"/>
            <w:vMerge w:val="restart"/>
            <w:noWrap w:val="0"/>
            <w:tcMar>
              <w:left w:w="0" w:type="dxa"/>
              <w:right w:w="0" w:type="dxa"/>
            </w:tcMar>
            <w:vAlign w:val="center"/>
          </w:tcPr>
          <w:p>
            <w:pPr>
              <w:adjustRightInd w:val="0"/>
              <w:snapToGrid w:val="0"/>
              <w:spacing w:line="360" w:lineRule="exact"/>
              <w:jc w:val="center"/>
              <w:rPr>
                <w:bCs/>
                <w:szCs w:val="21"/>
              </w:rPr>
            </w:pPr>
            <w:r>
              <w:rPr>
                <w:rFonts w:hAnsi="宋体"/>
                <w:bCs/>
                <w:szCs w:val="21"/>
              </w:rPr>
              <w:t>混合后废水</w:t>
            </w:r>
          </w:p>
        </w:tc>
        <w:tc>
          <w:tcPr>
            <w:tcW w:w="1246" w:type="dxa"/>
            <w:vMerge w:val="restart"/>
            <w:noWrap w:val="0"/>
            <w:vAlign w:val="center"/>
          </w:tcPr>
          <w:p>
            <w:pPr>
              <w:adjustRightInd w:val="0"/>
              <w:snapToGrid w:val="0"/>
              <w:spacing w:line="360" w:lineRule="exact"/>
              <w:jc w:val="center"/>
              <w:rPr>
                <w:bCs/>
                <w:szCs w:val="21"/>
              </w:rPr>
            </w:pPr>
            <w:r>
              <w:rPr>
                <w:rFonts w:hint="eastAsia"/>
                <w:bCs/>
                <w:szCs w:val="21"/>
                <w:lang w:eastAsia="zh-CN"/>
              </w:rPr>
              <w:t>7512.9907</w:t>
            </w:r>
          </w:p>
        </w:tc>
        <w:tc>
          <w:tcPr>
            <w:tcW w:w="1118" w:type="dxa"/>
            <w:noWrap w:val="0"/>
            <w:tcMar>
              <w:left w:w="0" w:type="dxa"/>
              <w:right w:w="0" w:type="dxa"/>
            </w:tcMar>
            <w:vAlign w:val="center"/>
          </w:tcPr>
          <w:p>
            <w:pPr>
              <w:adjustRightInd w:val="0"/>
              <w:snapToGrid w:val="0"/>
              <w:spacing w:line="360" w:lineRule="exact"/>
              <w:jc w:val="center"/>
              <w:rPr>
                <w:bCs/>
                <w:szCs w:val="21"/>
              </w:rPr>
            </w:pPr>
            <w:r>
              <w:rPr>
                <w:bCs/>
                <w:szCs w:val="21"/>
              </w:rPr>
              <w:t>COD</w:t>
            </w:r>
          </w:p>
        </w:tc>
        <w:tc>
          <w:tcPr>
            <w:tcW w:w="1402" w:type="dxa"/>
            <w:noWrap w:val="0"/>
            <w:vAlign w:val="bottom"/>
          </w:tcPr>
          <w:p>
            <w:pPr>
              <w:widowControl/>
              <w:jc w:val="center"/>
              <w:rPr>
                <w:rFonts w:hint="eastAsia" w:eastAsia="宋体"/>
                <w:kern w:val="0"/>
                <w:szCs w:val="21"/>
                <w:lang w:eastAsia="zh-CN"/>
              </w:rPr>
            </w:pPr>
            <w:r>
              <w:rPr>
                <w:rFonts w:hint="eastAsia"/>
                <w:szCs w:val="21"/>
                <w:lang w:eastAsia="zh-CN"/>
              </w:rPr>
              <w:t>18608.369</w:t>
            </w:r>
          </w:p>
        </w:tc>
        <w:tc>
          <w:tcPr>
            <w:tcW w:w="1398" w:type="dxa"/>
            <w:noWrap w:val="0"/>
            <w:tcMar>
              <w:left w:w="0" w:type="dxa"/>
              <w:right w:w="0" w:type="dxa"/>
            </w:tcMar>
            <w:vAlign w:val="bottom"/>
          </w:tcPr>
          <w:p>
            <w:pPr>
              <w:widowControl/>
              <w:jc w:val="center"/>
              <w:rPr>
                <w:rFonts w:hint="default"/>
                <w:szCs w:val="21"/>
                <w:lang w:val="en-US" w:eastAsia="zh-CN"/>
              </w:rPr>
            </w:pPr>
            <w:r>
              <w:rPr>
                <w:rFonts w:hint="eastAsia"/>
                <w:szCs w:val="21"/>
                <w:lang w:val="en-US" w:eastAsia="zh-CN"/>
              </w:rPr>
              <w:t>140.475</w:t>
            </w:r>
          </w:p>
        </w:tc>
        <w:tc>
          <w:tcPr>
            <w:tcW w:w="1114" w:type="dxa"/>
            <w:vMerge w:val="continue"/>
            <w:noWrap w:val="0"/>
            <w:vAlign w:val="center"/>
          </w:tcPr>
          <w:p>
            <w:pPr>
              <w:adjustRightInd w:val="0"/>
              <w:snapToGrid w:val="0"/>
              <w:spacing w:line="360" w:lineRule="exact"/>
              <w:jc w:val="center"/>
              <w:rPr>
                <w:bCs/>
                <w:szCs w:val="21"/>
              </w:rPr>
            </w:pPr>
          </w:p>
        </w:tc>
        <w:tc>
          <w:tcPr>
            <w:tcW w:w="1333" w:type="dxa"/>
            <w:vMerge w:val="continue"/>
            <w:noWrap w:val="0"/>
            <w:tcMar>
              <w:left w:w="0" w:type="dxa"/>
              <w:right w:w="0" w:type="dxa"/>
            </w:tcMar>
            <w:vAlign w:val="center"/>
          </w:tcPr>
          <w:p>
            <w:pPr>
              <w:adjustRightInd w:val="0"/>
              <w:snapToGrid w:val="0"/>
              <w:spacing w:line="360" w:lineRule="exact"/>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49" w:type="dxa"/>
            <w:vMerge w:val="continue"/>
            <w:noWrap w:val="0"/>
            <w:tcMar>
              <w:left w:w="0" w:type="dxa"/>
              <w:right w:w="0" w:type="dxa"/>
            </w:tcMar>
            <w:vAlign w:val="center"/>
          </w:tcPr>
          <w:p>
            <w:pPr>
              <w:adjustRightInd w:val="0"/>
              <w:snapToGrid w:val="0"/>
              <w:spacing w:line="360" w:lineRule="exact"/>
              <w:jc w:val="center"/>
              <w:rPr>
                <w:bCs/>
                <w:szCs w:val="21"/>
              </w:rPr>
            </w:pPr>
          </w:p>
        </w:tc>
        <w:tc>
          <w:tcPr>
            <w:tcW w:w="1246" w:type="dxa"/>
            <w:vMerge w:val="continue"/>
            <w:noWrap w:val="0"/>
            <w:vAlign w:val="center"/>
          </w:tcPr>
          <w:p>
            <w:pPr>
              <w:adjustRightInd w:val="0"/>
              <w:snapToGrid w:val="0"/>
              <w:spacing w:line="360" w:lineRule="exact"/>
              <w:jc w:val="center"/>
              <w:rPr>
                <w:bCs/>
                <w:szCs w:val="21"/>
              </w:rPr>
            </w:pPr>
          </w:p>
        </w:tc>
        <w:tc>
          <w:tcPr>
            <w:tcW w:w="1118" w:type="dxa"/>
            <w:noWrap w:val="0"/>
            <w:tcMar>
              <w:left w:w="0" w:type="dxa"/>
              <w:right w:w="0" w:type="dxa"/>
            </w:tcMar>
            <w:vAlign w:val="center"/>
          </w:tcPr>
          <w:p>
            <w:pPr>
              <w:adjustRightInd w:val="0"/>
              <w:snapToGrid w:val="0"/>
              <w:spacing w:line="360" w:lineRule="exact"/>
              <w:jc w:val="center"/>
              <w:rPr>
                <w:bCs/>
                <w:szCs w:val="21"/>
              </w:rPr>
            </w:pPr>
            <w:r>
              <w:rPr>
                <w:bCs/>
                <w:szCs w:val="21"/>
              </w:rPr>
              <w:t>BOD</w:t>
            </w:r>
            <w:r>
              <w:rPr>
                <w:bCs/>
                <w:szCs w:val="21"/>
                <w:vertAlign w:val="subscript"/>
              </w:rPr>
              <w:t>5</w:t>
            </w:r>
          </w:p>
        </w:tc>
        <w:tc>
          <w:tcPr>
            <w:tcW w:w="1402" w:type="dxa"/>
            <w:noWrap w:val="0"/>
            <w:vAlign w:val="bottom"/>
          </w:tcPr>
          <w:p>
            <w:pPr>
              <w:jc w:val="center"/>
              <w:rPr>
                <w:rFonts w:hint="eastAsia" w:eastAsia="宋体"/>
                <w:szCs w:val="21"/>
                <w:lang w:eastAsia="zh-CN"/>
              </w:rPr>
            </w:pPr>
            <w:r>
              <w:rPr>
                <w:rFonts w:hint="eastAsia"/>
                <w:szCs w:val="21"/>
                <w:lang w:eastAsia="zh-CN"/>
              </w:rPr>
              <w:t>7635.77</w:t>
            </w:r>
          </w:p>
        </w:tc>
        <w:tc>
          <w:tcPr>
            <w:tcW w:w="1398" w:type="dxa"/>
            <w:noWrap w:val="0"/>
            <w:tcMar>
              <w:left w:w="0" w:type="dxa"/>
              <w:right w:w="0" w:type="dxa"/>
            </w:tcMar>
            <w:vAlign w:val="bottom"/>
          </w:tcPr>
          <w:p>
            <w:pPr>
              <w:jc w:val="center"/>
              <w:rPr>
                <w:rFonts w:hint="default" w:eastAsia="宋体"/>
                <w:szCs w:val="21"/>
                <w:lang w:val="en-US" w:eastAsia="zh-CN"/>
              </w:rPr>
            </w:pPr>
            <w:r>
              <w:rPr>
                <w:rFonts w:hint="eastAsia"/>
                <w:szCs w:val="21"/>
                <w:lang w:val="en-US" w:eastAsia="zh-CN"/>
              </w:rPr>
              <w:t>57.6426</w:t>
            </w:r>
          </w:p>
        </w:tc>
        <w:tc>
          <w:tcPr>
            <w:tcW w:w="1114" w:type="dxa"/>
            <w:vMerge w:val="continue"/>
            <w:noWrap w:val="0"/>
            <w:vAlign w:val="center"/>
          </w:tcPr>
          <w:p>
            <w:pPr>
              <w:adjustRightInd w:val="0"/>
              <w:snapToGrid w:val="0"/>
              <w:spacing w:line="360" w:lineRule="exact"/>
              <w:jc w:val="center"/>
              <w:rPr>
                <w:bCs/>
                <w:szCs w:val="21"/>
              </w:rPr>
            </w:pPr>
          </w:p>
        </w:tc>
        <w:tc>
          <w:tcPr>
            <w:tcW w:w="1333" w:type="dxa"/>
            <w:vMerge w:val="continue"/>
            <w:noWrap w:val="0"/>
            <w:tcMar>
              <w:left w:w="0" w:type="dxa"/>
              <w:right w:w="0" w:type="dxa"/>
            </w:tcMar>
            <w:vAlign w:val="center"/>
          </w:tcPr>
          <w:p>
            <w:pPr>
              <w:adjustRightInd w:val="0"/>
              <w:snapToGrid w:val="0"/>
              <w:spacing w:line="360" w:lineRule="exact"/>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49" w:type="dxa"/>
            <w:vMerge w:val="continue"/>
            <w:noWrap w:val="0"/>
            <w:tcMar>
              <w:left w:w="0" w:type="dxa"/>
              <w:right w:w="0" w:type="dxa"/>
            </w:tcMar>
            <w:vAlign w:val="center"/>
          </w:tcPr>
          <w:p>
            <w:pPr>
              <w:adjustRightInd w:val="0"/>
              <w:snapToGrid w:val="0"/>
              <w:spacing w:line="360" w:lineRule="exact"/>
              <w:jc w:val="center"/>
              <w:rPr>
                <w:bCs/>
                <w:szCs w:val="21"/>
              </w:rPr>
            </w:pPr>
          </w:p>
        </w:tc>
        <w:tc>
          <w:tcPr>
            <w:tcW w:w="1246" w:type="dxa"/>
            <w:vMerge w:val="continue"/>
            <w:noWrap w:val="0"/>
            <w:vAlign w:val="center"/>
          </w:tcPr>
          <w:p>
            <w:pPr>
              <w:adjustRightInd w:val="0"/>
              <w:snapToGrid w:val="0"/>
              <w:spacing w:line="360" w:lineRule="exact"/>
              <w:jc w:val="center"/>
              <w:rPr>
                <w:bCs/>
                <w:szCs w:val="21"/>
              </w:rPr>
            </w:pPr>
          </w:p>
        </w:tc>
        <w:tc>
          <w:tcPr>
            <w:tcW w:w="1118" w:type="dxa"/>
            <w:noWrap w:val="0"/>
            <w:tcMar>
              <w:left w:w="0" w:type="dxa"/>
              <w:right w:w="0" w:type="dxa"/>
            </w:tcMar>
            <w:vAlign w:val="center"/>
          </w:tcPr>
          <w:p>
            <w:pPr>
              <w:adjustRightInd w:val="0"/>
              <w:snapToGrid w:val="0"/>
              <w:spacing w:line="360" w:lineRule="exact"/>
              <w:jc w:val="center"/>
              <w:rPr>
                <w:bCs/>
                <w:szCs w:val="21"/>
              </w:rPr>
            </w:pPr>
            <w:r>
              <w:rPr>
                <w:bCs/>
                <w:szCs w:val="21"/>
              </w:rPr>
              <w:t>SS</w:t>
            </w:r>
          </w:p>
        </w:tc>
        <w:tc>
          <w:tcPr>
            <w:tcW w:w="1402" w:type="dxa"/>
            <w:noWrap w:val="0"/>
            <w:vAlign w:val="bottom"/>
          </w:tcPr>
          <w:p>
            <w:pPr>
              <w:jc w:val="center"/>
              <w:rPr>
                <w:rFonts w:hint="eastAsia" w:eastAsia="宋体"/>
                <w:szCs w:val="21"/>
                <w:lang w:eastAsia="zh-CN"/>
              </w:rPr>
            </w:pPr>
            <w:r>
              <w:rPr>
                <w:rFonts w:hint="eastAsia"/>
                <w:szCs w:val="21"/>
                <w:lang w:eastAsia="zh-CN"/>
              </w:rPr>
              <w:t>1535.04</w:t>
            </w:r>
          </w:p>
        </w:tc>
        <w:tc>
          <w:tcPr>
            <w:tcW w:w="1398" w:type="dxa"/>
            <w:noWrap w:val="0"/>
            <w:tcMar>
              <w:left w:w="0" w:type="dxa"/>
              <w:right w:w="0" w:type="dxa"/>
            </w:tcMar>
            <w:vAlign w:val="bottom"/>
          </w:tcPr>
          <w:p>
            <w:pPr>
              <w:jc w:val="center"/>
              <w:rPr>
                <w:rFonts w:hint="default" w:eastAsia="宋体"/>
                <w:szCs w:val="21"/>
                <w:lang w:val="en-US" w:eastAsia="zh-CN"/>
              </w:rPr>
            </w:pPr>
            <w:r>
              <w:rPr>
                <w:rFonts w:hint="eastAsia"/>
                <w:szCs w:val="21"/>
                <w:lang w:val="en-US" w:eastAsia="zh-CN"/>
              </w:rPr>
              <w:t>115.8808</w:t>
            </w:r>
          </w:p>
        </w:tc>
        <w:tc>
          <w:tcPr>
            <w:tcW w:w="1114" w:type="dxa"/>
            <w:vMerge w:val="continue"/>
            <w:noWrap w:val="0"/>
            <w:vAlign w:val="center"/>
          </w:tcPr>
          <w:p>
            <w:pPr>
              <w:adjustRightInd w:val="0"/>
              <w:snapToGrid w:val="0"/>
              <w:spacing w:line="360" w:lineRule="exact"/>
              <w:jc w:val="center"/>
              <w:rPr>
                <w:bCs/>
                <w:szCs w:val="21"/>
              </w:rPr>
            </w:pPr>
          </w:p>
        </w:tc>
        <w:tc>
          <w:tcPr>
            <w:tcW w:w="1333" w:type="dxa"/>
            <w:vMerge w:val="continue"/>
            <w:noWrap w:val="0"/>
            <w:tcMar>
              <w:left w:w="0" w:type="dxa"/>
              <w:right w:w="0" w:type="dxa"/>
            </w:tcMar>
            <w:vAlign w:val="center"/>
          </w:tcPr>
          <w:p>
            <w:pPr>
              <w:adjustRightInd w:val="0"/>
              <w:snapToGrid w:val="0"/>
              <w:spacing w:line="360" w:lineRule="exact"/>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1149" w:type="dxa"/>
            <w:vMerge w:val="continue"/>
            <w:noWrap w:val="0"/>
            <w:tcMar>
              <w:left w:w="0" w:type="dxa"/>
              <w:right w:w="0" w:type="dxa"/>
            </w:tcMar>
            <w:vAlign w:val="center"/>
          </w:tcPr>
          <w:p>
            <w:pPr>
              <w:adjustRightInd w:val="0"/>
              <w:snapToGrid w:val="0"/>
              <w:spacing w:line="360" w:lineRule="exact"/>
              <w:jc w:val="center"/>
              <w:rPr>
                <w:bCs/>
                <w:szCs w:val="21"/>
              </w:rPr>
            </w:pPr>
          </w:p>
        </w:tc>
        <w:tc>
          <w:tcPr>
            <w:tcW w:w="1246" w:type="dxa"/>
            <w:vMerge w:val="continue"/>
            <w:noWrap w:val="0"/>
            <w:vAlign w:val="center"/>
          </w:tcPr>
          <w:p>
            <w:pPr>
              <w:adjustRightInd w:val="0"/>
              <w:snapToGrid w:val="0"/>
              <w:spacing w:line="360" w:lineRule="exact"/>
              <w:jc w:val="center"/>
              <w:rPr>
                <w:bCs/>
                <w:szCs w:val="21"/>
              </w:rPr>
            </w:pPr>
          </w:p>
        </w:tc>
        <w:tc>
          <w:tcPr>
            <w:tcW w:w="1118" w:type="dxa"/>
            <w:noWrap w:val="0"/>
            <w:tcMar>
              <w:left w:w="0" w:type="dxa"/>
              <w:right w:w="0" w:type="dxa"/>
            </w:tcMar>
            <w:vAlign w:val="center"/>
          </w:tcPr>
          <w:p>
            <w:pPr>
              <w:adjustRightInd w:val="0"/>
              <w:snapToGrid w:val="0"/>
              <w:spacing w:line="360" w:lineRule="exact"/>
              <w:jc w:val="center"/>
              <w:rPr>
                <w:bCs/>
                <w:szCs w:val="21"/>
              </w:rPr>
            </w:pPr>
            <w:r>
              <w:rPr>
                <w:bCs/>
                <w:szCs w:val="21"/>
              </w:rPr>
              <w:t>NH</w:t>
            </w:r>
            <w:r>
              <w:rPr>
                <w:bCs/>
                <w:szCs w:val="21"/>
                <w:vertAlign w:val="subscript"/>
              </w:rPr>
              <w:t>3</w:t>
            </w:r>
            <w:r>
              <w:rPr>
                <w:bCs/>
                <w:szCs w:val="21"/>
              </w:rPr>
              <w:t>-N</w:t>
            </w:r>
          </w:p>
        </w:tc>
        <w:tc>
          <w:tcPr>
            <w:tcW w:w="1402" w:type="dxa"/>
            <w:noWrap w:val="0"/>
            <w:vAlign w:val="bottom"/>
          </w:tcPr>
          <w:p>
            <w:pPr>
              <w:jc w:val="center"/>
              <w:rPr>
                <w:rFonts w:hint="eastAsia" w:eastAsia="宋体"/>
                <w:szCs w:val="21"/>
                <w:lang w:eastAsia="zh-CN"/>
              </w:rPr>
            </w:pPr>
            <w:r>
              <w:rPr>
                <w:rFonts w:hint="eastAsia"/>
                <w:szCs w:val="21"/>
                <w:lang w:eastAsia="zh-CN"/>
              </w:rPr>
              <w:t>1145.91</w:t>
            </w:r>
          </w:p>
        </w:tc>
        <w:tc>
          <w:tcPr>
            <w:tcW w:w="1398" w:type="dxa"/>
            <w:noWrap w:val="0"/>
            <w:tcMar>
              <w:left w:w="0" w:type="dxa"/>
              <w:right w:w="0" w:type="dxa"/>
            </w:tcMar>
            <w:vAlign w:val="bottom"/>
          </w:tcPr>
          <w:p>
            <w:pPr>
              <w:jc w:val="center"/>
              <w:rPr>
                <w:rFonts w:hint="default" w:eastAsia="宋体"/>
                <w:szCs w:val="21"/>
                <w:lang w:val="en-US" w:eastAsia="zh-CN"/>
              </w:rPr>
            </w:pPr>
            <w:r>
              <w:rPr>
                <w:rFonts w:hint="eastAsia"/>
                <w:szCs w:val="21"/>
                <w:lang w:val="en-US" w:eastAsia="zh-CN"/>
              </w:rPr>
              <w:t>8.6505</w:t>
            </w:r>
          </w:p>
        </w:tc>
        <w:tc>
          <w:tcPr>
            <w:tcW w:w="1114" w:type="dxa"/>
            <w:vMerge w:val="continue"/>
            <w:noWrap w:val="0"/>
            <w:vAlign w:val="center"/>
          </w:tcPr>
          <w:p>
            <w:pPr>
              <w:adjustRightInd w:val="0"/>
              <w:snapToGrid w:val="0"/>
              <w:spacing w:line="360" w:lineRule="exact"/>
              <w:jc w:val="center"/>
              <w:rPr>
                <w:bCs/>
                <w:szCs w:val="21"/>
              </w:rPr>
            </w:pPr>
          </w:p>
        </w:tc>
        <w:tc>
          <w:tcPr>
            <w:tcW w:w="1333" w:type="dxa"/>
            <w:vMerge w:val="continue"/>
            <w:noWrap w:val="0"/>
            <w:tcMar>
              <w:left w:w="0" w:type="dxa"/>
              <w:right w:w="0" w:type="dxa"/>
            </w:tcMar>
            <w:vAlign w:val="center"/>
          </w:tcPr>
          <w:p>
            <w:pPr>
              <w:adjustRightInd w:val="0"/>
              <w:snapToGrid w:val="0"/>
              <w:spacing w:line="360" w:lineRule="exact"/>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3" w:hRule="atLeast"/>
        </w:trPr>
        <w:tc>
          <w:tcPr>
            <w:tcW w:w="1149" w:type="dxa"/>
            <w:vMerge w:val="restart"/>
            <w:noWrap w:val="0"/>
            <w:tcMar>
              <w:left w:w="0" w:type="dxa"/>
              <w:right w:w="0" w:type="dxa"/>
            </w:tcMar>
            <w:vAlign w:val="center"/>
          </w:tcPr>
          <w:p>
            <w:pPr>
              <w:adjustRightInd w:val="0"/>
              <w:snapToGrid w:val="0"/>
              <w:spacing w:line="360" w:lineRule="exact"/>
              <w:jc w:val="center"/>
              <w:rPr>
                <w:bCs/>
                <w:szCs w:val="21"/>
              </w:rPr>
            </w:pPr>
            <w:r>
              <w:rPr>
                <w:rFonts w:hAnsi="宋体"/>
                <w:bCs/>
                <w:szCs w:val="21"/>
              </w:rPr>
              <w:t>处理后废水</w:t>
            </w:r>
          </w:p>
        </w:tc>
        <w:tc>
          <w:tcPr>
            <w:tcW w:w="1246" w:type="dxa"/>
            <w:vMerge w:val="restart"/>
            <w:noWrap w:val="0"/>
            <w:vAlign w:val="center"/>
          </w:tcPr>
          <w:p>
            <w:pPr>
              <w:adjustRightInd w:val="0"/>
              <w:snapToGrid w:val="0"/>
              <w:spacing w:line="360" w:lineRule="exact"/>
              <w:jc w:val="center"/>
              <w:rPr>
                <w:rFonts w:hint="eastAsia" w:eastAsia="宋体"/>
                <w:bCs/>
                <w:szCs w:val="21"/>
                <w:lang w:eastAsia="zh-CN"/>
              </w:rPr>
            </w:pPr>
            <w:r>
              <w:rPr>
                <w:rFonts w:hint="eastAsia"/>
                <w:bCs/>
                <w:szCs w:val="21"/>
                <w:lang w:eastAsia="zh-CN"/>
              </w:rPr>
              <w:t>7512.9907</w:t>
            </w:r>
          </w:p>
        </w:tc>
        <w:tc>
          <w:tcPr>
            <w:tcW w:w="1118" w:type="dxa"/>
            <w:noWrap w:val="0"/>
            <w:tcMar>
              <w:left w:w="0" w:type="dxa"/>
              <w:right w:w="0" w:type="dxa"/>
            </w:tcMar>
            <w:vAlign w:val="center"/>
          </w:tcPr>
          <w:p>
            <w:pPr>
              <w:adjustRightInd w:val="0"/>
              <w:snapToGrid w:val="0"/>
              <w:spacing w:line="360" w:lineRule="exact"/>
              <w:jc w:val="center"/>
              <w:rPr>
                <w:bCs/>
                <w:szCs w:val="21"/>
              </w:rPr>
            </w:pPr>
            <w:r>
              <w:rPr>
                <w:bCs/>
                <w:szCs w:val="21"/>
              </w:rPr>
              <w:t>COD</w:t>
            </w:r>
          </w:p>
        </w:tc>
        <w:tc>
          <w:tcPr>
            <w:tcW w:w="1402" w:type="dxa"/>
            <w:noWrap w:val="0"/>
            <w:vAlign w:val="bottom"/>
          </w:tcPr>
          <w:p>
            <w:pPr>
              <w:spacing w:line="360" w:lineRule="exact"/>
              <w:jc w:val="center"/>
              <w:rPr>
                <w:szCs w:val="21"/>
              </w:rPr>
            </w:pPr>
            <w:r>
              <w:rPr>
                <w:szCs w:val="21"/>
              </w:rPr>
              <w:t>3000</w:t>
            </w:r>
          </w:p>
        </w:tc>
        <w:tc>
          <w:tcPr>
            <w:tcW w:w="1398" w:type="dxa"/>
            <w:noWrap w:val="0"/>
            <w:tcMar>
              <w:left w:w="0" w:type="dxa"/>
              <w:right w:w="0" w:type="dxa"/>
            </w:tcMar>
            <w:vAlign w:val="bottom"/>
          </w:tcPr>
          <w:p>
            <w:pPr>
              <w:widowControl/>
              <w:jc w:val="center"/>
              <w:rPr>
                <w:rFonts w:hint="default" w:eastAsia="宋体"/>
                <w:kern w:val="0"/>
                <w:szCs w:val="21"/>
                <w:lang w:val="en-US" w:eastAsia="zh-CN"/>
              </w:rPr>
            </w:pPr>
            <w:r>
              <w:rPr>
                <w:rFonts w:hint="eastAsia"/>
                <w:szCs w:val="21"/>
                <w:lang w:val="en-US" w:eastAsia="zh-CN"/>
              </w:rPr>
              <w:t>22.65</w:t>
            </w:r>
          </w:p>
        </w:tc>
        <w:tc>
          <w:tcPr>
            <w:tcW w:w="1114" w:type="dxa"/>
            <w:vMerge w:val="continue"/>
            <w:noWrap w:val="0"/>
            <w:vAlign w:val="center"/>
          </w:tcPr>
          <w:p>
            <w:pPr>
              <w:adjustRightInd w:val="0"/>
              <w:snapToGrid w:val="0"/>
              <w:spacing w:line="360" w:lineRule="exact"/>
              <w:jc w:val="center"/>
              <w:rPr>
                <w:bCs/>
                <w:szCs w:val="21"/>
              </w:rPr>
            </w:pPr>
          </w:p>
        </w:tc>
        <w:tc>
          <w:tcPr>
            <w:tcW w:w="1333" w:type="dxa"/>
            <w:vMerge w:val="continue"/>
            <w:noWrap w:val="0"/>
            <w:tcMar>
              <w:left w:w="0" w:type="dxa"/>
              <w:right w:w="0" w:type="dxa"/>
            </w:tcMar>
            <w:vAlign w:val="center"/>
          </w:tcPr>
          <w:p>
            <w:pPr>
              <w:adjustRightInd w:val="0"/>
              <w:snapToGrid w:val="0"/>
              <w:spacing w:line="360" w:lineRule="exact"/>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96" w:hRule="atLeast"/>
        </w:trPr>
        <w:tc>
          <w:tcPr>
            <w:tcW w:w="1149" w:type="dxa"/>
            <w:vMerge w:val="continue"/>
            <w:noWrap w:val="0"/>
            <w:tcMar>
              <w:left w:w="0" w:type="dxa"/>
              <w:right w:w="0" w:type="dxa"/>
            </w:tcMar>
            <w:vAlign w:val="center"/>
          </w:tcPr>
          <w:p>
            <w:pPr>
              <w:adjustRightInd w:val="0"/>
              <w:snapToGrid w:val="0"/>
              <w:spacing w:line="360" w:lineRule="exact"/>
              <w:jc w:val="center"/>
              <w:rPr>
                <w:bCs/>
                <w:szCs w:val="21"/>
              </w:rPr>
            </w:pPr>
          </w:p>
        </w:tc>
        <w:tc>
          <w:tcPr>
            <w:tcW w:w="1246" w:type="dxa"/>
            <w:vMerge w:val="continue"/>
            <w:noWrap w:val="0"/>
            <w:vAlign w:val="center"/>
          </w:tcPr>
          <w:p>
            <w:pPr>
              <w:adjustRightInd w:val="0"/>
              <w:snapToGrid w:val="0"/>
              <w:spacing w:line="360" w:lineRule="exact"/>
              <w:jc w:val="center"/>
              <w:rPr>
                <w:bCs/>
                <w:szCs w:val="21"/>
              </w:rPr>
            </w:pPr>
          </w:p>
        </w:tc>
        <w:tc>
          <w:tcPr>
            <w:tcW w:w="1118" w:type="dxa"/>
            <w:noWrap w:val="0"/>
            <w:tcMar>
              <w:left w:w="0" w:type="dxa"/>
              <w:right w:w="0" w:type="dxa"/>
            </w:tcMar>
            <w:vAlign w:val="center"/>
          </w:tcPr>
          <w:p>
            <w:pPr>
              <w:adjustRightInd w:val="0"/>
              <w:snapToGrid w:val="0"/>
              <w:spacing w:line="360" w:lineRule="exact"/>
              <w:jc w:val="center"/>
              <w:rPr>
                <w:bCs/>
                <w:szCs w:val="21"/>
              </w:rPr>
            </w:pPr>
            <w:r>
              <w:rPr>
                <w:bCs/>
                <w:szCs w:val="21"/>
              </w:rPr>
              <w:t>BOD</w:t>
            </w:r>
            <w:r>
              <w:rPr>
                <w:bCs/>
                <w:szCs w:val="21"/>
                <w:vertAlign w:val="subscript"/>
              </w:rPr>
              <w:t>5</w:t>
            </w:r>
          </w:p>
        </w:tc>
        <w:tc>
          <w:tcPr>
            <w:tcW w:w="1402" w:type="dxa"/>
            <w:noWrap w:val="0"/>
            <w:vAlign w:val="bottom"/>
          </w:tcPr>
          <w:p>
            <w:pPr>
              <w:spacing w:line="360" w:lineRule="exact"/>
              <w:jc w:val="center"/>
              <w:rPr>
                <w:szCs w:val="21"/>
              </w:rPr>
            </w:pPr>
            <w:r>
              <w:rPr>
                <w:szCs w:val="21"/>
              </w:rPr>
              <w:t>1400</w:t>
            </w:r>
          </w:p>
        </w:tc>
        <w:tc>
          <w:tcPr>
            <w:tcW w:w="1398" w:type="dxa"/>
            <w:noWrap w:val="0"/>
            <w:tcMar>
              <w:left w:w="0" w:type="dxa"/>
              <w:right w:w="0" w:type="dxa"/>
            </w:tcMar>
            <w:vAlign w:val="bottom"/>
          </w:tcPr>
          <w:p>
            <w:pPr>
              <w:jc w:val="center"/>
              <w:rPr>
                <w:rFonts w:hint="default" w:eastAsia="宋体"/>
                <w:szCs w:val="21"/>
                <w:lang w:val="en-US" w:eastAsia="zh-CN"/>
              </w:rPr>
            </w:pPr>
            <w:r>
              <w:rPr>
                <w:rFonts w:hint="eastAsia"/>
                <w:szCs w:val="21"/>
                <w:lang w:val="en-US" w:eastAsia="zh-CN"/>
              </w:rPr>
              <w:t>10.57</w:t>
            </w:r>
          </w:p>
        </w:tc>
        <w:tc>
          <w:tcPr>
            <w:tcW w:w="1114" w:type="dxa"/>
            <w:vMerge w:val="continue"/>
            <w:noWrap w:val="0"/>
            <w:vAlign w:val="center"/>
          </w:tcPr>
          <w:p>
            <w:pPr>
              <w:adjustRightInd w:val="0"/>
              <w:snapToGrid w:val="0"/>
              <w:spacing w:line="360" w:lineRule="exact"/>
              <w:jc w:val="center"/>
              <w:rPr>
                <w:bCs/>
                <w:szCs w:val="21"/>
              </w:rPr>
            </w:pPr>
          </w:p>
        </w:tc>
        <w:tc>
          <w:tcPr>
            <w:tcW w:w="1333" w:type="dxa"/>
            <w:vMerge w:val="continue"/>
            <w:noWrap w:val="0"/>
            <w:tcMar>
              <w:left w:w="0" w:type="dxa"/>
              <w:right w:w="0" w:type="dxa"/>
            </w:tcMar>
            <w:vAlign w:val="center"/>
          </w:tcPr>
          <w:p>
            <w:pPr>
              <w:adjustRightInd w:val="0"/>
              <w:snapToGrid w:val="0"/>
              <w:spacing w:line="360" w:lineRule="exact"/>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00" w:hRule="atLeast"/>
        </w:trPr>
        <w:tc>
          <w:tcPr>
            <w:tcW w:w="1149" w:type="dxa"/>
            <w:vMerge w:val="continue"/>
            <w:noWrap w:val="0"/>
            <w:tcMar>
              <w:left w:w="0" w:type="dxa"/>
              <w:right w:w="0" w:type="dxa"/>
            </w:tcMar>
            <w:vAlign w:val="center"/>
          </w:tcPr>
          <w:p>
            <w:pPr>
              <w:adjustRightInd w:val="0"/>
              <w:snapToGrid w:val="0"/>
              <w:spacing w:line="360" w:lineRule="exact"/>
              <w:jc w:val="center"/>
              <w:rPr>
                <w:bCs/>
                <w:szCs w:val="21"/>
              </w:rPr>
            </w:pPr>
          </w:p>
        </w:tc>
        <w:tc>
          <w:tcPr>
            <w:tcW w:w="1246" w:type="dxa"/>
            <w:vMerge w:val="continue"/>
            <w:noWrap w:val="0"/>
            <w:vAlign w:val="center"/>
          </w:tcPr>
          <w:p>
            <w:pPr>
              <w:adjustRightInd w:val="0"/>
              <w:snapToGrid w:val="0"/>
              <w:spacing w:line="360" w:lineRule="exact"/>
              <w:jc w:val="center"/>
              <w:rPr>
                <w:bCs/>
                <w:szCs w:val="21"/>
              </w:rPr>
            </w:pPr>
          </w:p>
        </w:tc>
        <w:tc>
          <w:tcPr>
            <w:tcW w:w="1118" w:type="dxa"/>
            <w:noWrap w:val="0"/>
            <w:tcMar>
              <w:left w:w="0" w:type="dxa"/>
              <w:right w:w="0" w:type="dxa"/>
            </w:tcMar>
            <w:vAlign w:val="center"/>
          </w:tcPr>
          <w:p>
            <w:pPr>
              <w:adjustRightInd w:val="0"/>
              <w:snapToGrid w:val="0"/>
              <w:spacing w:line="360" w:lineRule="exact"/>
              <w:jc w:val="center"/>
              <w:rPr>
                <w:bCs/>
                <w:szCs w:val="21"/>
              </w:rPr>
            </w:pPr>
            <w:r>
              <w:rPr>
                <w:bCs/>
                <w:szCs w:val="21"/>
              </w:rPr>
              <w:t>SS</w:t>
            </w:r>
          </w:p>
        </w:tc>
        <w:tc>
          <w:tcPr>
            <w:tcW w:w="1402" w:type="dxa"/>
            <w:noWrap w:val="0"/>
            <w:vAlign w:val="bottom"/>
          </w:tcPr>
          <w:p>
            <w:pPr>
              <w:spacing w:line="360" w:lineRule="exact"/>
              <w:jc w:val="center"/>
              <w:rPr>
                <w:szCs w:val="21"/>
              </w:rPr>
            </w:pPr>
            <w:r>
              <w:rPr>
                <w:szCs w:val="21"/>
              </w:rPr>
              <w:t>2000</w:t>
            </w:r>
          </w:p>
        </w:tc>
        <w:tc>
          <w:tcPr>
            <w:tcW w:w="1398" w:type="dxa"/>
            <w:noWrap w:val="0"/>
            <w:tcMar>
              <w:left w:w="0" w:type="dxa"/>
              <w:right w:w="0" w:type="dxa"/>
            </w:tcMar>
            <w:vAlign w:val="bottom"/>
          </w:tcPr>
          <w:p>
            <w:pPr>
              <w:jc w:val="center"/>
              <w:rPr>
                <w:rFonts w:hint="default" w:eastAsia="宋体"/>
                <w:szCs w:val="21"/>
                <w:lang w:val="en-US" w:eastAsia="zh-CN"/>
              </w:rPr>
            </w:pPr>
            <w:r>
              <w:rPr>
                <w:rFonts w:hint="eastAsia"/>
                <w:szCs w:val="21"/>
                <w:lang w:val="en-US" w:eastAsia="zh-CN"/>
              </w:rPr>
              <w:t>15.098</w:t>
            </w:r>
          </w:p>
        </w:tc>
        <w:tc>
          <w:tcPr>
            <w:tcW w:w="1114" w:type="dxa"/>
            <w:vMerge w:val="continue"/>
            <w:noWrap w:val="0"/>
            <w:vAlign w:val="center"/>
          </w:tcPr>
          <w:p>
            <w:pPr>
              <w:adjustRightInd w:val="0"/>
              <w:snapToGrid w:val="0"/>
              <w:spacing w:line="360" w:lineRule="exact"/>
              <w:jc w:val="center"/>
              <w:rPr>
                <w:bCs/>
                <w:szCs w:val="21"/>
              </w:rPr>
            </w:pPr>
          </w:p>
        </w:tc>
        <w:tc>
          <w:tcPr>
            <w:tcW w:w="1333" w:type="dxa"/>
            <w:vMerge w:val="continue"/>
            <w:noWrap w:val="0"/>
            <w:tcMar>
              <w:left w:w="0" w:type="dxa"/>
              <w:right w:w="0" w:type="dxa"/>
            </w:tcMar>
            <w:vAlign w:val="center"/>
          </w:tcPr>
          <w:p>
            <w:pPr>
              <w:adjustRightInd w:val="0"/>
              <w:snapToGrid w:val="0"/>
              <w:spacing w:line="360" w:lineRule="exact"/>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6" w:hRule="atLeast"/>
        </w:trPr>
        <w:tc>
          <w:tcPr>
            <w:tcW w:w="1149" w:type="dxa"/>
            <w:vMerge w:val="continue"/>
            <w:noWrap w:val="0"/>
            <w:tcMar>
              <w:left w:w="0" w:type="dxa"/>
              <w:right w:w="0" w:type="dxa"/>
            </w:tcMar>
            <w:vAlign w:val="center"/>
          </w:tcPr>
          <w:p>
            <w:pPr>
              <w:adjustRightInd w:val="0"/>
              <w:snapToGrid w:val="0"/>
              <w:spacing w:line="360" w:lineRule="exact"/>
              <w:jc w:val="center"/>
              <w:rPr>
                <w:bCs/>
                <w:szCs w:val="21"/>
              </w:rPr>
            </w:pPr>
          </w:p>
        </w:tc>
        <w:tc>
          <w:tcPr>
            <w:tcW w:w="1246" w:type="dxa"/>
            <w:vMerge w:val="continue"/>
            <w:noWrap w:val="0"/>
            <w:vAlign w:val="center"/>
          </w:tcPr>
          <w:p>
            <w:pPr>
              <w:adjustRightInd w:val="0"/>
              <w:snapToGrid w:val="0"/>
              <w:spacing w:line="360" w:lineRule="exact"/>
              <w:jc w:val="center"/>
              <w:rPr>
                <w:bCs/>
                <w:szCs w:val="21"/>
              </w:rPr>
            </w:pPr>
          </w:p>
        </w:tc>
        <w:tc>
          <w:tcPr>
            <w:tcW w:w="1118" w:type="dxa"/>
            <w:noWrap w:val="0"/>
            <w:tcMar>
              <w:left w:w="0" w:type="dxa"/>
              <w:right w:w="0" w:type="dxa"/>
            </w:tcMar>
            <w:vAlign w:val="center"/>
          </w:tcPr>
          <w:p>
            <w:pPr>
              <w:adjustRightInd w:val="0"/>
              <w:snapToGrid w:val="0"/>
              <w:spacing w:line="360" w:lineRule="exact"/>
              <w:jc w:val="center"/>
              <w:rPr>
                <w:bCs/>
                <w:szCs w:val="21"/>
              </w:rPr>
            </w:pPr>
            <w:r>
              <w:rPr>
                <w:bCs/>
                <w:szCs w:val="21"/>
              </w:rPr>
              <w:t>NH</w:t>
            </w:r>
            <w:r>
              <w:rPr>
                <w:bCs/>
                <w:szCs w:val="21"/>
                <w:vertAlign w:val="subscript"/>
              </w:rPr>
              <w:t>3</w:t>
            </w:r>
            <w:r>
              <w:rPr>
                <w:bCs/>
                <w:szCs w:val="21"/>
              </w:rPr>
              <w:t>-N</w:t>
            </w:r>
          </w:p>
        </w:tc>
        <w:tc>
          <w:tcPr>
            <w:tcW w:w="1402" w:type="dxa"/>
            <w:noWrap w:val="0"/>
            <w:vAlign w:val="bottom"/>
          </w:tcPr>
          <w:p>
            <w:pPr>
              <w:spacing w:line="360" w:lineRule="exact"/>
              <w:jc w:val="center"/>
              <w:rPr>
                <w:szCs w:val="21"/>
              </w:rPr>
            </w:pPr>
            <w:r>
              <w:rPr>
                <w:szCs w:val="21"/>
              </w:rPr>
              <w:t>900</w:t>
            </w:r>
          </w:p>
        </w:tc>
        <w:tc>
          <w:tcPr>
            <w:tcW w:w="1398" w:type="dxa"/>
            <w:noWrap w:val="0"/>
            <w:tcMar>
              <w:left w:w="0" w:type="dxa"/>
              <w:right w:w="0" w:type="dxa"/>
            </w:tcMar>
            <w:vAlign w:val="bottom"/>
          </w:tcPr>
          <w:p>
            <w:pPr>
              <w:jc w:val="center"/>
              <w:rPr>
                <w:rFonts w:hint="default" w:eastAsia="宋体"/>
                <w:szCs w:val="21"/>
                <w:lang w:val="en-US" w:eastAsia="zh-CN"/>
              </w:rPr>
            </w:pPr>
            <w:r>
              <w:rPr>
                <w:rFonts w:hint="eastAsia"/>
                <w:szCs w:val="21"/>
                <w:lang w:val="en-US" w:eastAsia="zh-CN"/>
              </w:rPr>
              <w:t>6.794</w:t>
            </w:r>
          </w:p>
        </w:tc>
        <w:tc>
          <w:tcPr>
            <w:tcW w:w="1114" w:type="dxa"/>
            <w:vMerge w:val="continue"/>
            <w:noWrap w:val="0"/>
            <w:vAlign w:val="center"/>
          </w:tcPr>
          <w:p>
            <w:pPr>
              <w:adjustRightInd w:val="0"/>
              <w:snapToGrid w:val="0"/>
              <w:spacing w:line="360" w:lineRule="exact"/>
              <w:jc w:val="center"/>
              <w:rPr>
                <w:bCs/>
                <w:szCs w:val="21"/>
              </w:rPr>
            </w:pPr>
          </w:p>
        </w:tc>
        <w:tc>
          <w:tcPr>
            <w:tcW w:w="1333" w:type="dxa"/>
            <w:vMerge w:val="continue"/>
            <w:noWrap w:val="0"/>
            <w:tcMar>
              <w:left w:w="0" w:type="dxa"/>
              <w:right w:w="0" w:type="dxa"/>
            </w:tcMar>
            <w:vAlign w:val="center"/>
          </w:tcPr>
          <w:p>
            <w:pPr>
              <w:adjustRightInd w:val="0"/>
              <w:snapToGrid w:val="0"/>
              <w:spacing w:line="360" w:lineRule="exact"/>
              <w:jc w:val="center"/>
              <w:rPr>
                <w:bCs/>
                <w:szCs w:val="21"/>
              </w:rPr>
            </w:pPr>
          </w:p>
        </w:tc>
      </w:tr>
    </w:tbl>
    <w:p>
      <w:pPr>
        <w:spacing w:line="520" w:lineRule="exact"/>
        <w:ind w:firstLine="480" w:firstLineChars="200"/>
        <w:rPr>
          <w:b/>
          <w:sz w:val="24"/>
        </w:rPr>
      </w:pPr>
      <w:r>
        <w:rPr>
          <w:bCs/>
          <w:sz w:val="24"/>
        </w:rPr>
        <w:t>（4）本项目水平衡图</w:t>
      </w:r>
    </w:p>
    <w:p>
      <w:pPr>
        <w:spacing w:line="520" w:lineRule="exact"/>
        <w:ind w:firstLine="480" w:firstLineChars="200"/>
        <w:rPr>
          <w:bCs/>
          <w:sz w:val="24"/>
        </w:rPr>
        <w:sectPr>
          <w:headerReference r:id="rId9" w:type="default"/>
          <w:footerReference r:id="rId10" w:type="default"/>
          <w:pgSz w:w="11906" w:h="16838"/>
          <w:pgMar w:top="1984" w:right="1587" w:bottom="1701" w:left="1587" w:header="851" w:footer="992" w:gutter="0"/>
          <w:pgNumType w:fmt="numberInDash" w:start="22"/>
          <w:cols w:space="720" w:num="1"/>
          <w:docGrid w:linePitch="312" w:charSpace="0"/>
        </w:sectPr>
      </w:pPr>
      <w:r>
        <w:rPr>
          <w:sz w:val="24"/>
        </w:rPr>
        <w:t>本项目</w:t>
      </w:r>
      <w:r>
        <w:rPr>
          <w:bCs/>
          <w:sz w:val="24"/>
        </w:rPr>
        <w:t>养殖废水与生活污水混合后废水量为</w:t>
      </w:r>
      <w:r>
        <w:rPr>
          <w:rFonts w:hint="eastAsia"/>
          <w:bCs/>
          <w:sz w:val="24"/>
          <w:lang w:eastAsia="zh-CN"/>
        </w:rPr>
        <w:t>7512.9907</w:t>
      </w:r>
      <w:r>
        <w:rPr>
          <w:rFonts w:hint="eastAsia"/>
          <w:bCs/>
          <w:sz w:val="24"/>
        </w:rPr>
        <w:t>m</w:t>
      </w:r>
      <w:r>
        <w:rPr>
          <w:bCs/>
          <w:sz w:val="24"/>
          <w:vertAlign w:val="superscript"/>
        </w:rPr>
        <w:t>3</w:t>
      </w:r>
      <w:r>
        <w:rPr>
          <w:rFonts w:hint="eastAsia"/>
          <w:bCs/>
          <w:sz w:val="24"/>
        </w:rPr>
        <w:t>/a</w:t>
      </w:r>
      <w:r>
        <w:rPr>
          <w:bCs/>
          <w:sz w:val="24"/>
        </w:rPr>
        <w:t>，夏季</w:t>
      </w:r>
      <w:r>
        <w:rPr>
          <w:rFonts w:hint="eastAsia"/>
          <w:bCs/>
          <w:sz w:val="24"/>
          <w:lang w:eastAsia="zh-CN"/>
        </w:rPr>
        <w:t>23.18</w:t>
      </w:r>
      <w:r>
        <w:rPr>
          <w:bCs/>
          <w:sz w:val="24"/>
        </w:rPr>
        <w:t>m</w:t>
      </w:r>
      <w:r>
        <w:rPr>
          <w:bCs/>
          <w:sz w:val="24"/>
          <w:vertAlign w:val="superscript"/>
        </w:rPr>
        <w:t>3</w:t>
      </w:r>
      <w:r>
        <w:rPr>
          <w:bCs/>
          <w:sz w:val="24"/>
        </w:rPr>
        <w:t>/d，其他季节</w:t>
      </w:r>
      <w:r>
        <w:rPr>
          <w:rFonts w:hint="eastAsia"/>
          <w:bCs/>
          <w:sz w:val="24"/>
          <w:lang w:eastAsia="zh-CN"/>
        </w:rPr>
        <w:t>14.69</w:t>
      </w:r>
      <w:r>
        <w:rPr>
          <w:bCs/>
          <w:sz w:val="24"/>
        </w:rPr>
        <w:t>m</w:t>
      </w:r>
      <w:r>
        <w:rPr>
          <w:bCs/>
          <w:sz w:val="24"/>
          <w:vertAlign w:val="superscript"/>
        </w:rPr>
        <w:t>3</w:t>
      </w:r>
      <w:r>
        <w:rPr>
          <w:bCs/>
          <w:sz w:val="24"/>
        </w:rPr>
        <w:t>/d，</w:t>
      </w:r>
      <w:r>
        <w:rPr>
          <w:sz w:val="24"/>
        </w:rPr>
        <w:t>夏季、其他季节水平衡情况见图2.3-2、2.3-3。</w:t>
      </w:r>
    </w:p>
    <w:p>
      <w:pPr>
        <w:rPr>
          <w:rFonts w:hint="eastAsia"/>
          <w:sz w:val="24"/>
        </w:rPr>
      </w:pPr>
      <w:r>
        <w:rPr>
          <w:rFonts w:hAnsi="宋体"/>
          <w:sz w:val="24"/>
        </w:rPr>
        <mc:AlternateContent>
          <mc:Choice Requires="wps">
            <w:drawing>
              <wp:anchor distT="0" distB="0" distL="114300" distR="114300" simplePos="0" relativeHeight="251718656" behindDoc="0" locked="0" layoutInCell="1" allowOverlap="1">
                <wp:simplePos x="0" y="0"/>
                <wp:positionH relativeFrom="column">
                  <wp:posOffset>6647180</wp:posOffset>
                </wp:positionH>
                <wp:positionV relativeFrom="paragraph">
                  <wp:posOffset>0</wp:posOffset>
                </wp:positionV>
                <wp:extent cx="705485" cy="608330"/>
                <wp:effectExtent l="4445" t="4445" r="13970" b="15875"/>
                <wp:wrapNone/>
                <wp:docPr id="430" name="矩形 891"/>
                <wp:cNvGraphicFramePr/>
                <a:graphic xmlns:a="http://schemas.openxmlformats.org/drawingml/2006/main">
                  <a:graphicData uri="http://schemas.microsoft.com/office/word/2010/wordprocessingShape">
                    <wps:wsp>
                      <wps:cNvSpPr/>
                      <wps:spPr>
                        <a:xfrm>
                          <a:off x="0" y="0"/>
                          <a:ext cx="705485" cy="608330"/>
                        </a:xfrm>
                        <a:prstGeom prst="rect">
                          <a:avLst/>
                        </a:prstGeom>
                        <a:no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ascii="宋体" w:hAnsi="宋体"/>
                                <w:szCs w:val="21"/>
                              </w:rPr>
                              <w:t>有机肥基料携带</w:t>
                            </w:r>
                            <w:r>
                              <w:rPr>
                                <w:rFonts w:hint="eastAsia"/>
                                <w:szCs w:val="21"/>
                                <w:lang w:val="en-US" w:eastAsia="zh-CN"/>
                              </w:rPr>
                              <w:t>0.072</w:t>
                            </w:r>
                          </w:p>
                        </w:txbxContent>
                      </wps:txbx>
                      <wps:bodyPr upright="1"/>
                    </wps:wsp>
                  </a:graphicData>
                </a:graphic>
              </wp:anchor>
            </w:drawing>
          </mc:Choice>
          <mc:Fallback>
            <w:pict>
              <v:rect id="矩形 891" o:spid="_x0000_s1026" o:spt="1" style="position:absolute;left:0pt;margin-left:523.4pt;margin-top:0pt;height:47.9pt;width:55.55pt;z-index:251718656;mso-width-relative:page;mso-height-relative:page;" filled="f" stroked="t" coordsize="21600,21600" o:gfxdata="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SqEat1wAAAAkBAAAPAAAAAAAAAAEAIAAAACIAAABkcnMvZG93bnJl&#10;di54bWxQSwECFAAUAAAACACHTuJAs+iQE/4BAAADBAAADgAAAAAAAAABACAAAAAmAQAAZHJzL2Uy&#10;b0RvYy54bWxQSwUGAAAAAAYABgBZAQAAlgUAAAAA&#10;">
                <v:fill on="f" focussize="0,0"/>
                <v:stroke color="#000000" joinstyle="miter"/>
                <v:imagedata o:title=""/>
                <o:lock v:ext="edit" aspectratio="f"/>
                <v:textbox>
                  <w:txbxContent>
                    <w:p>
                      <w:pPr>
                        <w:rPr>
                          <w:rFonts w:hint="default" w:eastAsia="宋体"/>
                          <w:lang w:val="en-US" w:eastAsia="zh-CN"/>
                        </w:rPr>
                      </w:pPr>
                      <w:r>
                        <w:rPr>
                          <w:rFonts w:hint="eastAsia" w:ascii="宋体" w:hAnsi="宋体"/>
                          <w:szCs w:val="21"/>
                        </w:rPr>
                        <w:t>有机肥基料携带</w:t>
                      </w:r>
                      <w:r>
                        <w:rPr>
                          <w:rFonts w:hint="eastAsia"/>
                          <w:szCs w:val="21"/>
                          <w:lang w:val="en-US" w:eastAsia="zh-CN"/>
                        </w:rPr>
                        <w:t>0.072</w:t>
                      </w:r>
                    </w:p>
                  </w:txbxContent>
                </v:textbox>
              </v:rect>
            </w:pict>
          </mc:Fallback>
        </mc:AlternateContent>
      </w:r>
      <w:r>
        <w:rPr>
          <w:rFonts w:hAnsi="宋体"/>
          <w:sz w:val="24"/>
        </w:rPr>
        <mc:AlternateContent>
          <mc:Choice Requires="wps">
            <w:drawing>
              <wp:anchor distT="0" distB="0" distL="114300" distR="114300" simplePos="0" relativeHeight="251719680" behindDoc="0" locked="0" layoutInCell="1" allowOverlap="1">
                <wp:simplePos x="0" y="0"/>
                <wp:positionH relativeFrom="column">
                  <wp:posOffset>4499610</wp:posOffset>
                </wp:positionH>
                <wp:positionV relativeFrom="paragraph">
                  <wp:posOffset>9525</wp:posOffset>
                </wp:positionV>
                <wp:extent cx="800100" cy="441960"/>
                <wp:effectExtent l="0" t="0" r="0" b="0"/>
                <wp:wrapNone/>
                <wp:docPr id="431" name="矩形 1037"/>
                <wp:cNvGraphicFramePr/>
                <a:graphic xmlns:a="http://schemas.openxmlformats.org/drawingml/2006/main">
                  <a:graphicData uri="http://schemas.microsoft.com/office/word/2010/wordprocessingShape">
                    <wps:wsp>
                      <wps:cNvSpPr/>
                      <wps:spPr>
                        <a:xfrm>
                          <a:off x="0" y="0"/>
                          <a:ext cx="800100" cy="441960"/>
                        </a:xfrm>
                        <a:prstGeom prst="rect">
                          <a:avLst/>
                        </a:prstGeom>
                        <a:noFill/>
                        <a:ln>
                          <a:noFill/>
                        </a:ln>
                      </wps:spPr>
                      <wps:txbx>
                        <w:txbxContent>
                          <w:p>
                            <w:pPr>
                              <w:ind w:left="210" w:hanging="210" w:hangingChars="100"/>
                              <w:rPr>
                                <w:rFonts w:hint="default" w:eastAsia="宋体"/>
                                <w:lang w:val="en-US" w:eastAsia="zh-CN"/>
                              </w:rPr>
                            </w:pPr>
                            <w:r>
                              <w:rPr>
                                <w:rFonts w:hint="eastAsia"/>
                                <w:szCs w:val="21"/>
                              </w:rPr>
                              <w:t>猪粪带走0.</w:t>
                            </w:r>
                            <w:r>
                              <w:rPr>
                                <w:rFonts w:hint="eastAsia"/>
                                <w:szCs w:val="21"/>
                                <w:lang w:val="en-US" w:eastAsia="zh-CN"/>
                              </w:rPr>
                              <w:t>52</w:t>
                            </w:r>
                          </w:p>
                        </w:txbxContent>
                      </wps:txbx>
                      <wps:bodyPr upright="1"/>
                    </wps:wsp>
                  </a:graphicData>
                </a:graphic>
              </wp:anchor>
            </w:drawing>
          </mc:Choice>
          <mc:Fallback>
            <w:pict>
              <v:rect id="矩形 1037" o:spid="_x0000_s1026" o:spt="1" style="position:absolute;left:0pt;margin-left:354.3pt;margin-top:0.75pt;height:34.8pt;width:63pt;z-index:251719680;mso-width-relative:page;mso-height-relative:page;" filled="f" stroked="f" coordsize="21600,21600" o:gfxdata="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OpbLQzYAAAACAEAAA8A&#10;AAAAAAAAAQAgAAAAIgAAAGRycy9kb3ducmV2LnhtbFBLAQIUABQAAAAIAIdO4kB+29TRpQEAAEUD&#10;AAAOAAAAAAAAAAEAIAAAACcBAABkcnMvZTJvRG9jLnhtbFBLBQYAAAAABgAGAFkBAAA+BQAAAAA=&#10;">
                <v:fill on="f" focussize="0,0"/>
                <v:stroke on="f"/>
                <v:imagedata o:title=""/>
                <o:lock v:ext="edit" aspectratio="f"/>
                <v:textbox>
                  <w:txbxContent>
                    <w:p>
                      <w:pPr>
                        <w:ind w:left="210" w:hanging="210" w:hangingChars="100"/>
                        <w:rPr>
                          <w:rFonts w:hint="default" w:eastAsia="宋体"/>
                          <w:lang w:val="en-US" w:eastAsia="zh-CN"/>
                        </w:rPr>
                      </w:pPr>
                      <w:r>
                        <w:rPr>
                          <w:rFonts w:hint="eastAsia"/>
                          <w:szCs w:val="21"/>
                        </w:rPr>
                        <w:t>猪粪带走0.</w:t>
                      </w:r>
                      <w:r>
                        <w:rPr>
                          <w:rFonts w:hint="eastAsia"/>
                          <w:szCs w:val="21"/>
                          <w:lang w:val="en-US" w:eastAsia="zh-CN"/>
                        </w:rPr>
                        <w:t>52</w:t>
                      </w:r>
                    </w:p>
                  </w:txbxContent>
                </v:textbox>
              </v:rect>
            </w:pict>
          </mc:Fallback>
        </mc:AlternateContent>
      </w:r>
      <w:r>
        <w:rPr>
          <w:rFonts w:hAnsi="宋体"/>
          <w:sz w:val="24"/>
        </w:rPr>
        <mc:AlternateContent>
          <mc:Choice Requires="wpc">
            <w:drawing>
              <wp:inline distT="0" distB="0" distL="114300" distR="114300">
                <wp:extent cx="8121015" cy="3987800"/>
                <wp:effectExtent l="0" t="0" r="0" b="0"/>
                <wp:docPr id="221" name="画布 8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63" name="矩形 831"/>
                        <wps:cNvSpPr/>
                        <wps:spPr>
                          <a:xfrm>
                            <a:off x="233045" y="1891030"/>
                            <a:ext cx="354965" cy="778510"/>
                          </a:xfrm>
                          <a:prstGeom prst="rect">
                            <a:avLst/>
                          </a:prstGeom>
                          <a:noFill/>
                          <a:ln w="9525" cap="flat" cmpd="sng">
                            <a:solidFill>
                              <a:srgbClr val="000000"/>
                            </a:solidFill>
                            <a:prstDash val="solid"/>
                            <a:miter/>
                            <a:headEnd type="none" w="med" len="med"/>
                            <a:tailEnd type="none" w="med" len="med"/>
                          </a:ln>
                        </wps:spPr>
                        <wps:txbx>
                          <w:txbxContent>
                            <w:p>
                              <w:pPr>
                                <w:rPr>
                                  <w:rFonts w:ascii="宋体" w:hAnsi="宋体"/>
                                  <w:szCs w:val="21"/>
                                </w:rPr>
                              </w:pPr>
                              <w:r>
                                <w:rPr>
                                  <w:rFonts w:hint="eastAsia" w:ascii="宋体" w:hAnsi="宋体"/>
                                  <w:szCs w:val="21"/>
                                </w:rPr>
                                <w:t>新鲜水</w:t>
                              </w:r>
                            </w:p>
                          </w:txbxContent>
                        </wps:txbx>
                        <wps:bodyPr upright="1"/>
                      </wps:wsp>
                      <wps:wsp>
                        <wps:cNvPr id="164" name="自选图形 832"/>
                        <wps:cNvCnPr/>
                        <wps:spPr>
                          <a:xfrm>
                            <a:off x="645160" y="2204085"/>
                            <a:ext cx="402590" cy="635"/>
                          </a:xfrm>
                          <a:prstGeom prst="straightConnector1">
                            <a:avLst/>
                          </a:prstGeom>
                          <a:ln w="9525" cap="flat" cmpd="sng">
                            <a:solidFill>
                              <a:srgbClr val="000000"/>
                            </a:solidFill>
                            <a:prstDash val="solid"/>
                            <a:headEnd type="none" w="med" len="med"/>
                            <a:tailEnd type="triangle" w="med" len="med"/>
                          </a:ln>
                        </wps:spPr>
                        <wps:bodyPr/>
                      </wps:wsp>
                      <wps:wsp>
                        <wps:cNvPr id="165" name="自选图形 833"/>
                        <wps:cNvCnPr/>
                        <wps:spPr>
                          <a:xfrm flipH="1">
                            <a:off x="1047750" y="805180"/>
                            <a:ext cx="11430" cy="2975610"/>
                          </a:xfrm>
                          <a:prstGeom prst="straightConnector1">
                            <a:avLst/>
                          </a:prstGeom>
                          <a:ln w="9525" cap="flat" cmpd="sng">
                            <a:solidFill>
                              <a:srgbClr val="000000"/>
                            </a:solidFill>
                            <a:prstDash val="solid"/>
                            <a:headEnd type="none" w="med" len="med"/>
                            <a:tailEnd type="none" w="med" len="med"/>
                          </a:ln>
                        </wps:spPr>
                        <wps:bodyPr/>
                      </wps:wsp>
                      <wps:wsp>
                        <wps:cNvPr id="166" name="自选图形 834"/>
                        <wps:cNvCnPr/>
                        <wps:spPr>
                          <a:xfrm>
                            <a:off x="1059180" y="805180"/>
                            <a:ext cx="466090" cy="0"/>
                          </a:xfrm>
                          <a:prstGeom prst="straightConnector1">
                            <a:avLst/>
                          </a:prstGeom>
                          <a:ln w="9525" cap="flat" cmpd="sng">
                            <a:solidFill>
                              <a:srgbClr val="000000"/>
                            </a:solidFill>
                            <a:prstDash val="solid"/>
                            <a:headEnd type="none" w="med" len="med"/>
                            <a:tailEnd type="triangle" w="med" len="med"/>
                          </a:ln>
                        </wps:spPr>
                        <wps:bodyPr/>
                      </wps:wsp>
                      <wps:wsp>
                        <wps:cNvPr id="167" name="自选图形 835"/>
                        <wps:cNvCnPr/>
                        <wps:spPr>
                          <a:xfrm>
                            <a:off x="1066165" y="1487170"/>
                            <a:ext cx="466090" cy="1270"/>
                          </a:xfrm>
                          <a:prstGeom prst="straightConnector1">
                            <a:avLst/>
                          </a:prstGeom>
                          <a:ln w="9525" cap="flat" cmpd="sng">
                            <a:solidFill>
                              <a:srgbClr val="000000"/>
                            </a:solidFill>
                            <a:prstDash val="solid"/>
                            <a:headEnd type="none" w="med" len="med"/>
                            <a:tailEnd type="triangle" w="med" len="med"/>
                          </a:ln>
                        </wps:spPr>
                        <wps:bodyPr/>
                      </wps:wsp>
                      <wps:wsp>
                        <wps:cNvPr id="168" name="自选图形 836"/>
                        <wps:cNvCnPr/>
                        <wps:spPr>
                          <a:xfrm>
                            <a:off x="1066165" y="3780790"/>
                            <a:ext cx="466090" cy="635"/>
                          </a:xfrm>
                          <a:prstGeom prst="straightConnector1">
                            <a:avLst/>
                          </a:prstGeom>
                          <a:ln w="9525" cap="flat" cmpd="sng">
                            <a:solidFill>
                              <a:srgbClr val="000000"/>
                            </a:solidFill>
                            <a:prstDash val="solid"/>
                            <a:headEnd type="none" w="med" len="med"/>
                            <a:tailEnd type="triangle" w="med" len="med"/>
                          </a:ln>
                        </wps:spPr>
                        <wps:bodyPr/>
                      </wps:wsp>
                      <wps:wsp>
                        <wps:cNvPr id="169" name="自选图形 837"/>
                        <wps:cNvCnPr/>
                        <wps:spPr>
                          <a:xfrm>
                            <a:off x="1066165" y="2210435"/>
                            <a:ext cx="466090" cy="635"/>
                          </a:xfrm>
                          <a:prstGeom prst="straightConnector1">
                            <a:avLst/>
                          </a:prstGeom>
                          <a:ln w="9525" cap="flat" cmpd="sng">
                            <a:solidFill>
                              <a:srgbClr val="000000"/>
                            </a:solidFill>
                            <a:prstDash val="solid"/>
                            <a:headEnd type="none" w="med" len="med"/>
                            <a:tailEnd type="triangle" w="med" len="med"/>
                          </a:ln>
                        </wps:spPr>
                        <wps:bodyPr/>
                      </wps:wsp>
                      <wps:wsp>
                        <wps:cNvPr id="170" name="矩形 839"/>
                        <wps:cNvSpPr/>
                        <wps:spPr>
                          <a:xfrm>
                            <a:off x="1532255" y="695960"/>
                            <a:ext cx="961390" cy="279400"/>
                          </a:xfrm>
                          <a:prstGeom prst="rect">
                            <a:avLst/>
                          </a:prstGeom>
                          <a:noFill/>
                          <a:ln w="9525" cap="flat" cmpd="sng">
                            <a:solidFill>
                              <a:srgbClr val="000000"/>
                            </a:solidFill>
                            <a:prstDash val="solid"/>
                            <a:miter/>
                            <a:headEnd type="none" w="med" len="med"/>
                            <a:tailEnd type="none" w="med" len="med"/>
                          </a:ln>
                        </wps:spPr>
                        <wps:txbx>
                          <w:txbxContent>
                            <w:p>
                              <w:pPr>
                                <w:rPr>
                                  <w:rFonts w:hint="eastAsia" w:ascii="宋体" w:hAnsi="宋体"/>
                                  <w:szCs w:val="21"/>
                                </w:rPr>
                              </w:pPr>
                              <w:r>
                                <w:rPr>
                                  <w:rFonts w:hint="eastAsia" w:ascii="宋体" w:hAnsi="宋体"/>
                                  <w:szCs w:val="21"/>
                                </w:rPr>
                                <w:t>生猪</w:t>
                              </w:r>
                              <w:r>
                                <w:rPr>
                                  <w:rFonts w:ascii="宋体" w:hAnsi="宋体"/>
                                  <w:szCs w:val="21"/>
                                </w:rPr>
                                <w:t>饮用水</w:t>
                              </w:r>
                            </w:p>
                          </w:txbxContent>
                        </wps:txbx>
                        <wps:bodyPr upright="1"/>
                      </wps:wsp>
                      <wps:wsp>
                        <wps:cNvPr id="171" name="矩形 840"/>
                        <wps:cNvSpPr/>
                        <wps:spPr>
                          <a:xfrm>
                            <a:off x="1513205" y="1358265"/>
                            <a:ext cx="1036955" cy="280035"/>
                          </a:xfrm>
                          <a:prstGeom prst="rect">
                            <a:avLst/>
                          </a:prstGeom>
                          <a:noFill/>
                          <a:ln w="9525" cap="flat" cmpd="sng">
                            <a:solidFill>
                              <a:srgbClr val="000000"/>
                            </a:solidFill>
                            <a:prstDash val="solid"/>
                            <a:miter/>
                            <a:headEnd type="none" w="med" len="med"/>
                            <a:tailEnd type="none" w="med" len="med"/>
                          </a:ln>
                        </wps:spPr>
                        <wps:txbx>
                          <w:txbxContent>
                            <w:p>
                              <w:pPr>
                                <w:rPr>
                                  <w:rFonts w:hint="eastAsia"/>
                                </w:rPr>
                              </w:pPr>
                              <w:r>
                                <w:rPr>
                                  <w:rFonts w:hint="eastAsia" w:ascii="宋体" w:hAnsi="宋体"/>
                                  <w:szCs w:val="21"/>
                                </w:rPr>
                                <w:t>猪舍</w:t>
                              </w:r>
                              <w:r>
                                <w:rPr>
                                  <w:rFonts w:ascii="宋体" w:hAnsi="宋体"/>
                                  <w:szCs w:val="21"/>
                                </w:rPr>
                                <w:t>冲洗水</w:t>
                              </w:r>
                            </w:p>
                          </w:txbxContent>
                        </wps:txbx>
                        <wps:bodyPr upright="1"/>
                      </wps:wsp>
                      <wps:wsp>
                        <wps:cNvPr id="172" name="矩形 841"/>
                        <wps:cNvSpPr/>
                        <wps:spPr>
                          <a:xfrm>
                            <a:off x="1532255" y="2080895"/>
                            <a:ext cx="1017905" cy="280035"/>
                          </a:xfrm>
                          <a:prstGeom prst="rect">
                            <a:avLst/>
                          </a:prstGeom>
                          <a:noFill/>
                          <a:ln w="9525" cap="flat" cmpd="sng">
                            <a:solidFill>
                              <a:srgbClr val="000000"/>
                            </a:solidFill>
                            <a:prstDash val="solid"/>
                            <a:miter/>
                            <a:headEnd type="none" w="med" len="med"/>
                            <a:tailEnd type="none" w="med" len="med"/>
                          </a:ln>
                        </wps:spPr>
                        <wps:txbx>
                          <w:txbxContent>
                            <w:p>
                              <w:pPr>
                                <w:rPr>
                                  <w:rFonts w:hint="eastAsia" w:ascii="宋体" w:hAnsi="宋体"/>
                                  <w:szCs w:val="21"/>
                                </w:rPr>
                              </w:pPr>
                              <w:r>
                                <w:rPr>
                                  <w:rFonts w:hint="eastAsia" w:ascii="宋体" w:hAnsi="宋体"/>
                                  <w:szCs w:val="21"/>
                                </w:rPr>
                                <w:t>职工</w:t>
                              </w:r>
                              <w:r>
                                <w:rPr>
                                  <w:rFonts w:ascii="宋体" w:hAnsi="宋体"/>
                                  <w:szCs w:val="21"/>
                                </w:rPr>
                                <w:t>生活水</w:t>
                              </w:r>
                            </w:p>
                          </w:txbxContent>
                        </wps:txbx>
                        <wps:bodyPr upright="1"/>
                      </wps:wsp>
                      <wps:wsp>
                        <wps:cNvPr id="173" name="矩形 843"/>
                        <wps:cNvSpPr/>
                        <wps:spPr>
                          <a:xfrm>
                            <a:off x="1532255" y="3632835"/>
                            <a:ext cx="1036955" cy="280670"/>
                          </a:xfrm>
                          <a:prstGeom prst="rect">
                            <a:avLst/>
                          </a:prstGeom>
                          <a:noFill/>
                          <a:ln w="9525" cap="flat" cmpd="sng">
                            <a:solidFill>
                              <a:srgbClr val="000000"/>
                            </a:solidFill>
                            <a:prstDash val="solid"/>
                            <a:miter/>
                            <a:headEnd type="none" w="med" len="med"/>
                            <a:tailEnd type="none" w="med" len="med"/>
                          </a:ln>
                        </wps:spPr>
                        <wps:txbx>
                          <w:txbxContent>
                            <w:p>
                              <w:pPr>
                                <w:rPr>
                                  <w:rFonts w:hint="eastAsia"/>
                                </w:rPr>
                              </w:pPr>
                              <w:r>
                                <w:rPr>
                                  <w:rFonts w:hint="eastAsia" w:ascii="宋体" w:hAnsi="宋体"/>
                                  <w:szCs w:val="21"/>
                                </w:rPr>
                                <w:t>喷雾降温水</w:t>
                              </w:r>
                            </w:p>
                          </w:txbxContent>
                        </wps:txbx>
                        <wps:bodyPr upright="1"/>
                      </wps:wsp>
                      <wps:wsp>
                        <wps:cNvPr id="174" name="自选图形 844"/>
                        <wps:cNvCnPr/>
                        <wps:spPr>
                          <a:xfrm flipV="1">
                            <a:off x="1771015" y="392430"/>
                            <a:ext cx="635" cy="303530"/>
                          </a:xfrm>
                          <a:prstGeom prst="straightConnector1">
                            <a:avLst/>
                          </a:prstGeom>
                          <a:ln w="9525" cap="flat" cmpd="sng">
                            <a:solidFill>
                              <a:srgbClr val="000000"/>
                            </a:solidFill>
                            <a:prstDash val="solid"/>
                            <a:headEnd type="none" w="med" len="med"/>
                            <a:tailEnd type="triangle" w="med" len="med"/>
                          </a:ln>
                        </wps:spPr>
                        <wps:bodyPr/>
                      </wps:wsp>
                      <wps:wsp>
                        <wps:cNvPr id="175" name="自选图形 845"/>
                        <wps:cNvCnPr/>
                        <wps:spPr>
                          <a:xfrm>
                            <a:off x="2493645" y="835660"/>
                            <a:ext cx="668655" cy="635"/>
                          </a:xfrm>
                          <a:prstGeom prst="straightConnector1">
                            <a:avLst/>
                          </a:prstGeom>
                          <a:ln w="9525" cap="flat" cmpd="sng">
                            <a:solidFill>
                              <a:srgbClr val="000000"/>
                            </a:solidFill>
                            <a:prstDash val="solid"/>
                            <a:headEnd type="none" w="med" len="med"/>
                            <a:tailEnd type="triangle" w="med" len="med"/>
                          </a:ln>
                        </wps:spPr>
                        <wps:bodyPr/>
                      </wps:wsp>
                      <wps:wsp>
                        <wps:cNvPr id="176" name="自选图形 846"/>
                        <wps:cNvCnPr/>
                        <wps:spPr>
                          <a:xfrm>
                            <a:off x="2550160" y="1487170"/>
                            <a:ext cx="608330" cy="5715"/>
                          </a:xfrm>
                          <a:prstGeom prst="straightConnector1">
                            <a:avLst/>
                          </a:prstGeom>
                          <a:ln w="9525" cap="flat" cmpd="sng">
                            <a:solidFill>
                              <a:srgbClr val="000000"/>
                            </a:solidFill>
                            <a:prstDash val="solid"/>
                            <a:headEnd type="none" w="med" len="med"/>
                            <a:tailEnd type="triangle" w="med" len="med"/>
                          </a:ln>
                        </wps:spPr>
                        <wps:bodyPr/>
                      </wps:wsp>
                      <wps:wsp>
                        <wps:cNvPr id="177" name="自选图形 847"/>
                        <wps:cNvCnPr/>
                        <wps:spPr>
                          <a:xfrm>
                            <a:off x="2550160" y="2204720"/>
                            <a:ext cx="608330" cy="5715"/>
                          </a:xfrm>
                          <a:prstGeom prst="straightConnector1">
                            <a:avLst/>
                          </a:prstGeom>
                          <a:ln w="9525" cap="flat" cmpd="sng">
                            <a:solidFill>
                              <a:srgbClr val="000000"/>
                            </a:solidFill>
                            <a:prstDash val="solid"/>
                            <a:headEnd type="none" w="med" len="med"/>
                            <a:tailEnd type="triangle" w="med" len="med"/>
                          </a:ln>
                        </wps:spPr>
                        <wps:bodyPr/>
                      </wps:wsp>
                      <wps:wsp>
                        <wps:cNvPr id="178" name="自选图形 848"/>
                        <wps:cNvCnPr/>
                        <wps:spPr>
                          <a:xfrm>
                            <a:off x="3161665" y="835660"/>
                            <a:ext cx="635" cy="1369060"/>
                          </a:xfrm>
                          <a:prstGeom prst="straightConnector1">
                            <a:avLst/>
                          </a:prstGeom>
                          <a:ln w="9525" cap="flat" cmpd="sng">
                            <a:solidFill>
                              <a:srgbClr val="000000"/>
                            </a:solidFill>
                            <a:prstDash val="solid"/>
                            <a:headEnd type="none" w="med" len="med"/>
                            <a:tailEnd type="none" w="med" len="med"/>
                          </a:ln>
                        </wps:spPr>
                        <wps:bodyPr/>
                      </wps:wsp>
                      <wps:wsp>
                        <wps:cNvPr id="179" name="自选图形 849"/>
                        <wps:cNvCnPr/>
                        <wps:spPr>
                          <a:xfrm>
                            <a:off x="3162300" y="1487170"/>
                            <a:ext cx="553720" cy="0"/>
                          </a:xfrm>
                          <a:prstGeom prst="straightConnector1">
                            <a:avLst/>
                          </a:prstGeom>
                          <a:ln w="9525" cap="flat" cmpd="sng">
                            <a:solidFill>
                              <a:srgbClr val="000000"/>
                            </a:solidFill>
                            <a:prstDash val="solid"/>
                            <a:headEnd type="none" w="med" len="med"/>
                            <a:tailEnd type="triangle" w="med" len="med"/>
                          </a:ln>
                        </wps:spPr>
                        <wps:bodyPr/>
                      </wps:wsp>
                      <wps:wsp>
                        <wps:cNvPr id="180" name="矩形 850"/>
                        <wps:cNvSpPr/>
                        <wps:spPr>
                          <a:xfrm>
                            <a:off x="3716020" y="1367790"/>
                            <a:ext cx="1405890" cy="404495"/>
                          </a:xfrm>
                          <a:prstGeom prst="rect">
                            <a:avLst/>
                          </a:prstGeom>
                          <a:no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ascii="宋体" w:hAnsi="宋体"/>
                                  <w:szCs w:val="21"/>
                                </w:rPr>
                                <w:t>黑膜沼气池</w:t>
                              </w:r>
                              <w:r>
                                <w:rPr>
                                  <w:rFonts w:hint="eastAsia"/>
                                  <w:szCs w:val="21"/>
                                  <w:lang w:val="en-US" w:eastAsia="zh-CN"/>
                                </w:rPr>
                                <w:t>26.094</w:t>
                              </w:r>
                            </w:p>
                          </w:txbxContent>
                        </wps:txbx>
                        <wps:bodyPr upright="1"/>
                      </wps:wsp>
                      <wps:wsp>
                        <wps:cNvPr id="181" name="矩形 852"/>
                        <wps:cNvSpPr/>
                        <wps:spPr>
                          <a:xfrm>
                            <a:off x="3831590" y="2165350"/>
                            <a:ext cx="557530" cy="280035"/>
                          </a:xfrm>
                          <a:prstGeom prst="rect">
                            <a:avLst/>
                          </a:prstGeom>
                          <a:noFill/>
                          <a:ln w="9525" cap="flat" cmpd="sng">
                            <a:solidFill>
                              <a:srgbClr val="000000"/>
                            </a:solidFill>
                            <a:prstDash val="solid"/>
                            <a:miter/>
                            <a:headEnd type="none" w="med" len="med"/>
                            <a:tailEnd type="none" w="med" len="med"/>
                          </a:ln>
                        </wps:spPr>
                        <wps:txbx>
                          <w:txbxContent>
                            <w:p>
                              <w:pPr>
                                <w:rPr>
                                  <w:rFonts w:hint="eastAsia"/>
                                </w:rPr>
                              </w:pPr>
                              <w:r>
                                <w:rPr>
                                  <w:rFonts w:hint="eastAsia" w:ascii="宋体" w:hAnsi="宋体"/>
                                  <w:szCs w:val="21"/>
                                </w:rPr>
                                <w:t>沼液</w:t>
                              </w:r>
                            </w:p>
                          </w:txbxContent>
                        </wps:txbx>
                        <wps:bodyPr upright="1"/>
                      </wps:wsp>
                      <wps:wsp>
                        <wps:cNvPr id="182" name="矩形 853"/>
                        <wps:cNvSpPr/>
                        <wps:spPr>
                          <a:xfrm>
                            <a:off x="5922010" y="1227455"/>
                            <a:ext cx="800100" cy="410845"/>
                          </a:xfrm>
                          <a:prstGeom prst="rect">
                            <a:avLst/>
                          </a:prstGeom>
                          <a:no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ascii="宋体" w:hAnsi="宋体"/>
                                  <w:szCs w:val="21"/>
                                </w:rPr>
                                <w:t>沼渣携带</w:t>
                              </w:r>
                              <w:r>
                                <w:rPr>
                                  <w:rFonts w:hint="eastAsia"/>
                                  <w:szCs w:val="21"/>
                                </w:rPr>
                                <w:t>0.</w:t>
                              </w:r>
                              <w:r>
                                <w:rPr>
                                  <w:rFonts w:hint="eastAsia"/>
                                  <w:szCs w:val="21"/>
                                  <w:lang w:val="en-US" w:eastAsia="zh-CN"/>
                                </w:rPr>
                                <w:t>074</w:t>
                              </w:r>
                            </w:p>
                          </w:txbxContent>
                        </wps:txbx>
                        <wps:bodyPr upright="1"/>
                      </wps:wsp>
                      <wps:wsp>
                        <wps:cNvPr id="183" name="自选图形 854"/>
                        <wps:cNvCnPr/>
                        <wps:spPr>
                          <a:xfrm flipV="1">
                            <a:off x="2228215" y="392430"/>
                            <a:ext cx="635" cy="303530"/>
                          </a:xfrm>
                          <a:prstGeom prst="straightConnector1">
                            <a:avLst/>
                          </a:prstGeom>
                          <a:ln w="9525" cap="flat" cmpd="sng">
                            <a:solidFill>
                              <a:srgbClr val="000000"/>
                            </a:solidFill>
                            <a:prstDash val="solid"/>
                            <a:headEnd type="none" w="med" len="med"/>
                            <a:tailEnd type="triangle" w="med" len="med"/>
                          </a:ln>
                        </wps:spPr>
                        <wps:bodyPr/>
                      </wps:wsp>
                      <wps:wsp>
                        <wps:cNvPr id="184" name="矩形 855"/>
                        <wps:cNvSpPr/>
                        <wps:spPr>
                          <a:xfrm>
                            <a:off x="2034540" y="112395"/>
                            <a:ext cx="1264920" cy="280035"/>
                          </a:xfrm>
                          <a:prstGeom prst="rect">
                            <a:avLst/>
                          </a:prstGeom>
                          <a:no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ascii="宋体" w:hAnsi="宋体"/>
                                  <w:szCs w:val="21"/>
                                </w:rPr>
                                <w:t>猪粪含水</w:t>
                              </w:r>
                              <w:r>
                                <w:rPr>
                                  <w:rFonts w:hint="eastAsia"/>
                                  <w:szCs w:val="21"/>
                                  <w:lang w:val="en-US" w:eastAsia="zh-CN"/>
                                </w:rPr>
                                <w:t>3.4</w:t>
                              </w:r>
                            </w:p>
                          </w:txbxContent>
                        </wps:txbx>
                        <wps:bodyPr upright="1"/>
                      </wps:wsp>
                      <wps:wsp>
                        <wps:cNvPr id="185" name="矩形 856"/>
                        <wps:cNvSpPr/>
                        <wps:spPr>
                          <a:xfrm>
                            <a:off x="645160" y="112395"/>
                            <a:ext cx="1264920" cy="280035"/>
                          </a:xfrm>
                          <a:prstGeom prst="rect">
                            <a:avLst/>
                          </a:prstGeom>
                          <a:no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ascii="宋体" w:hAnsi="宋体"/>
                                  <w:szCs w:val="21"/>
                                </w:rPr>
                                <w:t>体能损耗</w:t>
                              </w:r>
                              <w:r>
                                <w:rPr>
                                  <w:rFonts w:hint="eastAsia"/>
                                  <w:szCs w:val="21"/>
                                  <w:lang w:val="en-US" w:eastAsia="zh-CN"/>
                                </w:rPr>
                                <w:t>21.716</w:t>
                              </w:r>
                            </w:p>
                          </w:txbxContent>
                        </wps:txbx>
                        <wps:bodyPr upright="1"/>
                      </wps:wsp>
                      <wps:wsp>
                        <wps:cNvPr id="186" name="矩形 857"/>
                        <wps:cNvSpPr/>
                        <wps:spPr>
                          <a:xfrm>
                            <a:off x="2456180" y="612775"/>
                            <a:ext cx="1119505" cy="280035"/>
                          </a:xfrm>
                          <a:prstGeom prst="rect">
                            <a:avLst/>
                          </a:prstGeom>
                          <a:noFill/>
                          <a:ln>
                            <a:noFill/>
                          </a:ln>
                        </wps:spPr>
                        <wps:txbx>
                          <w:txbxContent>
                            <w:p>
                              <w:pPr>
                                <w:rPr>
                                  <w:rFonts w:hint="eastAsia" w:eastAsia="宋体"/>
                                  <w:lang w:eastAsia="zh-CN"/>
                                </w:rPr>
                              </w:pPr>
                              <w:r>
                                <w:rPr>
                                  <w:rFonts w:hint="eastAsia" w:ascii="宋体" w:hAnsi="宋体"/>
                                  <w:szCs w:val="21"/>
                                </w:rPr>
                                <w:t>猪尿</w:t>
                              </w:r>
                              <w:r>
                                <w:rPr>
                                  <w:rFonts w:hint="eastAsia"/>
                                  <w:szCs w:val="21"/>
                                  <w:lang w:eastAsia="zh-CN"/>
                                </w:rPr>
                                <w:t>21.084</w:t>
                              </w:r>
                            </w:p>
                          </w:txbxContent>
                        </wps:txbx>
                        <wps:bodyPr upright="1"/>
                      </wps:wsp>
                      <wps:wsp>
                        <wps:cNvPr id="187" name="矩形 858"/>
                        <wps:cNvSpPr/>
                        <wps:spPr>
                          <a:xfrm>
                            <a:off x="965835" y="612775"/>
                            <a:ext cx="763905" cy="280035"/>
                          </a:xfrm>
                          <a:prstGeom prst="rect">
                            <a:avLst/>
                          </a:prstGeom>
                          <a:noFill/>
                          <a:ln>
                            <a:noFill/>
                          </a:ln>
                        </wps:spPr>
                        <wps:txbx>
                          <w:txbxContent>
                            <w:p>
                              <w:pPr>
                                <w:rPr>
                                  <w:rFonts w:hint="default" w:eastAsia="宋体"/>
                                  <w:lang w:val="en-US" w:eastAsia="zh-CN"/>
                                </w:rPr>
                              </w:pPr>
                              <w:r>
                                <w:rPr>
                                  <w:rFonts w:hint="eastAsia"/>
                                  <w:szCs w:val="21"/>
                                  <w:lang w:val="en-US" w:eastAsia="zh-CN"/>
                                </w:rPr>
                                <w:t>46.2</w:t>
                              </w:r>
                            </w:p>
                          </w:txbxContent>
                        </wps:txbx>
                        <wps:bodyPr upright="1"/>
                      </wps:wsp>
                      <wps:wsp>
                        <wps:cNvPr id="188" name="矩形 859"/>
                        <wps:cNvSpPr/>
                        <wps:spPr>
                          <a:xfrm>
                            <a:off x="1047750" y="1257300"/>
                            <a:ext cx="763905" cy="280035"/>
                          </a:xfrm>
                          <a:prstGeom prst="rect">
                            <a:avLst/>
                          </a:prstGeom>
                          <a:noFill/>
                          <a:ln>
                            <a:noFill/>
                          </a:ln>
                        </wps:spPr>
                        <wps:txbx>
                          <w:txbxContent>
                            <w:p>
                              <w:pPr>
                                <w:rPr>
                                  <w:rFonts w:hint="eastAsia" w:eastAsia="宋体"/>
                                  <w:lang w:val="en-US" w:eastAsia="zh-CN"/>
                                </w:rPr>
                              </w:pPr>
                              <w:r>
                                <w:rPr>
                                  <w:rFonts w:hint="eastAsia"/>
                                  <w:szCs w:val="21"/>
                                </w:rPr>
                                <w:t>1.</w:t>
                              </w:r>
                              <w:r>
                                <w:rPr>
                                  <w:rFonts w:hint="eastAsia"/>
                                  <w:szCs w:val="21"/>
                                  <w:lang w:val="en-US" w:eastAsia="zh-CN"/>
                                </w:rPr>
                                <w:t>6</w:t>
                              </w:r>
                            </w:p>
                          </w:txbxContent>
                        </wps:txbx>
                        <wps:bodyPr upright="1"/>
                      </wps:wsp>
                      <wps:wsp>
                        <wps:cNvPr id="189" name="矩形 860"/>
                        <wps:cNvSpPr/>
                        <wps:spPr>
                          <a:xfrm>
                            <a:off x="2493645" y="1294765"/>
                            <a:ext cx="763905" cy="280035"/>
                          </a:xfrm>
                          <a:prstGeom prst="rect">
                            <a:avLst/>
                          </a:prstGeom>
                          <a:noFill/>
                          <a:ln>
                            <a:noFill/>
                          </a:ln>
                        </wps:spPr>
                        <wps:txbx>
                          <w:txbxContent>
                            <w:p>
                              <w:r>
                                <w:rPr>
                                  <w:rFonts w:hint="eastAsia"/>
                                </w:rPr>
                                <w:t>1.17</w:t>
                              </w:r>
                            </w:p>
                          </w:txbxContent>
                        </wps:txbx>
                        <wps:bodyPr upright="1"/>
                      </wps:wsp>
                      <wps:wsp>
                        <wps:cNvPr id="190" name="自选图形 861"/>
                        <wps:cNvSpPr/>
                        <wps:spPr>
                          <a:xfrm>
                            <a:off x="2188845" y="975360"/>
                            <a:ext cx="749300" cy="319405"/>
                          </a:xfrm>
                          <a:prstGeom prst="cloudCallout">
                            <a:avLst>
                              <a:gd name="adj1" fmla="val -70255"/>
                              <a:gd name="adj2" fmla="val 62125"/>
                            </a:avLst>
                          </a:prstGeom>
                          <a:noFill/>
                          <a:ln w="9525" cap="flat" cmpd="sng">
                            <a:solidFill>
                              <a:srgbClr val="000000"/>
                            </a:solidFill>
                            <a:prstDash val="solid"/>
                            <a:headEnd type="none" w="med" len="med"/>
                            <a:tailEnd type="none" w="med" len="med"/>
                          </a:ln>
                        </wps:spPr>
                        <wps:txbx>
                          <w:txbxContent>
                            <w:p>
                              <w:r>
                                <w:rPr>
                                  <w:rFonts w:hint="eastAsia"/>
                                  <w:szCs w:val="21"/>
                                </w:rPr>
                                <w:t>0.13</w:t>
                              </w:r>
                            </w:p>
                          </w:txbxContent>
                        </wps:txbx>
                        <wps:bodyPr upright="1"/>
                      </wps:wsp>
                      <wps:wsp>
                        <wps:cNvPr id="191" name="自选图形 862"/>
                        <wps:cNvSpPr/>
                        <wps:spPr>
                          <a:xfrm>
                            <a:off x="2143125" y="1687195"/>
                            <a:ext cx="749300" cy="319405"/>
                          </a:xfrm>
                          <a:prstGeom prst="cloudCallout">
                            <a:avLst>
                              <a:gd name="adj1" fmla="val -70255"/>
                              <a:gd name="adj2" fmla="val 62125"/>
                            </a:avLst>
                          </a:prstGeom>
                          <a:noFill/>
                          <a:ln w="9525" cap="flat" cmpd="sng">
                            <a:solidFill>
                              <a:srgbClr val="000000"/>
                            </a:solidFill>
                            <a:prstDash val="solid"/>
                            <a:headEnd type="none" w="med" len="med"/>
                            <a:tailEnd type="none" w="med" len="med"/>
                          </a:ln>
                        </wps:spPr>
                        <wps:txbx>
                          <w:txbxContent>
                            <w:p>
                              <w:r>
                                <w:rPr>
                                  <w:rFonts w:hint="eastAsia"/>
                                  <w:szCs w:val="21"/>
                                </w:rPr>
                                <w:t>0.24</w:t>
                              </w:r>
                            </w:p>
                          </w:txbxContent>
                        </wps:txbx>
                        <wps:bodyPr upright="1"/>
                      </wps:wsp>
                      <wps:wsp>
                        <wps:cNvPr id="192" name="矩形 863"/>
                        <wps:cNvSpPr/>
                        <wps:spPr>
                          <a:xfrm>
                            <a:off x="1066165" y="2006600"/>
                            <a:ext cx="763905" cy="280035"/>
                          </a:xfrm>
                          <a:prstGeom prst="rect">
                            <a:avLst/>
                          </a:prstGeom>
                          <a:noFill/>
                          <a:ln>
                            <a:noFill/>
                          </a:ln>
                        </wps:spPr>
                        <wps:txbx>
                          <w:txbxContent>
                            <w:p>
                              <w:r>
                                <w:rPr>
                                  <w:rFonts w:hint="eastAsia"/>
                                </w:rPr>
                                <w:t>1.2</w:t>
                              </w:r>
                            </w:p>
                          </w:txbxContent>
                        </wps:txbx>
                        <wps:bodyPr upright="1"/>
                      </wps:wsp>
                      <wps:wsp>
                        <wps:cNvPr id="193" name="矩形 864"/>
                        <wps:cNvSpPr/>
                        <wps:spPr>
                          <a:xfrm>
                            <a:off x="2535555" y="2006600"/>
                            <a:ext cx="763905" cy="280035"/>
                          </a:xfrm>
                          <a:prstGeom prst="rect">
                            <a:avLst/>
                          </a:prstGeom>
                          <a:noFill/>
                          <a:ln>
                            <a:noFill/>
                          </a:ln>
                        </wps:spPr>
                        <wps:txbx>
                          <w:txbxContent>
                            <w:p>
                              <w:r>
                                <w:rPr>
                                  <w:rFonts w:hint="eastAsia"/>
                                  <w:szCs w:val="21"/>
                                </w:rPr>
                                <w:t>0.96</w:t>
                              </w:r>
                            </w:p>
                          </w:txbxContent>
                        </wps:txbx>
                        <wps:bodyPr upright="1"/>
                      </wps:wsp>
                      <wps:wsp>
                        <wps:cNvPr id="194" name="矩形 865"/>
                        <wps:cNvSpPr/>
                        <wps:spPr>
                          <a:xfrm>
                            <a:off x="1007110" y="3537585"/>
                            <a:ext cx="763905" cy="280035"/>
                          </a:xfrm>
                          <a:prstGeom prst="rect">
                            <a:avLst/>
                          </a:prstGeom>
                          <a:noFill/>
                          <a:ln>
                            <a:noFill/>
                          </a:ln>
                        </wps:spPr>
                        <wps:txbx>
                          <w:txbxContent>
                            <w:p>
                              <w:r>
                                <w:rPr>
                                  <w:rFonts w:hint="eastAsia"/>
                                  <w:szCs w:val="21"/>
                                </w:rPr>
                                <w:t>5.9</w:t>
                              </w:r>
                            </w:p>
                          </w:txbxContent>
                        </wps:txbx>
                        <wps:bodyPr upright="1"/>
                      </wps:wsp>
                      <wps:wsp>
                        <wps:cNvPr id="195" name="自选图形 866"/>
                        <wps:cNvSpPr/>
                        <wps:spPr>
                          <a:xfrm>
                            <a:off x="2245360" y="3270250"/>
                            <a:ext cx="844550" cy="319405"/>
                          </a:xfrm>
                          <a:prstGeom prst="cloudCallout">
                            <a:avLst>
                              <a:gd name="adj1" fmla="val -67972"/>
                              <a:gd name="adj2" fmla="val 62125"/>
                            </a:avLst>
                          </a:prstGeom>
                          <a:noFill/>
                          <a:ln w="9525" cap="flat" cmpd="sng">
                            <a:solidFill>
                              <a:srgbClr val="000000"/>
                            </a:solidFill>
                            <a:prstDash val="solid"/>
                            <a:headEnd type="none" w="med" len="med"/>
                            <a:tailEnd type="none" w="med" len="med"/>
                          </a:ln>
                        </wps:spPr>
                        <wps:txbx>
                          <w:txbxContent>
                            <w:p>
                              <w:r>
                                <w:rPr>
                                  <w:rFonts w:hint="eastAsia"/>
                                  <w:szCs w:val="21"/>
                                </w:rPr>
                                <w:t>5.9</w:t>
                              </w:r>
                            </w:p>
                          </w:txbxContent>
                        </wps:txbx>
                        <wps:bodyPr upright="1"/>
                      </wps:wsp>
                      <wps:wsp>
                        <wps:cNvPr id="196" name="矩形 867"/>
                        <wps:cNvSpPr/>
                        <wps:spPr>
                          <a:xfrm>
                            <a:off x="3101340" y="1294765"/>
                            <a:ext cx="763905" cy="280035"/>
                          </a:xfrm>
                          <a:prstGeom prst="rect">
                            <a:avLst/>
                          </a:prstGeom>
                          <a:noFill/>
                          <a:ln>
                            <a:noFill/>
                          </a:ln>
                        </wps:spPr>
                        <wps:txbx>
                          <w:txbxContent>
                            <w:p>
                              <w:pPr>
                                <w:rPr>
                                  <w:rFonts w:hint="default" w:eastAsia="宋体"/>
                                  <w:lang w:val="en-US" w:eastAsia="zh-CN"/>
                                </w:rPr>
                              </w:pPr>
                              <w:r>
                                <w:rPr>
                                  <w:rFonts w:hint="eastAsia"/>
                                  <w:szCs w:val="21"/>
                                  <w:lang w:val="en-US" w:eastAsia="zh-CN"/>
                                </w:rPr>
                                <w:t>23.214</w:t>
                              </w:r>
                            </w:p>
                          </w:txbxContent>
                        </wps:txbx>
                        <wps:bodyPr upright="1"/>
                      </wps:wsp>
                      <wps:wsp>
                        <wps:cNvPr id="197" name="自选图形 868"/>
                        <wps:cNvCnPr/>
                        <wps:spPr>
                          <a:xfrm>
                            <a:off x="3299460" y="252730"/>
                            <a:ext cx="464185" cy="1270"/>
                          </a:xfrm>
                          <a:prstGeom prst="straightConnector1">
                            <a:avLst/>
                          </a:prstGeom>
                          <a:ln w="9525" cap="flat" cmpd="sng">
                            <a:solidFill>
                              <a:srgbClr val="000000"/>
                            </a:solidFill>
                            <a:prstDash val="solid"/>
                            <a:headEnd type="none" w="med" len="med"/>
                            <a:tailEnd type="triangle" w="med" len="med"/>
                          </a:ln>
                        </wps:spPr>
                        <wps:bodyPr/>
                      </wps:wsp>
                      <wps:wsp>
                        <wps:cNvPr id="198" name="自选图形 870"/>
                        <wps:cNvCnPr/>
                        <wps:spPr>
                          <a:xfrm>
                            <a:off x="4111625" y="451485"/>
                            <a:ext cx="635" cy="915670"/>
                          </a:xfrm>
                          <a:prstGeom prst="straightConnector1">
                            <a:avLst/>
                          </a:prstGeom>
                          <a:ln w="9525" cap="flat" cmpd="sng">
                            <a:solidFill>
                              <a:srgbClr val="000000"/>
                            </a:solidFill>
                            <a:prstDash val="solid"/>
                            <a:headEnd type="none" w="med" len="med"/>
                            <a:tailEnd type="triangle" w="med" len="med"/>
                          </a:ln>
                        </wps:spPr>
                        <wps:bodyPr/>
                      </wps:wsp>
                      <wps:wsp>
                        <wps:cNvPr id="199" name="矩形 871"/>
                        <wps:cNvSpPr/>
                        <wps:spPr>
                          <a:xfrm>
                            <a:off x="4017645" y="695325"/>
                            <a:ext cx="485140" cy="280035"/>
                          </a:xfrm>
                          <a:prstGeom prst="rect">
                            <a:avLst/>
                          </a:prstGeom>
                          <a:noFill/>
                          <a:ln>
                            <a:noFill/>
                          </a:ln>
                        </wps:spPr>
                        <wps:txbx>
                          <w:txbxContent>
                            <w:p>
                              <w:pPr>
                                <w:rPr>
                                  <w:rFonts w:hint="eastAsia" w:eastAsia="宋体"/>
                                  <w:lang w:eastAsia="zh-CN"/>
                                </w:rPr>
                              </w:pPr>
                              <w:r>
                                <w:rPr>
                                  <w:rFonts w:hint="eastAsia"/>
                                  <w:szCs w:val="21"/>
                                  <w:lang w:eastAsia="zh-CN"/>
                                </w:rPr>
                                <w:t>2.88</w:t>
                              </w:r>
                            </w:p>
                          </w:txbxContent>
                        </wps:txbx>
                        <wps:bodyPr upright="1"/>
                      </wps:wsp>
                      <wps:wsp>
                        <wps:cNvPr id="200" name="矩形 878"/>
                        <wps:cNvSpPr/>
                        <wps:spPr>
                          <a:xfrm>
                            <a:off x="495935" y="1955800"/>
                            <a:ext cx="763905" cy="280035"/>
                          </a:xfrm>
                          <a:prstGeom prst="rect">
                            <a:avLst/>
                          </a:prstGeom>
                          <a:noFill/>
                          <a:ln>
                            <a:noFill/>
                          </a:ln>
                        </wps:spPr>
                        <wps:txbx>
                          <w:txbxContent>
                            <w:p>
                              <w:pPr>
                                <w:rPr>
                                  <w:rFonts w:hint="default" w:eastAsia="宋体"/>
                                  <w:lang w:val="en-US" w:eastAsia="zh-CN"/>
                                </w:rPr>
                              </w:pPr>
                              <w:r>
                                <w:rPr>
                                  <w:rFonts w:hint="eastAsia"/>
                                  <w:szCs w:val="21"/>
                                  <w:lang w:val="en-US" w:eastAsia="zh-CN"/>
                                </w:rPr>
                                <w:t>54.9</w:t>
                              </w:r>
                            </w:p>
                          </w:txbxContent>
                        </wps:txbx>
                        <wps:bodyPr upright="1"/>
                      </wps:wsp>
                      <wps:wsp>
                        <wps:cNvPr id="201" name="自选图形 879"/>
                        <wps:cNvCnPr/>
                        <wps:spPr>
                          <a:xfrm>
                            <a:off x="4110990" y="2445385"/>
                            <a:ext cx="635" cy="865505"/>
                          </a:xfrm>
                          <a:prstGeom prst="straightConnector1">
                            <a:avLst/>
                          </a:prstGeom>
                          <a:ln w="9525" cap="flat" cmpd="sng">
                            <a:solidFill>
                              <a:srgbClr val="000000"/>
                            </a:solidFill>
                            <a:prstDash val="solid"/>
                            <a:headEnd type="none" w="med" len="med"/>
                            <a:tailEnd type="triangle" w="med" len="med"/>
                          </a:ln>
                        </wps:spPr>
                        <wps:bodyPr/>
                      </wps:wsp>
                      <wps:wsp>
                        <wps:cNvPr id="202" name="矩形 880"/>
                        <wps:cNvSpPr/>
                        <wps:spPr>
                          <a:xfrm>
                            <a:off x="3769360" y="3308985"/>
                            <a:ext cx="645795" cy="280670"/>
                          </a:xfrm>
                          <a:prstGeom prst="rect">
                            <a:avLst/>
                          </a:prstGeom>
                          <a:noFill/>
                          <a:ln w="9525" cap="flat" cmpd="sng">
                            <a:solidFill>
                              <a:srgbClr val="000000"/>
                            </a:solidFill>
                            <a:prstDash val="solid"/>
                            <a:miter/>
                            <a:headEnd type="none" w="med" len="med"/>
                            <a:tailEnd type="none" w="med" len="med"/>
                          </a:ln>
                        </wps:spPr>
                        <wps:txbx>
                          <w:txbxContent>
                            <w:p>
                              <w:pPr>
                                <w:rPr>
                                  <w:rFonts w:hint="eastAsia"/>
                                </w:rPr>
                              </w:pPr>
                              <w:r>
                                <w:rPr>
                                  <w:rFonts w:hint="eastAsia" w:ascii="宋体" w:hAnsi="宋体"/>
                                  <w:szCs w:val="21"/>
                                </w:rPr>
                                <w:t>农肥</w:t>
                              </w:r>
                            </w:p>
                          </w:txbxContent>
                        </wps:txbx>
                        <wps:bodyPr upright="1"/>
                      </wps:wsp>
                      <wps:wsp>
                        <wps:cNvPr id="203" name="矩形 881"/>
                        <wps:cNvSpPr/>
                        <wps:spPr>
                          <a:xfrm>
                            <a:off x="4116070" y="1800860"/>
                            <a:ext cx="763905" cy="280035"/>
                          </a:xfrm>
                          <a:prstGeom prst="rect">
                            <a:avLst/>
                          </a:prstGeom>
                          <a:noFill/>
                          <a:ln>
                            <a:noFill/>
                          </a:ln>
                        </wps:spPr>
                        <wps:txbx>
                          <w:txbxContent>
                            <w:p>
                              <w:pPr>
                                <w:rPr>
                                  <w:rFonts w:hint="default" w:eastAsia="宋体"/>
                                  <w:lang w:val="en-US" w:eastAsia="zh-CN"/>
                                </w:rPr>
                              </w:pPr>
                              <w:r>
                                <w:rPr>
                                  <w:rFonts w:hint="eastAsia"/>
                                  <w:szCs w:val="21"/>
                                  <w:lang w:val="en-US" w:eastAsia="zh-CN"/>
                                </w:rPr>
                                <w:t>26.02</w:t>
                              </w:r>
                            </w:p>
                          </w:txbxContent>
                        </wps:txbx>
                        <wps:bodyPr upright="1"/>
                      </wps:wsp>
                      <wps:wsp>
                        <wps:cNvPr id="205" name="自选图形 882"/>
                        <wps:cNvCnPr/>
                        <wps:spPr>
                          <a:xfrm>
                            <a:off x="6144895" y="221615"/>
                            <a:ext cx="498475" cy="1270"/>
                          </a:xfrm>
                          <a:prstGeom prst="straightConnector1">
                            <a:avLst/>
                          </a:prstGeom>
                          <a:ln w="9525" cap="flat" cmpd="sng">
                            <a:solidFill>
                              <a:srgbClr val="000000"/>
                            </a:solidFill>
                            <a:prstDash val="solid"/>
                            <a:headEnd type="none" w="med" len="med"/>
                            <a:tailEnd type="triangle" w="med" len="med"/>
                          </a:ln>
                        </wps:spPr>
                        <wps:bodyPr/>
                      </wps:wsp>
                      <wps:wsp>
                        <wps:cNvPr id="206" name="矩形 883"/>
                        <wps:cNvSpPr/>
                        <wps:spPr>
                          <a:xfrm>
                            <a:off x="5295900" y="95250"/>
                            <a:ext cx="848995" cy="344805"/>
                          </a:xfrm>
                          <a:prstGeom prst="rect">
                            <a:avLst/>
                          </a:prstGeom>
                          <a:noFill/>
                          <a:ln w="9525" cap="flat" cmpd="sng">
                            <a:solidFill>
                              <a:srgbClr val="000000"/>
                            </a:solidFill>
                            <a:prstDash val="solid"/>
                            <a:miter/>
                            <a:headEnd type="none" w="med" len="med"/>
                            <a:tailEnd type="none" w="med" len="med"/>
                          </a:ln>
                        </wps:spPr>
                        <wps:txbx>
                          <w:txbxContent>
                            <w:p>
                              <w:r>
                                <w:rPr>
                                  <w:rFonts w:hint="eastAsia" w:ascii="宋体" w:hAnsi="宋体"/>
                                  <w:szCs w:val="21"/>
                                </w:rPr>
                                <w:t>堆肥发酵</w:t>
                              </w:r>
                            </w:p>
                          </w:txbxContent>
                        </wps:txbx>
                        <wps:bodyPr upright="1"/>
                      </wps:wsp>
                      <wps:wsp>
                        <wps:cNvPr id="207" name="自选图形 884"/>
                        <wps:cNvCnPr/>
                        <wps:spPr>
                          <a:xfrm flipH="1">
                            <a:off x="4801235" y="892810"/>
                            <a:ext cx="78740" cy="189230"/>
                          </a:xfrm>
                          <a:prstGeom prst="straightConnector1">
                            <a:avLst/>
                          </a:prstGeom>
                          <a:ln>
                            <a:noFill/>
                          </a:ln>
                        </wps:spPr>
                        <wps:bodyPr/>
                      </wps:wsp>
                      <wps:wsp>
                        <wps:cNvPr id="208" name="直线 887"/>
                        <wps:cNvCnPr/>
                        <wps:spPr>
                          <a:xfrm>
                            <a:off x="4495800" y="221615"/>
                            <a:ext cx="800100" cy="0"/>
                          </a:xfrm>
                          <a:prstGeom prst="line">
                            <a:avLst/>
                          </a:prstGeom>
                          <a:ln w="9525" cap="flat" cmpd="sng">
                            <a:solidFill>
                              <a:srgbClr val="000000"/>
                            </a:solidFill>
                            <a:prstDash val="solid"/>
                            <a:headEnd type="none" w="med" len="med"/>
                            <a:tailEnd type="triangle" w="med" len="med"/>
                          </a:ln>
                        </wps:spPr>
                        <wps:bodyPr upright="1"/>
                      </wps:wsp>
                      <wps:wsp>
                        <wps:cNvPr id="209" name="直线 1038"/>
                        <wps:cNvCnPr/>
                        <wps:spPr>
                          <a:xfrm>
                            <a:off x="5121910" y="1485900"/>
                            <a:ext cx="800100" cy="635"/>
                          </a:xfrm>
                          <a:prstGeom prst="line">
                            <a:avLst/>
                          </a:prstGeom>
                          <a:ln w="9525" cap="flat" cmpd="sng">
                            <a:solidFill>
                              <a:srgbClr val="000000"/>
                            </a:solidFill>
                            <a:prstDash val="solid"/>
                            <a:headEnd type="none" w="med" len="med"/>
                            <a:tailEnd type="triangle" w="med" len="med"/>
                          </a:ln>
                        </wps:spPr>
                        <wps:bodyPr upright="1"/>
                      </wps:wsp>
                      <wps:wsp>
                        <wps:cNvPr id="210" name="自选图形 851"/>
                        <wps:cNvCnPr/>
                        <wps:spPr>
                          <a:xfrm>
                            <a:off x="4110355" y="1776730"/>
                            <a:ext cx="635" cy="434340"/>
                          </a:xfrm>
                          <a:prstGeom prst="straightConnector1">
                            <a:avLst/>
                          </a:prstGeom>
                          <a:ln w="9525" cap="flat" cmpd="sng">
                            <a:solidFill>
                              <a:srgbClr val="000000"/>
                            </a:solidFill>
                            <a:prstDash val="solid"/>
                            <a:headEnd type="none" w="med" len="med"/>
                            <a:tailEnd type="triangle" w="med" len="med"/>
                          </a:ln>
                        </wps:spPr>
                        <wps:bodyPr/>
                      </wps:wsp>
                      <wps:wsp>
                        <wps:cNvPr id="211" name="自选图形 1308"/>
                        <wps:cNvCnPr/>
                        <wps:spPr>
                          <a:xfrm>
                            <a:off x="6322060" y="1638300"/>
                            <a:ext cx="3810" cy="292735"/>
                          </a:xfrm>
                          <a:prstGeom prst="straightConnector1">
                            <a:avLst/>
                          </a:prstGeom>
                          <a:ln w="9525" cap="flat" cmpd="sng">
                            <a:solidFill>
                              <a:srgbClr val="000000"/>
                            </a:solidFill>
                            <a:prstDash val="solid"/>
                            <a:headEnd type="none" w="med" len="med"/>
                            <a:tailEnd type="triangle" w="med" len="med"/>
                          </a:ln>
                        </wps:spPr>
                        <wps:bodyPr/>
                      </wps:wsp>
                      <wps:wsp>
                        <wps:cNvPr id="212" name="矩形 1309"/>
                        <wps:cNvSpPr/>
                        <wps:spPr>
                          <a:xfrm>
                            <a:off x="5816600" y="1931035"/>
                            <a:ext cx="1085215" cy="273050"/>
                          </a:xfrm>
                          <a:prstGeom prst="rect">
                            <a:avLst/>
                          </a:prstGeom>
                          <a:noFill/>
                          <a:ln w="9525" cap="flat" cmpd="sng">
                            <a:solidFill>
                              <a:srgbClr val="000000"/>
                            </a:solidFill>
                            <a:prstDash val="solid"/>
                            <a:miter/>
                            <a:headEnd type="none" w="med" len="med"/>
                            <a:tailEnd type="none" w="med" len="med"/>
                          </a:ln>
                        </wps:spPr>
                        <wps:txbx>
                          <w:txbxContent>
                            <w:p>
                              <w:pPr>
                                <w:ind w:firstLine="315" w:firstLineChars="150"/>
                              </w:pPr>
                              <w:r>
                                <w:rPr>
                                  <w:rFonts w:hint="eastAsia" w:ascii="宋体" w:hAnsi="宋体"/>
                                  <w:szCs w:val="21"/>
                                </w:rPr>
                                <w:t>沼渣</w:t>
                              </w:r>
                              <w:r>
                                <w:rPr>
                                  <w:rFonts w:ascii="宋体" w:hAnsi="宋体"/>
                                  <w:szCs w:val="21"/>
                                </w:rPr>
                                <w:t>干化</w:t>
                              </w:r>
                            </w:p>
                          </w:txbxContent>
                        </wps:txbx>
                        <wps:bodyPr upright="1"/>
                      </wps:wsp>
                      <wps:wsp>
                        <wps:cNvPr id="213" name="自选图形 1310"/>
                        <wps:cNvCnPr/>
                        <wps:spPr>
                          <a:xfrm>
                            <a:off x="6058535" y="2204085"/>
                            <a:ext cx="635" cy="434340"/>
                          </a:xfrm>
                          <a:prstGeom prst="straightConnector1">
                            <a:avLst/>
                          </a:prstGeom>
                          <a:ln w="9525" cap="flat" cmpd="sng">
                            <a:solidFill>
                              <a:srgbClr val="000000"/>
                            </a:solidFill>
                            <a:prstDash val="solid"/>
                            <a:headEnd type="none" w="med" len="med"/>
                            <a:tailEnd type="triangle" w="med" len="med"/>
                          </a:ln>
                        </wps:spPr>
                        <wps:bodyPr/>
                      </wps:wsp>
                      <wps:wsp>
                        <wps:cNvPr id="214" name="自选图形 1311"/>
                        <wps:cNvCnPr/>
                        <wps:spPr>
                          <a:xfrm>
                            <a:off x="6722110" y="2204085"/>
                            <a:ext cx="635" cy="434340"/>
                          </a:xfrm>
                          <a:prstGeom prst="straightConnector1">
                            <a:avLst/>
                          </a:prstGeom>
                          <a:ln w="9525" cap="flat" cmpd="sng">
                            <a:solidFill>
                              <a:srgbClr val="000000"/>
                            </a:solidFill>
                            <a:prstDash val="solid"/>
                            <a:headEnd type="none" w="med" len="med"/>
                            <a:tailEnd type="triangle" w="med" len="med"/>
                          </a:ln>
                        </wps:spPr>
                        <wps:bodyPr/>
                      </wps:wsp>
                      <wps:wsp>
                        <wps:cNvPr id="215" name="矩形 144"/>
                        <wps:cNvSpPr/>
                        <wps:spPr>
                          <a:xfrm>
                            <a:off x="5455285" y="2625725"/>
                            <a:ext cx="1012190" cy="433070"/>
                          </a:xfrm>
                          <a:prstGeom prst="rect">
                            <a:avLst/>
                          </a:prstGeom>
                          <a:noFill/>
                          <a:ln>
                            <a:noFill/>
                          </a:ln>
                        </wps:spPr>
                        <wps:txbx>
                          <w:txbxContent>
                            <w:p>
                              <w:pPr>
                                <w:rPr>
                                  <w:rFonts w:hint="default" w:eastAsia="宋体"/>
                                  <w:lang w:val="en-US" w:eastAsia="zh-CN"/>
                                </w:rPr>
                              </w:pPr>
                              <w:r>
                                <w:rPr>
                                  <w:rFonts w:hint="eastAsia" w:ascii="宋体" w:hAnsi="宋体"/>
                                  <w:szCs w:val="21"/>
                                </w:rPr>
                                <w:t>晾晒后制有机肥基料</w:t>
                              </w:r>
                              <w:r>
                                <w:rPr>
                                  <w:rFonts w:hint="eastAsia"/>
                                  <w:szCs w:val="21"/>
                                </w:rPr>
                                <w:t>0.</w:t>
                              </w:r>
                              <w:r>
                                <w:rPr>
                                  <w:rFonts w:hint="eastAsia"/>
                                  <w:szCs w:val="21"/>
                                  <w:lang w:val="en-US" w:eastAsia="zh-CN"/>
                                </w:rPr>
                                <w:t>052</w:t>
                              </w:r>
                            </w:p>
                          </w:txbxContent>
                        </wps:txbx>
                        <wps:bodyPr upright="1"/>
                      </wps:wsp>
                      <wps:wsp>
                        <wps:cNvPr id="216" name="矩形 165"/>
                        <wps:cNvSpPr/>
                        <wps:spPr>
                          <a:xfrm>
                            <a:off x="2147483647" y="437043195"/>
                            <a:ext cx="308063900" cy="177822225"/>
                          </a:xfrm>
                          <a:prstGeom prst="rect">
                            <a:avLst/>
                          </a:prstGeom>
                          <a:noFill/>
                          <a:ln w="9525">
                            <a:noFill/>
                          </a:ln>
                          <a:effectLst/>
                        </wps:spPr>
                        <wps:txbx>
                          <w:txbxContent>
                            <w:p>
                              <w:pPr>
                                <w:jc w:val="center"/>
                                <w:rPr>
                                  <w:rFonts w:hint="default" w:eastAsia="宋体"/>
                                  <w:szCs w:val="21"/>
                                  <w:lang w:val="en-US" w:eastAsia="zh-CN"/>
                                </w:rPr>
                              </w:pPr>
                              <w:r>
                                <w:rPr>
                                  <w:rFonts w:hint="eastAsia"/>
                                  <w:szCs w:val="21"/>
                                </w:rPr>
                                <w:t xml:space="preserve">自然蒸发 </w:t>
                              </w:r>
                              <w:r>
                                <w:rPr>
                                  <w:rFonts w:hint="eastAsia"/>
                                  <w:szCs w:val="21"/>
                                  <w:lang w:val="en-US" w:eastAsia="zh-CN"/>
                                </w:rPr>
                                <w:t>0.022</w:t>
                              </w:r>
                            </w:p>
                          </w:txbxContent>
                        </wps:txbx>
                        <wps:bodyPr upright="1"/>
                      </wps:wsp>
                      <wps:wsp>
                        <wps:cNvPr id="217" name="自选图形 1314"/>
                        <wps:cNvCnPr/>
                        <wps:spPr>
                          <a:xfrm>
                            <a:off x="5679440" y="440055"/>
                            <a:ext cx="635" cy="434340"/>
                          </a:xfrm>
                          <a:prstGeom prst="straightConnector1">
                            <a:avLst/>
                          </a:prstGeom>
                          <a:ln w="9525" cap="flat" cmpd="sng">
                            <a:solidFill>
                              <a:srgbClr val="000000"/>
                            </a:solidFill>
                            <a:prstDash val="solid"/>
                            <a:headEnd type="none" w="med" len="med"/>
                            <a:tailEnd type="triangle" w="med" len="med"/>
                          </a:ln>
                        </wps:spPr>
                        <wps:bodyPr/>
                      </wps:wsp>
                      <wps:wsp>
                        <wps:cNvPr id="218" name="矩形 165"/>
                        <wps:cNvSpPr/>
                        <wps:spPr>
                          <a:xfrm>
                            <a:off x="2147483647" y="437043195"/>
                            <a:ext cx="308063900" cy="177822225"/>
                          </a:xfrm>
                          <a:prstGeom prst="rect">
                            <a:avLst/>
                          </a:prstGeom>
                          <a:noFill/>
                          <a:ln w="9525">
                            <a:noFill/>
                          </a:ln>
                          <a:effectLst/>
                        </wps:spPr>
                        <wps:txbx>
                          <w:txbxContent>
                            <w:p>
                              <w:pPr>
                                <w:jc w:val="center"/>
                                <w:rPr>
                                  <w:szCs w:val="21"/>
                                </w:rPr>
                              </w:pPr>
                              <w:r>
                                <w:rPr>
                                  <w:rFonts w:hint="eastAsia"/>
                                  <w:szCs w:val="21"/>
                                </w:rPr>
                                <w:t>自然蒸发0.448</w:t>
                              </w:r>
                            </w:p>
                          </w:txbxContent>
                        </wps:txbx>
                        <wps:bodyPr upright="1"/>
                      </wps:wsp>
                      <wps:wsp>
                        <wps:cNvPr id="219" name="矩形 1328"/>
                        <wps:cNvSpPr/>
                        <wps:spPr>
                          <a:xfrm>
                            <a:off x="4182745" y="2778125"/>
                            <a:ext cx="763905" cy="280035"/>
                          </a:xfrm>
                          <a:prstGeom prst="rect">
                            <a:avLst/>
                          </a:prstGeom>
                          <a:noFill/>
                          <a:ln>
                            <a:noFill/>
                          </a:ln>
                        </wps:spPr>
                        <wps:txbx>
                          <w:txbxContent>
                            <w:p>
                              <w:pPr>
                                <w:rPr>
                                  <w:rFonts w:hint="default" w:eastAsia="宋体"/>
                                  <w:lang w:val="en-US" w:eastAsia="zh-CN"/>
                                </w:rPr>
                              </w:pPr>
                              <w:r>
                                <w:rPr>
                                  <w:rFonts w:hint="eastAsia"/>
                                  <w:lang w:val="en-US" w:eastAsia="zh-CN"/>
                                </w:rPr>
                                <w:t>26.02</w:t>
                              </w:r>
                            </w:p>
                          </w:txbxContent>
                        </wps:txbx>
                        <wps:bodyPr upright="1"/>
                      </wps:wsp>
                      <wps:wsp>
                        <wps:cNvPr id="220" name="矩形 2033"/>
                        <wps:cNvSpPr/>
                        <wps:spPr>
                          <a:xfrm>
                            <a:off x="3771265" y="72390"/>
                            <a:ext cx="732155" cy="342900"/>
                          </a:xfrm>
                          <a:prstGeom prst="rect">
                            <a:avLst/>
                          </a:prstGeom>
                          <a:noFill/>
                          <a:ln w="9525" cap="flat" cmpd="sng">
                            <a:solidFill>
                              <a:srgbClr val="000000"/>
                            </a:solidFill>
                            <a:prstDash val="solid"/>
                            <a:miter/>
                            <a:headEnd type="none" w="med" len="med"/>
                            <a:tailEnd type="none" w="med" len="med"/>
                          </a:ln>
                        </wps:spPr>
                        <wps:txbx>
                          <w:txbxContent>
                            <w:p>
                              <w:pPr>
                                <w:rPr>
                                  <w:rFonts w:hint="eastAsia"/>
                                </w:rPr>
                              </w:pPr>
                              <w:r>
                                <w:rPr>
                                  <w:rFonts w:hint="eastAsia" w:ascii="宋体" w:hAnsi="宋体"/>
                                  <w:szCs w:val="21"/>
                                </w:rPr>
                                <w:t>固液分离</w:t>
                              </w:r>
                            </w:p>
                          </w:txbxContent>
                        </wps:txbx>
                        <wps:bodyPr upright="1"/>
                      </wps:wsp>
                    </wpc:wpc>
                  </a:graphicData>
                </a:graphic>
              </wp:inline>
            </w:drawing>
          </mc:Choice>
          <mc:Fallback>
            <w:pict>
              <v:group id="画布 829" o:spid="_x0000_s1026" o:spt="203" style="height:314pt;width:639.45pt;" coordsize="8121015,3987800" editas="canvas"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">
                <o:lock v:ext="edit" aspectratio="f"/>
                <v:shape id="画布 829" o:spid="_x0000_s1026" style="position:absolute;left:0;top:0;height:3987800;width:812101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">
                  <v:fill on="f" focussize="0,0"/>
                  <v:stroke on="f"/>
                  <v:imagedata o:title=""/>
                  <o:lock v:ext="edit" aspectratio="t"/>
                </v:shape>
                <v:rect id="矩形 831" o:spid="_x0000_s1026" o:spt="1" style="position:absolute;left:233045;top:1891030;height:778510;width:354965;"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lhavrVAAAABgEAAA8AAAAAAAAAAQAgAAAAIgAA&#10;AGRycy9kb3ducmV2LnhtbFBLAQIUABQAAAAIAIdO4kA1v2oVCwIAAA4EAAAOAAAAAAAAAAEAIAAA&#10;ACQBAABkcnMvZTJvRG9jLnhtbFBLBQYAAAAABgAGAFkBAAChBQAAAAA=&#10;">
                  <v:fill on="f" focussize="0,0"/>
                  <v:stroke color="#000000" joinstyle="miter"/>
                  <v:imagedata o:title=""/>
                  <o:lock v:ext="edit" aspectratio="f"/>
                  <v:textbox>
                    <w:txbxContent>
                      <w:p>
                        <w:pPr>
                          <w:rPr>
                            <w:rFonts w:ascii="宋体" w:hAnsi="宋体"/>
                            <w:szCs w:val="21"/>
                          </w:rPr>
                        </w:pPr>
                        <w:r>
                          <w:rPr>
                            <w:rFonts w:hint="eastAsia" w:ascii="宋体" w:hAnsi="宋体"/>
                            <w:szCs w:val="21"/>
                          </w:rPr>
                          <w:t>新鲜水</w:t>
                        </w:r>
                      </w:p>
                    </w:txbxContent>
                  </v:textbox>
                </v:rect>
                <v:shape id="自选图形 832" o:spid="_x0000_s1026" o:spt="32" type="#_x0000_t32" style="position:absolute;left:645160;top:2204085;height:635;width:402590;"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9y6kzdcAAAAGAQAADwAAAAAAAAABACAA&#10;AAAiAAAAZHJzL2Rvd25yZXYueG1sUEsBAhQAFAAAAAgAh07iQMMM/LcOAgAA9wMAAA4AAAAAAAAA&#10;AQAgAAAAJgEAAGRycy9lMm9Eb2MueG1sUEsFBgAAAAAGAAYAWQEAAKYFAAAAAA==&#10;">
                  <v:fill on="f" focussize="0,0"/>
                  <v:stroke color="#000000" joinstyle="round" endarrow="block"/>
                  <v:imagedata o:title=""/>
                  <o:lock v:ext="edit" aspectratio="f"/>
                </v:shape>
                <v:shape id="自选图形 833" o:spid="_x0000_s1026" o:spt="32" type="#_x0000_t32" style="position:absolute;left:1047750;top:805180;flip:x;height:2975610;width:11430;" filled="f" stroked="t" coordsize="21600,21600" o:gfxdata="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iokU1QAAAAYBAAAPAAAAAAAAAAEAIAAA&#10;ACIAAABkcnMvZG93bnJldi54bWxQSwECFAAUAAAACACHTuJACmQA/A8CAAAABAAADgAAAAAAAAAB&#10;ACAAAAAkAQAAZHJzL2Uyb0RvYy54bWxQSwUGAAAAAAYABgBZAQAApQUAAAAA&#10;">
                  <v:fill on="f" focussize="0,0"/>
                  <v:stroke color="#000000" joinstyle="round"/>
                  <v:imagedata o:title=""/>
                  <o:lock v:ext="edit" aspectratio="f"/>
                </v:shape>
                <v:shape id="自选图形 834" o:spid="_x0000_s1026" o:spt="32" type="#_x0000_t32" style="position:absolute;left:1059180;top:805180;height:0;width:466090;"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cupM3XAAAABgEAAA8AAAAAAAAAAQAgAAAAIgAA&#10;AGRycy9kb3ducmV2LnhtbFBLAQIUABQAAAAIAIdO4kA2NRSrCQIAAPUDAAAOAAAAAAAAAAEAIAAA&#10;ACYBAABkcnMvZTJvRG9jLnhtbFBLBQYAAAAABgAGAFkBAAChBQAAAAA=&#10;">
                  <v:fill on="f" focussize="0,0"/>
                  <v:stroke color="#000000" joinstyle="round" endarrow="block"/>
                  <v:imagedata o:title=""/>
                  <o:lock v:ext="edit" aspectratio="f"/>
                </v:shape>
                <v:shape id="自选图形 835" o:spid="_x0000_s1026" o:spt="32" type="#_x0000_t32" style="position:absolute;left:1066165;top:1487170;height:1270;width:466090;"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3LqTN1wAAAAYBAAAPAAAAAAAAAAEAIAAA&#10;ACIAAABkcnMvZG93bnJldi54bWxQSwECFAAUAAAACACHTuJAJfnWbA0CAAD5AwAADgAAAAAAAAAB&#10;ACAAAAAmAQAAZHJzL2Uyb0RvYy54bWxQSwUGAAAAAAYABgBZAQAApQUAAAAA&#10;">
                  <v:fill on="f" focussize="0,0"/>
                  <v:stroke color="#000000" joinstyle="round" endarrow="block"/>
                  <v:imagedata o:title=""/>
                  <o:lock v:ext="edit" aspectratio="f"/>
                </v:shape>
                <v:shape id="自选图形 836" o:spid="_x0000_s1026" o:spt="32" type="#_x0000_t32" style="position:absolute;left:1066165;top:3780790;height:635;width:466090;"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cupM3XAAAABgEAAA8AAAAAAAAAAQAgAAAA&#10;IgAAAGRycy9kb3ducmV2LnhtbFBLAQIUABQAAAAIAIdO4kBPX4BkDAIAAPgDAAAOAAAAAAAAAAEA&#10;IAAAACYBAABkcnMvZTJvRG9jLnhtbFBLBQYAAAAABgAGAFkBAACkBQAAAAA=&#10;">
                  <v:fill on="f" focussize="0,0"/>
                  <v:stroke color="#000000" joinstyle="round" endarrow="block"/>
                  <v:imagedata o:title=""/>
                  <o:lock v:ext="edit" aspectratio="f"/>
                </v:shape>
                <v:shape id="自选图形 837" o:spid="_x0000_s1026" o:spt="32" type="#_x0000_t32" style="position:absolute;left:1066165;top:2210435;height:635;width:466090;"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cupM3XAAAABgEAAA8AAAAAAAAAAQAg&#10;AAAAIgAAAGRycy9kb3ducmV2LnhtbFBLAQIUABQAAAAIAIdO4kA1O7YbDwIAAPgDAAAOAAAAAAAA&#10;AAEAIAAAACYBAABkcnMvZTJvRG9jLnhtbFBLBQYAAAAABgAGAFkBAACnBQAAAAA=&#10;">
                  <v:fill on="f" focussize="0,0"/>
                  <v:stroke color="#000000" joinstyle="round" endarrow="block"/>
                  <v:imagedata o:title=""/>
                  <o:lock v:ext="edit" aspectratio="f"/>
                </v:shape>
                <v:rect id="矩形 839" o:spid="_x0000_s1026" o:spt="1" style="position:absolute;left:1532255;top:695960;height:279400;width:961390;"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lhavrVAAAABgEAAA8AAAAAAAAAAQAgAAAAIgAA&#10;AGRycy9kb3ducmV2LnhtbFBLAQIUABQAAAAIAIdO4kB3UaFlCwIAAA4EAAAOAAAAAAAAAAEAIAAA&#10;ACQBAABkcnMvZTJvRG9jLnhtbFBLBQYAAAAABgAGAFkBAAChBQAAAAA=&#10;">
                  <v:fill on="f" focussize="0,0"/>
                  <v:stroke color="#000000" joinstyle="miter"/>
                  <v:imagedata o:title=""/>
                  <o:lock v:ext="edit" aspectratio="f"/>
                  <v:textbox>
                    <w:txbxContent>
                      <w:p>
                        <w:pPr>
                          <w:rPr>
                            <w:rFonts w:hint="eastAsia" w:ascii="宋体" w:hAnsi="宋体"/>
                            <w:szCs w:val="21"/>
                          </w:rPr>
                        </w:pPr>
                        <w:r>
                          <w:rPr>
                            <w:rFonts w:hint="eastAsia" w:ascii="宋体" w:hAnsi="宋体"/>
                            <w:szCs w:val="21"/>
                          </w:rPr>
                          <w:t>生猪</w:t>
                        </w:r>
                        <w:r>
                          <w:rPr>
                            <w:rFonts w:ascii="宋体" w:hAnsi="宋体"/>
                            <w:szCs w:val="21"/>
                          </w:rPr>
                          <w:t>饮用水</w:t>
                        </w:r>
                      </w:p>
                    </w:txbxContent>
                  </v:textbox>
                </v:rect>
                <v:rect id="矩形 840" o:spid="_x0000_s1026" o:spt="1" style="position:absolute;left:1513205;top:1358265;height:280035;width:1036955;"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pYWr61QAAAAYBAAAPAAAAAAAAAAEAIAAAACIAAABk&#10;cnMvZG93bnJldi54bWxQSwECFAAUAAAACACHTuJACJFzGgkCAAAQBAAADgAAAAAAAAABACAAAAAk&#10;AQAAZHJzL2Uyb0RvYy54bWxQSwUGAAAAAAYABgBZAQAAnwUAAAAA&#10;">
                  <v:fill on="f" focussize="0,0"/>
                  <v:stroke color="#000000" joinstyle="miter"/>
                  <v:imagedata o:title=""/>
                  <o:lock v:ext="edit" aspectratio="f"/>
                  <v:textbox>
                    <w:txbxContent>
                      <w:p>
                        <w:pPr>
                          <w:rPr>
                            <w:rFonts w:hint="eastAsia"/>
                          </w:rPr>
                        </w:pPr>
                        <w:r>
                          <w:rPr>
                            <w:rFonts w:hint="eastAsia" w:ascii="宋体" w:hAnsi="宋体"/>
                            <w:szCs w:val="21"/>
                          </w:rPr>
                          <w:t>猪舍</w:t>
                        </w:r>
                        <w:r>
                          <w:rPr>
                            <w:rFonts w:ascii="宋体" w:hAnsi="宋体"/>
                            <w:szCs w:val="21"/>
                          </w:rPr>
                          <w:t>冲洗水</w:t>
                        </w:r>
                      </w:p>
                    </w:txbxContent>
                  </v:textbox>
                </v:rect>
                <v:rect id="矩形 841" o:spid="_x0000_s1026" o:spt="1" style="position:absolute;left:1532255;top:2080895;height:280035;width:1017905;"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WFq+tUAAAAGAQAADwAAAAAAAAABACAAAAAiAAAA&#10;ZHJzL2Rvd25yZXYueG1sUEsBAhQAFAAAAAgAh07iQFhqlZIKAgAAEAQAAA4AAAAAAAAAAQAgAAAA&#10;JAEAAGRycy9lMm9Eb2MueG1sUEsFBgAAAAAGAAYAWQEAAKAFAAAAAA==&#10;">
                  <v:fill on="f" focussize="0,0"/>
                  <v:stroke color="#000000" joinstyle="miter"/>
                  <v:imagedata o:title=""/>
                  <o:lock v:ext="edit" aspectratio="f"/>
                  <v:textbox>
                    <w:txbxContent>
                      <w:p>
                        <w:pPr>
                          <w:rPr>
                            <w:rFonts w:hint="eastAsia" w:ascii="宋体" w:hAnsi="宋体"/>
                            <w:szCs w:val="21"/>
                          </w:rPr>
                        </w:pPr>
                        <w:r>
                          <w:rPr>
                            <w:rFonts w:hint="eastAsia" w:ascii="宋体" w:hAnsi="宋体"/>
                            <w:szCs w:val="21"/>
                          </w:rPr>
                          <w:t>职工</w:t>
                        </w:r>
                        <w:r>
                          <w:rPr>
                            <w:rFonts w:ascii="宋体" w:hAnsi="宋体"/>
                            <w:szCs w:val="21"/>
                          </w:rPr>
                          <w:t>生活水</w:t>
                        </w:r>
                      </w:p>
                    </w:txbxContent>
                  </v:textbox>
                </v:rect>
                <v:rect id="矩形 843" o:spid="_x0000_s1026" o:spt="1" style="position:absolute;left:1532255;top:3632835;height:280670;width:1036955;"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lhavrVAAAABgEAAA8AAAAAAAAAAQAgAAAAIgAA&#10;AGRycy9kb3ducmV2LnhtbFBLAQIUABQAAAAIAIdO4kBcK5faCwIAABAEAAAOAAAAAAAAAAEAIAAA&#10;ACQBAABkcnMvZTJvRG9jLnhtbFBLBQYAAAAABgAGAFkBAAChBQAAAAA=&#10;">
                  <v:fill on="f" focussize="0,0"/>
                  <v:stroke color="#000000" joinstyle="miter"/>
                  <v:imagedata o:title=""/>
                  <o:lock v:ext="edit" aspectratio="f"/>
                  <v:textbox>
                    <w:txbxContent>
                      <w:p>
                        <w:pPr>
                          <w:rPr>
                            <w:rFonts w:hint="eastAsia"/>
                          </w:rPr>
                        </w:pPr>
                        <w:r>
                          <w:rPr>
                            <w:rFonts w:hint="eastAsia" w:ascii="宋体" w:hAnsi="宋体"/>
                            <w:szCs w:val="21"/>
                          </w:rPr>
                          <w:t>喷雾降温水</w:t>
                        </w:r>
                      </w:p>
                    </w:txbxContent>
                  </v:textbox>
                </v:rect>
                <v:shape id="自选图形 844" o:spid="_x0000_s1026" o:spt="32" type="#_x0000_t32" style="position:absolute;left:1771015;top:392430;flip:y;height:303530;width:635;" filled="f" stroked="t" coordsize="21600,21600" o:gfxdata="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HNgPr1gAAAAYBAAAPAAAAAAAAAAEA&#10;IAAAACIAAABkcnMvZG93bnJldi54bWxQSwECFAAUAAAACACHTuJAVOr5RhECAAABBAAADgAAAAAA&#10;AAABACAAAAAlAQAAZHJzL2Uyb0RvYy54bWxQSwUGAAAAAAYABgBZAQAAqAUAAAAA&#10;">
                  <v:fill on="f" focussize="0,0"/>
                  <v:stroke color="#000000" joinstyle="round" endarrow="block"/>
                  <v:imagedata o:title=""/>
                  <o:lock v:ext="edit" aspectratio="f"/>
                </v:shape>
                <v:shape id="自选图形 845" o:spid="_x0000_s1026" o:spt="32" type="#_x0000_t32" style="position:absolute;left:2493645;top:835660;height:635;width:668655;"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3LqTN1wAAAAYBAAAPAAAAAAAAAAEAIAAA&#10;ACIAAABkcnMvZG93bnJldi54bWxQSwECFAAUAAAACACHTuJAdDNxSw0CAAD3AwAADgAAAAAAAAAB&#10;ACAAAAAmAQAAZHJzL2Uyb0RvYy54bWxQSwUGAAAAAAYABgBZAQAApQUAAAAA&#10;">
                  <v:fill on="f" focussize="0,0"/>
                  <v:stroke color="#000000" joinstyle="round" endarrow="block"/>
                  <v:imagedata o:title=""/>
                  <o:lock v:ext="edit" aspectratio="f"/>
                </v:shape>
                <v:shape id="自选图形 846" o:spid="_x0000_s1026" o:spt="32" type="#_x0000_t32" style="position:absolute;left:2550160;top:1487170;height:5715;width:608330;"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3LqTN1wAAAAYBAAAPAAAAAAAAAAEAIAAA&#10;ACIAAABkcnMvZG93bnJldi54bWxQSwECFAAUAAAACACHTuJAV6Jv/Q0CAAD5AwAADgAAAAAAAAAB&#10;ACAAAAAmAQAAZHJzL2Uyb0RvYy54bWxQSwUGAAAAAAYABgBZAQAApQUAAAAA&#10;">
                  <v:fill on="f" focussize="0,0"/>
                  <v:stroke color="#000000" joinstyle="round" endarrow="block"/>
                  <v:imagedata o:title=""/>
                  <o:lock v:ext="edit" aspectratio="f"/>
                </v:shape>
                <v:shape id="自选图形 847" o:spid="_x0000_s1026" o:spt="32" type="#_x0000_t32" style="position:absolute;left:2550160;top:2204720;height:5715;width:608330;"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3LqTN1wAAAAYBAAAPAAAAAAAAAAEAIAAA&#10;ACIAAABkcnMvZG93bnJldi54bWxQSwECFAAUAAAACACHTuJAEfAu7g0CAAD5AwAADgAAAAAAAAAB&#10;ACAAAAAmAQAAZHJzL2Uyb0RvYy54bWxQSwUGAAAAAAYABgBZAQAApQUAAAAA&#10;">
                  <v:fill on="f" focussize="0,0"/>
                  <v:stroke color="#000000" joinstyle="round" endarrow="block"/>
                  <v:imagedata o:title=""/>
                  <o:lock v:ext="edit" aspectratio="f"/>
                </v:shape>
                <v:shape id="自选图形 848" o:spid="_x0000_s1026" o:spt="32" type="#_x0000_t32" style="position:absolute;left:3161665;top:835660;height:1369060;width:635;" filled="f" stroked="t" coordsize="21600,21600" o:gfxdata="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3tFuodYAAAAGAQAADwAAAAAAAAABACAAAAAiAAAAZHJz&#10;L2Rvd25yZXYueG1sUEsBAhQAFAAAAAgAh07iQKR469AGAgAA9AMAAA4AAAAAAAAAAQAgAAAAJQEA&#10;AGRycy9lMm9Eb2MueG1sUEsFBgAAAAAGAAYAWQEAAJ0FAAAAAA==&#10;">
                  <v:fill on="f" focussize="0,0"/>
                  <v:stroke color="#000000" joinstyle="round"/>
                  <v:imagedata o:title=""/>
                  <o:lock v:ext="edit" aspectratio="f"/>
                </v:shape>
                <v:shape id="自选图形 849" o:spid="_x0000_s1026" o:spt="32" type="#_x0000_t32" style="position:absolute;left:3162300;top:1487170;height:0;width:553720;"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3LqTN1wAAAAYBAAAPAAAAAAAAAAEAIAAA&#10;ACIAAABkcnMvZG93bnJldi54bWxQSwECFAAUAAAACACHTuJALU0o4g0CAAD2AwAADgAAAAAAAAAB&#10;ACAAAAAmAQAAZHJzL2Uyb0RvYy54bWxQSwUGAAAAAAYABgBZAQAApQUAAAAA&#10;">
                  <v:fill on="f" focussize="0,0"/>
                  <v:stroke color="#000000" joinstyle="round" endarrow="block"/>
                  <v:imagedata o:title=""/>
                  <o:lock v:ext="edit" aspectratio="f"/>
                </v:shape>
                <v:rect id="矩形 850" o:spid="_x0000_s1026" o:spt="1" style="position:absolute;left:3716020;top:1367790;height:404495;width:1405890;"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WFq+tUAAAAGAQAADwAAAAAAAAABACAAAAAiAAAA&#10;ZHJzL2Rvd25yZXYueG1sUEsBAhQAFAAAAAgAh07iQN9QZwAKAgAAEAQAAA4AAAAAAAAAAQAgAAAA&#10;JAEAAGRycy9lMm9Eb2MueG1sUEsFBgAAAAAGAAYAWQEAAKAFAAAAAA==&#10;">
                  <v:fill on="f" focussize="0,0"/>
                  <v:stroke color="#000000" joinstyle="miter"/>
                  <v:imagedata o:title=""/>
                  <o:lock v:ext="edit" aspectratio="f"/>
                  <v:textbox>
                    <w:txbxContent>
                      <w:p>
                        <w:pPr>
                          <w:rPr>
                            <w:rFonts w:hint="default" w:eastAsia="宋体"/>
                            <w:lang w:val="en-US" w:eastAsia="zh-CN"/>
                          </w:rPr>
                        </w:pPr>
                        <w:r>
                          <w:rPr>
                            <w:rFonts w:hint="eastAsia" w:ascii="宋体" w:hAnsi="宋体"/>
                            <w:szCs w:val="21"/>
                          </w:rPr>
                          <w:t>黑膜沼气池</w:t>
                        </w:r>
                        <w:r>
                          <w:rPr>
                            <w:rFonts w:hint="eastAsia"/>
                            <w:szCs w:val="21"/>
                            <w:lang w:val="en-US" w:eastAsia="zh-CN"/>
                          </w:rPr>
                          <w:t>26.094</w:t>
                        </w:r>
                      </w:p>
                    </w:txbxContent>
                  </v:textbox>
                </v:rect>
                <v:rect id="矩形 852" o:spid="_x0000_s1026" o:spt="1" style="position:absolute;left:3831590;top:2165350;height:280035;width:557530;"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WFq+tUAAAAGAQAADwAAAAAAAAABACAAAAAiAAAA&#10;ZHJzL2Rvd25yZXYueG1sUEsBAhQAFAAAAAgAh07iQCVaemsKAgAADwQAAA4AAAAAAAAAAQAgAAAA&#10;JAEAAGRycy9lMm9Eb2MueG1sUEsFBgAAAAAGAAYAWQEAAKAFAAAAAA==&#10;">
                  <v:fill on="f" focussize="0,0"/>
                  <v:stroke color="#000000" joinstyle="miter"/>
                  <v:imagedata o:title=""/>
                  <o:lock v:ext="edit" aspectratio="f"/>
                  <v:textbox>
                    <w:txbxContent>
                      <w:p>
                        <w:pPr>
                          <w:rPr>
                            <w:rFonts w:hint="eastAsia"/>
                          </w:rPr>
                        </w:pPr>
                        <w:r>
                          <w:rPr>
                            <w:rFonts w:hint="eastAsia" w:ascii="宋体" w:hAnsi="宋体"/>
                            <w:szCs w:val="21"/>
                          </w:rPr>
                          <w:t>沼液</w:t>
                        </w:r>
                      </w:p>
                    </w:txbxContent>
                  </v:textbox>
                </v:rect>
                <v:rect id="矩形 853" o:spid="_x0000_s1026" o:spt="1" style="position:absolute;left:5922010;top:1227455;height:410845;width:800100;"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pYWr61QAAAAYBAAAPAAAAAAAAAAEAIAAAACIAAABk&#10;cnMvZG93bnJldi54bWxQSwECFAAUAAAACACHTuJAp3kN1gkCAAAPBAAADgAAAAAAAAABACAAAAAk&#10;AQAAZHJzL2Uyb0RvYy54bWxQSwUGAAAAAAYABgBZAQAAnwUAAAAA&#10;">
                  <v:fill on="f" focussize="0,0"/>
                  <v:stroke color="#000000" joinstyle="miter"/>
                  <v:imagedata o:title=""/>
                  <o:lock v:ext="edit" aspectratio="f"/>
                  <v:textbox>
                    <w:txbxContent>
                      <w:p>
                        <w:pPr>
                          <w:rPr>
                            <w:rFonts w:hint="default" w:eastAsia="宋体"/>
                            <w:lang w:val="en-US" w:eastAsia="zh-CN"/>
                          </w:rPr>
                        </w:pPr>
                        <w:r>
                          <w:rPr>
                            <w:rFonts w:hint="eastAsia" w:ascii="宋体" w:hAnsi="宋体"/>
                            <w:szCs w:val="21"/>
                          </w:rPr>
                          <w:t>沼渣携带</w:t>
                        </w:r>
                        <w:r>
                          <w:rPr>
                            <w:rFonts w:hint="eastAsia"/>
                            <w:szCs w:val="21"/>
                          </w:rPr>
                          <w:t>0.</w:t>
                        </w:r>
                        <w:r>
                          <w:rPr>
                            <w:rFonts w:hint="eastAsia"/>
                            <w:szCs w:val="21"/>
                            <w:lang w:val="en-US" w:eastAsia="zh-CN"/>
                          </w:rPr>
                          <w:t>074</w:t>
                        </w:r>
                      </w:p>
                    </w:txbxContent>
                  </v:textbox>
                </v:rect>
                <v:shape id="自选图形 854" o:spid="_x0000_s1026" o:spt="32" type="#_x0000_t32" style="position:absolute;left:2228215;top:392430;flip:y;height:303530;width:635;" filled="f" stroked="t" coordsize="21600,21600" o:gfxdata="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Mc2A+vWAAAABgEAAA8AAAAAAAAA&#10;AQAgAAAAIgAAAGRycy9kb3ducmV2LnhtbFBLAQIUABQAAAAIAIdO4kA5mQPfEwIAAAEEAAAOAAAA&#10;AAAAAAEAIAAAACUBAABkcnMvZTJvRG9jLnhtbFBLBQYAAAAABgAGAFkBAACqBQAAAAA=&#10;">
                  <v:fill on="f" focussize="0,0"/>
                  <v:stroke color="#000000" joinstyle="round" endarrow="block"/>
                  <v:imagedata o:title=""/>
                  <o:lock v:ext="edit" aspectratio="f"/>
                </v:shape>
                <v:rect id="矩形 855" o:spid="_x0000_s1026" o:spt="1" style="position:absolute;left:2034540;top:112395;height:280035;width:1264920;"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pYWr61QAAAAYBAAAPAAAAAAAAAAEAIAAAACIA&#10;AABkcnMvZG93bnJldi54bWxQSwECFAAUAAAACACHTuJAUzZnbQwCAAAPBAAADgAAAAAAAAABACAA&#10;AAAkAQAAZHJzL2Uyb0RvYy54bWxQSwUGAAAAAAYABgBZAQAAogUAAAAA&#10;">
                  <v:fill on="f" focussize="0,0"/>
                  <v:stroke color="#000000" joinstyle="miter"/>
                  <v:imagedata o:title=""/>
                  <o:lock v:ext="edit" aspectratio="f"/>
                  <v:textbox>
                    <w:txbxContent>
                      <w:p>
                        <w:pPr>
                          <w:rPr>
                            <w:rFonts w:hint="default" w:eastAsia="宋体"/>
                            <w:lang w:val="en-US" w:eastAsia="zh-CN"/>
                          </w:rPr>
                        </w:pPr>
                        <w:r>
                          <w:rPr>
                            <w:rFonts w:hint="eastAsia" w:ascii="宋体" w:hAnsi="宋体"/>
                            <w:szCs w:val="21"/>
                          </w:rPr>
                          <w:t>猪粪含水</w:t>
                        </w:r>
                        <w:r>
                          <w:rPr>
                            <w:rFonts w:hint="eastAsia"/>
                            <w:szCs w:val="21"/>
                            <w:lang w:val="en-US" w:eastAsia="zh-CN"/>
                          </w:rPr>
                          <w:t>3.4</w:t>
                        </w:r>
                      </w:p>
                    </w:txbxContent>
                  </v:textbox>
                </v:rect>
                <v:rect id="矩形 856" o:spid="_x0000_s1026" o:spt="1" style="position:absolute;left:645160;top:112395;height:280035;width:1264920;"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lhavrVAAAABgEAAA8AAAAAAAAAAQAgAAAAIgAA&#10;AGRycy9kb3ducmV2LnhtbFBLAQIUABQAAAAIAIdO4kAAEdz9CwIAAA4EAAAOAAAAAAAAAAEAIAAA&#10;ACQBAABkcnMvZTJvRG9jLnhtbFBLBQYAAAAABgAGAFkBAAChBQAAAAA=&#10;">
                  <v:fill on="f" focussize="0,0"/>
                  <v:stroke color="#000000" joinstyle="miter"/>
                  <v:imagedata o:title=""/>
                  <o:lock v:ext="edit" aspectratio="f"/>
                  <v:textbox>
                    <w:txbxContent>
                      <w:p>
                        <w:pPr>
                          <w:rPr>
                            <w:rFonts w:hint="default" w:eastAsia="宋体"/>
                            <w:lang w:val="en-US" w:eastAsia="zh-CN"/>
                          </w:rPr>
                        </w:pPr>
                        <w:r>
                          <w:rPr>
                            <w:rFonts w:hint="eastAsia" w:ascii="宋体" w:hAnsi="宋体"/>
                            <w:szCs w:val="21"/>
                          </w:rPr>
                          <w:t>体能损耗</w:t>
                        </w:r>
                        <w:r>
                          <w:rPr>
                            <w:rFonts w:hint="eastAsia"/>
                            <w:szCs w:val="21"/>
                            <w:lang w:val="en-US" w:eastAsia="zh-CN"/>
                          </w:rPr>
                          <w:t>21.716</w:t>
                        </w:r>
                      </w:p>
                    </w:txbxContent>
                  </v:textbox>
                </v:rect>
                <v:rect id="矩形 857" o:spid="_x0000_s1026" o:spt="1" style="position:absolute;left:2456180;top:612775;height:280035;width:11195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0&#10;LaAD1wAAAAYBAAAPAAAAAAAAAAEAIAAAACIAAABkcnMvZG93bnJldi54bWxQSwECFAAUAAAACACH&#10;TuJAfq9LjrMBAABQAwAADgAAAAAAAAABACAAAAAmAQAAZHJzL2Uyb0RvYy54bWxQSwUGAAAAAAYA&#10;BgBZAQAASwUAAAAA&#10;">
                  <v:fill on="f" focussize="0,0"/>
                  <v:stroke on="f"/>
                  <v:imagedata o:title=""/>
                  <o:lock v:ext="edit" aspectratio="f"/>
                  <v:textbox>
                    <w:txbxContent>
                      <w:p>
                        <w:pPr>
                          <w:rPr>
                            <w:rFonts w:hint="eastAsia" w:eastAsia="宋体"/>
                            <w:lang w:eastAsia="zh-CN"/>
                          </w:rPr>
                        </w:pPr>
                        <w:r>
                          <w:rPr>
                            <w:rFonts w:hint="eastAsia" w:ascii="宋体" w:hAnsi="宋体"/>
                            <w:szCs w:val="21"/>
                          </w:rPr>
                          <w:t>猪尿</w:t>
                        </w:r>
                        <w:r>
                          <w:rPr>
                            <w:rFonts w:hint="eastAsia"/>
                            <w:szCs w:val="21"/>
                            <w:lang w:eastAsia="zh-CN"/>
                          </w:rPr>
                          <w:t>21.084</w:t>
                        </w:r>
                      </w:p>
                    </w:txbxContent>
                  </v:textbox>
                </v:rect>
                <v:rect id="矩形 858" o:spid="_x0000_s1026" o:spt="1" style="position:absolute;left:965835;top:612775;height:280035;width:7639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QtoAPX&#10;AAAABgEAAA8AAAAAAAAAAQAgAAAAIgAAAGRycy9kb3ducmV2LnhtbFBLAQIUABQAAAAIAIdO4kCC&#10;xftarwEAAE4DAAAOAAAAAAAAAAEAIAAAACYBAABkcnMvZTJvRG9jLnhtbFBLBQYAAAAABgAGAFkB&#10;AABHBQAAAAA=&#10;">
                  <v:fill on="f" focussize="0,0"/>
                  <v:stroke on="f"/>
                  <v:imagedata o:title=""/>
                  <o:lock v:ext="edit" aspectratio="f"/>
                  <v:textbox>
                    <w:txbxContent>
                      <w:p>
                        <w:pPr>
                          <w:rPr>
                            <w:rFonts w:hint="default" w:eastAsia="宋体"/>
                            <w:lang w:val="en-US" w:eastAsia="zh-CN"/>
                          </w:rPr>
                        </w:pPr>
                        <w:r>
                          <w:rPr>
                            <w:rFonts w:hint="eastAsia"/>
                            <w:szCs w:val="21"/>
                            <w:lang w:val="en-US" w:eastAsia="zh-CN"/>
                          </w:rPr>
                          <w:t>46.2</w:t>
                        </w:r>
                      </w:p>
                    </w:txbxContent>
                  </v:textbox>
                </v:rect>
                <v:rect id="矩形 859" o:spid="_x0000_s1026" o:spt="1" style="position:absolute;left:1047750;top:1257300;height:280035;width:7639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dC2g&#10;A9cAAAAGAQAADwAAAAAAAAABACAAAAAiAAAAZHJzL2Rvd25yZXYueG1sUEsBAhQAFAAAAAgAh07i&#10;QMObegyxAQAAUAMAAA4AAAAAAAAAAQAgAAAAJgEAAGRycy9lMm9Eb2MueG1sUEsFBgAAAAAGAAYA&#10;WQEAAEkFAAAAAA==&#10;">
                  <v:fill on="f" focussize="0,0"/>
                  <v:stroke on="f"/>
                  <v:imagedata o:title=""/>
                  <o:lock v:ext="edit" aspectratio="f"/>
                  <v:textbox>
                    <w:txbxContent>
                      <w:p>
                        <w:pPr>
                          <w:rPr>
                            <w:rFonts w:hint="eastAsia" w:eastAsia="宋体"/>
                            <w:lang w:val="en-US" w:eastAsia="zh-CN"/>
                          </w:rPr>
                        </w:pPr>
                        <w:r>
                          <w:rPr>
                            <w:rFonts w:hint="eastAsia"/>
                            <w:szCs w:val="21"/>
                          </w:rPr>
                          <w:t>1.</w:t>
                        </w:r>
                        <w:r>
                          <w:rPr>
                            <w:rFonts w:hint="eastAsia"/>
                            <w:szCs w:val="21"/>
                            <w:lang w:val="en-US" w:eastAsia="zh-CN"/>
                          </w:rPr>
                          <w:t>6</w:t>
                        </w:r>
                      </w:p>
                    </w:txbxContent>
                  </v:textbox>
                </v:rect>
                <v:rect id="矩形 860" o:spid="_x0000_s1026" o:spt="1" style="position:absolute;left:2493645;top:1294765;height:280035;width:7639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HQt&#10;oAPXAAAABgEAAA8AAAAAAAAAAQAgAAAAIgAAAGRycy9kb3ducmV2LnhtbFBLAQIUABQAAAAIAIdO&#10;4kBDC+pYsgEAAFADAAAOAAAAAAAAAAEAIAAAACYBAABkcnMvZTJvRG9jLnhtbFBLBQYAAAAABgAG&#10;AFkBAABKBQAAAAA=&#10;">
                  <v:fill on="f" focussize="0,0"/>
                  <v:stroke on="f"/>
                  <v:imagedata o:title=""/>
                  <o:lock v:ext="edit" aspectratio="f"/>
                  <v:textbox>
                    <w:txbxContent>
                      <w:p>
                        <w:r>
                          <w:rPr>
                            <w:rFonts w:hint="eastAsia"/>
                          </w:rPr>
                          <w:t>1.17</w:t>
                        </w:r>
                      </w:p>
                    </w:txbxContent>
                  </v:textbox>
                </v:rect>
                <v:shape id="自选图形 861" o:spid="_x0000_s1026" o:spt="106" type="#_x0000_t106" style="position:absolute;left:2188845;top:975360;height:319405;width:749300;" filled="f" stroked="t" coordsize="21600,21600" o:gfxdata="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OGommtQAAAAGAQAADwAAAAAAAAABACAAAAAiAAAAZHJzL2Rvd25y&#10;ZXYueG1sUEsBAhQAFAAAAAgAh07iQGhvWSo7AgAAZAQAAA4AAAAAAAAAAQAgAAAAIwEAAGRycy9l&#10;Mm9Eb2MueG1sUEsFBgAAAAAGAAYAWQEAANAFAAAAAA==&#10;" adj="-4375,24219">
                  <v:fill on="f" focussize="0,0"/>
                  <v:stroke color="#000000" joinstyle="round"/>
                  <v:imagedata o:title=""/>
                  <o:lock v:ext="edit" aspectratio="f"/>
                  <v:textbox>
                    <w:txbxContent>
                      <w:p>
                        <w:r>
                          <w:rPr>
                            <w:rFonts w:hint="eastAsia"/>
                            <w:szCs w:val="21"/>
                          </w:rPr>
                          <w:t>0.13</w:t>
                        </w:r>
                      </w:p>
                    </w:txbxContent>
                  </v:textbox>
                </v:shape>
                <v:shape id="自选图形 862" o:spid="_x0000_s1026" o:spt="106" type="#_x0000_t106" style="position:absolute;left:2143125;top:1687195;height:319405;width:749300;" filled="f" stroked="t" coordsize="21600,21600" o:gfxdata="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4aiaa1AAAAAYBAAAPAAAAAAAAAAEAIAAAACIAAABkcnMvZG93bnJl&#10;di54bWxQSwECFAAUAAAACACHTuJAmsVb+DoCAABlBAAADgAAAAAAAAABACAAAAAjAQAAZHJzL2Uy&#10;b0RvYy54bWxQSwUGAAAAAAYABgBZAQAAzwUAAAAA&#10;" adj="-4375,24219">
                  <v:fill on="f" focussize="0,0"/>
                  <v:stroke color="#000000" joinstyle="round"/>
                  <v:imagedata o:title=""/>
                  <o:lock v:ext="edit" aspectratio="f"/>
                  <v:textbox>
                    <w:txbxContent>
                      <w:p>
                        <w:r>
                          <w:rPr>
                            <w:rFonts w:hint="eastAsia"/>
                            <w:szCs w:val="21"/>
                          </w:rPr>
                          <w:t>0.24</w:t>
                        </w:r>
                      </w:p>
                    </w:txbxContent>
                  </v:textbox>
                </v:shape>
                <v:rect id="矩形 863" o:spid="_x0000_s1026" o:spt="1" style="position:absolute;left:1066165;top:2006600;height:280035;width:7639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QtoAPX&#10;AAAABgEAAA8AAAAAAAAAAQAgAAAAIgAAAGRycy9kb3ducmV2LnhtbFBLAQIUABQAAAAIAIdO4kAt&#10;jztLrwEAAFADAAAOAAAAAAAAAAEAIAAAACYBAABkcnMvZTJvRG9jLnhtbFBLBQYAAAAABgAGAFkB&#10;AABHBQAAAAA=&#10;">
                  <v:fill on="f" focussize="0,0"/>
                  <v:stroke on="f"/>
                  <v:imagedata o:title=""/>
                  <o:lock v:ext="edit" aspectratio="f"/>
                  <v:textbox>
                    <w:txbxContent>
                      <w:p>
                        <w:r>
                          <w:rPr>
                            <w:rFonts w:hint="eastAsia"/>
                          </w:rPr>
                          <w:t>1.2</w:t>
                        </w:r>
                      </w:p>
                    </w:txbxContent>
                  </v:textbox>
                </v:rect>
                <v:rect id="矩形 864" o:spid="_x0000_s1026" o:spt="1" style="position:absolute;left:2535555;top:2006600;height:280035;width:7639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0LaAD&#10;1wAAAAYBAAAPAAAAAAAAAAEAIAAAACIAAABkcnMvZG93bnJldi54bWxQSwECFAAUAAAACACHTuJA&#10;nRoJGLABAABQAwAADgAAAAAAAAABACAAAAAmAQAAZHJzL2Uyb0RvYy54bWxQSwUGAAAAAAYABgBZ&#10;AQAASAUAAAAA&#10;">
                  <v:fill on="f" focussize="0,0"/>
                  <v:stroke on="f"/>
                  <v:imagedata o:title=""/>
                  <o:lock v:ext="edit" aspectratio="f"/>
                  <v:textbox>
                    <w:txbxContent>
                      <w:p>
                        <w:r>
                          <w:rPr>
                            <w:rFonts w:hint="eastAsia"/>
                            <w:szCs w:val="21"/>
                          </w:rPr>
                          <w:t>0.96</w:t>
                        </w:r>
                      </w:p>
                    </w:txbxContent>
                  </v:textbox>
                </v:rect>
                <v:rect id="矩形 865" o:spid="_x0000_s1026" o:spt="1" style="position:absolute;left:1007110;top:3537585;height:280035;width:7639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0&#10;LaAD1wAAAAYBAAAPAAAAAAAAAAEAIAAAACIAAABkcnMvZG93bnJldi54bWxQSwECFAAUAAAACACH&#10;TuJAfrPvI7MBAABQAwAADgAAAAAAAAABACAAAAAmAQAAZHJzL2Uyb0RvYy54bWxQSwUGAAAAAAYA&#10;BgBZAQAASwUAAAAA&#10;">
                  <v:fill on="f" focussize="0,0"/>
                  <v:stroke on="f"/>
                  <v:imagedata o:title=""/>
                  <o:lock v:ext="edit" aspectratio="f"/>
                  <v:textbox>
                    <w:txbxContent>
                      <w:p>
                        <w:r>
                          <w:rPr>
                            <w:rFonts w:hint="eastAsia"/>
                            <w:szCs w:val="21"/>
                          </w:rPr>
                          <w:t>5.9</w:t>
                        </w:r>
                      </w:p>
                    </w:txbxContent>
                  </v:textbox>
                </v:rect>
                <v:shape id="自选图形 866" o:spid="_x0000_s1026" o:spt="106" type="#_x0000_t106" style="position:absolute;left:2245360;top:3270250;height:319405;width:844550;" filled="f" stroked="t" coordsize="21600,21600" o:gfxdata="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Ite7D/UAAAABgEAAA8AAAAAAAAAAQAgAAAAIgAAAGRycy9kb3ducmV2&#10;LnhtbFBLAQIUABQAAAAIAIdO4kD4ndzYOQIAAGUEAAAOAAAAAAAAAAEAIAAAACMBAABkcnMvZTJv&#10;RG9jLnhtbFBLBQYAAAAABgAGAFkBAADOBQAAAAA=&#10;" adj="-3882,24219">
                  <v:fill on="f" focussize="0,0"/>
                  <v:stroke color="#000000" joinstyle="round"/>
                  <v:imagedata o:title=""/>
                  <o:lock v:ext="edit" aspectratio="f"/>
                  <v:textbox>
                    <w:txbxContent>
                      <w:p>
                        <w:r>
                          <w:rPr>
                            <w:rFonts w:hint="eastAsia"/>
                            <w:szCs w:val="21"/>
                          </w:rPr>
                          <w:t>5.9</w:t>
                        </w:r>
                      </w:p>
                    </w:txbxContent>
                  </v:textbox>
                </v:shape>
                <v:rect id="矩形 867" o:spid="_x0000_s1026" o:spt="1" style="position:absolute;left:3101340;top:1294765;height:280035;width:7639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0&#10;LaAD1wAAAAYBAAAPAAAAAAAAAAEAIAAAACIAAABkcnMvZG93bnJldi54bWxQSwECFAAUAAAACACH&#10;TuJA9xXqsLMBAABQAwAADgAAAAAAAAABACAAAAAmAQAAZHJzL2Uyb0RvYy54bWxQSwUGAAAAAAYA&#10;BgBZAQAASwUAAAAA&#10;">
                  <v:fill on="f" focussize="0,0"/>
                  <v:stroke on="f"/>
                  <v:imagedata o:title=""/>
                  <o:lock v:ext="edit" aspectratio="f"/>
                  <v:textbox>
                    <w:txbxContent>
                      <w:p>
                        <w:pPr>
                          <w:rPr>
                            <w:rFonts w:hint="default" w:eastAsia="宋体"/>
                            <w:lang w:val="en-US" w:eastAsia="zh-CN"/>
                          </w:rPr>
                        </w:pPr>
                        <w:r>
                          <w:rPr>
                            <w:rFonts w:hint="eastAsia"/>
                            <w:szCs w:val="21"/>
                            <w:lang w:val="en-US" w:eastAsia="zh-CN"/>
                          </w:rPr>
                          <w:t>23.214</w:t>
                        </w:r>
                      </w:p>
                    </w:txbxContent>
                  </v:textbox>
                </v:rect>
                <v:shape id="自选图形 868" o:spid="_x0000_s1026" o:spt="32" type="#_x0000_t32" style="position:absolute;left:3299460;top:252730;height:1270;width:464185;"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9y6kzdcAAAAGAQAADwAAAAAAAAABACAA&#10;AAAiAAAAZHJzL2Rvd25yZXYueG1sUEsBAhQAFAAAAAgAh07iQM0kYjgOAgAA+AMAAA4AAAAAAAAA&#10;AQAgAAAAJgEAAGRycy9lMm9Eb2MueG1sUEsFBgAAAAAGAAYAWQEAAKYFAAAAAA==&#10;">
                  <v:fill on="f" focussize="0,0"/>
                  <v:stroke color="#000000" joinstyle="round" endarrow="block"/>
                  <v:imagedata o:title=""/>
                  <o:lock v:ext="edit" aspectratio="f"/>
                </v:shape>
                <v:shape id="自选图形 870" o:spid="_x0000_s1026" o:spt="32" type="#_x0000_t32" style="position:absolute;left:4111625;top:451485;height:915670;width:635;"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cupM3XAAAABgEAAA8AAAAAAAAAAQAgAAAAIgAA&#10;AGRycy9kb3ducmV2LnhtbFBLAQIUABQAAAAIAIdO4kDyGxPvCQIAAPcDAAAOAAAAAAAAAAEAIAAA&#10;ACYBAABkcnMvZTJvRG9jLnhtbFBLBQYAAAAABgAGAFkBAAChBQAAAAA=&#10;">
                  <v:fill on="f" focussize="0,0"/>
                  <v:stroke color="#000000" joinstyle="round" endarrow="block"/>
                  <v:imagedata o:title=""/>
                  <o:lock v:ext="edit" aspectratio="f"/>
                </v:shape>
                <v:rect id="矩形 871" o:spid="_x0000_s1026" o:spt="1" style="position:absolute;left:4017645;top:695325;height:280035;width:485140;"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HQt&#10;oAPXAAAABgEAAA8AAAAAAAAAAQAgAAAAIgAAAGRycy9kb3ducmV2LnhtbFBLAQIUABQAAAAIAIdO&#10;4kByhm5MsgEAAE8DAAAOAAAAAAAAAAEAIAAAACYBAABkcnMvZTJvRG9jLnhtbFBLBQYAAAAABgAG&#10;AFkBAABKBQAAAAA=&#10;">
                  <v:fill on="f" focussize="0,0"/>
                  <v:stroke on="f"/>
                  <v:imagedata o:title=""/>
                  <o:lock v:ext="edit" aspectratio="f"/>
                  <v:textbox>
                    <w:txbxContent>
                      <w:p>
                        <w:pPr>
                          <w:rPr>
                            <w:rFonts w:hint="eastAsia" w:eastAsia="宋体"/>
                            <w:lang w:eastAsia="zh-CN"/>
                          </w:rPr>
                        </w:pPr>
                        <w:r>
                          <w:rPr>
                            <w:rFonts w:hint="eastAsia"/>
                            <w:szCs w:val="21"/>
                            <w:lang w:eastAsia="zh-CN"/>
                          </w:rPr>
                          <w:t>2.88</w:t>
                        </w:r>
                      </w:p>
                    </w:txbxContent>
                  </v:textbox>
                </v:rect>
                <v:rect id="矩形 878" o:spid="_x0000_s1026" o:spt="1" style="position:absolute;left:495935;top:1955800;height:280035;width:7639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0LaAD&#10;1wAAAAYBAAAPAAAAAAAAAAEAIAAAACIAAABkcnMvZG93bnJldi54bWxQSwECFAAUAAAACACHTuJA&#10;0ZD54bABAABPAwAADgAAAAAAAAABACAAAAAmAQAAZHJzL2Uyb0RvYy54bWxQSwUGAAAAAAYABgBZ&#10;AQAASAUAAAAA&#10;">
                  <v:fill on="f" focussize="0,0"/>
                  <v:stroke on="f"/>
                  <v:imagedata o:title=""/>
                  <o:lock v:ext="edit" aspectratio="f"/>
                  <v:textbox>
                    <w:txbxContent>
                      <w:p>
                        <w:pPr>
                          <w:rPr>
                            <w:rFonts w:hint="default" w:eastAsia="宋体"/>
                            <w:lang w:val="en-US" w:eastAsia="zh-CN"/>
                          </w:rPr>
                        </w:pPr>
                        <w:r>
                          <w:rPr>
                            <w:rFonts w:hint="eastAsia"/>
                            <w:szCs w:val="21"/>
                            <w:lang w:val="en-US" w:eastAsia="zh-CN"/>
                          </w:rPr>
                          <w:t>54.9</w:t>
                        </w:r>
                      </w:p>
                    </w:txbxContent>
                  </v:textbox>
                </v:rect>
                <v:shape id="自选图形 879" o:spid="_x0000_s1026" o:spt="32" type="#_x0000_t32" style="position:absolute;left:4110990;top:2445385;height:865505;width:635;"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cupM3XAAAABgEAAA8AAAAAAAAAAQAg&#10;AAAAIgAAAGRycy9kb3ducmV2LnhtbFBLAQIUABQAAAAIAIdO4kCBed1uDwIAAPgDAAAOAAAAAAAA&#10;AAEAIAAAACYBAABkcnMvZTJvRG9jLnhtbFBLBQYAAAAABgAGAFkBAACnBQAAAAA=&#10;">
                  <v:fill on="f" focussize="0,0"/>
                  <v:stroke color="#000000" joinstyle="round" endarrow="block"/>
                  <v:imagedata o:title=""/>
                  <o:lock v:ext="edit" aspectratio="f"/>
                </v:shape>
                <v:rect id="矩形 880" o:spid="_x0000_s1026" o:spt="1" style="position:absolute;left:3769360;top:3308985;height:280670;width:645795;"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lhavrVAAAABgEAAA8AAAAAAAAAAQAgAAAAIgAA&#10;AGRycy9kb3ducmV2LnhtbFBLAQIUABQAAAAIAIdO4kDOQTlGCwIAAA8EAAAOAAAAAAAAAAEAIAAA&#10;ACQBAABkcnMvZTJvRG9jLnhtbFBLBQYAAAAABgAGAFkBAAChBQAAAAA=&#10;">
                  <v:fill on="f" focussize="0,0"/>
                  <v:stroke color="#000000" joinstyle="miter"/>
                  <v:imagedata o:title=""/>
                  <o:lock v:ext="edit" aspectratio="f"/>
                  <v:textbox>
                    <w:txbxContent>
                      <w:p>
                        <w:pPr>
                          <w:rPr>
                            <w:rFonts w:hint="eastAsia"/>
                          </w:rPr>
                        </w:pPr>
                        <w:r>
                          <w:rPr>
                            <w:rFonts w:hint="eastAsia" w:ascii="宋体" w:hAnsi="宋体"/>
                            <w:szCs w:val="21"/>
                          </w:rPr>
                          <w:t>农肥</w:t>
                        </w:r>
                      </w:p>
                    </w:txbxContent>
                  </v:textbox>
                </v:rect>
                <v:rect id="矩形 881" o:spid="_x0000_s1026" o:spt="1" style="position:absolute;left:4116070;top:1800860;height:280035;width:7639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dC2g&#10;A9cAAAAGAQAADwAAAAAAAAABACAAAAAiAAAAZHJzL2Rvd25yZXYueG1sUEsBAhQAFAAAAAgAh07i&#10;QEIkbn6xAQAAUAMAAA4AAAAAAAAAAQAgAAAAJgEAAGRycy9lMm9Eb2MueG1sUEsFBgAAAAAGAAYA&#10;WQEAAEkFAAAAAA==&#10;">
                  <v:fill on="f" focussize="0,0"/>
                  <v:stroke on="f"/>
                  <v:imagedata o:title=""/>
                  <o:lock v:ext="edit" aspectratio="f"/>
                  <v:textbox>
                    <w:txbxContent>
                      <w:p>
                        <w:pPr>
                          <w:rPr>
                            <w:rFonts w:hint="default" w:eastAsia="宋体"/>
                            <w:lang w:val="en-US" w:eastAsia="zh-CN"/>
                          </w:rPr>
                        </w:pPr>
                        <w:r>
                          <w:rPr>
                            <w:rFonts w:hint="eastAsia"/>
                            <w:szCs w:val="21"/>
                            <w:lang w:val="en-US" w:eastAsia="zh-CN"/>
                          </w:rPr>
                          <w:t>26.02</w:t>
                        </w:r>
                      </w:p>
                    </w:txbxContent>
                  </v:textbox>
                </v:rect>
                <v:shape id="自选图形 882" o:spid="_x0000_s1026" o:spt="32" type="#_x0000_t32" style="position:absolute;left:6144895;top:221615;height:1270;width:498475;"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9y6kzdcAAAAGAQAADwAAAAAAAAABACAA&#10;AAAiAAAAZHJzL2Rvd25yZXYueG1sUEsBAhQAFAAAAAgAh07iQDjQypkOAgAA+AMAAA4AAAAAAAAA&#10;AQAgAAAAJgEAAGRycy9lMm9Eb2MueG1sUEsFBgAAAAAGAAYAWQEAAKYFAAAAAA==&#10;">
                  <v:fill on="f" focussize="0,0"/>
                  <v:stroke color="#000000" joinstyle="round" endarrow="block"/>
                  <v:imagedata o:title=""/>
                  <o:lock v:ext="edit" aspectratio="f"/>
                </v:shape>
                <v:rect id="矩形 883" o:spid="_x0000_s1026" o:spt="1" style="position:absolute;left:5295900;top:95250;height:344805;width:848995;"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&#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lhavrVAAAABgEAAA8AAAAAAAAAAQAgAAAAIgAAAGRy&#10;cy9kb3ducmV2LnhtbFBLAQIUABQAAAAIAIdO4kCcJc8fCAIAAA0EAAAOAAAAAAAAAAEAIAAAACQB&#10;AABkcnMvZTJvRG9jLnhtbFBLBQYAAAAABgAGAFkBAACeBQAAAAA=&#10;">
                  <v:fill on="f" focussize="0,0"/>
                  <v:stroke color="#000000" joinstyle="miter"/>
                  <v:imagedata o:title=""/>
                  <o:lock v:ext="edit" aspectratio="f"/>
                  <v:textbox>
                    <w:txbxContent>
                      <w:p>
                        <w:r>
                          <w:rPr>
                            <w:rFonts w:hint="eastAsia" w:ascii="宋体" w:hAnsi="宋体"/>
                            <w:szCs w:val="21"/>
                          </w:rPr>
                          <w:t>堆肥发酵</w:t>
                        </w:r>
                      </w:p>
                    </w:txbxContent>
                  </v:textbox>
                </v:rect>
                <v:shape id="自选图形 884" o:spid="_x0000_s1026" o:spt="32" type="#_x0000_t32" style="position:absolute;left:4801235;top:892810;flip:x;height:189230;width:78740;" filled="f" stroked="f" coordsize="21600,21600" o:gfxdata="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BW/zUTVAAAABgEAAA8AAAAAAAAAAQAgAAAAIgAAAGRycy9kb3ducmV2LnhtbFBLAQIU&#10;ABQAAAAIAIdO4kBv9iiMvQEAAEoDAAAOAAAAAAAAAAEAIAAAACQBAABkcnMvZTJvRG9jLnhtbFBL&#10;BQYAAAAABgAGAFkBAABTBQAAAAA=&#10;">
                  <v:fill on="f" focussize="0,0"/>
                  <v:stroke on="f"/>
                  <v:imagedata o:title=""/>
                  <o:lock v:ext="edit" aspectratio="f"/>
                </v:shape>
                <v:line id="直线 887" o:spid="_x0000_s1026" o:spt="20" style="position:absolute;left:4495800;top:221615;height:0;width:800100;" filled="f" stroked="t" coordsize="21600,21600" o:gfxdata="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JlPtpDXAAAABgEAAA8AAAAAAAAAAQAgAAAAIgAAAGRycy9kb3ducmV2&#10;LnhtbFBLAQIUABQAAAAIAIdO4kD9NABu/QEAAO0DAAAOAAAAAAAAAAEAIAAAACYBAABkcnMvZTJv&#10;RG9jLnhtbFBLBQYAAAAABgAGAFkBAACVBQAAAAA=&#10;">
                  <v:fill on="f" focussize="0,0"/>
                  <v:stroke color="#000000" joinstyle="round" endarrow="block"/>
                  <v:imagedata o:title=""/>
                  <o:lock v:ext="edit" aspectratio="f"/>
                </v:line>
                <v:line id="直线 1038" o:spid="_x0000_s1026" o:spt="20" style="position:absolute;left:5121910;top:1485900;height:635;width:800100;" filled="f" stroked="t" coordsize="21600,21600" o:gfxdata="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mU+2kNcAAAAGAQAADwAAAAAAAAABACAAAAAiAAAAZHJzL2Rvd25y&#10;ZXYueG1sUEsBAhQAFAAAAAgAh07iQJFeAv3/AQAA8QMAAA4AAAAAAAAAAQAgAAAAJgEAAGRycy9l&#10;Mm9Eb2MueG1sUEsFBgAAAAAGAAYAWQEAAJcFAAAAAA==&#10;">
                  <v:fill on="f" focussize="0,0"/>
                  <v:stroke color="#000000" joinstyle="round" endarrow="block"/>
                  <v:imagedata o:title=""/>
                  <o:lock v:ext="edit" aspectratio="f"/>
                </v:line>
                <v:shape id="自选图形 851" o:spid="_x0000_s1026" o:spt="32" type="#_x0000_t32" style="position:absolute;left:4110355;top:1776730;height:434340;width:635;"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9y6kzdcAAAAGAQAADwAAAAAAAAABACAA&#10;AAAiAAAAZHJzL2Rvd25yZXYueG1sUEsBAhQAFAAAAAgAh07iQJh2XxgOAgAA+AMAAA4AAAAAAAAA&#10;AQAgAAAAJgEAAGRycy9lMm9Eb2MueG1sUEsFBgAAAAAGAAYAWQEAAKYFAAAAAA==&#10;">
                  <v:fill on="f" focussize="0,0"/>
                  <v:stroke color="#000000" joinstyle="round" endarrow="block"/>
                  <v:imagedata o:title=""/>
                  <o:lock v:ext="edit" aspectratio="f"/>
                </v:shape>
                <v:shape id="自选图形 1308" o:spid="_x0000_s1026" o:spt="32" type="#_x0000_t32" style="position:absolute;left:6322060;top:1638300;height:292735;width:3810;"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3LqTN1wAAAAYBAAAPAAAAAAAAAAEAIAAA&#10;ACIAAABkcnMvZG93bnJldi54bWxQSwECFAAUAAAACACHTuJANqLP3g0CAAD6AwAADgAAAAAAAAAB&#10;ACAAAAAmAQAAZHJzL2Uyb0RvYy54bWxQSwUGAAAAAAYABgBZAQAApQUAAAAA&#10;">
                  <v:fill on="f" focussize="0,0"/>
                  <v:stroke color="#000000" joinstyle="round" endarrow="block"/>
                  <v:imagedata o:title=""/>
                  <o:lock v:ext="edit" aspectratio="f"/>
                </v:shape>
                <v:rect id="矩形 1309" o:spid="_x0000_s1026" o:spt="1" style="position:absolute;left:5816600;top:1931035;height:273050;width:1085215;"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GlhavrVAAAABgEAAA8AAAAAAAAAAQAgAAAA&#10;IgAAAGRycy9kb3ducmV2LnhtbFBLAQIUABQAAAAIAIdO4kCxulH9DgIAABEEAAAOAAAAAAAAAAEA&#10;IAAAACQBAABkcnMvZTJvRG9jLnhtbFBLBQYAAAAABgAGAFkBAACkBQAAAAA=&#10;">
                  <v:fill on="f" focussize="0,0"/>
                  <v:stroke color="#000000" joinstyle="miter"/>
                  <v:imagedata o:title=""/>
                  <o:lock v:ext="edit" aspectratio="f"/>
                  <v:textbox>
                    <w:txbxContent>
                      <w:p>
                        <w:pPr>
                          <w:ind w:firstLine="315" w:firstLineChars="150"/>
                        </w:pPr>
                        <w:r>
                          <w:rPr>
                            <w:rFonts w:hint="eastAsia" w:ascii="宋体" w:hAnsi="宋体"/>
                            <w:szCs w:val="21"/>
                          </w:rPr>
                          <w:t>沼渣</w:t>
                        </w:r>
                        <w:r>
                          <w:rPr>
                            <w:rFonts w:ascii="宋体" w:hAnsi="宋体"/>
                            <w:szCs w:val="21"/>
                          </w:rPr>
                          <w:t>干化</w:t>
                        </w:r>
                      </w:p>
                    </w:txbxContent>
                  </v:textbox>
                </v:rect>
                <v:shape id="自选图形 1310" o:spid="_x0000_s1026" o:spt="32" type="#_x0000_t32" style="position:absolute;left:6058535;top:2204085;height:434340;width:635;"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9y6kzdcAAAAGAQAADwAAAAAAAAABACAAAAAi&#10;AAAAZHJzL2Rvd25yZXYueG1sUEsBAhQAFAAAAAgAh07iQBQvvxQLAgAA+QMAAA4AAAAAAAAAAQAg&#10;AAAAJgEAAGRycy9lMm9Eb2MueG1sUEsFBgAAAAAGAAYAWQEAAKMFAAAAAA==&#10;">
                  <v:fill on="f" focussize="0,0"/>
                  <v:stroke color="#000000" joinstyle="round" endarrow="block"/>
                  <v:imagedata o:title=""/>
                  <o:lock v:ext="edit" aspectratio="f"/>
                </v:shape>
                <v:shape id="自选图形 1311" o:spid="_x0000_s1026" o:spt="32" type="#_x0000_t32" style="position:absolute;left:6722110;top:2204085;height:434340;width:635;"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9y6kzdcAAAAGAQAADwAAAAAAAAABACAA&#10;AAAiAAAAZHJzL2Rvd25yZXYueG1sUEsBAhQAFAAAAAgAh07iQEdtxo8OAgAA+QMAAA4AAAAAAAAA&#10;AQAgAAAAJgEAAGRycy9lMm9Eb2MueG1sUEsFBgAAAAAGAAYAWQEAAKYFAAAAAA==&#10;">
                  <v:fill on="f" focussize="0,0"/>
                  <v:stroke color="#000000" joinstyle="round" endarrow="block"/>
                  <v:imagedata o:title=""/>
                  <o:lock v:ext="edit" aspectratio="f"/>
                </v:shape>
                <v:rect id="矩形 144" o:spid="_x0000_s1026" o:spt="1" style="position:absolute;left:5455285;top:2625725;height:433070;width:1012190;"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0&#10;LaAD1wAAAAYBAAAPAAAAAAAAAAEAIAAAACIAAABkcnMvZG93bnJldi54bWxQSwECFAAUAAAACACH&#10;TuJAuYTF5LMBAABRAwAADgAAAAAAAAABACAAAAAmAQAAZHJzL2Uyb0RvYy54bWxQSwUGAAAAAAYA&#10;BgBZAQAASwUAAAAA&#10;">
                  <v:fill on="f" focussize="0,0"/>
                  <v:stroke on="f"/>
                  <v:imagedata o:title=""/>
                  <o:lock v:ext="edit" aspectratio="f"/>
                  <v:textbox>
                    <w:txbxContent>
                      <w:p>
                        <w:pPr>
                          <w:rPr>
                            <w:rFonts w:hint="default" w:eastAsia="宋体"/>
                            <w:lang w:val="en-US" w:eastAsia="zh-CN"/>
                          </w:rPr>
                        </w:pPr>
                        <w:r>
                          <w:rPr>
                            <w:rFonts w:hint="eastAsia" w:ascii="宋体" w:hAnsi="宋体"/>
                            <w:szCs w:val="21"/>
                          </w:rPr>
                          <w:t>晾晒后制有机肥基料</w:t>
                        </w:r>
                        <w:r>
                          <w:rPr>
                            <w:rFonts w:hint="eastAsia"/>
                            <w:szCs w:val="21"/>
                          </w:rPr>
                          <w:t>0.</w:t>
                        </w:r>
                        <w:r>
                          <w:rPr>
                            <w:rFonts w:hint="eastAsia"/>
                            <w:szCs w:val="21"/>
                            <w:lang w:val="en-US" w:eastAsia="zh-CN"/>
                          </w:rPr>
                          <w:t>052</w:t>
                        </w:r>
                      </w:p>
                    </w:txbxContent>
                  </v:textbox>
                </v:rect>
                <v:rect id="矩形 165" o:spid="_x0000_s1026" o:spt="1" style="position:absolute;left:2147483647;top:437043195;height:177822225;width:0;"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0LaAD1wAAAAYBAAAPAAAAAAAAAAEAIAAAACIAAABkcnMvZG93&#10;bnJldi54bWxQSwECFAAUAAAACACHTuJAwF4SxMgBAAByAwAADgAAAAAAAAABACAAAAAmAQAAZHJz&#10;L2Uyb0RvYy54bWxQSwUGAAAAAAYABgBZAQAAYAUAAAAA&#10;">
                  <v:fill on="f" focussize="0,0"/>
                  <v:stroke on="f"/>
                  <v:imagedata o:title=""/>
                  <o:lock v:ext="edit" aspectratio="f"/>
                  <v:textbox>
                    <w:txbxContent>
                      <w:p>
                        <w:pPr>
                          <w:jc w:val="center"/>
                          <w:rPr>
                            <w:rFonts w:hint="default" w:eastAsia="宋体"/>
                            <w:szCs w:val="21"/>
                            <w:lang w:val="en-US" w:eastAsia="zh-CN"/>
                          </w:rPr>
                        </w:pPr>
                        <w:r>
                          <w:rPr>
                            <w:rFonts w:hint="eastAsia"/>
                            <w:szCs w:val="21"/>
                          </w:rPr>
                          <w:t xml:space="preserve">自然蒸发 </w:t>
                        </w:r>
                        <w:r>
                          <w:rPr>
                            <w:rFonts w:hint="eastAsia"/>
                            <w:szCs w:val="21"/>
                            <w:lang w:val="en-US" w:eastAsia="zh-CN"/>
                          </w:rPr>
                          <w:t>0.022</w:t>
                        </w:r>
                      </w:p>
                    </w:txbxContent>
                  </v:textbox>
                </v:rect>
                <v:shape id="自选图形 1314" o:spid="_x0000_s1026" o:spt="32" type="#_x0000_t32" style="position:absolute;left:5679440;top:440055;height:434340;width:635;"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3LqTN1wAAAAYBAAAPAAAAAAAAAAEAIAAA&#10;ACIAAABkcnMvZG93bnJldi54bWxQSwECFAAUAAAACACHTuJApxvamg0CAAD4AwAADgAAAAAAAAAB&#10;ACAAAAAmAQAAZHJzL2Uyb0RvYy54bWxQSwUGAAAAAAYABgBZAQAApQUAAAAA&#10;">
                  <v:fill on="f" focussize="0,0"/>
                  <v:stroke color="#000000" joinstyle="round" endarrow="block"/>
                  <v:imagedata o:title=""/>
                  <o:lock v:ext="edit" aspectratio="f"/>
                </v:shape>
                <v:rect id="矩形 165" o:spid="_x0000_s1026" o:spt="1" style="position:absolute;left:2147483647;top:437043195;height:177822225;width:0;"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HQtoAPXAAAABgEAAA8AAAAAAAAAAQAgAAAAIgAAAGRycy9kb3du&#10;cmV2LnhtbFBLAQIUABQAAAAIAIdO4kAsSAU5xwEAAHIDAAAOAAAAAAAAAAEAIAAAACYBAABkcnMv&#10;ZTJvRG9jLnhtbFBLBQYAAAAABgAGAFkBAABfBQAAAAA=&#10;">
                  <v:fill on="f" focussize="0,0"/>
                  <v:stroke on="f"/>
                  <v:imagedata o:title=""/>
                  <o:lock v:ext="edit" aspectratio="f"/>
                  <v:textbox>
                    <w:txbxContent>
                      <w:p>
                        <w:pPr>
                          <w:jc w:val="center"/>
                          <w:rPr>
                            <w:szCs w:val="21"/>
                          </w:rPr>
                        </w:pPr>
                        <w:r>
                          <w:rPr>
                            <w:rFonts w:hint="eastAsia"/>
                            <w:szCs w:val="21"/>
                          </w:rPr>
                          <w:t>自然蒸发0.448</w:t>
                        </w:r>
                      </w:p>
                    </w:txbxContent>
                  </v:textbox>
                </v:rect>
                <v:rect id="矩形 1328" o:spid="_x0000_s1026" o:spt="1" style="position:absolute;left:4182745;top:2778125;height:280035;width:7639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HQt&#10;oAPXAAAABgEAAA8AAAAAAAAAAQAgAAAAIgAAAGRycy9kb3ducmV2LnhtbFBLAQIUABQAAAAIAIdO&#10;4kDsvDWOsgEAAFEDAAAOAAAAAAAAAAEAIAAAACYBAABkcnMvZTJvRG9jLnhtbFBLBQYAAAAABgAG&#10;AFkBAABKBQAAAAA=&#10;">
                  <v:fill on="f" focussize="0,0"/>
                  <v:stroke on="f"/>
                  <v:imagedata o:title=""/>
                  <o:lock v:ext="edit" aspectratio="f"/>
                  <v:textbox>
                    <w:txbxContent>
                      <w:p>
                        <w:pPr>
                          <w:rPr>
                            <w:rFonts w:hint="default" w:eastAsia="宋体"/>
                            <w:lang w:val="en-US" w:eastAsia="zh-CN"/>
                          </w:rPr>
                        </w:pPr>
                        <w:r>
                          <w:rPr>
                            <w:rFonts w:hint="eastAsia"/>
                            <w:lang w:val="en-US" w:eastAsia="zh-CN"/>
                          </w:rPr>
                          <w:t>26.02</w:t>
                        </w:r>
                      </w:p>
                    </w:txbxContent>
                  </v:textbox>
                </v:rect>
                <v:rect id="矩形 2033" o:spid="_x0000_s1026" o:spt="1" style="position:absolute;left:3771265;top:72390;height:342900;width:732155;"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WFq+tUAAAAGAQAADwAAAAAAAAABACAAAAAiAAAA&#10;ZHJzL2Rvd25yZXYueG1sUEsBAhQAFAAAAAgAh07iQI8jYIEKAgAADgQAAA4AAAAAAAAAAQAgAAAA&#10;JAEAAGRycy9lMm9Eb2MueG1sUEsFBgAAAAAGAAYAWQEAAKAFAAAAAA==&#10;">
                  <v:fill on="f" focussize="0,0"/>
                  <v:stroke color="#000000" joinstyle="miter"/>
                  <v:imagedata o:title=""/>
                  <o:lock v:ext="edit" aspectratio="f"/>
                  <v:textbox>
                    <w:txbxContent>
                      <w:p>
                        <w:pPr>
                          <w:rPr>
                            <w:rFonts w:hint="eastAsia"/>
                          </w:rPr>
                        </w:pPr>
                        <w:r>
                          <w:rPr>
                            <w:rFonts w:hint="eastAsia" w:ascii="宋体" w:hAnsi="宋体"/>
                            <w:szCs w:val="21"/>
                          </w:rPr>
                          <w:t>固液分离</w:t>
                        </w:r>
                      </w:p>
                    </w:txbxContent>
                  </v:textbox>
                </v:rect>
                <w10:wrap type="none"/>
                <w10:anchorlock/>
              </v:group>
            </w:pict>
          </mc:Fallback>
        </mc:AlternateContent>
      </w:r>
    </w:p>
    <w:p>
      <w:pPr>
        <w:kinsoku w:val="0"/>
        <w:overflowPunct w:val="0"/>
        <w:spacing w:line="500" w:lineRule="exact"/>
        <w:jc w:val="center"/>
        <w:rPr>
          <w:b/>
          <w:sz w:val="24"/>
        </w:rPr>
      </w:pPr>
      <w:r>
        <w:rPr>
          <w:sz w:val="24"/>
        </w:rPr>
        <w:tab/>
      </w:r>
      <w:r>
        <w:rPr>
          <w:rFonts w:hAnsi="宋体"/>
          <w:b/>
          <w:sz w:val="24"/>
        </w:rPr>
        <w:t>图</w:t>
      </w:r>
      <w:r>
        <w:rPr>
          <w:b/>
          <w:sz w:val="24"/>
        </w:rPr>
        <w:t xml:space="preserve">2.3-2        </w:t>
      </w:r>
      <w:r>
        <w:rPr>
          <w:rFonts w:hAnsi="宋体"/>
          <w:b/>
          <w:sz w:val="24"/>
        </w:rPr>
        <w:t>项目</w:t>
      </w:r>
      <w:r>
        <w:rPr>
          <w:rFonts w:hint="eastAsia" w:hAnsi="宋体"/>
          <w:b/>
          <w:sz w:val="24"/>
        </w:rPr>
        <w:t>夏季</w:t>
      </w:r>
      <w:r>
        <w:rPr>
          <w:rFonts w:hAnsi="宋体"/>
          <w:b/>
          <w:sz w:val="24"/>
        </w:rPr>
        <w:t>水平衡图</w:t>
      </w:r>
      <w:r>
        <w:rPr>
          <w:b/>
          <w:sz w:val="24"/>
        </w:rPr>
        <w:t xml:space="preserve">   </w:t>
      </w:r>
      <w:r>
        <w:rPr>
          <w:rFonts w:hAnsi="宋体"/>
          <w:b/>
          <w:sz w:val="24"/>
        </w:rPr>
        <w:t>（单位：</w:t>
      </w:r>
      <w:r>
        <w:rPr>
          <w:b/>
          <w:sz w:val="24"/>
        </w:rPr>
        <w:t>m</w:t>
      </w:r>
      <w:r>
        <w:rPr>
          <w:b/>
          <w:sz w:val="24"/>
          <w:vertAlign w:val="superscript"/>
        </w:rPr>
        <w:t>3</w:t>
      </w:r>
      <w:r>
        <w:rPr>
          <w:b/>
          <w:sz w:val="24"/>
        </w:rPr>
        <w:t>/d</w:t>
      </w:r>
      <w:r>
        <w:rPr>
          <w:rFonts w:hAnsi="宋体"/>
          <w:b/>
          <w:sz w:val="24"/>
        </w:rPr>
        <w:t>）</w:t>
      </w:r>
    </w:p>
    <w:p>
      <w:pPr>
        <w:tabs>
          <w:tab w:val="left" w:pos="465"/>
        </w:tabs>
        <w:rPr>
          <w:sz w:val="24"/>
        </w:rPr>
      </w:pPr>
    </w:p>
    <w:p>
      <w:pPr>
        <w:tabs>
          <w:tab w:val="left" w:pos="465"/>
        </w:tabs>
        <w:rPr>
          <w:sz w:val="24"/>
        </w:rPr>
      </w:pPr>
    </w:p>
    <w:p>
      <w:pPr>
        <w:tabs>
          <w:tab w:val="left" w:pos="465"/>
        </w:tabs>
        <w:rPr>
          <w:sz w:val="24"/>
        </w:rPr>
      </w:pPr>
    </w:p>
    <w:p>
      <w:pPr>
        <w:tabs>
          <w:tab w:val="left" w:pos="465"/>
        </w:tabs>
        <w:rPr>
          <w:sz w:val="24"/>
        </w:rPr>
      </w:pPr>
    </w:p>
    <w:p>
      <w:pPr>
        <w:tabs>
          <w:tab w:val="left" w:pos="465"/>
        </w:tabs>
        <w:rPr>
          <w:sz w:val="24"/>
        </w:rPr>
      </w:pPr>
    </w:p>
    <w:p>
      <w:pPr>
        <w:tabs>
          <w:tab w:val="left" w:pos="465"/>
        </w:tabs>
        <w:rPr>
          <w:sz w:val="24"/>
        </w:rPr>
      </w:pPr>
    </w:p>
    <w:p>
      <w:pPr>
        <w:tabs>
          <w:tab w:val="left" w:pos="465"/>
        </w:tabs>
        <w:rPr>
          <w:sz w:val="24"/>
        </w:rPr>
      </w:pPr>
    </w:p>
    <w:p>
      <w:pPr>
        <w:tabs>
          <w:tab w:val="left" w:pos="465"/>
        </w:tabs>
        <w:rPr>
          <w:sz w:val="24"/>
        </w:rPr>
      </w:pPr>
    </w:p>
    <w:p>
      <w:pPr>
        <w:rPr>
          <w:sz w:val="24"/>
        </w:rPr>
      </w:pPr>
      <w:r>
        <w:rPr>
          <w:rFonts w:hAnsi="宋体"/>
          <w:sz w:val="24"/>
        </w:rPr>
        <mc:AlternateContent>
          <mc:Choice Requires="wpc">
            <w:drawing>
              <wp:inline distT="0" distB="0" distL="114300" distR="114300">
                <wp:extent cx="8121015" cy="3987800"/>
                <wp:effectExtent l="0" t="0" r="0" b="0"/>
                <wp:docPr id="144" name="画布 203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88" name="矩形 2036"/>
                        <wps:cNvSpPr/>
                        <wps:spPr>
                          <a:xfrm>
                            <a:off x="248285" y="1083310"/>
                            <a:ext cx="354965" cy="778510"/>
                          </a:xfrm>
                          <a:prstGeom prst="rect">
                            <a:avLst/>
                          </a:prstGeom>
                          <a:noFill/>
                          <a:ln w="9525" cap="flat" cmpd="sng">
                            <a:solidFill>
                              <a:srgbClr val="000000"/>
                            </a:solidFill>
                            <a:prstDash val="solid"/>
                            <a:miter/>
                            <a:headEnd type="none" w="med" len="med"/>
                            <a:tailEnd type="none" w="med" len="med"/>
                          </a:ln>
                        </wps:spPr>
                        <wps:txbx>
                          <w:txbxContent>
                            <w:p>
                              <w:pPr>
                                <w:rPr>
                                  <w:rFonts w:ascii="宋体" w:hAnsi="宋体"/>
                                  <w:szCs w:val="21"/>
                                </w:rPr>
                              </w:pPr>
                              <w:r>
                                <w:rPr>
                                  <w:rFonts w:hint="eastAsia" w:ascii="宋体" w:hAnsi="宋体"/>
                                  <w:szCs w:val="21"/>
                                </w:rPr>
                                <w:t>新鲜水</w:t>
                              </w:r>
                            </w:p>
                          </w:txbxContent>
                        </wps:txbx>
                        <wps:bodyPr upright="1"/>
                      </wps:wsp>
                      <wps:wsp>
                        <wps:cNvPr id="89" name="自选图形 2038"/>
                        <wps:cNvCnPr/>
                        <wps:spPr>
                          <a:xfrm flipH="1">
                            <a:off x="1054100" y="805180"/>
                            <a:ext cx="5080" cy="1435100"/>
                          </a:xfrm>
                          <a:prstGeom prst="straightConnector1">
                            <a:avLst/>
                          </a:prstGeom>
                          <a:ln w="9525" cap="flat" cmpd="sng">
                            <a:solidFill>
                              <a:srgbClr val="000000"/>
                            </a:solidFill>
                            <a:prstDash val="solid"/>
                            <a:headEnd type="none" w="med" len="med"/>
                            <a:tailEnd type="none" w="med" len="med"/>
                          </a:ln>
                        </wps:spPr>
                        <wps:bodyPr/>
                      </wps:wsp>
                      <wps:wsp>
                        <wps:cNvPr id="90" name="自选图形 2039"/>
                        <wps:cNvCnPr/>
                        <wps:spPr>
                          <a:xfrm>
                            <a:off x="1059180" y="805180"/>
                            <a:ext cx="466090" cy="0"/>
                          </a:xfrm>
                          <a:prstGeom prst="straightConnector1">
                            <a:avLst/>
                          </a:prstGeom>
                          <a:ln w="9525" cap="flat" cmpd="sng">
                            <a:solidFill>
                              <a:srgbClr val="000000"/>
                            </a:solidFill>
                            <a:prstDash val="solid"/>
                            <a:headEnd type="none" w="med" len="med"/>
                            <a:tailEnd type="triangle" w="med" len="med"/>
                          </a:ln>
                        </wps:spPr>
                        <wps:bodyPr/>
                      </wps:wsp>
                      <wps:wsp>
                        <wps:cNvPr id="91" name="自选图形 2040"/>
                        <wps:cNvCnPr/>
                        <wps:spPr>
                          <a:xfrm>
                            <a:off x="1066165" y="1487170"/>
                            <a:ext cx="466090" cy="1270"/>
                          </a:xfrm>
                          <a:prstGeom prst="straightConnector1">
                            <a:avLst/>
                          </a:prstGeom>
                          <a:ln w="9525" cap="flat" cmpd="sng">
                            <a:solidFill>
                              <a:srgbClr val="000000"/>
                            </a:solidFill>
                            <a:prstDash val="solid"/>
                            <a:headEnd type="none" w="med" len="med"/>
                            <a:tailEnd type="triangle" w="med" len="med"/>
                          </a:ln>
                        </wps:spPr>
                        <wps:bodyPr/>
                      </wps:wsp>
                      <wps:wsp>
                        <wps:cNvPr id="92" name="自选图形 2042"/>
                        <wps:cNvCnPr/>
                        <wps:spPr>
                          <a:xfrm>
                            <a:off x="1066165" y="2210435"/>
                            <a:ext cx="466090" cy="635"/>
                          </a:xfrm>
                          <a:prstGeom prst="straightConnector1">
                            <a:avLst/>
                          </a:prstGeom>
                          <a:ln w="9525" cap="flat" cmpd="sng">
                            <a:solidFill>
                              <a:srgbClr val="000000"/>
                            </a:solidFill>
                            <a:prstDash val="solid"/>
                            <a:headEnd type="none" w="med" len="med"/>
                            <a:tailEnd type="triangle" w="med" len="med"/>
                          </a:ln>
                        </wps:spPr>
                        <wps:bodyPr/>
                      </wps:wsp>
                      <wps:wsp>
                        <wps:cNvPr id="93" name="矩形 2043"/>
                        <wps:cNvSpPr/>
                        <wps:spPr>
                          <a:xfrm>
                            <a:off x="1532255" y="695960"/>
                            <a:ext cx="961390" cy="279400"/>
                          </a:xfrm>
                          <a:prstGeom prst="rect">
                            <a:avLst/>
                          </a:prstGeom>
                          <a:noFill/>
                          <a:ln w="9525" cap="flat" cmpd="sng">
                            <a:solidFill>
                              <a:srgbClr val="000000"/>
                            </a:solidFill>
                            <a:prstDash val="solid"/>
                            <a:miter/>
                            <a:headEnd type="none" w="med" len="med"/>
                            <a:tailEnd type="none" w="med" len="med"/>
                          </a:ln>
                        </wps:spPr>
                        <wps:txbx>
                          <w:txbxContent>
                            <w:p>
                              <w:pPr>
                                <w:rPr>
                                  <w:rFonts w:hint="eastAsia" w:ascii="宋体" w:hAnsi="宋体"/>
                                  <w:szCs w:val="21"/>
                                </w:rPr>
                              </w:pPr>
                              <w:r>
                                <w:rPr>
                                  <w:rFonts w:hint="eastAsia" w:ascii="宋体" w:hAnsi="宋体"/>
                                  <w:szCs w:val="21"/>
                                </w:rPr>
                                <w:t>生猪</w:t>
                              </w:r>
                              <w:r>
                                <w:rPr>
                                  <w:rFonts w:ascii="宋体" w:hAnsi="宋体"/>
                                  <w:szCs w:val="21"/>
                                </w:rPr>
                                <w:t>饮用水</w:t>
                              </w:r>
                            </w:p>
                          </w:txbxContent>
                        </wps:txbx>
                        <wps:bodyPr upright="1"/>
                      </wps:wsp>
                      <wps:wsp>
                        <wps:cNvPr id="94" name="矩形 2044"/>
                        <wps:cNvSpPr/>
                        <wps:spPr>
                          <a:xfrm>
                            <a:off x="1513205" y="1358265"/>
                            <a:ext cx="1036955" cy="280035"/>
                          </a:xfrm>
                          <a:prstGeom prst="rect">
                            <a:avLst/>
                          </a:prstGeom>
                          <a:noFill/>
                          <a:ln w="9525" cap="flat" cmpd="sng">
                            <a:solidFill>
                              <a:srgbClr val="000000"/>
                            </a:solidFill>
                            <a:prstDash val="solid"/>
                            <a:miter/>
                            <a:headEnd type="none" w="med" len="med"/>
                            <a:tailEnd type="none" w="med" len="med"/>
                          </a:ln>
                        </wps:spPr>
                        <wps:txbx>
                          <w:txbxContent>
                            <w:p>
                              <w:pPr>
                                <w:rPr>
                                  <w:rFonts w:hint="eastAsia"/>
                                </w:rPr>
                              </w:pPr>
                              <w:r>
                                <w:rPr>
                                  <w:rFonts w:hint="eastAsia" w:ascii="宋体" w:hAnsi="宋体"/>
                                  <w:szCs w:val="21"/>
                                </w:rPr>
                                <w:t>猪舍</w:t>
                              </w:r>
                              <w:r>
                                <w:rPr>
                                  <w:rFonts w:ascii="宋体" w:hAnsi="宋体"/>
                                  <w:szCs w:val="21"/>
                                </w:rPr>
                                <w:t>冲洗水</w:t>
                              </w:r>
                            </w:p>
                          </w:txbxContent>
                        </wps:txbx>
                        <wps:bodyPr upright="1"/>
                      </wps:wsp>
                      <wps:wsp>
                        <wps:cNvPr id="95" name="矩形 2045"/>
                        <wps:cNvSpPr/>
                        <wps:spPr>
                          <a:xfrm>
                            <a:off x="1532255" y="2080895"/>
                            <a:ext cx="1017905" cy="280035"/>
                          </a:xfrm>
                          <a:prstGeom prst="rect">
                            <a:avLst/>
                          </a:prstGeom>
                          <a:noFill/>
                          <a:ln w="9525" cap="flat" cmpd="sng">
                            <a:solidFill>
                              <a:srgbClr val="000000"/>
                            </a:solidFill>
                            <a:prstDash val="solid"/>
                            <a:miter/>
                            <a:headEnd type="none" w="med" len="med"/>
                            <a:tailEnd type="none" w="med" len="med"/>
                          </a:ln>
                        </wps:spPr>
                        <wps:txbx>
                          <w:txbxContent>
                            <w:p>
                              <w:pPr>
                                <w:rPr>
                                  <w:rFonts w:hint="eastAsia" w:ascii="宋体" w:hAnsi="宋体"/>
                                  <w:szCs w:val="21"/>
                                </w:rPr>
                              </w:pPr>
                              <w:r>
                                <w:rPr>
                                  <w:rFonts w:hint="eastAsia" w:ascii="宋体" w:hAnsi="宋体"/>
                                  <w:szCs w:val="21"/>
                                </w:rPr>
                                <w:t>职工</w:t>
                              </w:r>
                              <w:r>
                                <w:rPr>
                                  <w:rFonts w:ascii="宋体" w:hAnsi="宋体"/>
                                  <w:szCs w:val="21"/>
                                </w:rPr>
                                <w:t>生活水</w:t>
                              </w:r>
                            </w:p>
                          </w:txbxContent>
                        </wps:txbx>
                        <wps:bodyPr upright="1"/>
                      </wps:wsp>
                      <wps:wsp>
                        <wps:cNvPr id="96" name="自选图形 2047"/>
                        <wps:cNvCnPr/>
                        <wps:spPr>
                          <a:xfrm flipV="1">
                            <a:off x="1771015" y="392430"/>
                            <a:ext cx="635" cy="303530"/>
                          </a:xfrm>
                          <a:prstGeom prst="straightConnector1">
                            <a:avLst/>
                          </a:prstGeom>
                          <a:ln w="9525" cap="flat" cmpd="sng">
                            <a:solidFill>
                              <a:srgbClr val="000000"/>
                            </a:solidFill>
                            <a:prstDash val="solid"/>
                            <a:headEnd type="none" w="med" len="med"/>
                            <a:tailEnd type="triangle" w="med" len="med"/>
                          </a:ln>
                        </wps:spPr>
                        <wps:bodyPr/>
                      </wps:wsp>
                      <wps:wsp>
                        <wps:cNvPr id="97" name="自选图形 2048"/>
                        <wps:cNvCnPr/>
                        <wps:spPr>
                          <a:xfrm>
                            <a:off x="2493645" y="835660"/>
                            <a:ext cx="668655" cy="635"/>
                          </a:xfrm>
                          <a:prstGeom prst="straightConnector1">
                            <a:avLst/>
                          </a:prstGeom>
                          <a:ln w="9525" cap="flat" cmpd="sng">
                            <a:solidFill>
                              <a:srgbClr val="000000"/>
                            </a:solidFill>
                            <a:prstDash val="solid"/>
                            <a:headEnd type="none" w="med" len="med"/>
                            <a:tailEnd type="triangle" w="med" len="med"/>
                          </a:ln>
                        </wps:spPr>
                        <wps:bodyPr/>
                      </wps:wsp>
                      <wps:wsp>
                        <wps:cNvPr id="98" name="自选图形 2049"/>
                        <wps:cNvCnPr/>
                        <wps:spPr>
                          <a:xfrm>
                            <a:off x="2550160" y="1487170"/>
                            <a:ext cx="608330" cy="5715"/>
                          </a:xfrm>
                          <a:prstGeom prst="straightConnector1">
                            <a:avLst/>
                          </a:prstGeom>
                          <a:ln w="9525" cap="flat" cmpd="sng">
                            <a:solidFill>
                              <a:srgbClr val="000000"/>
                            </a:solidFill>
                            <a:prstDash val="solid"/>
                            <a:headEnd type="none" w="med" len="med"/>
                            <a:tailEnd type="triangle" w="med" len="med"/>
                          </a:ln>
                        </wps:spPr>
                        <wps:bodyPr/>
                      </wps:wsp>
                      <wps:wsp>
                        <wps:cNvPr id="99" name="自选图形 2050"/>
                        <wps:cNvCnPr/>
                        <wps:spPr>
                          <a:xfrm>
                            <a:off x="2550160" y="2204720"/>
                            <a:ext cx="608330" cy="5715"/>
                          </a:xfrm>
                          <a:prstGeom prst="straightConnector1">
                            <a:avLst/>
                          </a:prstGeom>
                          <a:ln w="9525" cap="flat" cmpd="sng">
                            <a:solidFill>
                              <a:srgbClr val="000000"/>
                            </a:solidFill>
                            <a:prstDash val="solid"/>
                            <a:headEnd type="none" w="med" len="med"/>
                            <a:tailEnd type="triangle" w="med" len="med"/>
                          </a:ln>
                        </wps:spPr>
                        <wps:bodyPr/>
                      </wps:wsp>
                      <wps:wsp>
                        <wps:cNvPr id="100" name="自选图形 2051"/>
                        <wps:cNvCnPr/>
                        <wps:spPr>
                          <a:xfrm>
                            <a:off x="3161665" y="835660"/>
                            <a:ext cx="635" cy="1369060"/>
                          </a:xfrm>
                          <a:prstGeom prst="straightConnector1">
                            <a:avLst/>
                          </a:prstGeom>
                          <a:ln w="9525" cap="flat" cmpd="sng">
                            <a:solidFill>
                              <a:srgbClr val="000000"/>
                            </a:solidFill>
                            <a:prstDash val="solid"/>
                            <a:headEnd type="none" w="med" len="med"/>
                            <a:tailEnd type="none" w="med" len="med"/>
                          </a:ln>
                        </wps:spPr>
                        <wps:bodyPr/>
                      </wps:wsp>
                      <wps:wsp>
                        <wps:cNvPr id="101" name="自选图形 2052"/>
                        <wps:cNvCnPr/>
                        <wps:spPr>
                          <a:xfrm>
                            <a:off x="3162300" y="1487170"/>
                            <a:ext cx="553720" cy="0"/>
                          </a:xfrm>
                          <a:prstGeom prst="straightConnector1">
                            <a:avLst/>
                          </a:prstGeom>
                          <a:ln w="9525" cap="flat" cmpd="sng">
                            <a:solidFill>
                              <a:srgbClr val="000000"/>
                            </a:solidFill>
                            <a:prstDash val="solid"/>
                            <a:headEnd type="none" w="med" len="med"/>
                            <a:tailEnd type="triangle" w="med" len="med"/>
                          </a:ln>
                        </wps:spPr>
                        <wps:bodyPr/>
                      </wps:wsp>
                      <wps:wsp>
                        <wps:cNvPr id="102" name="矩形 2053"/>
                        <wps:cNvSpPr/>
                        <wps:spPr>
                          <a:xfrm>
                            <a:off x="3716020" y="1358265"/>
                            <a:ext cx="1405890" cy="404495"/>
                          </a:xfrm>
                          <a:prstGeom prst="rect">
                            <a:avLst/>
                          </a:prstGeom>
                          <a:no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ascii="宋体" w:hAnsi="宋体"/>
                                  <w:szCs w:val="21"/>
                                </w:rPr>
                                <w:t>黑膜沼气池</w:t>
                              </w:r>
                              <w:r>
                                <w:rPr>
                                  <w:rFonts w:hint="eastAsia"/>
                                  <w:szCs w:val="21"/>
                                  <w:lang w:val="en-US" w:eastAsia="zh-CN"/>
                                </w:rPr>
                                <w:t>17.9</w:t>
                              </w:r>
                            </w:p>
                          </w:txbxContent>
                        </wps:txbx>
                        <wps:bodyPr upright="1"/>
                      </wps:wsp>
                      <wps:wsp>
                        <wps:cNvPr id="103" name="矩形 2054"/>
                        <wps:cNvSpPr/>
                        <wps:spPr>
                          <a:xfrm>
                            <a:off x="3831590" y="2165350"/>
                            <a:ext cx="557530" cy="280035"/>
                          </a:xfrm>
                          <a:prstGeom prst="rect">
                            <a:avLst/>
                          </a:prstGeom>
                          <a:noFill/>
                          <a:ln w="9525" cap="flat" cmpd="sng">
                            <a:solidFill>
                              <a:srgbClr val="000000"/>
                            </a:solidFill>
                            <a:prstDash val="solid"/>
                            <a:miter/>
                            <a:headEnd type="none" w="med" len="med"/>
                            <a:tailEnd type="none" w="med" len="med"/>
                          </a:ln>
                        </wps:spPr>
                        <wps:txbx>
                          <w:txbxContent>
                            <w:p>
                              <w:pPr>
                                <w:rPr>
                                  <w:rFonts w:hint="eastAsia"/>
                                </w:rPr>
                              </w:pPr>
                              <w:r>
                                <w:rPr>
                                  <w:rFonts w:hint="eastAsia" w:ascii="宋体" w:hAnsi="宋体"/>
                                  <w:szCs w:val="21"/>
                                </w:rPr>
                                <w:t>沼液</w:t>
                              </w:r>
                            </w:p>
                          </w:txbxContent>
                        </wps:txbx>
                        <wps:bodyPr upright="1"/>
                      </wps:wsp>
                      <wps:wsp>
                        <wps:cNvPr id="104" name="矩形 2055"/>
                        <wps:cNvSpPr/>
                        <wps:spPr>
                          <a:xfrm>
                            <a:off x="5922010" y="1227455"/>
                            <a:ext cx="800100" cy="410845"/>
                          </a:xfrm>
                          <a:prstGeom prst="rect">
                            <a:avLst/>
                          </a:prstGeom>
                          <a:noFill/>
                          <a:ln w="9525" cap="flat" cmpd="sng">
                            <a:solidFill>
                              <a:srgbClr val="000000"/>
                            </a:solidFill>
                            <a:prstDash val="solid"/>
                            <a:miter/>
                            <a:headEnd type="none" w="med" len="med"/>
                            <a:tailEnd type="none" w="med" len="med"/>
                          </a:ln>
                        </wps:spPr>
                        <wps:txbx>
                          <w:txbxContent>
                            <w:p>
                              <w:r>
                                <w:rPr>
                                  <w:rFonts w:hint="eastAsia" w:ascii="宋体" w:hAnsi="宋体"/>
                                  <w:szCs w:val="21"/>
                                </w:rPr>
                                <w:t>沼渣携带</w:t>
                              </w:r>
                              <w:r>
                                <w:rPr>
                                  <w:rFonts w:hint="eastAsia"/>
                                  <w:szCs w:val="21"/>
                                </w:rPr>
                                <w:t>0.</w:t>
                              </w:r>
                              <w:r>
                                <w:rPr>
                                  <w:rFonts w:hint="eastAsia"/>
                                  <w:szCs w:val="21"/>
                                  <w:lang w:val="en-US" w:eastAsia="zh-CN"/>
                                </w:rPr>
                                <w:t>074</w:t>
                              </w:r>
                            </w:p>
                          </w:txbxContent>
                        </wps:txbx>
                        <wps:bodyPr upright="1"/>
                      </wps:wsp>
                      <wps:wsp>
                        <wps:cNvPr id="105" name="自选图形 2056"/>
                        <wps:cNvCnPr/>
                        <wps:spPr>
                          <a:xfrm flipV="1">
                            <a:off x="2228215" y="392430"/>
                            <a:ext cx="635" cy="303530"/>
                          </a:xfrm>
                          <a:prstGeom prst="straightConnector1">
                            <a:avLst/>
                          </a:prstGeom>
                          <a:ln w="9525" cap="flat" cmpd="sng">
                            <a:solidFill>
                              <a:srgbClr val="000000"/>
                            </a:solidFill>
                            <a:prstDash val="solid"/>
                            <a:headEnd type="none" w="med" len="med"/>
                            <a:tailEnd type="triangle" w="med" len="med"/>
                          </a:ln>
                        </wps:spPr>
                        <wps:bodyPr/>
                      </wps:wsp>
                      <wps:wsp>
                        <wps:cNvPr id="106" name="矩形 2057"/>
                        <wps:cNvSpPr/>
                        <wps:spPr>
                          <a:xfrm>
                            <a:off x="2034540" y="112395"/>
                            <a:ext cx="1264920" cy="280035"/>
                          </a:xfrm>
                          <a:prstGeom prst="rect">
                            <a:avLst/>
                          </a:prstGeom>
                          <a:no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ascii="宋体" w:hAnsi="宋体"/>
                                  <w:szCs w:val="21"/>
                                </w:rPr>
                                <w:t>猪粪含水</w:t>
                              </w:r>
                              <w:r>
                                <w:rPr>
                                  <w:rFonts w:hint="eastAsia"/>
                                  <w:szCs w:val="21"/>
                                  <w:lang w:val="en-US" w:eastAsia="zh-CN"/>
                                </w:rPr>
                                <w:t>3.4</w:t>
                              </w:r>
                            </w:p>
                          </w:txbxContent>
                        </wps:txbx>
                        <wps:bodyPr upright="1"/>
                      </wps:wsp>
                      <wps:wsp>
                        <wps:cNvPr id="107" name="矩形 2058"/>
                        <wps:cNvSpPr/>
                        <wps:spPr>
                          <a:xfrm>
                            <a:off x="645160" y="112395"/>
                            <a:ext cx="1264920" cy="280035"/>
                          </a:xfrm>
                          <a:prstGeom prst="rect">
                            <a:avLst/>
                          </a:prstGeom>
                          <a:no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ascii="宋体" w:hAnsi="宋体"/>
                                  <w:szCs w:val="21"/>
                                </w:rPr>
                                <w:t>体能损耗</w:t>
                              </w:r>
                              <w:r>
                                <w:rPr>
                                  <w:rFonts w:hint="eastAsia"/>
                                  <w:szCs w:val="21"/>
                                  <w:lang w:val="en-US" w:eastAsia="zh-CN"/>
                                </w:rPr>
                                <w:t>11.09</w:t>
                              </w:r>
                            </w:p>
                          </w:txbxContent>
                        </wps:txbx>
                        <wps:bodyPr upright="1"/>
                      </wps:wsp>
                      <wps:wsp>
                        <wps:cNvPr id="108" name="矩形 2059"/>
                        <wps:cNvSpPr/>
                        <wps:spPr>
                          <a:xfrm>
                            <a:off x="2456180" y="612775"/>
                            <a:ext cx="1119505" cy="280035"/>
                          </a:xfrm>
                          <a:prstGeom prst="rect">
                            <a:avLst/>
                          </a:prstGeom>
                          <a:noFill/>
                          <a:ln>
                            <a:noFill/>
                          </a:ln>
                        </wps:spPr>
                        <wps:txbx>
                          <w:txbxContent>
                            <w:p>
                              <w:pPr>
                                <w:rPr>
                                  <w:rFonts w:hint="eastAsia" w:eastAsia="宋体"/>
                                  <w:lang w:eastAsia="zh-CN"/>
                                </w:rPr>
                              </w:pPr>
                              <w:r>
                                <w:rPr>
                                  <w:rFonts w:hint="eastAsia" w:ascii="宋体" w:hAnsi="宋体"/>
                                  <w:szCs w:val="21"/>
                                </w:rPr>
                                <w:t>猪尿</w:t>
                              </w:r>
                              <w:r>
                                <w:rPr>
                                  <w:rFonts w:hint="eastAsia"/>
                                  <w:szCs w:val="21"/>
                                  <w:lang w:eastAsia="zh-CN"/>
                                </w:rPr>
                                <w:t>12.81</w:t>
                              </w:r>
                            </w:p>
                          </w:txbxContent>
                        </wps:txbx>
                        <wps:bodyPr upright="1"/>
                      </wps:wsp>
                      <wps:wsp>
                        <wps:cNvPr id="109" name="矩形 2060"/>
                        <wps:cNvSpPr/>
                        <wps:spPr>
                          <a:xfrm>
                            <a:off x="965835" y="612775"/>
                            <a:ext cx="763905" cy="280035"/>
                          </a:xfrm>
                          <a:prstGeom prst="rect">
                            <a:avLst/>
                          </a:prstGeom>
                          <a:noFill/>
                          <a:ln>
                            <a:noFill/>
                          </a:ln>
                        </wps:spPr>
                        <wps:txbx>
                          <w:txbxContent>
                            <w:p>
                              <w:pPr>
                                <w:rPr>
                                  <w:rFonts w:hint="default" w:eastAsia="宋体"/>
                                  <w:lang w:val="en-US" w:eastAsia="zh-CN"/>
                                </w:rPr>
                              </w:pPr>
                              <w:r>
                                <w:rPr>
                                  <w:rFonts w:hint="eastAsia"/>
                                  <w:szCs w:val="21"/>
                                  <w:lang w:val="en-US" w:eastAsia="zh-CN"/>
                                </w:rPr>
                                <w:t>27.3</w:t>
                              </w:r>
                            </w:p>
                          </w:txbxContent>
                        </wps:txbx>
                        <wps:bodyPr upright="1"/>
                      </wps:wsp>
                      <wps:wsp>
                        <wps:cNvPr id="110" name="矩形 2061"/>
                        <wps:cNvSpPr/>
                        <wps:spPr>
                          <a:xfrm>
                            <a:off x="1047750" y="1257300"/>
                            <a:ext cx="763905" cy="280035"/>
                          </a:xfrm>
                          <a:prstGeom prst="rect">
                            <a:avLst/>
                          </a:prstGeom>
                          <a:noFill/>
                          <a:ln>
                            <a:noFill/>
                          </a:ln>
                        </wps:spPr>
                        <wps:txbx>
                          <w:txbxContent>
                            <w:p>
                              <w:pPr>
                                <w:rPr>
                                  <w:rFonts w:hint="eastAsia" w:eastAsia="宋体"/>
                                  <w:lang w:val="en-US" w:eastAsia="zh-CN"/>
                                </w:rPr>
                              </w:pPr>
                              <w:r>
                                <w:rPr>
                                  <w:rFonts w:hint="eastAsia"/>
                                  <w:szCs w:val="21"/>
                                </w:rPr>
                                <w:t>1.</w:t>
                              </w:r>
                              <w:r>
                                <w:rPr>
                                  <w:rFonts w:hint="eastAsia"/>
                                  <w:szCs w:val="21"/>
                                  <w:lang w:val="en-US" w:eastAsia="zh-CN"/>
                                </w:rPr>
                                <w:t>6</w:t>
                              </w:r>
                            </w:p>
                          </w:txbxContent>
                        </wps:txbx>
                        <wps:bodyPr upright="1"/>
                      </wps:wsp>
                      <wps:wsp>
                        <wps:cNvPr id="111" name="矩形 2062"/>
                        <wps:cNvSpPr/>
                        <wps:spPr>
                          <a:xfrm>
                            <a:off x="2493645" y="1294765"/>
                            <a:ext cx="763905" cy="280035"/>
                          </a:xfrm>
                          <a:prstGeom prst="rect">
                            <a:avLst/>
                          </a:prstGeom>
                          <a:noFill/>
                          <a:ln>
                            <a:noFill/>
                          </a:ln>
                        </wps:spPr>
                        <wps:txbx>
                          <w:txbxContent>
                            <w:p>
                              <w:r>
                                <w:rPr>
                                  <w:rFonts w:hint="eastAsia"/>
                                </w:rPr>
                                <w:t>1.17</w:t>
                              </w:r>
                            </w:p>
                          </w:txbxContent>
                        </wps:txbx>
                        <wps:bodyPr upright="1"/>
                      </wps:wsp>
                      <wps:wsp>
                        <wps:cNvPr id="112" name="自选图形 2063"/>
                        <wps:cNvSpPr/>
                        <wps:spPr>
                          <a:xfrm>
                            <a:off x="2188845" y="975360"/>
                            <a:ext cx="749300" cy="319405"/>
                          </a:xfrm>
                          <a:prstGeom prst="cloudCallout">
                            <a:avLst>
                              <a:gd name="adj1" fmla="val -70255"/>
                              <a:gd name="adj2" fmla="val 62125"/>
                            </a:avLst>
                          </a:prstGeom>
                          <a:noFill/>
                          <a:ln w="9525" cap="flat" cmpd="sng">
                            <a:solidFill>
                              <a:srgbClr val="000000"/>
                            </a:solidFill>
                            <a:prstDash val="solid"/>
                            <a:headEnd type="none" w="med" len="med"/>
                            <a:tailEnd type="none" w="med" len="med"/>
                          </a:ln>
                        </wps:spPr>
                        <wps:txbx>
                          <w:txbxContent>
                            <w:p>
                              <w:pPr>
                                <w:rPr>
                                  <w:rFonts w:hint="default" w:eastAsia="宋体"/>
                                  <w:lang w:val="en-US" w:eastAsia="zh-CN"/>
                                </w:rPr>
                              </w:pPr>
                              <w:r>
                                <w:rPr>
                                  <w:rFonts w:hint="eastAsia"/>
                                  <w:szCs w:val="21"/>
                                </w:rPr>
                                <w:t>0.</w:t>
                              </w:r>
                              <w:r>
                                <w:rPr>
                                  <w:rFonts w:hint="eastAsia"/>
                                  <w:szCs w:val="21"/>
                                  <w:lang w:val="en-US" w:eastAsia="zh-CN"/>
                                </w:rPr>
                                <w:t>43</w:t>
                              </w:r>
                            </w:p>
                          </w:txbxContent>
                        </wps:txbx>
                        <wps:bodyPr upright="1"/>
                      </wps:wsp>
                      <wps:wsp>
                        <wps:cNvPr id="113" name="自选图形 2064"/>
                        <wps:cNvSpPr/>
                        <wps:spPr>
                          <a:xfrm>
                            <a:off x="2143125" y="1687195"/>
                            <a:ext cx="749300" cy="319405"/>
                          </a:xfrm>
                          <a:prstGeom prst="cloudCallout">
                            <a:avLst>
                              <a:gd name="adj1" fmla="val -70255"/>
                              <a:gd name="adj2" fmla="val 62125"/>
                            </a:avLst>
                          </a:prstGeom>
                          <a:noFill/>
                          <a:ln w="9525" cap="flat" cmpd="sng">
                            <a:solidFill>
                              <a:srgbClr val="000000"/>
                            </a:solidFill>
                            <a:prstDash val="solid"/>
                            <a:headEnd type="none" w="med" len="med"/>
                            <a:tailEnd type="none" w="med" len="med"/>
                          </a:ln>
                        </wps:spPr>
                        <wps:txbx>
                          <w:txbxContent>
                            <w:p>
                              <w:r>
                                <w:rPr>
                                  <w:rFonts w:hint="eastAsia"/>
                                  <w:szCs w:val="21"/>
                                </w:rPr>
                                <w:t>0.24</w:t>
                              </w:r>
                            </w:p>
                          </w:txbxContent>
                        </wps:txbx>
                        <wps:bodyPr upright="1"/>
                      </wps:wsp>
                      <wps:wsp>
                        <wps:cNvPr id="114" name="矩形 2065"/>
                        <wps:cNvSpPr/>
                        <wps:spPr>
                          <a:xfrm>
                            <a:off x="1066165" y="2006600"/>
                            <a:ext cx="763905" cy="280035"/>
                          </a:xfrm>
                          <a:prstGeom prst="rect">
                            <a:avLst/>
                          </a:prstGeom>
                          <a:noFill/>
                          <a:ln>
                            <a:noFill/>
                          </a:ln>
                        </wps:spPr>
                        <wps:txbx>
                          <w:txbxContent>
                            <w:p>
                              <w:r>
                                <w:rPr>
                                  <w:rFonts w:hint="eastAsia"/>
                                </w:rPr>
                                <w:t>1.2</w:t>
                              </w:r>
                            </w:p>
                          </w:txbxContent>
                        </wps:txbx>
                        <wps:bodyPr upright="1"/>
                      </wps:wsp>
                      <wps:wsp>
                        <wps:cNvPr id="115" name="矩形 2066"/>
                        <wps:cNvSpPr/>
                        <wps:spPr>
                          <a:xfrm>
                            <a:off x="2535555" y="2006600"/>
                            <a:ext cx="763905" cy="280035"/>
                          </a:xfrm>
                          <a:prstGeom prst="rect">
                            <a:avLst/>
                          </a:prstGeom>
                          <a:noFill/>
                          <a:ln>
                            <a:noFill/>
                          </a:ln>
                        </wps:spPr>
                        <wps:txbx>
                          <w:txbxContent>
                            <w:p>
                              <w:r>
                                <w:rPr>
                                  <w:rFonts w:hint="eastAsia"/>
                                  <w:szCs w:val="21"/>
                                </w:rPr>
                                <w:t>0.96</w:t>
                              </w:r>
                            </w:p>
                          </w:txbxContent>
                        </wps:txbx>
                        <wps:bodyPr upright="1"/>
                      </wps:wsp>
                      <wps:wsp>
                        <wps:cNvPr id="116" name="矩形 2069"/>
                        <wps:cNvSpPr/>
                        <wps:spPr>
                          <a:xfrm>
                            <a:off x="3101340" y="1294765"/>
                            <a:ext cx="763905" cy="280035"/>
                          </a:xfrm>
                          <a:prstGeom prst="rect">
                            <a:avLst/>
                          </a:prstGeom>
                          <a:noFill/>
                          <a:ln>
                            <a:noFill/>
                          </a:ln>
                        </wps:spPr>
                        <wps:txbx>
                          <w:txbxContent>
                            <w:p>
                              <w:pPr>
                                <w:rPr>
                                  <w:rFonts w:hint="default" w:eastAsia="宋体"/>
                                  <w:lang w:val="en-US" w:eastAsia="zh-CN"/>
                                </w:rPr>
                              </w:pPr>
                              <w:r>
                                <w:rPr>
                                  <w:rFonts w:hint="eastAsia"/>
                                  <w:lang w:val="en-US" w:eastAsia="zh-CN"/>
                                </w:rPr>
                                <w:t>15.02</w:t>
                              </w:r>
                            </w:p>
                          </w:txbxContent>
                        </wps:txbx>
                        <wps:bodyPr upright="1"/>
                      </wps:wsp>
                      <wps:wsp>
                        <wps:cNvPr id="117" name="自选图形 2070"/>
                        <wps:cNvCnPr/>
                        <wps:spPr>
                          <a:xfrm>
                            <a:off x="3299460" y="252730"/>
                            <a:ext cx="464185" cy="1270"/>
                          </a:xfrm>
                          <a:prstGeom prst="straightConnector1">
                            <a:avLst/>
                          </a:prstGeom>
                          <a:ln w="9525" cap="flat" cmpd="sng">
                            <a:solidFill>
                              <a:srgbClr val="000000"/>
                            </a:solidFill>
                            <a:prstDash val="solid"/>
                            <a:headEnd type="none" w="med" len="med"/>
                            <a:tailEnd type="triangle" w="med" len="med"/>
                          </a:ln>
                        </wps:spPr>
                        <wps:bodyPr/>
                      </wps:wsp>
                      <wps:wsp>
                        <wps:cNvPr id="118" name="自选图形 2071"/>
                        <wps:cNvCnPr/>
                        <wps:spPr>
                          <a:xfrm>
                            <a:off x="4111625" y="451485"/>
                            <a:ext cx="635" cy="915670"/>
                          </a:xfrm>
                          <a:prstGeom prst="straightConnector1">
                            <a:avLst/>
                          </a:prstGeom>
                          <a:ln w="9525" cap="flat" cmpd="sng">
                            <a:solidFill>
                              <a:srgbClr val="000000"/>
                            </a:solidFill>
                            <a:prstDash val="solid"/>
                            <a:headEnd type="none" w="med" len="med"/>
                            <a:tailEnd type="triangle" w="med" len="med"/>
                          </a:ln>
                        </wps:spPr>
                        <wps:bodyPr/>
                      </wps:wsp>
                      <wps:wsp>
                        <wps:cNvPr id="119" name="矩形 2072"/>
                        <wps:cNvSpPr/>
                        <wps:spPr>
                          <a:xfrm>
                            <a:off x="4017645" y="695325"/>
                            <a:ext cx="485140" cy="280035"/>
                          </a:xfrm>
                          <a:prstGeom prst="rect">
                            <a:avLst/>
                          </a:prstGeom>
                          <a:noFill/>
                          <a:ln>
                            <a:noFill/>
                          </a:ln>
                        </wps:spPr>
                        <wps:txbx>
                          <w:txbxContent>
                            <w:p>
                              <w:pPr>
                                <w:rPr>
                                  <w:rFonts w:hint="eastAsia" w:eastAsia="宋体"/>
                                  <w:lang w:eastAsia="zh-CN"/>
                                </w:rPr>
                              </w:pPr>
                              <w:r>
                                <w:rPr>
                                  <w:rFonts w:hint="eastAsia"/>
                                  <w:szCs w:val="21"/>
                                  <w:lang w:eastAsia="zh-CN"/>
                                </w:rPr>
                                <w:t>2.88</w:t>
                              </w:r>
                            </w:p>
                          </w:txbxContent>
                        </wps:txbx>
                        <wps:bodyPr upright="1"/>
                      </wps:wsp>
                      <wps:wsp>
                        <wps:cNvPr id="120" name="矩形 2073"/>
                        <wps:cNvSpPr/>
                        <wps:spPr>
                          <a:xfrm>
                            <a:off x="579755" y="1186180"/>
                            <a:ext cx="763905" cy="280035"/>
                          </a:xfrm>
                          <a:prstGeom prst="rect">
                            <a:avLst/>
                          </a:prstGeom>
                          <a:noFill/>
                          <a:ln>
                            <a:noFill/>
                          </a:ln>
                        </wps:spPr>
                        <wps:txbx>
                          <w:txbxContent>
                            <w:p>
                              <w:pPr>
                                <w:rPr>
                                  <w:rFonts w:hint="default" w:eastAsia="宋体"/>
                                  <w:lang w:val="en-US" w:eastAsia="zh-CN"/>
                                </w:rPr>
                              </w:pPr>
                              <w:r>
                                <w:rPr>
                                  <w:rFonts w:hint="eastAsia"/>
                                  <w:szCs w:val="21"/>
                                  <w:lang w:val="en-US" w:eastAsia="zh-CN"/>
                                </w:rPr>
                                <w:t>30.1</w:t>
                              </w:r>
                            </w:p>
                          </w:txbxContent>
                        </wps:txbx>
                        <wps:bodyPr upright="1"/>
                      </wps:wsp>
                      <wps:wsp>
                        <wps:cNvPr id="121" name="自选图形 2074"/>
                        <wps:cNvCnPr/>
                        <wps:spPr>
                          <a:xfrm>
                            <a:off x="4110990" y="2445385"/>
                            <a:ext cx="635" cy="865505"/>
                          </a:xfrm>
                          <a:prstGeom prst="straightConnector1">
                            <a:avLst/>
                          </a:prstGeom>
                          <a:ln w="9525" cap="flat" cmpd="sng">
                            <a:solidFill>
                              <a:srgbClr val="000000"/>
                            </a:solidFill>
                            <a:prstDash val="solid"/>
                            <a:headEnd type="none" w="med" len="med"/>
                            <a:tailEnd type="triangle" w="med" len="med"/>
                          </a:ln>
                        </wps:spPr>
                        <wps:bodyPr/>
                      </wps:wsp>
                      <wps:wsp>
                        <wps:cNvPr id="122" name="矩形 2075"/>
                        <wps:cNvSpPr/>
                        <wps:spPr>
                          <a:xfrm>
                            <a:off x="3769360" y="3308985"/>
                            <a:ext cx="645795" cy="280670"/>
                          </a:xfrm>
                          <a:prstGeom prst="rect">
                            <a:avLst/>
                          </a:prstGeom>
                          <a:noFill/>
                          <a:ln w="9525" cap="flat" cmpd="sng">
                            <a:solidFill>
                              <a:srgbClr val="000000"/>
                            </a:solidFill>
                            <a:prstDash val="solid"/>
                            <a:miter/>
                            <a:headEnd type="none" w="med" len="med"/>
                            <a:tailEnd type="none" w="med" len="med"/>
                          </a:ln>
                        </wps:spPr>
                        <wps:txbx>
                          <w:txbxContent>
                            <w:p>
                              <w:pPr>
                                <w:rPr>
                                  <w:rFonts w:hint="eastAsia"/>
                                </w:rPr>
                              </w:pPr>
                              <w:r>
                                <w:rPr>
                                  <w:rFonts w:hint="eastAsia" w:ascii="宋体" w:hAnsi="宋体"/>
                                  <w:szCs w:val="21"/>
                                </w:rPr>
                                <w:t>农肥</w:t>
                              </w:r>
                            </w:p>
                          </w:txbxContent>
                        </wps:txbx>
                        <wps:bodyPr upright="1"/>
                      </wps:wsp>
                      <wps:wsp>
                        <wps:cNvPr id="123" name="矩形 2076"/>
                        <wps:cNvSpPr/>
                        <wps:spPr>
                          <a:xfrm>
                            <a:off x="4116070" y="1800860"/>
                            <a:ext cx="763905" cy="280035"/>
                          </a:xfrm>
                          <a:prstGeom prst="rect">
                            <a:avLst/>
                          </a:prstGeom>
                          <a:noFill/>
                          <a:ln>
                            <a:noFill/>
                          </a:ln>
                        </wps:spPr>
                        <wps:txbx>
                          <w:txbxContent>
                            <w:p>
                              <w:pPr>
                                <w:rPr>
                                  <w:rFonts w:hint="default" w:eastAsia="宋体"/>
                                  <w:lang w:val="en-US" w:eastAsia="zh-CN"/>
                                </w:rPr>
                              </w:pPr>
                              <w:r>
                                <w:rPr>
                                  <w:rFonts w:hint="eastAsia"/>
                                  <w:szCs w:val="21"/>
                                  <w:lang w:val="en-US" w:eastAsia="zh-CN"/>
                                </w:rPr>
                                <w:t>17.826</w:t>
                              </w:r>
                            </w:p>
                          </w:txbxContent>
                        </wps:txbx>
                        <wps:bodyPr upright="1"/>
                      </wps:wsp>
                      <wps:wsp>
                        <wps:cNvPr id="124" name="自选图形 2077"/>
                        <wps:cNvCnPr/>
                        <wps:spPr>
                          <a:xfrm>
                            <a:off x="6144895" y="221615"/>
                            <a:ext cx="498475" cy="1270"/>
                          </a:xfrm>
                          <a:prstGeom prst="straightConnector1">
                            <a:avLst/>
                          </a:prstGeom>
                          <a:ln w="9525" cap="flat" cmpd="sng">
                            <a:solidFill>
                              <a:srgbClr val="000000"/>
                            </a:solidFill>
                            <a:prstDash val="solid"/>
                            <a:headEnd type="none" w="med" len="med"/>
                            <a:tailEnd type="triangle" w="med" len="med"/>
                          </a:ln>
                        </wps:spPr>
                        <wps:bodyPr/>
                      </wps:wsp>
                      <wps:wsp>
                        <wps:cNvPr id="128" name="矩形 2078"/>
                        <wps:cNvSpPr/>
                        <wps:spPr>
                          <a:xfrm>
                            <a:off x="5295900" y="95250"/>
                            <a:ext cx="848995" cy="344805"/>
                          </a:xfrm>
                          <a:prstGeom prst="rect">
                            <a:avLst/>
                          </a:prstGeom>
                          <a:noFill/>
                          <a:ln w="9525" cap="flat" cmpd="sng">
                            <a:solidFill>
                              <a:srgbClr val="000000"/>
                            </a:solidFill>
                            <a:prstDash val="solid"/>
                            <a:miter/>
                            <a:headEnd type="none" w="med" len="med"/>
                            <a:tailEnd type="none" w="med" len="med"/>
                          </a:ln>
                        </wps:spPr>
                        <wps:txbx>
                          <w:txbxContent>
                            <w:p>
                              <w:r>
                                <w:rPr>
                                  <w:rFonts w:hint="eastAsia" w:ascii="宋体" w:hAnsi="宋体"/>
                                  <w:szCs w:val="21"/>
                                </w:rPr>
                                <w:t>堆肥发酵</w:t>
                              </w:r>
                            </w:p>
                          </w:txbxContent>
                        </wps:txbx>
                        <wps:bodyPr upright="1"/>
                      </wps:wsp>
                      <wps:wsp>
                        <wps:cNvPr id="129" name="自选图形 2079"/>
                        <wps:cNvCnPr/>
                        <wps:spPr>
                          <a:xfrm flipH="1">
                            <a:off x="4801235" y="892810"/>
                            <a:ext cx="78740" cy="189230"/>
                          </a:xfrm>
                          <a:prstGeom prst="straightConnector1">
                            <a:avLst/>
                          </a:prstGeom>
                          <a:ln>
                            <a:noFill/>
                          </a:ln>
                        </wps:spPr>
                        <wps:bodyPr/>
                      </wps:wsp>
                      <wps:wsp>
                        <wps:cNvPr id="130" name="直线 2080"/>
                        <wps:cNvCnPr/>
                        <wps:spPr>
                          <a:xfrm>
                            <a:off x="4495800" y="221615"/>
                            <a:ext cx="800100" cy="0"/>
                          </a:xfrm>
                          <a:prstGeom prst="line">
                            <a:avLst/>
                          </a:prstGeom>
                          <a:ln w="9525" cap="flat" cmpd="sng">
                            <a:solidFill>
                              <a:srgbClr val="000000"/>
                            </a:solidFill>
                            <a:prstDash val="solid"/>
                            <a:headEnd type="none" w="med" len="med"/>
                            <a:tailEnd type="triangle" w="med" len="med"/>
                          </a:ln>
                        </wps:spPr>
                        <wps:bodyPr upright="1"/>
                      </wps:wsp>
                      <wps:wsp>
                        <wps:cNvPr id="131" name="直线 2081"/>
                        <wps:cNvCnPr/>
                        <wps:spPr>
                          <a:xfrm>
                            <a:off x="5121910" y="1485900"/>
                            <a:ext cx="800100" cy="635"/>
                          </a:xfrm>
                          <a:prstGeom prst="line">
                            <a:avLst/>
                          </a:prstGeom>
                          <a:ln w="9525" cap="flat" cmpd="sng">
                            <a:solidFill>
                              <a:srgbClr val="000000"/>
                            </a:solidFill>
                            <a:prstDash val="solid"/>
                            <a:headEnd type="none" w="med" len="med"/>
                            <a:tailEnd type="triangle" w="med" len="med"/>
                          </a:ln>
                        </wps:spPr>
                        <wps:bodyPr upright="1"/>
                      </wps:wsp>
                      <wps:wsp>
                        <wps:cNvPr id="132" name="自选图形 2082"/>
                        <wps:cNvCnPr/>
                        <wps:spPr>
                          <a:xfrm>
                            <a:off x="4110355" y="1776730"/>
                            <a:ext cx="635" cy="434340"/>
                          </a:xfrm>
                          <a:prstGeom prst="straightConnector1">
                            <a:avLst/>
                          </a:prstGeom>
                          <a:ln w="9525" cap="flat" cmpd="sng">
                            <a:solidFill>
                              <a:srgbClr val="000000"/>
                            </a:solidFill>
                            <a:prstDash val="solid"/>
                            <a:headEnd type="none" w="med" len="med"/>
                            <a:tailEnd type="triangle" w="med" len="med"/>
                          </a:ln>
                        </wps:spPr>
                        <wps:bodyPr/>
                      </wps:wsp>
                      <wps:wsp>
                        <wps:cNvPr id="133" name="自选图形 2083"/>
                        <wps:cNvCnPr/>
                        <wps:spPr>
                          <a:xfrm>
                            <a:off x="6322060" y="1638300"/>
                            <a:ext cx="3810" cy="292735"/>
                          </a:xfrm>
                          <a:prstGeom prst="straightConnector1">
                            <a:avLst/>
                          </a:prstGeom>
                          <a:ln w="9525" cap="flat" cmpd="sng">
                            <a:solidFill>
                              <a:srgbClr val="000000"/>
                            </a:solidFill>
                            <a:prstDash val="solid"/>
                            <a:headEnd type="none" w="med" len="med"/>
                            <a:tailEnd type="triangle" w="med" len="med"/>
                          </a:ln>
                        </wps:spPr>
                        <wps:bodyPr/>
                      </wps:wsp>
                      <wps:wsp>
                        <wps:cNvPr id="134" name="矩形 2084"/>
                        <wps:cNvSpPr/>
                        <wps:spPr>
                          <a:xfrm>
                            <a:off x="5816600" y="1931035"/>
                            <a:ext cx="1085215" cy="273050"/>
                          </a:xfrm>
                          <a:prstGeom prst="rect">
                            <a:avLst/>
                          </a:prstGeom>
                          <a:noFill/>
                          <a:ln w="9525" cap="flat" cmpd="sng">
                            <a:solidFill>
                              <a:srgbClr val="000000"/>
                            </a:solidFill>
                            <a:prstDash val="solid"/>
                            <a:miter/>
                            <a:headEnd type="none" w="med" len="med"/>
                            <a:tailEnd type="none" w="med" len="med"/>
                          </a:ln>
                        </wps:spPr>
                        <wps:txbx>
                          <w:txbxContent>
                            <w:p>
                              <w:pPr>
                                <w:ind w:firstLine="315" w:firstLineChars="150"/>
                              </w:pPr>
                              <w:r>
                                <w:rPr>
                                  <w:rFonts w:hint="eastAsia" w:ascii="宋体" w:hAnsi="宋体"/>
                                  <w:szCs w:val="21"/>
                                </w:rPr>
                                <w:t>沼渣</w:t>
                              </w:r>
                              <w:r>
                                <w:rPr>
                                  <w:rFonts w:ascii="宋体" w:hAnsi="宋体"/>
                                  <w:szCs w:val="21"/>
                                </w:rPr>
                                <w:t>干化</w:t>
                              </w:r>
                            </w:p>
                          </w:txbxContent>
                        </wps:txbx>
                        <wps:bodyPr upright="1"/>
                      </wps:wsp>
                      <wps:wsp>
                        <wps:cNvPr id="135" name="自选图形 2085"/>
                        <wps:cNvCnPr/>
                        <wps:spPr>
                          <a:xfrm>
                            <a:off x="6058535" y="2204085"/>
                            <a:ext cx="635" cy="434340"/>
                          </a:xfrm>
                          <a:prstGeom prst="straightConnector1">
                            <a:avLst/>
                          </a:prstGeom>
                          <a:ln w="9525" cap="flat" cmpd="sng">
                            <a:solidFill>
                              <a:srgbClr val="000000"/>
                            </a:solidFill>
                            <a:prstDash val="solid"/>
                            <a:headEnd type="none" w="med" len="med"/>
                            <a:tailEnd type="triangle" w="med" len="med"/>
                          </a:ln>
                        </wps:spPr>
                        <wps:bodyPr/>
                      </wps:wsp>
                      <wps:wsp>
                        <wps:cNvPr id="136" name="自选图形 2086"/>
                        <wps:cNvCnPr/>
                        <wps:spPr>
                          <a:xfrm>
                            <a:off x="6722110" y="2204085"/>
                            <a:ext cx="635" cy="434340"/>
                          </a:xfrm>
                          <a:prstGeom prst="straightConnector1">
                            <a:avLst/>
                          </a:prstGeom>
                          <a:ln w="9525" cap="flat" cmpd="sng">
                            <a:solidFill>
                              <a:srgbClr val="000000"/>
                            </a:solidFill>
                            <a:prstDash val="solid"/>
                            <a:headEnd type="none" w="med" len="med"/>
                            <a:tailEnd type="triangle" w="med" len="med"/>
                          </a:ln>
                        </wps:spPr>
                        <wps:bodyPr/>
                      </wps:wsp>
                      <wps:wsp>
                        <wps:cNvPr id="137" name="矩形 144"/>
                        <wps:cNvSpPr/>
                        <wps:spPr>
                          <a:xfrm>
                            <a:off x="5455285" y="2625725"/>
                            <a:ext cx="1012190" cy="433070"/>
                          </a:xfrm>
                          <a:prstGeom prst="rect">
                            <a:avLst/>
                          </a:prstGeom>
                          <a:noFill/>
                          <a:ln>
                            <a:noFill/>
                          </a:ln>
                        </wps:spPr>
                        <wps:txbx>
                          <w:txbxContent>
                            <w:p>
                              <w:r>
                                <w:rPr>
                                  <w:rFonts w:hint="eastAsia" w:ascii="宋体" w:hAnsi="宋体"/>
                                  <w:szCs w:val="21"/>
                                </w:rPr>
                                <w:t>晾晒后制有机肥基料</w:t>
                              </w:r>
                              <w:r>
                                <w:rPr>
                                  <w:rFonts w:hint="eastAsia"/>
                                  <w:szCs w:val="21"/>
                                </w:rPr>
                                <w:t>0.</w:t>
                              </w:r>
                              <w:r>
                                <w:rPr>
                                  <w:rFonts w:hint="eastAsia"/>
                                  <w:szCs w:val="21"/>
                                  <w:lang w:val="en-US" w:eastAsia="zh-CN"/>
                                </w:rPr>
                                <w:t>052</w:t>
                              </w:r>
                            </w:p>
                          </w:txbxContent>
                        </wps:txbx>
                        <wps:bodyPr upright="1"/>
                      </wps:wsp>
                      <wps:wsp>
                        <wps:cNvPr id="204" name="矩形 165"/>
                        <wps:cNvSpPr/>
                        <wps:spPr>
                          <a:xfrm>
                            <a:off x="2147483647" y="437043195"/>
                            <a:ext cx="308063900" cy="177822225"/>
                          </a:xfrm>
                          <a:prstGeom prst="rect">
                            <a:avLst/>
                          </a:prstGeom>
                          <a:noFill/>
                          <a:ln w="9525">
                            <a:noFill/>
                          </a:ln>
                          <a:effectLst/>
                        </wps:spPr>
                        <wps:txbx>
                          <w:txbxContent>
                            <w:p>
                              <w:pPr>
                                <w:jc w:val="center"/>
                                <w:rPr>
                                  <w:szCs w:val="21"/>
                                </w:rPr>
                              </w:pPr>
                              <w:r>
                                <w:rPr>
                                  <w:rFonts w:hint="eastAsia"/>
                                  <w:szCs w:val="21"/>
                                </w:rPr>
                                <w:t xml:space="preserve">自然蒸发 </w:t>
                              </w:r>
                              <w:r>
                                <w:rPr>
                                  <w:rFonts w:hint="eastAsia"/>
                                  <w:szCs w:val="21"/>
                                  <w:lang w:val="en-US" w:eastAsia="zh-CN"/>
                                </w:rPr>
                                <w:t>0.022</w:t>
                              </w:r>
                            </w:p>
                          </w:txbxContent>
                        </wps:txbx>
                        <wps:bodyPr upright="1"/>
                      </wps:wsp>
                      <wps:wsp>
                        <wps:cNvPr id="138" name="自选图形 2089"/>
                        <wps:cNvCnPr/>
                        <wps:spPr>
                          <a:xfrm>
                            <a:off x="5679440" y="440055"/>
                            <a:ext cx="635" cy="434340"/>
                          </a:xfrm>
                          <a:prstGeom prst="straightConnector1">
                            <a:avLst/>
                          </a:prstGeom>
                          <a:ln w="9525" cap="flat" cmpd="sng">
                            <a:solidFill>
                              <a:srgbClr val="000000"/>
                            </a:solidFill>
                            <a:prstDash val="solid"/>
                            <a:headEnd type="none" w="med" len="med"/>
                            <a:tailEnd type="triangle" w="med" len="med"/>
                          </a:ln>
                        </wps:spPr>
                        <wps:bodyPr/>
                      </wps:wsp>
                      <wps:wsp>
                        <wps:cNvPr id="139" name="矩形 165"/>
                        <wps:cNvSpPr/>
                        <wps:spPr>
                          <a:xfrm>
                            <a:off x="2147483647" y="437043195"/>
                            <a:ext cx="308063900" cy="177822225"/>
                          </a:xfrm>
                          <a:prstGeom prst="rect">
                            <a:avLst/>
                          </a:prstGeom>
                          <a:noFill/>
                          <a:ln w="9525">
                            <a:noFill/>
                          </a:ln>
                          <a:effectLst/>
                        </wps:spPr>
                        <wps:txbx>
                          <w:txbxContent>
                            <w:p>
                              <w:pPr>
                                <w:jc w:val="center"/>
                                <w:rPr>
                                  <w:szCs w:val="21"/>
                                </w:rPr>
                              </w:pPr>
                              <w:r>
                                <w:rPr>
                                  <w:rFonts w:hint="eastAsia"/>
                                  <w:szCs w:val="21"/>
                                </w:rPr>
                                <w:t>自然蒸发0.448</w:t>
                              </w:r>
                            </w:p>
                          </w:txbxContent>
                        </wps:txbx>
                        <wps:bodyPr upright="1"/>
                      </wps:wsp>
                      <wps:wsp>
                        <wps:cNvPr id="140" name="矩形 2091"/>
                        <wps:cNvSpPr/>
                        <wps:spPr>
                          <a:xfrm>
                            <a:off x="4097020" y="2673350"/>
                            <a:ext cx="763905" cy="280035"/>
                          </a:xfrm>
                          <a:prstGeom prst="rect">
                            <a:avLst/>
                          </a:prstGeom>
                          <a:noFill/>
                          <a:ln>
                            <a:noFill/>
                          </a:ln>
                        </wps:spPr>
                        <wps:txbx>
                          <w:txbxContent>
                            <w:p>
                              <w:pPr>
                                <w:rPr>
                                  <w:rFonts w:hint="default" w:eastAsia="宋体"/>
                                  <w:lang w:val="en-US" w:eastAsia="zh-CN"/>
                                </w:rPr>
                              </w:pPr>
                              <w:r>
                                <w:rPr>
                                  <w:rFonts w:hint="eastAsia"/>
                                  <w:lang w:val="en-US" w:eastAsia="zh-CN"/>
                                </w:rPr>
                                <w:t>17.826</w:t>
                              </w:r>
                            </w:p>
                          </w:txbxContent>
                        </wps:txbx>
                        <wps:bodyPr upright="1"/>
                      </wps:wsp>
                      <wps:wsp>
                        <wps:cNvPr id="141" name="矩形 2092"/>
                        <wps:cNvSpPr/>
                        <wps:spPr>
                          <a:xfrm>
                            <a:off x="3771265" y="72390"/>
                            <a:ext cx="732155" cy="342900"/>
                          </a:xfrm>
                          <a:prstGeom prst="rect">
                            <a:avLst/>
                          </a:prstGeom>
                          <a:noFill/>
                          <a:ln w="9525" cap="flat" cmpd="sng">
                            <a:solidFill>
                              <a:srgbClr val="000000"/>
                            </a:solidFill>
                            <a:prstDash val="solid"/>
                            <a:miter/>
                            <a:headEnd type="none" w="med" len="med"/>
                            <a:tailEnd type="none" w="med" len="med"/>
                          </a:ln>
                        </wps:spPr>
                        <wps:txbx>
                          <w:txbxContent>
                            <w:p>
                              <w:pPr>
                                <w:rPr>
                                  <w:rFonts w:hint="eastAsia"/>
                                </w:rPr>
                              </w:pPr>
                              <w:r>
                                <w:rPr>
                                  <w:rFonts w:hint="eastAsia" w:ascii="宋体" w:hAnsi="宋体"/>
                                  <w:szCs w:val="21"/>
                                </w:rPr>
                                <w:t>固液分离</w:t>
                              </w:r>
                            </w:p>
                          </w:txbxContent>
                        </wps:txbx>
                        <wps:bodyPr upright="1"/>
                      </wps:wsp>
                      <wps:wsp>
                        <wps:cNvPr id="142" name="矩形 2093"/>
                        <wps:cNvSpPr/>
                        <wps:spPr>
                          <a:xfrm>
                            <a:off x="6649085" y="106680"/>
                            <a:ext cx="698500" cy="596900"/>
                          </a:xfrm>
                          <a:prstGeom prst="rect">
                            <a:avLst/>
                          </a:prstGeom>
                          <a:no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ascii="宋体" w:hAnsi="宋体"/>
                                  <w:szCs w:val="21"/>
                                </w:rPr>
                                <w:t>有机肥基料携带</w:t>
                              </w:r>
                              <w:r>
                                <w:rPr>
                                  <w:rFonts w:hint="eastAsia"/>
                                  <w:szCs w:val="21"/>
                                  <w:lang w:val="en-US" w:eastAsia="zh-CN"/>
                                </w:rPr>
                                <w:t>0.072</w:t>
                              </w:r>
                            </w:p>
                          </w:txbxContent>
                        </wps:txbx>
                        <wps:bodyPr upright="1"/>
                      </wps:wsp>
                      <wps:wsp>
                        <wps:cNvPr id="143" name="自选图形 2094"/>
                        <wps:cNvCnPr/>
                        <wps:spPr>
                          <a:xfrm>
                            <a:off x="601980" y="1471930"/>
                            <a:ext cx="457200" cy="0"/>
                          </a:xfrm>
                          <a:prstGeom prst="straightConnector1">
                            <a:avLst/>
                          </a:prstGeom>
                          <a:ln w="9525" cap="flat" cmpd="sng">
                            <a:solidFill>
                              <a:srgbClr val="000000"/>
                            </a:solidFill>
                            <a:prstDash val="solid"/>
                            <a:headEnd type="none" w="med" len="med"/>
                            <a:tailEnd type="triangle" w="med" len="med"/>
                          </a:ln>
                        </wps:spPr>
                        <wps:bodyPr/>
                      </wps:wsp>
                    </wpc:wpc>
                  </a:graphicData>
                </a:graphic>
              </wp:inline>
            </w:drawing>
          </mc:Choice>
          <mc:Fallback>
            <w:pict>
              <v:group id="画布 2034" o:spid="_x0000_s1026" o:spt="203" style="height:314pt;width:639.45pt;" coordsize="8121015,3987800" editas="canvas"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">
                <o:lock v:ext="edit" aspectratio="f"/>
                <v:shape id="画布 2034" o:spid="_x0000_s1026" style="position:absolute;left:0;top:0;height:3987800;width:812101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">
                  <v:fill on="f" focussize="0,0"/>
                  <v:stroke on="f"/>
                  <v:imagedata o:title=""/>
                  <o:lock v:ext="edit" aspectratio="t"/>
                </v:shape>
                <v:rect id="矩形 2036" o:spid="_x0000_s1026" o:spt="1" style="position:absolute;left:248285;top:1083310;height:778510;width:354965;"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lhavrVAAAABgEAAA8AAAAAAAAAAQAgAAAAIgAA&#10;AGRycy9kb3ducmV2LnhtbFBLAQIUABQAAAAIAIdO4kD637CLCwIAAA4EAAAOAAAAAAAAAAEAIAAA&#10;ACQBAABkcnMvZTJvRG9jLnhtbFBLBQYAAAAABgAGAFkBAAChBQAAAAA=&#10;">
                  <v:fill on="f" focussize="0,0"/>
                  <v:stroke color="#000000" joinstyle="miter"/>
                  <v:imagedata o:title=""/>
                  <o:lock v:ext="edit" aspectratio="f"/>
                  <v:textbox>
                    <w:txbxContent>
                      <w:p>
                        <w:pPr>
                          <w:rPr>
                            <w:rFonts w:ascii="宋体" w:hAnsi="宋体"/>
                            <w:szCs w:val="21"/>
                          </w:rPr>
                        </w:pPr>
                        <w:r>
                          <w:rPr>
                            <w:rFonts w:hint="eastAsia" w:ascii="宋体" w:hAnsi="宋体"/>
                            <w:szCs w:val="21"/>
                          </w:rPr>
                          <w:t>新鲜水</w:t>
                        </w:r>
                      </w:p>
                    </w:txbxContent>
                  </v:textbox>
                </v:rect>
                <v:shape id="自选图形 2038" o:spid="_x0000_s1026" o:spt="32" type="#_x0000_t32" style="position:absolute;left:1054100;top:805180;flip:x;height:1435100;width:5080;" filled="f" stroked="t" coordsize="21600,21600" o:gfxdata="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P4qJFNUAAAAGAQAADwAAAAAAAAABACAAAAAiAAAA&#10;ZHJzL2Rvd25yZXYueG1sUEsBAhQAFAAAAAgAh07iQBvxZmoKAgAA/wMAAA4AAAAAAAAAAQAgAAAA&#10;JAEAAGRycy9lMm9Eb2MueG1sUEsFBgAAAAAGAAYAWQEAAKAFAAAAAA==&#10;">
                  <v:fill on="f" focussize="0,0"/>
                  <v:stroke color="#000000" joinstyle="round"/>
                  <v:imagedata o:title=""/>
                  <o:lock v:ext="edit" aspectratio="f"/>
                </v:shape>
                <v:shape id="自选图形 2039" o:spid="_x0000_s1026" o:spt="32" type="#_x0000_t32" style="position:absolute;left:1059180;top:805180;height:0;width:466090;"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3LqTN1wAAAAYBAAAPAAAAAAAAAAEAIAAAACIAAABk&#10;cnMvZG93bnJldi54bWxQSwECFAAUAAAACACHTuJA8Q888AcCAAD1AwAADgAAAAAAAAABACAAAAAm&#10;AQAAZHJzL2Uyb0RvYy54bWxQSwUGAAAAAAYABgBZAQAAnwUAAAAA&#10;">
                  <v:fill on="f" focussize="0,0"/>
                  <v:stroke color="#000000" joinstyle="round" endarrow="block"/>
                  <v:imagedata o:title=""/>
                  <o:lock v:ext="edit" aspectratio="f"/>
                </v:shape>
                <v:shape id="自选图形 2040" o:spid="_x0000_s1026" o:spt="32" type="#_x0000_t32" style="position:absolute;left:1066165;top:1487170;height:1270;width:466090;"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cupM3XAAAABgEAAA8AAAAAAAAAAQAgAAAA&#10;IgAAAGRycy9kb3ducmV2LnhtbFBLAQIUABQAAAAIAIdO4kD9uZkhDAIAAPkDAAAOAAAAAAAAAAEA&#10;IAAAACYBAABkcnMvZTJvRG9jLnhtbFBLBQYAAAAABgAGAFkBAACkBQAAAAA=&#10;">
                  <v:fill on="f" focussize="0,0"/>
                  <v:stroke color="#000000" joinstyle="round" endarrow="block"/>
                  <v:imagedata o:title=""/>
                  <o:lock v:ext="edit" aspectratio="f"/>
                </v:shape>
                <v:shape id="自选图形 2042" o:spid="_x0000_s1026" o:spt="32" type="#_x0000_t32" style="position:absolute;left:1066165;top:2210435;height:635;width:466090;"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3LqTN1wAAAAYBAAAPAAAAAAAAAAEAIAAA&#10;ACIAAABkcnMvZG93bnJldi54bWxQSwECFAAUAAAACACHTuJAr2B8KA0CAAD4AwAADgAAAAAAAAAB&#10;ACAAAAAmAQAAZHJzL2Uyb0RvYy54bWxQSwUGAAAAAAYABgBZAQAApQUAAAAA&#10;">
                  <v:fill on="f" focussize="0,0"/>
                  <v:stroke color="#000000" joinstyle="round" endarrow="block"/>
                  <v:imagedata o:title=""/>
                  <o:lock v:ext="edit" aspectratio="f"/>
                </v:shape>
                <v:rect id="矩形 2043" o:spid="_x0000_s1026" o:spt="1" style="position:absolute;left:1532255;top:695960;height:279400;width:961390;"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lhavrVAAAABgEAAA8AAAAAAAAAAQAgAAAAIgAA&#10;AGRycy9kb3ducmV2LnhtbFBLAQIUABQAAAAIAIdO4kC7RmwbCwIAAA4EAAAOAAAAAAAAAAEAIAAA&#10;ACQBAABkcnMvZTJvRG9jLnhtbFBLBQYAAAAABgAGAFkBAAChBQAAAAA=&#10;">
                  <v:fill on="f" focussize="0,0"/>
                  <v:stroke color="#000000" joinstyle="miter"/>
                  <v:imagedata o:title=""/>
                  <o:lock v:ext="edit" aspectratio="f"/>
                  <v:textbox>
                    <w:txbxContent>
                      <w:p>
                        <w:pPr>
                          <w:rPr>
                            <w:rFonts w:hint="eastAsia" w:ascii="宋体" w:hAnsi="宋体"/>
                            <w:szCs w:val="21"/>
                          </w:rPr>
                        </w:pPr>
                        <w:r>
                          <w:rPr>
                            <w:rFonts w:hint="eastAsia" w:ascii="宋体" w:hAnsi="宋体"/>
                            <w:szCs w:val="21"/>
                          </w:rPr>
                          <w:t>生猪</w:t>
                        </w:r>
                        <w:r>
                          <w:rPr>
                            <w:rFonts w:ascii="宋体" w:hAnsi="宋体"/>
                            <w:szCs w:val="21"/>
                          </w:rPr>
                          <w:t>饮用水</w:t>
                        </w:r>
                      </w:p>
                    </w:txbxContent>
                  </v:textbox>
                </v:rect>
                <v:rect id="矩形 2044" o:spid="_x0000_s1026" o:spt="1" style="position:absolute;left:1513205;top:1358265;height:280035;width:1036955;"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WFq+tUAAAAGAQAADwAAAAAAAAABACAAAAAiAAAA&#10;ZHJzL2Rvd25yZXYueG1sUEsBAhQAFAAAAAgAh07iQLTHcckKAgAAEAQAAA4AAAAAAAAAAQAgAAAA&#10;JAEAAGRycy9lMm9Eb2MueG1sUEsFBgAAAAAGAAYAWQEAAKAFAAAAAA==&#10;">
                  <v:fill on="f" focussize="0,0"/>
                  <v:stroke color="#000000" joinstyle="miter"/>
                  <v:imagedata o:title=""/>
                  <o:lock v:ext="edit" aspectratio="f"/>
                  <v:textbox>
                    <w:txbxContent>
                      <w:p>
                        <w:pPr>
                          <w:rPr>
                            <w:rFonts w:hint="eastAsia"/>
                          </w:rPr>
                        </w:pPr>
                        <w:r>
                          <w:rPr>
                            <w:rFonts w:hint="eastAsia" w:ascii="宋体" w:hAnsi="宋体"/>
                            <w:szCs w:val="21"/>
                          </w:rPr>
                          <w:t>猪舍</w:t>
                        </w:r>
                        <w:r>
                          <w:rPr>
                            <w:rFonts w:ascii="宋体" w:hAnsi="宋体"/>
                            <w:szCs w:val="21"/>
                          </w:rPr>
                          <w:t>冲洗水</w:t>
                        </w:r>
                      </w:p>
                    </w:txbxContent>
                  </v:textbox>
                </v:rect>
                <v:rect id="矩形 2045" o:spid="_x0000_s1026" o:spt="1" style="position:absolute;left:1532255;top:2080895;height:280035;width:1017905;"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aWFq+tUAAAAGAQAADwAAAAAAAAABACAAAAAiAAAAZHJz&#10;L2Rvd25yZXYueG1sUEsBAhQAFAAAAAgAh07iQJsq/gwHAgAAEAQAAA4AAAAAAAAAAQAgAAAAJAEA&#10;AGRycy9lMm9Eb2MueG1sUEsFBgAAAAAGAAYAWQEAAJ0FAAAAAA==&#10;">
                  <v:fill on="f" focussize="0,0"/>
                  <v:stroke color="#000000" joinstyle="miter"/>
                  <v:imagedata o:title=""/>
                  <o:lock v:ext="edit" aspectratio="f"/>
                  <v:textbox>
                    <w:txbxContent>
                      <w:p>
                        <w:pPr>
                          <w:rPr>
                            <w:rFonts w:hint="eastAsia" w:ascii="宋体" w:hAnsi="宋体"/>
                            <w:szCs w:val="21"/>
                          </w:rPr>
                        </w:pPr>
                        <w:r>
                          <w:rPr>
                            <w:rFonts w:hint="eastAsia" w:ascii="宋体" w:hAnsi="宋体"/>
                            <w:szCs w:val="21"/>
                          </w:rPr>
                          <w:t>职工</w:t>
                        </w:r>
                        <w:r>
                          <w:rPr>
                            <w:rFonts w:ascii="宋体" w:hAnsi="宋体"/>
                            <w:szCs w:val="21"/>
                          </w:rPr>
                          <w:t>生活水</w:t>
                        </w:r>
                      </w:p>
                    </w:txbxContent>
                  </v:textbox>
                </v:rect>
                <v:shape id="自选图形 2047" o:spid="_x0000_s1026" o:spt="32" type="#_x0000_t32" style="position:absolute;left:1771015;top:392430;flip:y;height:303530;width:635;" filled="f" stroked="t" coordsize="21600,21600" o:gfxdata="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Mc2A+vWAAAABgEAAA8AAAAAAAAA&#10;AQAgAAAAIgAAAGRycy9kb3ducmV2LnhtbFBLAQIUABQAAAAIAIdO4kBt+fTDEwIAAAEEAAAOAAAA&#10;AAAAAAEAIAAAACUBAABkcnMvZTJvRG9jLnhtbFBLBQYAAAAABgAGAFkBAACqBQAAAAA=&#10;">
                  <v:fill on="f" focussize="0,0"/>
                  <v:stroke color="#000000" joinstyle="round" endarrow="block"/>
                  <v:imagedata o:title=""/>
                  <o:lock v:ext="edit" aspectratio="f"/>
                </v:shape>
                <v:shape id="自选图形 2048" o:spid="_x0000_s1026" o:spt="32" type="#_x0000_t32" style="position:absolute;left:2493645;top:835660;height:635;width:668655;"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9y6kzdcAAAAGAQAADwAAAAAAAAABACAAAAAi&#10;AAAAZHJzL2Rvd25yZXYueG1sUEsBAhQAFAAAAAgAh07iQMqbKlALAgAA9wMAAA4AAAAAAAAAAQAg&#10;AAAAJgEAAGRycy9lMm9Eb2MueG1sUEsFBgAAAAAGAAYAWQEAAKMFAAAAAA==&#10;">
                  <v:fill on="f" focussize="0,0"/>
                  <v:stroke color="#000000" joinstyle="round" endarrow="block"/>
                  <v:imagedata o:title=""/>
                  <o:lock v:ext="edit" aspectratio="f"/>
                </v:shape>
                <v:shape id="自选图形 2049" o:spid="_x0000_s1026" o:spt="32" type="#_x0000_t32" style="position:absolute;left:2550160;top:1487170;height:5715;width:608330;"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3LqTN1wAAAAYBAAAPAAAAAAAAAAEAIAAA&#10;ACIAAABkcnMvZG93bnJldi54bWxQSwECFAAUAAAACACHTuJAb4TKkg0CAAD5AwAADgAAAAAAAAAB&#10;ACAAAAAmAQAAZHJzL2Uyb0RvYy54bWxQSwUGAAAAAAYABgBZAQAApQUAAAAA&#10;">
                  <v:fill on="f" focussize="0,0"/>
                  <v:stroke color="#000000" joinstyle="round" endarrow="block"/>
                  <v:imagedata o:title=""/>
                  <o:lock v:ext="edit" aspectratio="f"/>
                </v:shape>
                <v:shape id="自选图形 2050" o:spid="_x0000_s1026" o:spt="32" type="#_x0000_t32" style="position:absolute;left:2550160;top:2204720;height:5715;width:608330;"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9y6kzdcAAAAGAQAADwAAAAAAAAABACAAAAAi&#10;AAAAZHJzL2Rvd25yZXYueG1sUEsBAhQAFAAAAAgAh07iQCLux1cLAgAA+QMAAA4AAAAAAAAAAQAg&#10;AAAAJgEAAGRycy9lMm9Eb2MueG1sUEsFBgAAAAAGAAYAWQEAAKMFAAAAAA==&#10;">
                  <v:fill on="f" focussize="0,0"/>
                  <v:stroke color="#000000" joinstyle="round" endarrow="block"/>
                  <v:imagedata o:title=""/>
                  <o:lock v:ext="edit" aspectratio="f"/>
                </v:shape>
                <v:shape id="自选图形 2051" o:spid="_x0000_s1026" o:spt="32" type="#_x0000_t32" style="position:absolute;left:3161665;top:835660;height:1369060;width:635;" filled="f" stroked="t" coordsize="21600,21600" o:gfxdata="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3tFuodYAAAAGAQAADwAAAAAAAAABACAAAAAiAAAAZHJz&#10;L2Rvd25yZXYueG1sUEsBAhQAFAAAAAgAh07iQOn2onAGAgAA9QMAAA4AAAAAAAAAAQAgAAAAJQEA&#10;AGRycy9lMm9Eb2MueG1sUEsFBgAAAAAGAAYAWQEAAJ0FAAAAAA==&#10;">
                  <v:fill on="f" focussize="0,0"/>
                  <v:stroke color="#000000" joinstyle="round"/>
                  <v:imagedata o:title=""/>
                  <o:lock v:ext="edit" aspectratio="f"/>
                </v:shape>
                <v:shape id="自选图形 2052" o:spid="_x0000_s1026" o:spt="32" type="#_x0000_t32" style="position:absolute;left:3162300;top:1487170;height:0;width:553720;"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3LqTN1wAAAAYBAAAPAAAAAAAAAAEAIAAA&#10;ACIAAABkcnMvZG93bnJldi54bWxQSwECFAAUAAAACACHTuJAwszOVg0CAAD3AwAADgAAAAAAAAAB&#10;ACAAAAAmAQAAZHJzL2Uyb0RvYy54bWxQSwUGAAAAAAYABgBZAQAApQUAAAAA&#10;">
                  <v:fill on="f" focussize="0,0"/>
                  <v:stroke color="#000000" joinstyle="round" endarrow="block"/>
                  <v:imagedata o:title=""/>
                  <o:lock v:ext="edit" aspectratio="f"/>
                </v:shape>
                <v:rect id="矩形 2053" o:spid="_x0000_s1026" o:spt="1" style="position:absolute;left:3716020;top:1358265;height:404495;width:1405890;"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GlhavrVAAAABgEAAA8AAAAAAAAAAQAgAAAA&#10;IgAAAGRycy9kb3ducmV2LnhtbFBLAQIUABQAAAAIAIdO4kC9pSJSDgIAABEEAAAOAAAAAAAAAAEA&#10;IAAAACQBAABkcnMvZTJvRG9jLnhtbFBLBQYAAAAABgAGAFkBAACkBQAAAAA=&#10;">
                  <v:fill on="f" focussize="0,0"/>
                  <v:stroke color="#000000" joinstyle="miter"/>
                  <v:imagedata o:title=""/>
                  <o:lock v:ext="edit" aspectratio="f"/>
                  <v:textbox>
                    <w:txbxContent>
                      <w:p>
                        <w:pPr>
                          <w:rPr>
                            <w:rFonts w:hint="default" w:eastAsia="宋体"/>
                            <w:lang w:val="en-US" w:eastAsia="zh-CN"/>
                          </w:rPr>
                        </w:pPr>
                        <w:r>
                          <w:rPr>
                            <w:rFonts w:hint="eastAsia" w:ascii="宋体" w:hAnsi="宋体"/>
                            <w:szCs w:val="21"/>
                          </w:rPr>
                          <w:t>黑膜沼气池</w:t>
                        </w:r>
                        <w:r>
                          <w:rPr>
                            <w:rFonts w:hint="eastAsia"/>
                            <w:szCs w:val="21"/>
                            <w:lang w:val="en-US" w:eastAsia="zh-CN"/>
                          </w:rPr>
                          <w:t>17.9</w:t>
                        </w:r>
                      </w:p>
                    </w:txbxContent>
                  </v:textbox>
                </v:rect>
                <v:rect id="矩形 2054" o:spid="_x0000_s1026" o:spt="1" style="position:absolute;left:3831590;top:2165350;height:280035;width:557530;"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lhavrVAAAABgEAAA8AAAAAAAAAAQAgAAAAIgAA&#10;AGRycy9kb3ducmV2LnhtbFBLAQIUABQAAAAIAIdO4kD+SosjCwIAABAEAAAOAAAAAAAAAAEAIAAA&#10;ACQBAABkcnMvZTJvRG9jLnhtbFBLBQYAAAAABgAGAFkBAAChBQAAAAA=&#10;">
                  <v:fill on="f" focussize="0,0"/>
                  <v:stroke color="#000000" joinstyle="miter"/>
                  <v:imagedata o:title=""/>
                  <o:lock v:ext="edit" aspectratio="f"/>
                  <v:textbox>
                    <w:txbxContent>
                      <w:p>
                        <w:pPr>
                          <w:rPr>
                            <w:rFonts w:hint="eastAsia"/>
                          </w:rPr>
                        </w:pPr>
                        <w:r>
                          <w:rPr>
                            <w:rFonts w:hint="eastAsia" w:ascii="宋体" w:hAnsi="宋体"/>
                            <w:szCs w:val="21"/>
                          </w:rPr>
                          <w:t>沼液</w:t>
                        </w:r>
                      </w:p>
                    </w:txbxContent>
                  </v:textbox>
                </v:rect>
                <v:rect id="矩形 2055" o:spid="_x0000_s1026" o:spt="1" style="position:absolute;left:5922010;top:1227455;height:410845;width:800100;"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pYWr61QAAAAYBAAAPAAAAAAAAAAEAIAAAACIAAABk&#10;cnMvZG93bnJldi54bWxQSwECFAAUAAAACACHTuJAQl23pAkCAAAQBAAADgAAAAAAAAABACAAAAAk&#10;AQAAZHJzL2Uyb0RvYy54bWxQSwUGAAAAAAYABgBZAQAAnwUAAAAA&#10;">
                  <v:fill on="f" focussize="0,0"/>
                  <v:stroke color="#000000" joinstyle="miter"/>
                  <v:imagedata o:title=""/>
                  <o:lock v:ext="edit" aspectratio="f"/>
                  <v:textbox>
                    <w:txbxContent>
                      <w:p>
                        <w:r>
                          <w:rPr>
                            <w:rFonts w:hint="eastAsia" w:ascii="宋体" w:hAnsi="宋体"/>
                            <w:szCs w:val="21"/>
                          </w:rPr>
                          <w:t>沼渣携带</w:t>
                        </w:r>
                        <w:r>
                          <w:rPr>
                            <w:rFonts w:hint="eastAsia"/>
                            <w:szCs w:val="21"/>
                          </w:rPr>
                          <w:t>0.</w:t>
                        </w:r>
                        <w:r>
                          <w:rPr>
                            <w:rFonts w:hint="eastAsia"/>
                            <w:szCs w:val="21"/>
                            <w:lang w:val="en-US" w:eastAsia="zh-CN"/>
                          </w:rPr>
                          <w:t>074</w:t>
                        </w:r>
                      </w:p>
                    </w:txbxContent>
                  </v:textbox>
                </v:rect>
                <v:shape id="自选图形 2056" o:spid="_x0000_s1026" o:spt="32" type="#_x0000_t32" style="position:absolute;left:2228215;top:392430;flip:y;height:303530;width:635;" filled="f" stroked="t" coordsize="21600,21600" o:gfxdata="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xzYD69YAAAAGAQAADwAAAAAAAAAB&#10;ACAAAAAiAAAAZHJzL2Rvd25yZXYueG1sUEsBAhQAFAAAAAgAh07iQC5WbYwSAgAAAgQAAA4AAAAA&#10;AAAAAQAgAAAAJQEAAGRycy9lMm9Eb2MueG1sUEsFBgAAAAAGAAYAWQEAAKkFAAAAAA==&#10;">
                  <v:fill on="f" focussize="0,0"/>
                  <v:stroke color="#000000" joinstyle="round" endarrow="block"/>
                  <v:imagedata o:title=""/>
                  <o:lock v:ext="edit" aspectratio="f"/>
                </v:shape>
                <v:rect id="矩形 2057" o:spid="_x0000_s1026" o:spt="1" style="position:absolute;left:2034540;top:112395;height:280035;width:1264920;"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pYWr61QAAAAYBAAAPAAAAAAAAAAEAIAAAACIA&#10;AABkcnMvZG93bnJldi54bWxQSwECFAAUAAAACACHTuJAoLQFxQwCAAAQBAAADgAAAAAAAAABACAA&#10;AAAkAQAAZHJzL2Uyb0RvYy54bWxQSwUGAAAAAAYABgBZAQAAogUAAAAA&#10;">
                  <v:fill on="f" focussize="0,0"/>
                  <v:stroke color="#000000" joinstyle="miter"/>
                  <v:imagedata o:title=""/>
                  <o:lock v:ext="edit" aspectratio="f"/>
                  <v:textbox>
                    <w:txbxContent>
                      <w:p>
                        <w:pPr>
                          <w:rPr>
                            <w:rFonts w:hint="default" w:eastAsia="宋体"/>
                            <w:lang w:val="en-US" w:eastAsia="zh-CN"/>
                          </w:rPr>
                        </w:pPr>
                        <w:r>
                          <w:rPr>
                            <w:rFonts w:hint="eastAsia" w:ascii="宋体" w:hAnsi="宋体"/>
                            <w:szCs w:val="21"/>
                          </w:rPr>
                          <w:t>猪粪含水</w:t>
                        </w:r>
                        <w:r>
                          <w:rPr>
                            <w:rFonts w:hint="eastAsia"/>
                            <w:szCs w:val="21"/>
                            <w:lang w:val="en-US" w:eastAsia="zh-CN"/>
                          </w:rPr>
                          <w:t>3.4</w:t>
                        </w:r>
                      </w:p>
                    </w:txbxContent>
                  </v:textbox>
                </v:rect>
                <v:rect id="矩形 2058" o:spid="_x0000_s1026" o:spt="1" style="position:absolute;left:645160;top:112395;height:280035;width:1264920;"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pYWr61QAAAAYBAAAPAAAAAAAAAAEAIAAAACIA&#10;AABkcnMvZG93bnJldi54bWxQSwECFAAUAAAACACHTuJAn5YAZwwCAAAPBAAADgAAAAAAAAABACAA&#10;AAAkAQAAZHJzL2Uyb0RvYy54bWxQSwUGAAAAAAYABgBZAQAAogUAAAAA&#10;">
                  <v:fill on="f" focussize="0,0"/>
                  <v:stroke color="#000000" joinstyle="miter"/>
                  <v:imagedata o:title=""/>
                  <o:lock v:ext="edit" aspectratio="f"/>
                  <v:textbox>
                    <w:txbxContent>
                      <w:p>
                        <w:pPr>
                          <w:rPr>
                            <w:rFonts w:hint="default" w:eastAsia="宋体"/>
                            <w:lang w:val="en-US" w:eastAsia="zh-CN"/>
                          </w:rPr>
                        </w:pPr>
                        <w:r>
                          <w:rPr>
                            <w:rFonts w:hint="eastAsia" w:ascii="宋体" w:hAnsi="宋体"/>
                            <w:szCs w:val="21"/>
                          </w:rPr>
                          <w:t>体能损耗</w:t>
                        </w:r>
                        <w:r>
                          <w:rPr>
                            <w:rFonts w:hint="eastAsia"/>
                            <w:szCs w:val="21"/>
                            <w:lang w:val="en-US" w:eastAsia="zh-CN"/>
                          </w:rPr>
                          <w:t>11.09</w:t>
                        </w:r>
                      </w:p>
                    </w:txbxContent>
                  </v:textbox>
                </v:rect>
                <v:rect id="矩形 2059" o:spid="_x0000_s1026" o:spt="1" style="position:absolute;left:2456180;top:612775;height:280035;width:11195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0&#10;LaAD1wAAAAYBAAAPAAAAAAAAAAEAIAAAACIAAABkcnMvZG93bnJldi54bWxQSwECFAAUAAAACACH&#10;TuJAWR6yc7MBAABRAwAADgAAAAAAAAABACAAAAAmAQAAZHJzL2Uyb0RvYy54bWxQSwUGAAAAAAYA&#10;BgBZAQAASwUAAAAA&#10;">
                  <v:fill on="f" focussize="0,0"/>
                  <v:stroke on="f"/>
                  <v:imagedata o:title=""/>
                  <o:lock v:ext="edit" aspectratio="f"/>
                  <v:textbox>
                    <w:txbxContent>
                      <w:p>
                        <w:pPr>
                          <w:rPr>
                            <w:rFonts w:hint="eastAsia" w:eastAsia="宋体"/>
                            <w:lang w:eastAsia="zh-CN"/>
                          </w:rPr>
                        </w:pPr>
                        <w:r>
                          <w:rPr>
                            <w:rFonts w:hint="eastAsia" w:ascii="宋体" w:hAnsi="宋体"/>
                            <w:szCs w:val="21"/>
                          </w:rPr>
                          <w:t>猪尿</w:t>
                        </w:r>
                        <w:r>
                          <w:rPr>
                            <w:rFonts w:hint="eastAsia"/>
                            <w:szCs w:val="21"/>
                            <w:lang w:eastAsia="zh-CN"/>
                          </w:rPr>
                          <w:t>12.81</w:t>
                        </w:r>
                      </w:p>
                    </w:txbxContent>
                  </v:textbox>
                </v:rect>
                <v:rect id="矩形 2060" o:spid="_x0000_s1026" o:spt="1" style="position:absolute;left:965835;top:612775;height:280035;width:7639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0LaAD&#10;1wAAAAYBAAAPAAAAAAAAAAEAIAAAACIAAABkcnMvZG93bnJldi54bWxQSwECFAAUAAAACACHTuJA&#10;dNNbU7ABAABPAwAADgAAAAAAAAABACAAAAAmAQAAZHJzL2Uyb0RvYy54bWxQSwUGAAAAAAYABgBZ&#10;AQAASAUAAAAA&#10;">
                  <v:fill on="f" focussize="0,0"/>
                  <v:stroke on="f"/>
                  <v:imagedata o:title=""/>
                  <o:lock v:ext="edit" aspectratio="f"/>
                  <v:textbox>
                    <w:txbxContent>
                      <w:p>
                        <w:pPr>
                          <w:rPr>
                            <w:rFonts w:hint="default" w:eastAsia="宋体"/>
                            <w:lang w:val="en-US" w:eastAsia="zh-CN"/>
                          </w:rPr>
                        </w:pPr>
                        <w:r>
                          <w:rPr>
                            <w:rFonts w:hint="eastAsia"/>
                            <w:szCs w:val="21"/>
                            <w:lang w:val="en-US" w:eastAsia="zh-CN"/>
                          </w:rPr>
                          <w:t>27.3</w:t>
                        </w:r>
                      </w:p>
                    </w:txbxContent>
                  </v:textbox>
                </v:rect>
                <v:rect id="矩形 2061" o:spid="_x0000_s1026" o:spt="1" style="position:absolute;left:1047750;top:1257300;height:280035;width:7639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dC2g&#10;A9cAAAAGAQAADwAAAAAAAAABACAAAAAiAAAAZHJzL2Rvd25yZXYueG1sUEsBAhQAFAAAAAgAh07i&#10;QLKWZcixAQAAUQMAAA4AAAAAAAAAAQAgAAAAJgEAAGRycy9lMm9Eb2MueG1sUEsFBgAAAAAGAAYA&#10;WQEAAEkFAAAAAA==&#10;">
                  <v:fill on="f" focussize="0,0"/>
                  <v:stroke on="f"/>
                  <v:imagedata o:title=""/>
                  <o:lock v:ext="edit" aspectratio="f"/>
                  <v:textbox>
                    <w:txbxContent>
                      <w:p>
                        <w:pPr>
                          <w:rPr>
                            <w:rFonts w:hint="eastAsia" w:eastAsia="宋体"/>
                            <w:lang w:val="en-US" w:eastAsia="zh-CN"/>
                          </w:rPr>
                        </w:pPr>
                        <w:r>
                          <w:rPr>
                            <w:rFonts w:hint="eastAsia"/>
                            <w:szCs w:val="21"/>
                          </w:rPr>
                          <w:t>1.</w:t>
                        </w:r>
                        <w:r>
                          <w:rPr>
                            <w:rFonts w:hint="eastAsia"/>
                            <w:szCs w:val="21"/>
                            <w:lang w:val="en-US" w:eastAsia="zh-CN"/>
                          </w:rPr>
                          <w:t>6</w:t>
                        </w:r>
                      </w:p>
                    </w:txbxContent>
                  </v:textbox>
                </v:rect>
                <v:rect id="矩形 2062" o:spid="_x0000_s1026" o:spt="1" style="position:absolute;left:2493645;top:1294765;height:280035;width:7639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0&#10;LaAD1wAAAAYBAAAPAAAAAAAAAAEAIAAAACIAAABkcnMvZG93bnJldi54bWxQSwECFAAUAAAACACH&#10;TuJAm9/yyrMBAABRAwAADgAAAAAAAAABACAAAAAmAQAAZHJzL2Uyb0RvYy54bWxQSwUGAAAAAAYA&#10;BgBZAQAASwUAAAAA&#10;">
                  <v:fill on="f" focussize="0,0"/>
                  <v:stroke on="f"/>
                  <v:imagedata o:title=""/>
                  <o:lock v:ext="edit" aspectratio="f"/>
                  <v:textbox>
                    <w:txbxContent>
                      <w:p>
                        <w:r>
                          <w:rPr>
                            <w:rFonts w:hint="eastAsia"/>
                          </w:rPr>
                          <w:t>1.17</w:t>
                        </w:r>
                      </w:p>
                    </w:txbxContent>
                  </v:textbox>
                </v:rect>
                <v:shape id="自选图形 2063" o:spid="_x0000_s1026" o:spt="106" type="#_x0000_t106" style="position:absolute;left:2188845;top:975360;height:319405;width:749300;" filled="f" stroked="t" coordsize="21600,21600" o:gfxdata="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A4aiaa1AAAAAYBAAAPAAAAAAAAAAEAIAAAACIAAABkcnMvZG93&#10;bnJldi54bWxQSwECFAAUAAAACACHTuJA58CSKT0CAABlBAAADgAAAAAAAAABACAAAAAjAQAAZHJz&#10;L2Uyb0RvYy54bWxQSwUGAAAAAAYABgBZAQAA0gUAAAAA&#10;" adj="-4375,24219">
                  <v:fill on="f" focussize="0,0"/>
                  <v:stroke color="#000000" joinstyle="round"/>
                  <v:imagedata o:title=""/>
                  <o:lock v:ext="edit" aspectratio="f"/>
                  <v:textbox>
                    <w:txbxContent>
                      <w:p>
                        <w:pPr>
                          <w:rPr>
                            <w:rFonts w:hint="default" w:eastAsia="宋体"/>
                            <w:lang w:val="en-US" w:eastAsia="zh-CN"/>
                          </w:rPr>
                        </w:pPr>
                        <w:r>
                          <w:rPr>
                            <w:rFonts w:hint="eastAsia"/>
                            <w:szCs w:val="21"/>
                          </w:rPr>
                          <w:t>0.</w:t>
                        </w:r>
                        <w:r>
                          <w:rPr>
                            <w:rFonts w:hint="eastAsia"/>
                            <w:szCs w:val="21"/>
                            <w:lang w:val="en-US" w:eastAsia="zh-CN"/>
                          </w:rPr>
                          <w:t>43</w:t>
                        </w:r>
                      </w:p>
                    </w:txbxContent>
                  </v:textbox>
                </v:shape>
                <v:shape id="自选图形 2064" o:spid="_x0000_s1026" o:spt="106" type="#_x0000_t106" style="position:absolute;left:2143125;top:1687195;height:319405;width:749300;" filled="f" stroked="t" coordsize="21600,21600" o:gfxdata="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4aiaa1AAAAAYBAAAPAAAAAAAAAAEAIAAAACIAAABkcnMvZG93bnJl&#10;di54bWxQSwECFAAUAAAACACHTuJA3RDgDToCAABmBAAADgAAAAAAAAABACAAAAAjAQAAZHJzL2Uy&#10;b0RvYy54bWxQSwUGAAAAAAYABgBZAQAAzwUAAAAA&#10;" adj="-4375,24219">
                  <v:fill on="f" focussize="0,0"/>
                  <v:stroke color="#000000" joinstyle="round"/>
                  <v:imagedata o:title=""/>
                  <o:lock v:ext="edit" aspectratio="f"/>
                  <v:textbox>
                    <w:txbxContent>
                      <w:p>
                        <w:r>
                          <w:rPr>
                            <w:rFonts w:hint="eastAsia"/>
                            <w:szCs w:val="21"/>
                          </w:rPr>
                          <w:t>0.24</w:t>
                        </w:r>
                      </w:p>
                    </w:txbxContent>
                  </v:textbox>
                </v:shape>
                <v:rect id="矩形 2065" o:spid="_x0000_s1026" o:spt="1" style="position:absolute;left:1066165;top:2006600;height:280035;width:7639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QtoAPX&#10;AAAABgEAAA8AAAAAAAAAAQAgAAAAIgAAAGRycy9kb3ducmV2LnhtbFBLAQIUABQAAAAIAIdO4kCd&#10;wkkgrwEAAFEDAAAOAAAAAAAAAAEAIAAAACYBAABkcnMvZTJvRG9jLnhtbFBLBQYAAAAABgAGAFkB&#10;AABHBQAAAAA=&#10;">
                  <v:fill on="f" focussize="0,0"/>
                  <v:stroke on="f"/>
                  <v:imagedata o:title=""/>
                  <o:lock v:ext="edit" aspectratio="f"/>
                  <v:textbox>
                    <w:txbxContent>
                      <w:p>
                        <w:r>
                          <w:rPr>
                            <w:rFonts w:hint="eastAsia"/>
                          </w:rPr>
                          <w:t>1.2</w:t>
                        </w:r>
                      </w:p>
                    </w:txbxContent>
                  </v:textbox>
                </v:rect>
                <v:rect id="矩形 2066" o:spid="_x0000_s1026" o:spt="1" style="position:absolute;left:2535555;top:2006600;height:280035;width:7639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0LaAD&#10;1wAAAAYBAAAPAAAAAAAAAAEAIAAAACIAAABkcnMvZG93bnJldi54bWxQSwECFAAUAAAACACHTuJA&#10;FwnNDLABAABRAwAADgAAAAAAAAABACAAAAAmAQAAZHJzL2Uyb0RvYy54bWxQSwUGAAAAAAYABgBZ&#10;AQAASAUAAAAA&#10;">
                  <v:fill on="f" focussize="0,0"/>
                  <v:stroke on="f"/>
                  <v:imagedata o:title=""/>
                  <o:lock v:ext="edit" aspectratio="f"/>
                  <v:textbox>
                    <w:txbxContent>
                      <w:p>
                        <w:r>
                          <w:rPr>
                            <w:rFonts w:hint="eastAsia"/>
                            <w:szCs w:val="21"/>
                          </w:rPr>
                          <w:t>0.96</w:t>
                        </w:r>
                      </w:p>
                    </w:txbxContent>
                  </v:textbox>
                </v:rect>
                <v:rect id="矩形 2069" o:spid="_x0000_s1026" o:spt="1" style="position:absolute;left:3101340;top:1294765;height:280035;width:7639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0&#10;LaAD1wAAAAYBAAAPAAAAAAAAAAEAIAAAACIAAABkcnMvZG93bnJldi54bWxQSwECFAAUAAAACACH&#10;TuJAS8fIm7MBAABRAwAADgAAAAAAAAABACAAAAAmAQAAZHJzL2Uyb0RvYy54bWxQSwUGAAAAAAYA&#10;BgBZAQAASwUAAAAA&#10;">
                  <v:fill on="f" focussize="0,0"/>
                  <v:stroke on="f"/>
                  <v:imagedata o:title=""/>
                  <o:lock v:ext="edit" aspectratio="f"/>
                  <v:textbox>
                    <w:txbxContent>
                      <w:p>
                        <w:pPr>
                          <w:rPr>
                            <w:rFonts w:hint="default" w:eastAsia="宋体"/>
                            <w:lang w:val="en-US" w:eastAsia="zh-CN"/>
                          </w:rPr>
                        </w:pPr>
                        <w:r>
                          <w:rPr>
                            <w:rFonts w:hint="eastAsia"/>
                            <w:lang w:val="en-US" w:eastAsia="zh-CN"/>
                          </w:rPr>
                          <w:t>15.02</w:t>
                        </w:r>
                      </w:p>
                    </w:txbxContent>
                  </v:textbox>
                </v:rect>
                <v:shape id="自选图形 2070" o:spid="_x0000_s1026" o:spt="32" type="#_x0000_t32" style="position:absolute;left:3299460;top:252730;height:1270;width:464185;"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3LqTN1wAAAAYBAAAPAAAAAAAAAAEAIAAA&#10;ACIAAABkcnMvZG93bnJldi54bWxQSwECFAAUAAAACACHTuJAUOdNOg0CAAD5AwAADgAAAAAAAAAB&#10;ACAAAAAmAQAAZHJzL2Uyb0RvYy54bWxQSwUGAAAAAAYABgBZAQAApQUAAAAA&#10;">
                  <v:fill on="f" focussize="0,0"/>
                  <v:stroke color="#000000" joinstyle="round" endarrow="block"/>
                  <v:imagedata o:title=""/>
                  <o:lock v:ext="edit" aspectratio="f"/>
                </v:shape>
                <v:shape id="自选图形 2071" o:spid="_x0000_s1026" o:spt="32" type="#_x0000_t32" style="position:absolute;left:4111625;top:451485;height:915670;width:635;"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3LqTN1wAAAAYBAAAPAAAAAAAAAAEAIAAA&#10;ACIAAABkcnMvZG93bnJldi54bWxQSwECFAAUAAAACACHTuJAen/QLQ0CAAD4AwAADgAAAAAAAAAB&#10;ACAAAAAmAQAAZHJzL2Uyb0RvYy54bWxQSwUGAAAAAAYABgBZAQAApQUAAAAA&#10;">
                  <v:fill on="f" focussize="0,0"/>
                  <v:stroke color="#000000" joinstyle="round" endarrow="block"/>
                  <v:imagedata o:title=""/>
                  <o:lock v:ext="edit" aspectratio="f"/>
                </v:shape>
                <v:rect id="矩形 2072" o:spid="_x0000_s1026" o:spt="1" style="position:absolute;left:4017645;top:695325;height:280035;width:485140;"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0&#10;LaAD1wAAAAYBAAAPAAAAAAAAAAEAIAAAACIAAABkcnMvZG93bnJldi54bWxQSwECFAAUAAAACACH&#10;TuJANzDAybMBAABQAwAADgAAAAAAAAABACAAAAAmAQAAZHJzL2Uyb0RvYy54bWxQSwUGAAAAAAYA&#10;BgBZAQAASwUAAAAA&#10;">
                  <v:fill on="f" focussize="0,0"/>
                  <v:stroke on="f"/>
                  <v:imagedata o:title=""/>
                  <o:lock v:ext="edit" aspectratio="f"/>
                  <v:textbox>
                    <w:txbxContent>
                      <w:p>
                        <w:pPr>
                          <w:rPr>
                            <w:rFonts w:hint="eastAsia" w:eastAsia="宋体"/>
                            <w:lang w:eastAsia="zh-CN"/>
                          </w:rPr>
                        </w:pPr>
                        <w:r>
                          <w:rPr>
                            <w:rFonts w:hint="eastAsia"/>
                            <w:szCs w:val="21"/>
                            <w:lang w:eastAsia="zh-CN"/>
                          </w:rPr>
                          <w:t>2.88</w:t>
                        </w:r>
                      </w:p>
                    </w:txbxContent>
                  </v:textbox>
                </v:rect>
                <v:rect id="矩形 2073" o:spid="_x0000_s1026" o:spt="1" style="position:absolute;left:579755;top:1186180;height:280035;width:7639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0LaAD&#10;1wAAAAYBAAAPAAAAAAAAAAEAIAAAACIAAABkcnMvZG93bnJldi54bWxQSwECFAAUAAAACACHTuJA&#10;JITjyLABAABQAwAADgAAAAAAAAABACAAAAAmAQAAZHJzL2Uyb0RvYy54bWxQSwUGAAAAAAYABgBZ&#10;AQAASAUAAAAA&#10;">
                  <v:fill on="f" focussize="0,0"/>
                  <v:stroke on="f"/>
                  <v:imagedata o:title=""/>
                  <o:lock v:ext="edit" aspectratio="f"/>
                  <v:textbox>
                    <w:txbxContent>
                      <w:p>
                        <w:pPr>
                          <w:rPr>
                            <w:rFonts w:hint="default" w:eastAsia="宋体"/>
                            <w:lang w:val="en-US" w:eastAsia="zh-CN"/>
                          </w:rPr>
                        </w:pPr>
                        <w:r>
                          <w:rPr>
                            <w:rFonts w:hint="eastAsia"/>
                            <w:szCs w:val="21"/>
                            <w:lang w:val="en-US" w:eastAsia="zh-CN"/>
                          </w:rPr>
                          <w:t>30.1</w:t>
                        </w:r>
                      </w:p>
                    </w:txbxContent>
                  </v:textbox>
                </v:rect>
                <v:shape id="自选图形 2074" o:spid="_x0000_s1026" o:spt="32" type="#_x0000_t32" style="position:absolute;left:4110990;top:2445385;height:865505;width:635;"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9y6kzdcAAAAGAQAADwAAAAAAAAAB&#10;ACAAAAAiAAAAZHJzL2Rvd25yZXYueG1sUEsBAhQAFAAAAAgAh07iQPhoJukRAgAA+QMAAA4AAAAA&#10;AAAAAQAgAAAAJgEAAGRycy9lMm9Eb2MueG1sUEsFBgAAAAAGAAYAWQEAAKkFAAAAAA==&#10;">
                  <v:fill on="f" focussize="0,0"/>
                  <v:stroke color="#000000" joinstyle="round" endarrow="block"/>
                  <v:imagedata o:title=""/>
                  <o:lock v:ext="edit" aspectratio="f"/>
                </v:shape>
                <v:rect id="矩形 2075" o:spid="_x0000_s1026" o:spt="1" style="position:absolute;left:3769360;top:3308985;height:280670;width:645795;"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aWFq+tUAAAAGAQAADwAAAAAAAAABACAAAAAi&#10;AAAAZHJzL2Rvd25yZXYueG1sUEsBAhQAFAAAAAgAh07iQN8oHksNAgAAEAQAAA4AAAAAAAAAAQAg&#10;AAAAJAEAAGRycy9lMm9Eb2MueG1sUEsFBgAAAAAGAAYAWQEAAKMFAAAAAA==&#10;">
                  <v:fill on="f" focussize="0,0"/>
                  <v:stroke color="#000000" joinstyle="miter"/>
                  <v:imagedata o:title=""/>
                  <o:lock v:ext="edit" aspectratio="f"/>
                  <v:textbox>
                    <w:txbxContent>
                      <w:p>
                        <w:pPr>
                          <w:rPr>
                            <w:rFonts w:hint="eastAsia"/>
                          </w:rPr>
                        </w:pPr>
                        <w:r>
                          <w:rPr>
                            <w:rFonts w:hint="eastAsia" w:ascii="宋体" w:hAnsi="宋体"/>
                            <w:szCs w:val="21"/>
                          </w:rPr>
                          <w:t>农肥</w:t>
                        </w:r>
                      </w:p>
                    </w:txbxContent>
                  </v:textbox>
                </v:rect>
                <v:rect id="矩形 2076" o:spid="_x0000_s1026" o:spt="1" style="position:absolute;left:4116070;top:1800860;height:280035;width:7639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dC2g&#10;A9cAAAAGAQAADwAAAAAAAAABACAAAAAiAAAAZHJzL2Rvd25yZXYueG1sUEsBAhQAFAAAAAgAh07i&#10;QHoo1+uxAQAAUQMAAA4AAAAAAAAAAQAgAAAAJgEAAGRycy9lMm9Eb2MueG1sUEsFBgAAAAAGAAYA&#10;WQEAAEkFAAAAAA==&#10;">
                  <v:fill on="f" focussize="0,0"/>
                  <v:stroke on="f"/>
                  <v:imagedata o:title=""/>
                  <o:lock v:ext="edit" aspectratio="f"/>
                  <v:textbox>
                    <w:txbxContent>
                      <w:p>
                        <w:pPr>
                          <w:rPr>
                            <w:rFonts w:hint="default" w:eastAsia="宋体"/>
                            <w:lang w:val="en-US" w:eastAsia="zh-CN"/>
                          </w:rPr>
                        </w:pPr>
                        <w:r>
                          <w:rPr>
                            <w:rFonts w:hint="eastAsia"/>
                            <w:szCs w:val="21"/>
                            <w:lang w:val="en-US" w:eastAsia="zh-CN"/>
                          </w:rPr>
                          <w:t>17.826</w:t>
                        </w:r>
                      </w:p>
                    </w:txbxContent>
                  </v:textbox>
                </v:rect>
                <v:shape id="自选图形 2077" o:spid="_x0000_s1026" o:spt="32" type="#_x0000_t32" style="position:absolute;left:6144895;top:221615;height:1270;width:498475;"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cupM3XAAAABgEAAA8AAAAAAAAAAQAg&#10;AAAAIgAAAGRycy9kb3ducmV2LnhtbFBLAQIUABQAAAAIAIdO4kBPnk2kDwIAAPkDAAAOAAAAAAAA&#10;AAEAIAAAACYBAABkcnMvZTJvRG9jLnhtbFBLBQYAAAAABgAGAFkBAACnBQAAAAA=&#10;">
                  <v:fill on="f" focussize="0,0"/>
                  <v:stroke color="#000000" joinstyle="round" endarrow="block"/>
                  <v:imagedata o:title=""/>
                  <o:lock v:ext="edit" aspectratio="f"/>
                </v:shape>
                <v:rect id="矩形 2078" o:spid="_x0000_s1026" o:spt="1" style="position:absolute;left:5295900;top:95250;height:344805;width:848995;"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&#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lhavrVAAAABgEAAA8AAAAAAAAAAQAgAAAAIgAAAGRy&#10;cy9kb3ducmV2LnhtbFBLAQIUABQAAAAIAIdO4kADrM0tCAIAAA4EAAAOAAAAAAAAAAEAIAAAACQB&#10;AABkcnMvZTJvRG9jLnhtbFBLBQYAAAAABgAGAFkBAACeBQAAAAA=&#10;">
                  <v:fill on="f" focussize="0,0"/>
                  <v:stroke color="#000000" joinstyle="miter"/>
                  <v:imagedata o:title=""/>
                  <o:lock v:ext="edit" aspectratio="f"/>
                  <v:textbox>
                    <w:txbxContent>
                      <w:p>
                        <w:r>
                          <w:rPr>
                            <w:rFonts w:hint="eastAsia" w:ascii="宋体" w:hAnsi="宋体"/>
                            <w:szCs w:val="21"/>
                          </w:rPr>
                          <w:t>堆肥发酵</w:t>
                        </w:r>
                      </w:p>
                    </w:txbxContent>
                  </v:textbox>
                </v:rect>
                <v:shape id="自选图形 2079" o:spid="_x0000_s1026" o:spt="32" type="#_x0000_t32" style="position:absolute;left:4801235;top:892810;flip:x;height:189230;width:78740;" filled="f" stroked="f" coordsize="21600,21600" o:gfxdata="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AVv81E1QAAAAYBAAAPAAAAAAAAAAEAIAAAACIAAABkcnMvZG93bnJldi54bWxQSwEC&#10;FAAUAAAACACHTuJAU9RN6r4BAABLAwAADgAAAAAAAAABACAAAAAkAQAAZHJzL2Uyb0RvYy54bWxQ&#10;SwUGAAAAAAYABgBZAQAAVAUAAAAA&#10;">
                  <v:fill on="f" focussize="0,0"/>
                  <v:stroke on="f"/>
                  <v:imagedata o:title=""/>
                  <o:lock v:ext="edit" aspectratio="f"/>
                </v:shape>
                <v:line id="直线 2080" o:spid="_x0000_s1026" o:spt="20" style="position:absolute;left:4495800;top:221615;height:0;width:800100;" filled="f" stroked="t" coordsize="21600,21600" o:gfxdata="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mU+2kNcAAAAGAQAADwAAAAAAAAABACAAAAAiAAAAZHJzL2Rvd25yZXYu&#10;eG1sUEsBAhQAFAAAAAgAh07iQJ1R/L78AQAA7gMAAA4AAAAAAAAAAQAgAAAAJgEAAGRycy9lMm9E&#10;b2MueG1sUEsFBgAAAAAGAAYAWQEAAJQFAAAAAA==&#10;">
                  <v:fill on="f" focussize="0,0"/>
                  <v:stroke color="#000000" joinstyle="round" endarrow="block"/>
                  <v:imagedata o:title=""/>
                  <o:lock v:ext="edit" aspectratio="f"/>
                </v:line>
                <v:line id="直线 2081" o:spid="_x0000_s1026" o:spt="20" style="position:absolute;left:5121910;top:1485900;height:635;width:800100;" filled="f" stroked="t" coordsize="21600,21600" o:gfxdata="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ZT7aQ1wAAAAYBAAAPAAAAAAAAAAEAIAAAACIAAABkcnMvZG93bnJl&#10;di54bWxQSwECFAAUAAAACACHTuJAH+7Yu/4BAADxAwAADgAAAAAAAAABACAAAAAmAQAAZHJzL2Uy&#10;b0RvYy54bWxQSwUGAAAAAAYABgBZAQAAlgUAAAAA&#10;">
                  <v:fill on="f" focussize="0,0"/>
                  <v:stroke color="#000000" joinstyle="round" endarrow="block"/>
                  <v:imagedata o:title=""/>
                  <o:lock v:ext="edit" aspectratio="f"/>
                </v:line>
                <v:shape id="自选图形 2082" o:spid="_x0000_s1026" o:spt="32" type="#_x0000_t32" style="position:absolute;left:4110355;top:1776730;height:434340;width:635;"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9y6kzdcAAAAGAQAADwAAAAAAAAABACAA&#10;AAAiAAAAZHJzL2Rvd25yZXYueG1sUEsBAhQAFAAAAAgAh07iQJ4GN80OAgAA+QMAAA4AAAAAAAAA&#10;AQAgAAAAJgEAAGRycy9lMm9Eb2MueG1sUEsFBgAAAAAGAAYAWQEAAKYFAAAAAA==&#10;">
                  <v:fill on="f" focussize="0,0"/>
                  <v:stroke color="#000000" joinstyle="round" endarrow="block"/>
                  <v:imagedata o:title=""/>
                  <o:lock v:ext="edit" aspectratio="f"/>
                </v:shape>
                <v:shape id="自选图形 2083" o:spid="_x0000_s1026" o:spt="32" type="#_x0000_t32" style="position:absolute;left:6322060;top:1638300;height:292735;width:3810;"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3LqTN1wAAAAYBAAAPAAAAAAAAAAEAIAAA&#10;ACIAAABkcnMvZG93bnJldi54bWxQSwECFAAUAAAACACHTuJAvrZQiw0CAAD6AwAADgAAAAAAAAAB&#10;ACAAAAAmAQAAZHJzL2Uyb0RvYy54bWxQSwUGAAAAAAYABgBZAQAApQUAAAAA&#10;">
                  <v:fill on="f" focussize="0,0"/>
                  <v:stroke color="#000000" joinstyle="round" endarrow="block"/>
                  <v:imagedata o:title=""/>
                  <o:lock v:ext="edit" aspectratio="f"/>
                </v:shape>
                <v:rect id="矩形 2084" o:spid="_x0000_s1026" o:spt="1" style="position:absolute;left:5816600;top:1931035;height:273050;width:1085215;"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GlhavrVAAAABgEAAA8AAAAAAAAAAQAgAAAA&#10;IgAAAGRycy9kb3ducmV2LnhtbFBLAQIUABQAAAAIAIdO4kAEUQR3DgIAABEEAAAOAAAAAAAAAAEA&#10;IAAAACQBAABkcnMvZTJvRG9jLnhtbFBLBQYAAAAABgAGAFkBAACkBQAAAAA=&#10;">
                  <v:fill on="f" focussize="0,0"/>
                  <v:stroke color="#000000" joinstyle="miter"/>
                  <v:imagedata o:title=""/>
                  <o:lock v:ext="edit" aspectratio="f"/>
                  <v:textbox>
                    <w:txbxContent>
                      <w:p>
                        <w:pPr>
                          <w:ind w:firstLine="315" w:firstLineChars="150"/>
                        </w:pPr>
                        <w:r>
                          <w:rPr>
                            <w:rFonts w:hint="eastAsia" w:ascii="宋体" w:hAnsi="宋体"/>
                            <w:szCs w:val="21"/>
                          </w:rPr>
                          <w:t>沼渣</w:t>
                        </w:r>
                        <w:r>
                          <w:rPr>
                            <w:rFonts w:ascii="宋体" w:hAnsi="宋体"/>
                            <w:szCs w:val="21"/>
                          </w:rPr>
                          <w:t>干化</w:t>
                        </w:r>
                      </w:p>
                    </w:txbxContent>
                  </v:textbox>
                </v:rect>
                <v:shape id="自选图形 2085" o:spid="_x0000_s1026" o:spt="32" type="#_x0000_t32" style="position:absolute;left:6058535;top:2204085;height:434340;width:635;"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9y6kzdcAAAAGAQAADwAAAAAAAAABACAAAAAi&#10;AAAAZHJzL2Rvd25yZXYueG1sUEsBAhQAFAAAAAgAh07iQPCTfy0LAgAA+QMAAA4AAAAAAAAAAQAg&#10;AAAAJgEAAGRycy9lMm9Eb2MueG1sUEsFBgAAAAAGAAYAWQEAAKMFAAAAAA==&#10;">
                  <v:fill on="f" focussize="0,0"/>
                  <v:stroke color="#000000" joinstyle="round" endarrow="block"/>
                  <v:imagedata o:title=""/>
                  <o:lock v:ext="edit" aspectratio="f"/>
                </v:shape>
                <v:shape id="自选图形 2086" o:spid="_x0000_s1026" o:spt="32" type="#_x0000_t32" style="position:absolute;left:6722110;top:2204085;height:434340;width:635;"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PcupM3XAAAABgEAAA8AAAAAAAAAAQAg&#10;AAAAIgAAAGRycy9kb3ducmV2LnhtbFBLAQIUABQAAAAIAIdO4kBl7xCcDwIAAPkDAAAOAAAAAAAA&#10;AAEAIAAAACYBAABkcnMvZTJvRG9jLnhtbFBLBQYAAAAABgAGAFkBAACnBQAAAAA=&#10;">
                  <v:fill on="f" focussize="0,0"/>
                  <v:stroke color="#000000" joinstyle="round" endarrow="block"/>
                  <v:imagedata o:title=""/>
                  <o:lock v:ext="edit" aspectratio="f"/>
                </v:shape>
                <v:rect id="矩形 144" o:spid="_x0000_s1026" o:spt="1" style="position:absolute;left:5455285;top:2625725;height:433070;width:1012190;"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0&#10;LaAD1wAAAAYBAAAPAAAAAAAAAAEAIAAAACIAAABkcnMvZG93bnJldi54bWxQSwECFAAUAAAACACH&#10;TuJAdUtg07MBAABRAwAADgAAAAAAAAABACAAAAAmAQAAZHJzL2Uyb0RvYy54bWxQSwUGAAAAAAYA&#10;BgBZAQAASwUAAAAA&#10;">
                  <v:fill on="f" focussize="0,0"/>
                  <v:stroke on="f"/>
                  <v:imagedata o:title=""/>
                  <o:lock v:ext="edit" aspectratio="f"/>
                  <v:textbox>
                    <w:txbxContent>
                      <w:p>
                        <w:r>
                          <w:rPr>
                            <w:rFonts w:hint="eastAsia" w:ascii="宋体" w:hAnsi="宋体"/>
                            <w:szCs w:val="21"/>
                          </w:rPr>
                          <w:t>晾晒后制有机肥基料</w:t>
                        </w:r>
                        <w:r>
                          <w:rPr>
                            <w:rFonts w:hint="eastAsia"/>
                            <w:szCs w:val="21"/>
                          </w:rPr>
                          <w:t>0.</w:t>
                        </w:r>
                        <w:r>
                          <w:rPr>
                            <w:rFonts w:hint="eastAsia"/>
                            <w:szCs w:val="21"/>
                            <w:lang w:val="en-US" w:eastAsia="zh-CN"/>
                          </w:rPr>
                          <w:t>052</w:t>
                        </w:r>
                      </w:p>
                    </w:txbxContent>
                  </v:textbox>
                </v:rect>
                <v:rect id="矩形 165" o:spid="_x0000_s1026" o:spt="1" style="position:absolute;left:2147483647;top:437043195;height:177822225;width:0;"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B0LaAD1wAAAAYBAAAPAAAAAAAAAAEAIAAAACIAAABkcnMvZG93&#10;bnJldi54bWxQSwECFAAUAAAACACHTuJAeSrbm8gBAAByAwAADgAAAAAAAAABACAAAAAmAQAAZHJz&#10;L2Uyb0RvYy54bWxQSwUGAAAAAAYABgBZAQAAYAUAAAAA&#10;">
                  <v:fill on="f" focussize="0,0"/>
                  <v:stroke on="f"/>
                  <v:imagedata o:title=""/>
                  <o:lock v:ext="edit" aspectratio="f"/>
                  <v:textbox>
                    <w:txbxContent>
                      <w:p>
                        <w:pPr>
                          <w:jc w:val="center"/>
                          <w:rPr>
                            <w:szCs w:val="21"/>
                          </w:rPr>
                        </w:pPr>
                        <w:r>
                          <w:rPr>
                            <w:rFonts w:hint="eastAsia"/>
                            <w:szCs w:val="21"/>
                          </w:rPr>
                          <w:t xml:space="preserve">自然蒸发 </w:t>
                        </w:r>
                        <w:r>
                          <w:rPr>
                            <w:rFonts w:hint="eastAsia"/>
                            <w:szCs w:val="21"/>
                            <w:lang w:val="en-US" w:eastAsia="zh-CN"/>
                          </w:rPr>
                          <w:t>0.022</w:t>
                        </w:r>
                      </w:p>
                    </w:txbxContent>
                  </v:textbox>
                </v:rect>
                <v:shape id="自选图形 2089" o:spid="_x0000_s1026" o:spt="32" type="#_x0000_t32" style="position:absolute;left:5679440;top:440055;height:434340;width:635;"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3LqTN1wAAAAYBAAAPAAAAAAAAAAEAIAAA&#10;ACIAAABkcnMvZG93bnJldi54bWxQSwECFAAUAAAACACHTuJAnR7AWA0CAAD4AwAADgAAAAAAAAAB&#10;ACAAAAAmAQAAZHJzL2Uyb0RvYy54bWxQSwUGAAAAAAYABgBZAQAApQUAAAAA&#10;">
                  <v:fill on="f" focussize="0,0"/>
                  <v:stroke color="#000000" joinstyle="round" endarrow="block"/>
                  <v:imagedata o:title=""/>
                  <o:lock v:ext="edit" aspectratio="f"/>
                </v:shape>
                <v:rect id="矩形 165" o:spid="_x0000_s1026" o:spt="1" style="position:absolute;left:2147483647;top:437043195;height:177822225;width:0;"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dC2gA9cAAAAGAQAADwAAAAAAAAABACAAAAAiAAAAZHJzL2Rv&#10;d25yZXYueG1sUEsBAhQAFAAAAAgAh07iQLZBmxLJAQAAcgMAAA4AAAAAAAAAAQAgAAAAJgEAAGRy&#10;cy9lMm9Eb2MueG1sUEsFBgAAAAAGAAYAWQEAAGEFAAAAAA==&#10;">
                  <v:fill on="f" focussize="0,0"/>
                  <v:stroke on="f"/>
                  <v:imagedata o:title=""/>
                  <o:lock v:ext="edit" aspectratio="f"/>
                  <v:textbox>
                    <w:txbxContent>
                      <w:p>
                        <w:pPr>
                          <w:jc w:val="center"/>
                          <w:rPr>
                            <w:szCs w:val="21"/>
                          </w:rPr>
                        </w:pPr>
                        <w:r>
                          <w:rPr>
                            <w:rFonts w:hint="eastAsia"/>
                            <w:szCs w:val="21"/>
                          </w:rPr>
                          <w:t>自然蒸发0.448</w:t>
                        </w:r>
                      </w:p>
                    </w:txbxContent>
                  </v:textbox>
                </v:rect>
                <v:rect id="矩形 2091" o:spid="_x0000_s1026" o:spt="1" style="position:absolute;left:4097020;top:2673350;height:280035;width:763905;" filled="f" stroked="f" coordsize="21600,21600" o:gfxdata="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HQt&#10;oAPXAAAABgEAAA8AAAAAAAAAAQAgAAAAIgAAAGRycy9kb3ducmV2LnhtbFBLAQIUABQAAAAIAIdO&#10;4kD4BFJbsgEAAFEDAAAOAAAAAAAAAAEAIAAAACYBAABkcnMvZTJvRG9jLnhtbFBLBQYAAAAABgAG&#10;AFkBAABKBQAAAAA=&#10;">
                  <v:fill on="f" focussize="0,0"/>
                  <v:stroke on="f"/>
                  <v:imagedata o:title=""/>
                  <o:lock v:ext="edit" aspectratio="f"/>
                  <v:textbox>
                    <w:txbxContent>
                      <w:p>
                        <w:pPr>
                          <w:rPr>
                            <w:rFonts w:hint="default" w:eastAsia="宋体"/>
                            <w:lang w:val="en-US" w:eastAsia="zh-CN"/>
                          </w:rPr>
                        </w:pPr>
                        <w:r>
                          <w:rPr>
                            <w:rFonts w:hint="eastAsia"/>
                            <w:lang w:val="en-US" w:eastAsia="zh-CN"/>
                          </w:rPr>
                          <w:t>17.826</w:t>
                        </w:r>
                      </w:p>
                    </w:txbxContent>
                  </v:textbox>
                </v:rect>
                <v:rect id="矩形 2092" o:spid="_x0000_s1026" o:spt="1" style="position:absolute;left:3771265;top:72390;height:342900;width:732155;"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lhavrVAAAABgEAAA8AAAAAAAAAAQAgAAAAIgAA&#10;AGRycy9kb3ducmV2LnhtbFBLAQIUABQAAAAIAIdO4kBDkbj8CwIAAA4EAAAOAAAAAAAAAAEAIAAA&#10;ACQBAABkcnMvZTJvRG9jLnhtbFBLBQYAAAAABgAGAFkBAAChBQAAAAA=&#10;">
                  <v:fill on="f" focussize="0,0"/>
                  <v:stroke color="#000000" joinstyle="miter"/>
                  <v:imagedata o:title=""/>
                  <o:lock v:ext="edit" aspectratio="f"/>
                  <v:textbox>
                    <w:txbxContent>
                      <w:p>
                        <w:pPr>
                          <w:rPr>
                            <w:rFonts w:hint="eastAsia"/>
                          </w:rPr>
                        </w:pPr>
                        <w:r>
                          <w:rPr>
                            <w:rFonts w:hint="eastAsia" w:ascii="宋体" w:hAnsi="宋体"/>
                            <w:szCs w:val="21"/>
                          </w:rPr>
                          <w:t>固液分离</w:t>
                        </w:r>
                      </w:p>
                    </w:txbxContent>
                  </v:textbox>
                </v:rect>
                <v:rect id="矩形 2093" o:spid="_x0000_s1026" o:spt="1" style="position:absolute;left:6649085;top:106680;height:596900;width:698500;" filled="f" stroked="t" coordsize="21600,21600" o:gfxdata="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WFq+tUAAAAGAQAADwAAAAAAAAABACAAAAAiAAAA&#10;ZHJzL2Rvd25yZXYueG1sUEsBAhQAFAAAAAgAh07iQCGLjSAKAgAADwQAAA4AAAAAAAAAAQAgAAAA&#10;JAEAAGRycy9lMm9Eb2MueG1sUEsFBgAAAAAGAAYAWQEAAKAFAAAAAA==&#10;">
                  <v:fill on="f" focussize="0,0"/>
                  <v:stroke color="#000000" joinstyle="miter"/>
                  <v:imagedata o:title=""/>
                  <o:lock v:ext="edit" aspectratio="f"/>
                  <v:textbox>
                    <w:txbxContent>
                      <w:p>
                        <w:pPr>
                          <w:rPr>
                            <w:rFonts w:hint="default" w:eastAsia="宋体"/>
                            <w:lang w:val="en-US" w:eastAsia="zh-CN"/>
                          </w:rPr>
                        </w:pPr>
                        <w:r>
                          <w:rPr>
                            <w:rFonts w:hint="eastAsia" w:ascii="宋体" w:hAnsi="宋体"/>
                            <w:szCs w:val="21"/>
                          </w:rPr>
                          <w:t>有机肥基料携带</w:t>
                        </w:r>
                        <w:r>
                          <w:rPr>
                            <w:rFonts w:hint="eastAsia"/>
                            <w:szCs w:val="21"/>
                            <w:lang w:val="en-US" w:eastAsia="zh-CN"/>
                          </w:rPr>
                          <w:t>0.072</w:t>
                        </w:r>
                      </w:p>
                    </w:txbxContent>
                  </v:textbox>
                </v:rect>
                <v:shape id="自选图形 2094" o:spid="_x0000_s1026" o:spt="32" type="#_x0000_t32" style="position:absolute;left:601980;top:1471930;height:0;width:457200;" filled="f" stroked="t" coordsize="21600,21600" o:gfxdata="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cupM3XAAAABgEAAA8AAAAAAAAAAQAgAAAA&#10;IgAAAGRycy9kb3ducmV2LnhtbFBLAQIUABQAAAAIAIdO4kDtX7jXDAIAAPYDAAAOAAAAAAAAAAEA&#10;IAAAACYBAABkcnMvZTJvRG9jLnhtbFBLBQYAAAAABgAGAFkBAACkBQAAAAA=&#10;">
                  <v:fill on="f" focussize="0,0"/>
                  <v:stroke color="#000000" joinstyle="round" endarrow="block"/>
                  <v:imagedata o:title=""/>
                  <o:lock v:ext="edit" aspectratio="f"/>
                </v:shape>
                <w10:wrap type="none"/>
                <w10:anchorlock/>
              </v:group>
            </w:pict>
          </mc:Fallback>
        </mc:AlternateContent>
      </w:r>
    </w:p>
    <w:p>
      <w:pPr>
        <w:kinsoku w:val="0"/>
        <w:overflowPunct w:val="0"/>
        <w:spacing w:line="500" w:lineRule="exact"/>
        <w:jc w:val="center"/>
        <w:rPr>
          <w:rFonts w:hAnsi="宋体"/>
          <w:b/>
          <w:sz w:val="24"/>
          <w:u w:val="single"/>
        </w:rPr>
      </w:pPr>
      <w:r>
        <w:rPr>
          <w:rFonts w:hAnsi="宋体"/>
          <w:b/>
          <w:sz w:val="24"/>
        </w:rPr>
        <w:t>图</w:t>
      </w:r>
      <w:r>
        <w:rPr>
          <w:b/>
          <w:sz w:val="24"/>
        </w:rPr>
        <w:t xml:space="preserve">2.3-3        </w:t>
      </w:r>
      <w:r>
        <w:rPr>
          <w:rFonts w:hAnsi="宋体"/>
          <w:b/>
          <w:sz w:val="24"/>
        </w:rPr>
        <w:t>项目</w:t>
      </w:r>
      <w:r>
        <w:rPr>
          <w:rFonts w:hint="eastAsia" w:hAnsi="宋体"/>
          <w:b/>
          <w:sz w:val="24"/>
        </w:rPr>
        <w:t>其他季</w:t>
      </w:r>
      <w:r>
        <w:rPr>
          <w:rFonts w:hAnsi="宋体"/>
          <w:b/>
          <w:sz w:val="24"/>
        </w:rPr>
        <w:t>节水平衡图</w:t>
      </w:r>
      <w:r>
        <w:rPr>
          <w:b/>
          <w:sz w:val="24"/>
        </w:rPr>
        <w:t xml:space="preserve">   </w:t>
      </w:r>
      <w:r>
        <w:rPr>
          <w:rFonts w:hAnsi="宋体"/>
          <w:b/>
          <w:sz w:val="24"/>
        </w:rPr>
        <w:t>（单位：</w:t>
      </w:r>
      <w:r>
        <w:rPr>
          <w:b/>
          <w:sz w:val="24"/>
        </w:rPr>
        <w:t>m</w:t>
      </w:r>
      <w:r>
        <w:rPr>
          <w:b/>
          <w:sz w:val="24"/>
          <w:vertAlign w:val="superscript"/>
        </w:rPr>
        <w:t>3</w:t>
      </w:r>
      <w:r>
        <w:rPr>
          <w:b/>
          <w:sz w:val="24"/>
        </w:rPr>
        <w:t>/d</w:t>
      </w:r>
      <w:r>
        <w:rPr>
          <w:rFonts w:hAnsi="宋体"/>
          <w:b/>
          <w:sz w:val="24"/>
        </w:rPr>
        <w:t>）</w:t>
      </w:r>
    </w:p>
    <w:p>
      <w:pPr>
        <w:ind w:firstLine="480" w:firstLineChars="200"/>
        <w:rPr>
          <w:sz w:val="24"/>
        </w:rPr>
      </w:pPr>
    </w:p>
    <w:p>
      <w:pPr>
        <w:rPr>
          <w:sz w:val="24"/>
        </w:rPr>
      </w:pPr>
    </w:p>
    <w:p>
      <w:pPr>
        <w:rPr>
          <w:sz w:val="24"/>
        </w:rPr>
        <w:sectPr>
          <w:pgSz w:w="16838" w:h="11906" w:orient="landscape"/>
          <w:pgMar w:top="1587" w:right="1984" w:bottom="1587" w:left="1701" w:header="851" w:footer="992" w:gutter="0"/>
          <w:pgNumType w:fmt="numberInDash"/>
          <w:cols w:space="720" w:num="1"/>
          <w:docGrid w:linePitch="312" w:charSpace="0"/>
        </w:sectPr>
      </w:pPr>
    </w:p>
    <w:bookmarkEnd w:id="279"/>
    <w:bookmarkEnd w:id="280"/>
    <w:bookmarkEnd w:id="281"/>
    <w:bookmarkEnd w:id="282"/>
    <w:bookmarkEnd w:id="283"/>
    <w:bookmarkEnd w:id="284"/>
    <w:bookmarkEnd w:id="285"/>
    <w:bookmarkEnd w:id="286"/>
    <w:p>
      <w:pPr>
        <w:pStyle w:val="4"/>
        <w:numPr>
          <w:ilvl w:val="0"/>
          <w:numId w:val="0"/>
        </w:numPr>
        <w:spacing w:before="0" w:after="0" w:line="520" w:lineRule="exact"/>
        <w:rPr>
          <w:sz w:val="24"/>
          <w:szCs w:val="24"/>
        </w:rPr>
      </w:pPr>
      <w:bookmarkStart w:id="287" w:name="_Toc311979819"/>
      <w:bookmarkStart w:id="288" w:name="_Toc311979932"/>
      <w:bookmarkStart w:id="289" w:name="_Toc311979864"/>
      <w:bookmarkStart w:id="290" w:name="_Toc269400719"/>
      <w:r>
        <w:rPr>
          <w:sz w:val="24"/>
          <w:szCs w:val="24"/>
        </w:rPr>
        <w:t>2.3.2.3噪声排放情况</w:t>
      </w:r>
    </w:p>
    <w:p>
      <w:pPr>
        <w:spacing w:line="520" w:lineRule="exact"/>
        <w:ind w:firstLine="480" w:firstLineChars="200"/>
        <w:rPr>
          <w:bCs/>
          <w:sz w:val="24"/>
        </w:rPr>
      </w:pPr>
      <w:r>
        <w:rPr>
          <w:bCs/>
          <w:sz w:val="24"/>
        </w:rPr>
        <w:t>噪声主要为猪叫声、猪舍降温配套负压风机、粪污处理设施等设备运行时产生的噪声，根据类比调查，其源强为70～85dB(A)。工程主要噪声设施源强情况见表2.3-10。</w:t>
      </w:r>
    </w:p>
    <w:p>
      <w:pPr>
        <w:spacing w:after="72" w:afterLines="30" w:line="520" w:lineRule="exact"/>
        <w:jc w:val="center"/>
        <w:rPr>
          <w:b/>
          <w:sz w:val="24"/>
        </w:rPr>
      </w:pPr>
      <w:r>
        <w:rPr>
          <w:b/>
          <w:sz w:val="24"/>
        </w:rPr>
        <w:t>表2.3-10   工程主要噪声源强一览表</w:t>
      </w:r>
    </w:p>
    <w:tbl>
      <w:tblPr>
        <w:tblStyle w:val="17"/>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1566"/>
        <w:gridCol w:w="1321"/>
        <w:gridCol w:w="1335"/>
        <w:gridCol w:w="637"/>
        <w:gridCol w:w="2765"/>
        <w:gridCol w:w="122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40" w:hRule="atLeast"/>
        </w:trPr>
        <w:tc>
          <w:tcPr>
            <w:tcW w:w="1566" w:type="dxa"/>
            <w:noWrap w:val="0"/>
            <w:vAlign w:val="center"/>
          </w:tcPr>
          <w:p>
            <w:pPr>
              <w:adjustRightInd w:val="0"/>
              <w:snapToGrid w:val="0"/>
              <w:jc w:val="center"/>
              <w:rPr>
                <w:b/>
                <w:bCs/>
                <w:szCs w:val="21"/>
              </w:rPr>
            </w:pPr>
            <w:r>
              <w:rPr>
                <w:b/>
                <w:bCs/>
                <w:szCs w:val="21"/>
              </w:rPr>
              <w:t>污染物来源</w:t>
            </w:r>
          </w:p>
        </w:tc>
        <w:tc>
          <w:tcPr>
            <w:tcW w:w="1321" w:type="dxa"/>
            <w:noWrap w:val="0"/>
            <w:vAlign w:val="center"/>
          </w:tcPr>
          <w:p>
            <w:pPr>
              <w:adjustRightInd w:val="0"/>
              <w:snapToGrid w:val="0"/>
              <w:jc w:val="center"/>
              <w:rPr>
                <w:b/>
                <w:bCs/>
                <w:szCs w:val="21"/>
              </w:rPr>
            </w:pPr>
            <w:r>
              <w:rPr>
                <w:b/>
                <w:bCs/>
                <w:szCs w:val="21"/>
              </w:rPr>
              <w:t>种类</w:t>
            </w:r>
          </w:p>
        </w:tc>
        <w:tc>
          <w:tcPr>
            <w:tcW w:w="1335" w:type="dxa"/>
            <w:noWrap w:val="0"/>
            <w:vAlign w:val="center"/>
          </w:tcPr>
          <w:p>
            <w:pPr>
              <w:adjustRightInd w:val="0"/>
              <w:snapToGrid w:val="0"/>
              <w:jc w:val="center"/>
              <w:rPr>
                <w:b/>
                <w:bCs/>
                <w:szCs w:val="21"/>
              </w:rPr>
            </w:pPr>
            <w:r>
              <w:rPr>
                <w:b/>
                <w:bCs/>
                <w:szCs w:val="21"/>
              </w:rPr>
              <w:t>产生方式</w:t>
            </w:r>
          </w:p>
        </w:tc>
        <w:tc>
          <w:tcPr>
            <w:tcW w:w="637" w:type="dxa"/>
            <w:noWrap w:val="0"/>
            <w:vAlign w:val="center"/>
          </w:tcPr>
          <w:p>
            <w:pPr>
              <w:adjustRightInd w:val="0"/>
              <w:snapToGrid w:val="0"/>
              <w:jc w:val="center"/>
              <w:rPr>
                <w:b/>
                <w:bCs/>
                <w:szCs w:val="21"/>
              </w:rPr>
            </w:pPr>
            <w:r>
              <w:rPr>
                <w:b/>
                <w:bCs/>
                <w:szCs w:val="21"/>
              </w:rPr>
              <w:t>源强</w:t>
            </w:r>
          </w:p>
        </w:tc>
        <w:tc>
          <w:tcPr>
            <w:tcW w:w="2765" w:type="dxa"/>
            <w:noWrap w:val="0"/>
            <w:vAlign w:val="center"/>
          </w:tcPr>
          <w:p>
            <w:pPr>
              <w:adjustRightInd w:val="0"/>
              <w:snapToGrid w:val="0"/>
              <w:jc w:val="center"/>
              <w:rPr>
                <w:b/>
                <w:bCs/>
                <w:szCs w:val="21"/>
              </w:rPr>
            </w:pPr>
            <w:r>
              <w:rPr>
                <w:b/>
                <w:bCs/>
                <w:szCs w:val="21"/>
              </w:rPr>
              <w:t>治理措施</w:t>
            </w:r>
          </w:p>
        </w:tc>
        <w:tc>
          <w:tcPr>
            <w:tcW w:w="1220" w:type="dxa"/>
            <w:noWrap w:val="0"/>
            <w:vAlign w:val="center"/>
          </w:tcPr>
          <w:p>
            <w:pPr>
              <w:adjustRightInd w:val="0"/>
              <w:snapToGrid w:val="0"/>
              <w:jc w:val="center"/>
              <w:rPr>
                <w:b/>
                <w:bCs/>
                <w:szCs w:val="21"/>
              </w:rPr>
            </w:pPr>
            <w:r>
              <w:rPr>
                <w:b/>
                <w:bCs/>
                <w:szCs w:val="21"/>
              </w:rPr>
              <w:t>排放源强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40" w:hRule="atLeast"/>
        </w:trPr>
        <w:tc>
          <w:tcPr>
            <w:tcW w:w="1566" w:type="dxa"/>
            <w:vMerge w:val="restart"/>
            <w:noWrap w:val="0"/>
            <w:vAlign w:val="center"/>
          </w:tcPr>
          <w:p>
            <w:pPr>
              <w:adjustRightInd w:val="0"/>
              <w:snapToGrid w:val="0"/>
              <w:jc w:val="center"/>
              <w:rPr>
                <w:bCs/>
                <w:szCs w:val="21"/>
              </w:rPr>
            </w:pPr>
            <w:r>
              <w:rPr>
                <w:bCs/>
                <w:szCs w:val="21"/>
              </w:rPr>
              <w:t>猪舍</w:t>
            </w:r>
          </w:p>
        </w:tc>
        <w:tc>
          <w:tcPr>
            <w:tcW w:w="1321" w:type="dxa"/>
            <w:noWrap w:val="0"/>
            <w:vAlign w:val="center"/>
          </w:tcPr>
          <w:p>
            <w:pPr>
              <w:adjustRightInd w:val="0"/>
              <w:snapToGrid w:val="0"/>
              <w:jc w:val="center"/>
              <w:rPr>
                <w:bCs/>
                <w:szCs w:val="21"/>
              </w:rPr>
            </w:pPr>
            <w:r>
              <w:rPr>
                <w:bCs/>
                <w:szCs w:val="21"/>
              </w:rPr>
              <w:t>猪叫</w:t>
            </w:r>
          </w:p>
        </w:tc>
        <w:tc>
          <w:tcPr>
            <w:tcW w:w="1335" w:type="dxa"/>
            <w:noWrap w:val="0"/>
            <w:vAlign w:val="center"/>
          </w:tcPr>
          <w:p>
            <w:pPr>
              <w:adjustRightInd w:val="0"/>
              <w:snapToGrid w:val="0"/>
              <w:jc w:val="center"/>
              <w:rPr>
                <w:bCs/>
                <w:szCs w:val="21"/>
              </w:rPr>
            </w:pPr>
            <w:r>
              <w:rPr>
                <w:bCs/>
                <w:szCs w:val="21"/>
              </w:rPr>
              <w:t>间断</w:t>
            </w:r>
          </w:p>
        </w:tc>
        <w:tc>
          <w:tcPr>
            <w:tcW w:w="637" w:type="dxa"/>
            <w:noWrap w:val="0"/>
            <w:vAlign w:val="center"/>
          </w:tcPr>
          <w:p>
            <w:pPr>
              <w:adjustRightInd w:val="0"/>
              <w:snapToGrid w:val="0"/>
              <w:jc w:val="center"/>
            </w:pPr>
            <w:r>
              <w:rPr>
                <w:bCs/>
                <w:kern w:val="0"/>
                <w:szCs w:val="21"/>
                <w:lang w:bidi="ar"/>
              </w:rPr>
              <w:t>65</w:t>
            </w:r>
          </w:p>
        </w:tc>
        <w:tc>
          <w:tcPr>
            <w:tcW w:w="2765" w:type="dxa"/>
            <w:noWrap w:val="0"/>
            <w:vAlign w:val="center"/>
          </w:tcPr>
          <w:p>
            <w:pPr>
              <w:adjustRightInd w:val="0"/>
              <w:snapToGrid w:val="0"/>
              <w:jc w:val="center"/>
              <w:rPr>
                <w:bCs/>
                <w:szCs w:val="21"/>
              </w:rPr>
            </w:pPr>
            <w:r>
              <w:rPr>
                <w:bCs/>
                <w:szCs w:val="21"/>
              </w:rPr>
              <w:t>隔声降噪</w:t>
            </w:r>
          </w:p>
        </w:tc>
        <w:tc>
          <w:tcPr>
            <w:tcW w:w="1220" w:type="dxa"/>
            <w:noWrap w:val="0"/>
            <w:vAlign w:val="center"/>
          </w:tcPr>
          <w:p>
            <w:pPr>
              <w:adjustRightInd w:val="0"/>
              <w:snapToGrid w:val="0"/>
              <w:jc w:val="center"/>
              <w:rPr>
                <w:bCs/>
                <w:szCs w:val="21"/>
              </w:rPr>
            </w:pPr>
            <w:r>
              <w:rPr>
                <w:bCs/>
                <w:kern w:val="0"/>
                <w:szCs w:val="21"/>
                <w:lang w:bidi="ar"/>
              </w:rPr>
              <w:t>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40" w:hRule="atLeast"/>
        </w:trPr>
        <w:tc>
          <w:tcPr>
            <w:tcW w:w="1566" w:type="dxa"/>
            <w:vMerge w:val="continue"/>
            <w:noWrap w:val="0"/>
            <w:vAlign w:val="center"/>
          </w:tcPr>
          <w:p>
            <w:pPr>
              <w:adjustRightInd w:val="0"/>
              <w:snapToGrid w:val="0"/>
              <w:jc w:val="center"/>
              <w:rPr>
                <w:bCs/>
                <w:szCs w:val="21"/>
              </w:rPr>
            </w:pPr>
          </w:p>
        </w:tc>
        <w:tc>
          <w:tcPr>
            <w:tcW w:w="1321" w:type="dxa"/>
            <w:noWrap w:val="0"/>
            <w:vAlign w:val="center"/>
          </w:tcPr>
          <w:p>
            <w:pPr>
              <w:adjustRightInd w:val="0"/>
              <w:snapToGrid w:val="0"/>
              <w:jc w:val="center"/>
              <w:rPr>
                <w:bCs/>
                <w:szCs w:val="21"/>
              </w:rPr>
            </w:pPr>
            <w:r>
              <w:rPr>
                <w:bCs/>
                <w:szCs w:val="21"/>
              </w:rPr>
              <w:t>风机</w:t>
            </w:r>
          </w:p>
        </w:tc>
        <w:tc>
          <w:tcPr>
            <w:tcW w:w="1335" w:type="dxa"/>
            <w:noWrap w:val="0"/>
            <w:vAlign w:val="center"/>
          </w:tcPr>
          <w:p>
            <w:pPr>
              <w:adjustRightInd w:val="0"/>
              <w:snapToGrid w:val="0"/>
              <w:jc w:val="center"/>
              <w:rPr>
                <w:bCs/>
                <w:szCs w:val="21"/>
              </w:rPr>
            </w:pPr>
            <w:r>
              <w:rPr>
                <w:bCs/>
                <w:szCs w:val="21"/>
              </w:rPr>
              <w:t>连续</w:t>
            </w:r>
          </w:p>
        </w:tc>
        <w:tc>
          <w:tcPr>
            <w:tcW w:w="637" w:type="dxa"/>
            <w:noWrap w:val="0"/>
            <w:vAlign w:val="center"/>
          </w:tcPr>
          <w:p>
            <w:pPr>
              <w:adjustRightInd w:val="0"/>
              <w:snapToGrid w:val="0"/>
              <w:jc w:val="center"/>
            </w:pPr>
            <w:r>
              <w:rPr>
                <w:bCs/>
                <w:kern w:val="0"/>
                <w:szCs w:val="21"/>
                <w:lang w:bidi="ar"/>
              </w:rPr>
              <w:t>80</w:t>
            </w:r>
          </w:p>
        </w:tc>
        <w:tc>
          <w:tcPr>
            <w:tcW w:w="2765" w:type="dxa"/>
            <w:noWrap w:val="0"/>
            <w:vAlign w:val="center"/>
          </w:tcPr>
          <w:p>
            <w:pPr>
              <w:adjustRightInd w:val="0"/>
              <w:snapToGrid w:val="0"/>
              <w:jc w:val="center"/>
              <w:rPr>
                <w:bCs/>
                <w:szCs w:val="21"/>
              </w:rPr>
            </w:pPr>
            <w:r>
              <w:rPr>
                <w:bCs/>
                <w:szCs w:val="21"/>
              </w:rPr>
              <w:t>厂房隔声</w:t>
            </w:r>
          </w:p>
        </w:tc>
        <w:tc>
          <w:tcPr>
            <w:tcW w:w="1220" w:type="dxa"/>
            <w:noWrap w:val="0"/>
            <w:vAlign w:val="center"/>
          </w:tcPr>
          <w:p>
            <w:pPr>
              <w:adjustRightInd w:val="0"/>
              <w:snapToGrid w:val="0"/>
              <w:jc w:val="center"/>
              <w:rPr>
                <w:bCs/>
                <w:szCs w:val="21"/>
              </w:rPr>
            </w:pPr>
            <w:r>
              <w:rPr>
                <w:bCs/>
                <w:kern w:val="0"/>
                <w:szCs w:val="21"/>
                <w:lang w:bidi="ar"/>
              </w:rPr>
              <w:t>70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40" w:hRule="atLeast"/>
        </w:trPr>
        <w:tc>
          <w:tcPr>
            <w:tcW w:w="1566" w:type="dxa"/>
            <w:vMerge w:val="restart"/>
            <w:noWrap w:val="0"/>
            <w:vAlign w:val="center"/>
          </w:tcPr>
          <w:p>
            <w:pPr>
              <w:adjustRightInd w:val="0"/>
              <w:snapToGrid w:val="0"/>
              <w:jc w:val="center"/>
              <w:rPr>
                <w:bCs/>
                <w:szCs w:val="21"/>
              </w:rPr>
            </w:pPr>
            <w:r>
              <w:rPr>
                <w:bCs/>
                <w:szCs w:val="21"/>
              </w:rPr>
              <w:t>污水处理区</w:t>
            </w:r>
          </w:p>
        </w:tc>
        <w:tc>
          <w:tcPr>
            <w:tcW w:w="1321" w:type="dxa"/>
            <w:noWrap w:val="0"/>
            <w:vAlign w:val="center"/>
          </w:tcPr>
          <w:p>
            <w:pPr>
              <w:adjustRightInd w:val="0"/>
              <w:snapToGrid w:val="0"/>
              <w:jc w:val="center"/>
              <w:rPr>
                <w:bCs/>
                <w:szCs w:val="21"/>
              </w:rPr>
            </w:pPr>
            <w:r>
              <w:rPr>
                <w:bCs/>
                <w:szCs w:val="21"/>
              </w:rPr>
              <w:t>水泵</w:t>
            </w:r>
          </w:p>
        </w:tc>
        <w:tc>
          <w:tcPr>
            <w:tcW w:w="1335" w:type="dxa"/>
            <w:noWrap w:val="0"/>
            <w:vAlign w:val="center"/>
          </w:tcPr>
          <w:p>
            <w:pPr>
              <w:adjustRightInd w:val="0"/>
              <w:snapToGrid w:val="0"/>
              <w:jc w:val="center"/>
              <w:rPr>
                <w:bCs/>
                <w:szCs w:val="21"/>
              </w:rPr>
            </w:pPr>
            <w:r>
              <w:rPr>
                <w:bCs/>
                <w:szCs w:val="21"/>
              </w:rPr>
              <w:t>连续</w:t>
            </w:r>
          </w:p>
        </w:tc>
        <w:tc>
          <w:tcPr>
            <w:tcW w:w="637" w:type="dxa"/>
            <w:noWrap w:val="0"/>
            <w:vAlign w:val="center"/>
          </w:tcPr>
          <w:p>
            <w:pPr>
              <w:adjustRightInd w:val="0"/>
              <w:snapToGrid w:val="0"/>
              <w:jc w:val="center"/>
            </w:pPr>
            <w:r>
              <w:rPr>
                <w:bCs/>
                <w:kern w:val="0"/>
                <w:szCs w:val="21"/>
                <w:lang w:bidi="ar"/>
              </w:rPr>
              <w:t>75</w:t>
            </w:r>
          </w:p>
        </w:tc>
        <w:tc>
          <w:tcPr>
            <w:tcW w:w="2765" w:type="dxa"/>
            <w:vMerge w:val="restart"/>
            <w:noWrap w:val="0"/>
            <w:vAlign w:val="center"/>
          </w:tcPr>
          <w:p>
            <w:pPr>
              <w:adjustRightInd w:val="0"/>
              <w:snapToGrid w:val="0"/>
              <w:jc w:val="center"/>
              <w:rPr>
                <w:bCs/>
                <w:szCs w:val="21"/>
              </w:rPr>
            </w:pPr>
            <w:r>
              <w:rPr>
                <w:bCs/>
                <w:szCs w:val="21"/>
              </w:rPr>
              <w:t>选低噪声设备、隔声、减振</w:t>
            </w:r>
          </w:p>
        </w:tc>
        <w:tc>
          <w:tcPr>
            <w:tcW w:w="1220" w:type="dxa"/>
            <w:noWrap w:val="0"/>
            <w:vAlign w:val="center"/>
          </w:tcPr>
          <w:p>
            <w:pPr>
              <w:adjustRightInd w:val="0"/>
              <w:snapToGrid w:val="0"/>
              <w:jc w:val="center"/>
              <w:rPr>
                <w:bCs/>
                <w:szCs w:val="21"/>
              </w:rPr>
            </w:pPr>
            <w:r>
              <w:rPr>
                <w:bCs/>
                <w:kern w:val="0"/>
                <w:szCs w:val="21"/>
                <w:lang w:bidi="ar"/>
              </w:rPr>
              <w:t>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40" w:hRule="atLeast"/>
        </w:trPr>
        <w:tc>
          <w:tcPr>
            <w:tcW w:w="1566" w:type="dxa"/>
            <w:vMerge w:val="continue"/>
            <w:noWrap w:val="0"/>
            <w:vAlign w:val="center"/>
          </w:tcPr>
          <w:p>
            <w:pPr>
              <w:adjustRightInd w:val="0"/>
              <w:snapToGrid w:val="0"/>
              <w:jc w:val="center"/>
              <w:rPr>
                <w:bCs/>
                <w:szCs w:val="21"/>
              </w:rPr>
            </w:pPr>
          </w:p>
        </w:tc>
        <w:tc>
          <w:tcPr>
            <w:tcW w:w="1321" w:type="dxa"/>
            <w:noWrap w:val="0"/>
            <w:vAlign w:val="center"/>
          </w:tcPr>
          <w:p>
            <w:pPr>
              <w:adjustRightInd w:val="0"/>
              <w:snapToGrid w:val="0"/>
              <w:jc w:val="center"/>
              <w:rPr>
                <w:rFonts w:hint="eastAsia"/>
                <w:bCs/>
                <w:kern w:val="0"/>
                <w:szCs w:val="21"/>
                <w:lang w:bidi="ar"/>
              </w:rPr>
            </w:pPr>
            <w:r>
              <w:rPr>
                <w:rFonts w:hint="eastAsia"/>
                <w:bCs/>
                <w:kern w:val="0"/>
                <w:szCs w:val="21"/>
                <w:lang w:bidi="ar"/>
              </w:rPr>
              <w:t>固液</w:t>
            </w:r>
            <w:r>
              <w:rPr>
                <w:bCs/>
                <w:kern w:val="0"/>
                <w:szCs w:val="21"/>
                <w:lang w:bidi="ar"/>
              </w:rPr>
              <w:t>分离机</w:t>
            </w:r>
          </w:p>
        </w:tc>
        <w:tc>
          <w:tcPr>
            <w:tcW w:w="1335" w:type="dxa"/>
            <w:noWrap w:val="0"/>
            <w:vAlign w:val="center"/>
          </w:tcPr>
          <w:p>
            <w:pPr>
              <w:adjustRightInd w:val="0"/>
              <w:snapToGrid w:val="0"/>
              <w:jc w:val="center"/>
              <w:rPr>
                <w:bCs/>
                <w:szCs w:val="21"/>
              </w:rPr>
            </w:pPr>
            <w:r>
              <w:rPr>
                <w:bCs/>
                <w:szCs w:val="21"/>
              </w:rPr>
              <w:t>连续</w:t>
            </w:r>
          </w:p>
        </w:tc>
        <w:tc>
          <w:tcPr>
            <w:tcW w:w="637" w:type="dxa"/>
            <w:noWrap w:val="0"/>
            <w:vAlign w:val="center"/>
          </w:tcPr>
          <w:p>
            <w:pPr>
              <w:adjustRightInd w:val="0"/>
              <w:snapToGrid w:val="0"/>
              <w:jc w:val="center"/>
              <w:rPr>
                <w:bCs/>
                <w:kern w:val="0"/>
                <w:szCs w:val="21"/>
                <w:lang w:bidi="ar"/>
              </w:rPr>
            </w:pPr>
            <w:r>
              <w:rPr>
                <w:bCs/>
                <w:kern w:val="0"/>
                <w:szCs w:val="21"/>
                <w:lang w:bidi="ar"/>
              </w:rPr>
              <w:t>75</w:t>
            </w:r>
          </w:p>
        </w:tc>
        <w:tc>
          <w:tcPr>
            <w:tcW w:w="2765" w:type="dxa"/>
            <w:vMerge w:val="continue"/>
            <w:noWrap w:val="0"/>
            <w:vAlign w:val="center"/>
          </w:tcPr>
          <w:p>
            <w:pPr>
              <w:adjustRightInd w:val="0"/>
              <w:snapToGrid w:val="0"/>
              <w:jc w:val="center"/>
              <w:rPr>
                <w:bCs/>
                <w:szCs w:val="21"/>
              </w:rPr>
            </w:pPr>
          </w:p>
        </w:tc>
        <w:tc>
          <w:tcPr>
            <w:tcW w:w="1220" w:type="dxa"/>
            <w:noWrap w:val="0"/>
            <w:vAlign w:val="center"/>
          </w:tcPr>
          <w:p>
            <w:pPr>
              <w:adjustRightInd w:val="0"/>
              <w:snapToGrid w:val="0"/>
              <w:jc w:val="center"/>
              <w:rPr>
                <w:bCs/>
                <w:kern w:val="0"/>
                <w:szCs w:val="21"/>
                <w:lang w:bidi="ar"/>
              </w:rPr>
            </w:pPr>
            <w:r>
              <w:rPr>
                <w:rFonts w:hint="eastAsia"/>
                <w:bCs/>
                <w:kern w:val="0"/>
                <w:szCs w:val="21"/>
                <w:lang w:bidi="ar"/>
              </w:rPr>
              <w:t>6</w:t>
            </w:r>
            <w:r>
              <w:rPr>
                <w:bCs/>
                <w:kern w:val="0"/>
                <w:szCs w:val="21"/>
                <w:lang w:bidi="ar"/>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cantSplit/>
          <w:trHeight w:val="340" w:hRule="atLeast"/>
        </w:trPr>
        <w:tc>
          <w:tcPr>
            <w:tcW w:w="1566" w:type="dxa"/>
            <w:vMerge w:val="continue"/>
            <w:noWrap w:val="0"/>
            <w:vAlign w:val="center"/>
          </w:tcPr>
          <w:p>
            <w:pPr>
              <w:adjustRightInd w:val="0"/>
              <w:snapToGrid w:val="0"/>
              <w:jc w:val="center"/>
              <w:rPr>
                <w:bCs/>
                <w:szCs w:val="21"/>
              </w:rPr>
            </w:pPr>
          </w:p>
        </w:tc>
        <w:tc>
          <w:tcPr>
            <w:tcW w:w="1321" w:type="dxa"/>
            <w:noWrap w:val="0"/>
            <w:vAlign w:val="center"/>
          </w:tcPr>
          <w:p>
            <w:pPr>
              <w:adjustRightInd w:val="0"/>
              <w:snapToGrid w:val="0"/>
              <w:jc w:val="center"/>
              <w:rPr>
                <w:rFonts w:hint="eastAsia"/>
                <w:bCs/>
                <w:kern w:val="0"/>
                <w:szCs w:val="21"/>
                <w:lang w:bidi="ar"/>
              </w:rPr>
            </w:pPr>
            <w:r>
              <w:rPr>
                <w:rFonts w:hint="eastAsia"/>
                <w:bCs/>
                <w:kern w:val="0"/>
                <w:szCs w:val="21"/>
                <w:lang w:bidi="ar"/>
              </w:rPr>
              <w:t>翻抛机</w:t>
            </w:r>
          </w:p>
        </w:tc>
        <w:tc>
          <w:tcPr>
            <w:tcW w:w="1335" w:type="dxa"/>
            <w:noWrap w:val="0"/>
            <w:vAlign w:val="center"/>
          </w:tcPr>
          <w:p>
            <w:pPr>
              <w:adjustRightInd w:val="0"/>
              <w:snapToGrid w:val="0"/>
              <w:jc w:val="center"/>
              <w:rPr>
                <w:bCs/>
                <w:szCs w:val="21"/>
              </w:rPr>
            </w:pPr>
            <w:r>
              <w:rPr>
                <w:bCs/>
                <w:szCs w:val="21"/>
              </w:rPr>
              <w:t>连续</w:t>
            </w:r>
          </w:p>
        </w:tc>
        <w:tc>
          <w:tcPr>
            <w:tcW w:w="637" w:type="dxa"/>
            <w:noWrap w:val="0"/>
            <w:vAlign w:val="center"/>
          </w:tcPr>
          <w:p>
            <w:pPr>
              <w:adjustRightInd w:val="0"/>
              <w:snapToGrid w:val="0"/>
              <w:jc w:val="center"/>
              <w:rPr>
                <w:rFonts w:hint="eastAsia"/>
                <w:bCs/>
                <w:kern w:val="0"/>
                <w:szCs w:val="21"/>
                <w:lang w:bidi="ar"/>
              </w:rPr>
            </w:pPr>
            <w:r>
              <w:rPr>
                <w:rFonts w:hint="eastAsia"/>
                <w:bCs/>
                <w:kern w:val="0"/>
                <w:szCs w:val="21"/>
                <w:lang w:bidi="ar"/>
              </w:rPr>
              <w:t>7</w:t>
            </w:r>
            <w:r>
              <w:rPr>
                <w:bCs/>
                <w:kern w:val="0"/>
                <w:szCs w:val="21"/>
                <w:lang w:bidi="ar"/>
              </w:rPr>
              <w:t>0</w:t>
            </w:r>
          </w:p>
        </w:tc>
        <w:tc>
          <w:tcPr>
            <w:tcW w:w="2765" w:type="dxa"/>
            <w:vMerge w:val="continue"/>
            <w:noWrap w:val="0"/>
            <w:vAlign w:val="center"/>
          </w:tcPr>
          <w:p>
            <w:pPr>
              <w:adjustRightInd w:val="0"/>
              <w:snapToGrid w:val="0"/>
              <w:jc w:val="center"/>
              <w:rPr>
                <w:bCs/>
                <w:szCs w:val="21"/>
              </w:rPr>
            </w:pPr>
          </w:p>
        </w:tc>
        <w:tc>
          <w:tcPr>
            <w:tcW w:w="1220" w:type="dxa"/>
            <w:noWrap w:val="0"/>
            <w:vAlign w:val="center"/>
          </w:tcPr>
          <w:p>
            <w:pPr>
              <w:adjustRightInd w:val="0"/>
              <w:snapToGrid w:val="0"/>
              <w:jc w:val="center"/>
              <w:rPr>
                <w:rFonts w:hint="eastAsia"/>
                <w:bCs/>
                <w:kern w:val="0"/>
                <w:szCs w:val="21"/>
                <w:lang w:bidi="ar"/>
              </w:rPr>
            </w:pPr>
            <w:r>
              <w:rPr>
                <w:rFonts w:hint="eastAsia"/>
                <w:bCs/>
                <w:kern w:val="0"/>
                <w:szCs w:val="21"/>
                <w:lang w:bidi="ar"/>
              </w:rPr>
              <w:t>60</w:t>
            </w:r>
          </w:p>
        </w:tc>
      </w:tr>
      <w:bookmarkEnd w:id="287"/>
      <w:bookmarkEnd w:id="288"/>
      <w:bookmarkEnd w:id="289"/>
      <w:bookmarkEnd w:id="290"/>
    </w:tbl>
    <w:p>
      <w:pPr>
        <w:pStyle w:val="4"/>
        <w:numPr>
          <w:ilvl w:val="0"/>
          <w:numId w:val="0"/>
        </w:numPr>
        <w:spacing w:before="0" w:after="0" w:line="520" w:lineRule="exact"/>
        <w:rPr>
          <w:snapToGrid w:val="0"/>
          <w:sz w:val="24"/>
          <w:szCs w:val="24"/>
        </w:rPr>
      </w:pPr>
      <w:r>
        <w:rPr>
          <w:snapToGrid w:val="0"/>
          <w:sz w:val="24"/>
          <w:szCs w:val="24"/>
        </w:rPr>
        <w:t>2.3.2.4固体废物</w:t>
      </w:r>
      <w:r>
        <w:rPr>
          <w:rFonts w:hint="eastAsia"/>
          <w:snapToGrid w:val="0"/>
          <w:sz w:val="24"/>
          <w:szCs w:val="24"/>
        </w:rPr>
        <w:t>产排</w:t>
      </w:r>
      <w:r>
        <w:rPr>
          <w:snapToGrid w:val="0"/>
          <w:sz w:val="24"/>
          <w:szCs w:val="24"/>
        </w:rPr>
        <w:t>情况</w:t>
      </w:r>
    </w:p>
    <w:p>
      <w:pPr>
        <w:spacing w:line="520" w:lineRule="exact"/>
        <w:ind w:firstLine="480" w:firstLineChars="200"/>
        <w:rPr>
          <w:bCs/>
          <w:sz w:val="24"/>
        </w:rPr>
      </w:pPr>
      <w:r>
        <w:rPr>
          <w:bCs/>
          <w:sz w:val="24"/>
        </w:rPr>
        <w:t>本项目产生的固体废物主要包括猪粪固形物、厌氧发酵后的沼渣、养殖过程产生的少量病死猪尸、疾病防疫产生的医疗废物、废脱硫剂</w:t>
      </w:r>
      <w:r>
        <w:rPr>
          <w:sz w:val="24"/>
        </w:rPr>
        <w:t>及</w:t>
      </w:r>
      <w:r>
        <w:rPr>
          <w:bCs/>
          <w:sz w:val="24"/>
        </w:rPr>
        <w:t>职工生活垃圾等。</w:t>
      </w:r>
    </w:p>
    <w:p>
      <w:pPr>
        <w:spacing w:line="520" w:lineRule="exact"/>
        <w:ind w:firstLine="480" w:firstLineChars="200"/>
        <w:rPr>
          <w:bCs/>
          <w:sz w:val="24"/>
        </w:rPr>
      </w:pPr>
      <w:r>
        <w:rPr>
          <w:bCs/>
          <w:sz w:val="24"/>
        </w:rPr>
        <w:t>（一）猪粪和沼渣</w:t>
      </w:r>
    </w:p>
    <w:p>
      <w:pPr>
        <w:spacing w:line="520" w:lineRule="exact"/>
        <w:ind w:firstLine="480" w:firstLineChars="200"/>
        <w:rPr>
          <w:bCs/>
          <w:sz w:val="24"/>
        </w:rPr>
      </w:pPr>
      <w:r>
        <w:rPr>
          <w:bCs/>
          <w:sz w:val="24"/>
        </w:rPr>
        <w:t>（1）猪粪(S</w:t>
      </w:r>
      <w:r>
        <w:rPr>
          <w:bCs/>
          <w:sz w:val="24"/>
          <w:vertAlign w:val="subscript"/>
        </w:rPr>
        <w:t>1</w:t>
      </w:r>
      <w:r>
        <w:rPr>
          <w:bCs/>
          <w:sz w:val="24"/>
        </w:rPr>
        <w:t>)</w:t>
      </w:r>
    </w:p>
    <w:p>
      <w:pPr>
        <w:spacing w:line="520" w:lineRule="exact"/>
        <w:ind w:firstLine="480" w:firstLineChars="200"/>
        <w:rPr>
          <w:bCs/>
          <w:sz w:val="24"/>
        </w:rPr>
      </w:pPr>
      <w:r>
        <w:rPr>
          <w:bCs/>
          <w:sz w:val="24"/>
        </w:rPr>
        <w:t>根据</w:t>
      </w:r>
      <w:r>
        <w:rPr>
          <w:sz w:val="24"/>
        </w:rPr>
        <w:t>《规模畜禽养殖场污染防治最佳可行技术指南（试行）》（HJ-BAT-10）</w:t>
      </w:r>
      <w:r>
        <w:rPr>
          <w:bCs/>
          <w:sz w:val="24"/>
        </w:rPr>
        <w:t>，猪粪排泄量计算公式为：</w:t>
      </w:r>
    </w:p>
    <w:p>
      <w:pPr>
        <w:spacing w:line="520" w:lineRule="exact"/>
        <w:ind w:firstLine="480" w:firstLineChars="200"/>
        <w:jc w:val="center"/>
        <w:rPr>
          <w:bCs/>
          <w:sz w:val="24"/>
        </w:rPr>
      </w:pPr>
      <w:r>
        <w:rPr>
          <w:bCs/>
          <w:sz w:val="24"/>
        </w:rPr>
        <w:t>Yf=0.530F-0.049</w:t>
      </w:r>
    </w:p>
    <w:p>
      <w:pPr>
        <w:spacing w:line="520" w:lineRule="exact"/>
        <w:ind w:firstLine="480" w:firstLineChars="200"/>
        <w:rPr>
          <w:bCs/>
          <w:sz w:val="24"/>
        </w:rPr>
      </w:pPr>
      <w:r>
        <w:rPr>
          <w:bCs/>
          <w:sz w:val="24"/>
        </w:rPr>
        <w:t>式中：Y</w:t>
      </w:r>
      <w:r>
        <w:rPr>
          <w:bCs/>
          <w:sz w:val="24"/>
          <w:vertAlign w:val="subscript"/>
        </w:rPr>
        <w:t>f</w:t>
      </w:r>
      <w:r>
        <w:rPr>
          <w:bCs/>
          <w:sz w:val="24"/>
        </w:rPr>
        <w:t>——为猪粪排泄量（kg/头</w:t>
      </w:r>
      <w:r>
        <w:rPr>
          <w:sz w:val="24"/>
        </w:rPr>
        <w:t>·</w:t>
      </w:r>
      <w:r>
        <w:rPr>
          <w:bCs/>
          <w:sz w:val="24"/>
        </w:rPr>
        <w:t>d）；</w:t>
      </w:r>
    </w:p>
    <w:p>
      <w:pPr>
        <w:spacing w:line="520" w:lineRule="exact"/>
        <w:ind w:firstLine="1200" w:firstLineChars="500"/>
        <w:rPr>
          <w:bCs/>
          <w:sz w:val="24"/>
        </w:rPr>
      </w:pPr>
      <w:r>
        <w:rPr>
          <w:bCs/>
          <w:sz w:val="24"/>
        </w:rPr>
        <w:t>F——为饲料采食量（kg/头</w:t>
      </w:r>
      <w:r>
        <w:rPr>
          <w:sz w:val="24"/>
        </w:rPr>
        <w:t>·</w:t>
      </w:r>
      <w:r>
        <w:rPr>
          <w:bCs/>
          <w:sz w:val="24"/>
        </w:rPr>
        <w:t>d）。</w:t>
      </w:r>
    </w:p>
    <w:p>
      <w:pPr>
        <w:spacing w:line="520" w:lineRule="exact"/>
        <w:ind w:firstLine="480" w:firstLineChars="200"/>
        <w:rPr>
          <w:bCs/>
          <w:sz w:val="24"/>
        </w:rPr>
      </w:pPr>
      <w:r>
        <w:rPr>
          <w:bCs/>
          <w:sz w:val="24"/>
        </w:rPr>
        <w:t>通过计算，项目猪粪产生情况见表2.3-11。</w:t>
      </w:r>
    </w:p>
    <w:p>
      <w:pPr>
        <w:spacing w:after="72" w:afterLines="30" w:line="520" w:lineRule="exact"/>
        <w:jc w:val="center"/>
        <w:rPr>
          <w:b/>
          <w:sz w:val="24"/>
        </w:rPr>
      </w:pPr>
    </w:p>
    <w:p>
      <w:pPr>
        <w:spacing w:after="72" w:afterLines="30" w:line="520" w:lineRule="exact"/>
        <w:jc w:val="center"/>
        <w:rPr>
          <w:b/>
          <w:sz w:val="24"/>
        </w:rPr>
      </w:pPr>
    </w:p>
    <w:p>
      <w:pPr>
        <w:spacing w:after="72" w:afterLines="30" w:line="520" w:lineRule="exact"/>
        <w:jc w:val="center"/>
        <w:rPr>
          <w:b/>
          <w:sz w:val="24"/>
        </w:rPr>
      </w:pPr>
    </w:p>
    <w:p>
      <w:pPr>
        <w:spacing w:after="72" w:afterLines="30" w:line="520" w:lineRule="exact"/>
        <w:jc w:val="center"/>
        <w:rPr>
          <w:b/>
          <w:sz w:val="24"/>
        </w:rPr>
      </w:pPr>
    </w:p>
    <w:p>
      <w:pPr>
        <w:spacing w:after="72" w:afterLines="30" w:line="520" w:lineRule="exact"/>
        <w:jc w:val="center"/>
        <w:rPr>
          <w:b/>
          <w:sz w:val="24"/>
        </w:rPr>
      </w:pPr>
      <w:r>
        <w:rPr>
          <w:b/>
          <w:sz w:val="24"/>
        </w:rPr>
        <w:t>表2.3-11   猪粪产生情况一览表</w:t>
      </w:r>
    </w:p>
    <w:tbl>
      <w:tblPr>
        <w:tblStyle w:val="1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1099"/>
        <w:gridCol w:w="1083"/>
        <w:gridCol w:w="1505"/>
        <w:gridCol w:w="1134"/>
        <w:gridCol w:w="994"/>
        <w:gridCol w:w="851"/>
        <w:gridCol w:w="96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60" w:type="pct"/>
            <w:vMerge w:val="restart"/>
            <w:noWrap w:val="0"/>
            <w:tcMar>
              <w:left w:w="28" w:type="dxa"/>
              <w:right w:w="28" w:type="dxa"/>
            </w:tcMar>
            <w:vAlign w:val="center"/>
          </w:tcPr>
          <w:p>
            <w:pPr>
              <w:adjustRightInd w:val="0"/>
              <w:snapToGrid w:val="0"/>
              <w:jc w:val="center"/>
              <w:rPr>
                <w:b/>
                <w:szCs w:val="21"/>
              </w:rPr>
            </w:pPr>
            <w:r>
              <w:rPr>
                <w:b/>
                <w:szCs w:val="21"/>
              </w:rPr>
              <w:t>种类</w:t>
            </w:r>
          </w:p>
        </w:tc>
        <w:tc>
          <w:tcPr>
            <w:tcW w:w="625" w:type="pct"/>
            <w:vMerge w:val="restart"/>
            <w:noWrap w:val="0"/>
            <w:tcMar>
              <w:left w:w="28" w:type="dxa"/>
              <w:right w:w="28" w:type="dxa"/>
            </w:tcMar>
            <w:vAlign w:val="center"/>
          </w:tcPr>
          <w:p>
            <w:pPr>
              <w:adjustRightInd w:val="0"/>
              <w:snapToGrid w:val="0"/>
              <w:jc w:val="center"/>
              <w:rPr>
                <w:b/>
                <w:szCs w:val="21"/>
              </w:rPr>
            </w:pPr>
            <w:r>
              <w:rPr>
                <w:b/>
                <w:szCs w:val="21"/>
              </w:rPr>
              <w:t>存栏数（头）</w:t>
            </w:r>
          </w:p>
        </w:tc>
        <w:tc>
          <w:tcPr>
            <w:tcW w:w="616" w:type="pct"/>
            <w:vMerge w:val="restart"/>
            <w:noWrap w:val="0"/>
            <w:tcMar>
              <w:left w:w="28" w:type="dxa"/>
              <w:right w:w="28" w:type="dxa"/>
            </w:tcMar>
            <w:vAlign w:val="center"/>
          </w:tcPr>
          <w:p>
            <w:pPr>
              <w:adjustRightInd w:val="0"/>
              <w:snapToGrid w:val="0"/>
              <w:jc w:val="center"/>
              <w:rPr>
                <w:b/>
                <w:szCs w:val="21"/>
              </w:rPr>
            </w:pPr>
            <w:r>
              <w:rPr>
                <w:b/>
                <w:szCs w:val="21"/>
              </w:rPr>
              <w:t>饲料定额</w:t>
            </w:r>
          </w:p>
          <w:p>
            <w:pPr>
              <w:adjustRightInd w:val="0"/>
              <w:snapToGrid w:val="0"/>
              <w:jc w:val="center"/>
              <w:rPr>
                <w:b/>
                <w:szCs w:val="21"/>
              </w:rPr>
            </w:pPr>
            <w:r>
              <w:rPr>
                <w:b/>
                <w:szCs w:val="21"/>
              </w:rPr>
              <w:t>（kg/头.d）</w:t>
            </w:r>
          </w:p>
        </w:tc>
        <w:tc>
          <w:tcPr>
            <w:tcW w:w="856" w:type="pct"/>
            <w:vMerge w:val="restart"/>
            <w:noWrap w:val="0"/>
            <w:tcMar>
              <w:left w:w="28" w:type="dxa"/>
              <w:right w:w="28" w:type="dxa"/>
            </w:tcMar>
            <w:vAlign w:val="center"/>
          </w:tcPr>
          <w:p>
            <w:pPr>
              <w:adjustRightInd w:val="0"/>
              <w:snapToGrid w:val="0"/>
              <w:jc w:val="center"/>
              <w:rPr>
                <w:b/>
                <w:szCs w:val="21"/>
              </w:rPr>
            </w:pPr>
            <w:r>
              <w:rPr>
                <w:b/>
                <w:szCs w:val="21"/>
              </w:rPr>
              <w:t>单头猪粪便产生量（kg/头.d）</w:t>
            </w:r>
          </w:p>
        </w:tc>
        <w:tc>
          <w:tcPr>
            <w:tcW w:w="1210" w:type="pct"/>
            <w:gridSpan w:val="2"/>
            <w:noWrap w:val="0"/>
            <w:tcMar>
              <w:left w:w="28" w:type="dxa"/>
              <w:right w:w="28" w:type="dxa"/>
            </w:tcMar>
            <w:vAlign w:val="center"/>
          </w:tcPr>
          <w:p>
            <w:pPr>
              <w:adjustRightInd w:val="0"/>
              <w:snapToGrid w:val="0"/>
              <w:jc w:val="center"/>
              <w:rPr>
                <w:b/>
                <w:szCs w:val="21"/>
              </w:rPr>
            </w:pPr>
            <w:r>
              <w:rPr>
                <w:b/>
                <w:szCs w:val="21"/>
              </w:rPr>
              <w:t>饲料用量</w:t>
            </w:r>
          </w:p>
        </w:tc>
        <w:tc>
          <w:tcPr>
            <w:tcW w:w="1030" w:type="pct"/>
            <w:gridSpan w:val="2"/>
            <w:noWrap w:val="0"/>
            <w:tcMar>
              <w:left w:w="28" w:type="dxa"/>
              <w:right w:w="28" w:type="dxa"/>
            </w:tcMar>
            <w:vAlign w:val="center"/>
          </w:tcPr>
          <w:p>
            <w:pPr>
              <w:adjustRightInd w:val="0"/>
              <w:snapToGrid w:val="0"/>
              <w:jc w:val="center"/>
              <w:rPr>
                <w:b/>
                <w:szCs w:val="21"/>
              </w:rPr>
            </w:pPr>
            <w:r>
              <w:rPr>
                <w:b/>
                <w:szCs w:val="21"/>
              </w:rPr>
              <w:t>猪粪便产生量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60" w:type="pct"/>
            <w:vMerge w:val="continue"/>
            <w:noWrap w:val="0"/>
            <w:tcMar>
              <w:left w:w="28" w:type="dxa"/>
              <w:right w:w="28" w:type="dxa"/>
            </w:tcMar>
            <w:vAlign w:val="center"/>
          </w:tcPr>
          <w:p>
            <w:pPr>
              <w:adjustRightInd w:val="0"/>
              <w:snapToGrid w:val="0"/>
              <w:jc w:val="center"/>
              <w:rPr>
                <w:b/>
                <w:szCs w:val="21"/>
              </w:rPr>
            </w:pPr>
          </w:p>
        </w:tc>
        <w:tc>
          <w:tcPr>
            <w:tcW w:w="625" w:type="pct"/>
            <w:vMerge w:val="continue"/>
            <w:noWrap w:val="0"/>
            <w:tcMar>
              <w:left w:w="28" w:type="dxa"/>
              <w:right w:w="28" w:type="dxa"/>
            </w:tcMar>
            <w:vAlign w:val="center"/>
          </w:tcPr>
          <w:p>
            <w:pPr>
              <w:adjustRightInd w:val="0"/>
              <w:snapToGrid w:val="0"/>
              <w:jc w:val="center"/>
              <w:rPr>
                <w:b/>
                <w:szCs w:val="21"/>
              </w:rPr>
            </w:pPr>
          </w:p>
        </w:tc>
        <w:tc>
          <w:tcPr>
            <w:tcW w:w="616" w:type="pct"/>
            <w:vMerge w:val="continue"/>
            <w:noWrap w:val="0"/>
            <w:tcMar>
              <w:left w:w="28" w:type="dxa"/>
              <w:right w:w="28" w:type="dxa"/>
            </w:tcMar>
            <w:vAlign w:val="center"/>
          </w:tcPr>
          <w:p>
            <w:pPr>
              <w:adjustRightInd w:val="0"/>
              <w:snapToGrid w:val="0"/>
              <w:jc w:val="center"/>
              <w:rPr>
                <w:b/>
                <w:szCs w:val="21"/>
              </w:rPr>
            </w:pPr>
          </w:p>
        </w:tc>
        <w:tc>
          <w:tcPr>
            <w:tcW w:w="856" w:type="pct"/>
            <w:vMerge w:val="continue"/>
            <w:noWrap w:val="0"/>
            <w:tcMar>
              <w:left w:w="28" w:type="dxa"/>
              <w:right w:w="28" w:type="dxa"/>
            </w:tcMar>
            <w:vAlign w:val="center"/>
          </w:tcPr>
          <w:p>
            <w:pPr>
              <w:adjustRightInd w:val="0"/>
              <w:snapToGrid w:val="0"/>
              <w:jc w:val="center"/>
              <w:rPr>
                <w:b/>
                <w:szCs w:val="21"/>
              </w:rPr>
            </w:pPr>
          </w:p>
        </w:tc>
        <w:tc>
          <w:tcPr>
            <w:tcW w:w="645" w:type="pct"/>
            <w:noWrap w:val="0"/>
            <w:tcMar>
              <w:left w:w="28" w:type="dxa"/>
              <w:right w:w="28" w:type="dxa"/>
            </w:tcMar>
            <w:vAlign w:val="center"/>
          </w:tcPr>
          <w:p>
            <w:pPr>
              <w:adjustRightInd w:val="0"/>
              <w:snapToGrid w:val="0"/>
              <w:jc w:val="center"/>
              <w:rPr>
                <w:b/>
                <w:szCs w:val="21"/>
              </w:rPr>
            </w:pPr>
            <w:r>
              <w:rPr>
                <w:b/>
                <w:szCs w:val="21"/>
              </w:rPr>
              <w:t>（</w:t>
            </w:r>
            <w:r>
              <w:rPr>
                <w:rFonts w:hint="eastAsia"/>
                <w:b/>
                <w:szCs w:val="21"/>
              </w:rPr>
              <w:t>t</w:t>
            </w:r>
            <w:r>
              <w:rPr>
                <w:b/>
                <w:szCs w:val="21"/>
              </w:rPr>
              <w:t>/d）</w:t>
            </w:r>
          </w:p>
        </w:tc>
        <w:tc>
          <w:tcPr>
            <w:tcW w:w="565" w:type="pct"/>
            <w:noWrap w:val="0"/>
            <w:tcMar>
              <w:left w:w="28" w:type="dxa"/>
              <w:right w:w="28" w:type="dxa"/>
            </w:tcMar>
            <w:vAlign w:val="center"/>
          </w:tcPr>
          <w:p>
            <w:pPr>
              <w:adjustRightInd w:val="0"/>
              <w:snapToGrid w:val="0"/>
              <w:jc w:val="center"/>
              <w:rPr>
                <w:b/>
                <w:szCs w:val="21"/>
              </w:rPr>
            </w:pPr>
            <w:r>
              <w:rPr>
                <w:b/>
                <w:szCs w:val="21"/>
              </w:rPr>
              <w:t>（t/a）</w:t>
            </w:r>
          </w:p>
        </w:tc>
        <w:tc>
          <w:tcPr>
            <w:tcW w:w="484" w:type="pct"/>
            <w:noWrap w:val="0"/>
            <w:tcMar>
              <w:left w:w="28" w:type="dxa"/>
              <w:right w:w="28" w:type="dxa"/>
            </w:tcMar>
            <w:vAlign w:val="center"/>
          </w:tcPr>
          <w:p>
            <w:pPr>
              <w:adjustRightInd w:val="0"/>
              <w:snapToGrid w:val="0"/>
              <w:jc w:val="center"/>
              <w:rPr>
                <w:b/>
                <w:szCs w:val="21"/>
              </w:rPr>
            </w:pPr>
            <w:r>
              <w:rPr>
                <w:b/>
                <w:szCs w:val="21"/>
              </w:rPr>
              <w:t>（</w:t>
            </w:r>
            <w:r>
              <w:rPr>
                <w:rFonts w:hint="eastAsia"/>
                <w:b/>
                <w:szCs w:val="21"/>
              </w:rPr>
              <w:t>t</w:t>
            </w:r>
            <w:r>
              <w:rPr>
                <w:b/>
                <w:szCs w:val="21"/>
              </w:rPr>
              <w:t>/d）</w:t>
            </w:r>
          </w:p>
        </w:tc>
        <w:tc>
          <w:tcPr>
            <w:tcW w:w="546" w:type="pct"/>
            <w:noWrap w:val="0"/>
            <w:tcMar>
              <w:left w:w="28" w:type="dxa"/>
              <w:right w:w="28" w:type="dxa"/>
            </w:tcMar>
            <w:vAlign w:val="center"/>
          </w:tcPr>
          <w:p>
            <w:pPr>
              <w:adjustRightInd w:val="0"/>
              <w:snapToGrid w:val="0"/>
              <w:jc w:val="center"/>
              <w:rPr>
                <w:b/>
                <w:szCs w:val="21"/>
              </w:rPr>
            </w:pPr>
            <w:r>
              <w:rPr>
                <w:b/>
                <w:szCs w:val="21"/>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660" w:type="pct"/>
            <w:noWrap w:val="0"/>
            <w:tcMar>
              <w:left w:w="28" w:type="dxa"/>
              <w:right w:w="28" w:type="dxa"/>
            </w:tcMar>
            <w:vAlign w:val="center"/>
          </w:tcPr>
          <w:p>
            <w:pPr>
              <w:jc w:val="center"/>
              <w:rPr>
                <w:szCs w:val="21"/>
              </w:rPr>
            </w:pPr>
            <w:r>
              <w:rPr>
                <w:rFonts w:hAnsi="宋体"/>
                <w:szCs w:val="21"/>
              </w:rPr>
              <w:t>育肥猪</w:t>
            </w:r>
          </w:p>
        </w:tc>
        <w:tc>
          <w:tcPr>
            <w:tcW w:w="625" w:type="pct"/>
            <w:noWrap w:val="0"/>
            <w:tcMar>
              <w:left w:w="28" w:type="dxa"/>
              <w:right w:w="28" w:type="dxa"/>
            </w:tcMar>
            <w:vAlign w:val="center"/>
          </w:tcPr>
          <w:p>
            <w:pPr>
              <w:jc w:val="center"/>
              <w:rPr>
                <w:szCs w:val="21"/>
              </w:rPr>
            </w:pPr>
            <w:r>
              <w:rPr>
                <w:rFonts w:hint="eastAsia"/>
                <w:szCs w:val="21"/>
                <w:lang w:val="en-US" w:eastAsia="zh-CN"/>
              </w:rPr>
              <w:t>4</w:t>
            </w:r>
            <w:r>
              <w:rPr>
                <w:rFonts w:hint="eastAsia"/>
                <w:szCs w:val="21"/>
              </w:rPr>
              <w:t>200</w:t>
            </w:r>
          </w:p>
        </w:tc>
        <w:tc>
          <w:tcPr>
            <w:tcW w:w="616" w:type="pct"/>
            <w:noWrap w:val="0"/>
            <w:tcMar>
              <w:left w:w="28" w:type="dxa"/>
              <w:right w:w="28" w:type="dxa"/>
            </w:tcMar>
            <w:vAlign w:val="center"/>
          </w:tcPr>
          <w:p>
            <w:pPr>
              <w:jc w:val="center"/>
              <w:rPr>
                <w:szCs w:val="21"/>
              </w:rPr>
            </w:pPr>
            <w:r>
              <w:rPr>
                <w:rFonts w:hint="eastAsia"/>
                <w:szCs w:val="21"/>
              </w:rPr>
              <w:t>2.0</w:t>
            </w:r>
          </w:p>
        </w:tc>
        <w:tc>
          <w:tcPr>
            <w:tcW w:w="856" w:type="pct"/>
            <w:noWrap w:val="0"/>
            <w:tcMar>
              <w:left w:w="28" w:type="dxa"/>
              <w:right w:w="28" w:type="dxa"/>
            </w:tcMar>
            <w:vAlign w:val="center"/>
          </w:tcPr>
          <w:p>
            <w:pPr>
              <w:jc w:val="center"/>
              <w:rPr>
                <w:szCs w:val="21"/>
              </w:rPr>
            </w:pPr>
            <w:r>
              <w:rPr>
                <w:rFonts w:hint="eastAsia"/>
                <w:szCs w:val="21"/>
              </w:rPr>
              <w:t>1.011</w:t>
            </w:r>
          </w:p>
        </w:tc>
        <w:tc>
          <w:tcPr>
            <w:tcW w:w="645" w:type="pct"/>
            <w:noWrap w:val="0"/>
            <w:tcMar>
              <w:left w:w="28" w:type="dxa"/>
              <w:right w:w="28" w:type="dxa"/>
            </w:tcMar>
            <w:vAlign w:val="center"/>
          </w:tcPr>
          <w:p>
            <w:pPr>
              <w:widowControl/>
              <w:jc w:val="center"/>
              <w:textAlignment w:val="center"/>
              <w:rPr>
                <w:rFonts w:hint="default" w:eastAsia="宋体"/>
                <w:szCs w:val="21"/>
                <w:lang w:val="en-US" w:eastAsia="zh-CN"/>
              </w:rPr>
            </w:pPr>
            <w:r>
              <w:rPr>
                <w:rFonts w:hint="eastAsia"/>
                <w:szCs w:val="21"/>
                <w:lang w:val="en-US" w:eastAsia="zh-CN"/>
              </w:rPr>
              <w:t>8.4</w:t>
            </w:r>
          </w:p>
        </w:tc>
        <w:tc>
          <w:tcPr>
            <w:tcW w:w="565" w:type="pct"/>
            <w:noWrap w:val="0"/>
            <w:tcMar>
              <w:left w:w="28" w:type="dxa"/>
              <w:right w:w="28" w:type="dxa"/>
            </w:tcMar>
            <w:vAlign w:val="center"/>
          </w:tcPr>
          <w:p>
            <w:pPr>
              <w:widowControl/>
              <w:jc w:val="center"/>
              <w:textAlignment w:val="center"/>
              <w:rPr>
                <w:rFonts w:hint="eastAsia" w:eastAsia="宋体"/>
                <w:szCs w:val="21"/>
                <w:lang w:eastAsia="zh-CN"/>
              </w:rPr>
            </w:pPr>
            <w:r>
              <w:rPr>
                <w:rFonts w:hint="eastAsia"/>
                <w:szCs w:val="21"/>
                <w:lang w:eastAsia="zh-CN"/>
              </w:rPr>
              <w:t>3066</w:t>
            </w:r>
          </w:p>
        </w:tc>
        <w:tc>
          <w:tcPr>
            <w:tcW w:w="484" w:type="pct"/>
            <w:noWrap w:val="0"/>
            <w:tcMar>
              <w:left w:w="28" w:type="dxa"/>
              <w:right w:w="28" w:type="dxa"/>
            </w:tcMar>
            <w:vAlign w:val="center"/>
          </w:tcPr>
          <w:p>
            <w:pPr>
              <w:widowControl/>
              <w:jc w:val="center"/>
              <w:textAlignment w:val="center"/>
              <w:rPr>
                <w:rFonts w:hint="eastAsia" w:eastAsia="宋体"/>
                <w:szCs w:val="21"/>
                <w:lang w:eastAsia="zh-CN"/>
              </w:rPr>
            </w:pPr>
            <w:r>
              <w:rPr>
                <w:rFonts w:hint="eastAsia"/>
                <w:szCs w:val="21"/>
                <w:lang w:eastAsia="zh-CN"/>
              </w:rPr>
              <w:t>4.2462</w:t>
            </w:r>
          </w:p>
        </w:tc>
        <w:tc>
          <w:tcPr>
            <w:tcW w:w="546" w:type="pct"/>
            <w:noWrap w:val="0"/>
            <w:tcMar>
              <w:left w:w="28" w:type="dxa"/>
              <w:right w:w="28" w:type="dxa"/>
            </w:tcMar>
            <w:vAlign w:val="center"/>
          </w:tcPr>
          <w:p>
            <w:pPr>
              <w:widowControl/>
              <w:jc w:val="center"/>
              <w:textAlignment w:val="center"/>
              <w:rPr>
                <w:rFonts w:hint="eastAsia" w:eastAsia="宋体"/>
                <w:szCs w:val="21"/>
                <w:lang w:eastAsia="zh-CN"/>
              </w:rPr>
            </w:pPr>
            <w:r>
              <w:rPr>
                <w:rFonts w:hint="eastAsia"/>
                <w:szCs w:val="21"/>
                <w:lang w:eastAsia="zh-CN"/>
              </w:rPr>
              <w:t>1549.863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285" w:type="pct"/>
            <w:gridSpan w:val="2"/>
            <w:noWrap w:val="0"/>
            <w:tcMar>
              <w:left w:w="28" w:type="dxa"/>
              <w:right w:w="28" w:type="dxa"/>
            </w:tcMar>
            <w:vAlign w:val="center"/>
          </w:tcPr>
          <w:p>
            <w:pPr>
              <w:jc w:val="center"/>
              <w:rPr>
                <w:szCs w:val="21"/>
              </w:rPr>
            </w:pPr>
            <w:r>
              <w:rPr>
                <w:szCs w:val="21"/>
              </w:rPr>
              <w:t>合计</w:t>
            </w:r>
          </w:p>
        </w:tc>
        <w:tc>
          <w:tcPr>
            <w:tcW w:w="616" w:type="pct"/>
            <w:noWrap w:val="0"/>
            <w:tcMar>
              <w:left w:w="28" w:type="dxa"/>
              <w:right w:w="28" w:type="dxa"/>
            </w:tcMar>
            <w:vAlign w:val="center"/>
          </w:tcPr>
          <w:p>
            <w:pPr>
              <w:adjustRightInd w:val="0"/>
              <w:snapToGrid w:val="0"/>
              <w:jc w:val="center"/>
              <w:rPr>
                <w:szCs w:val="21"/>
              </w:rPr>
            </w:pPr>
            <w:r>
              <w:rPr>
                <w:szCs w:val="21"/>
              </w:rPr>
              <w:t>/</w:t>
            </w:r>
          </w:p>
        </w:tc>
        <w:tc>
          <w:tcPr>
            <w:tcW w:w="856" w:type="pct"/>
            <w:noWrap w:val="0"/>
            <w:tcMar>
              <w:left w:w="28" w:type="dxa"/>
              <w:right w:w="28" w:type="dxa"/>
            </w:tcMar>
            <w:vAlign w:val="center"/>
          </w:tcPr>
          <w:p>
            <w:pPr>
              <w:adjustRightInd w:val="0"/>
              <w:snapToGrid w:val="0"/>
              <w:jc w:val="center"/>
              <w:rPr>
                <w:szCs w:val="21"/>
              </w:rPr>
            </w:pPr>
            <w:r>
              <w:rPr>
                <w:szCs w:val="21"/>
              </w:rPr>
              <w:t>/</w:t>
            </w:r>
          </w:p>
        </w:tc>
        <w:tc>
          <w:tcPr>
            <w:tcW w:w="1134" w:type="dxa"/>
            <w:noWrap w:val="0"/>
            <w:tcMar>
              <w:left w:w="28" w:type="dxa"/>
              <w:right w:w="28" w:type="dxa"/>
            </w:tcMar>
            <w:vAlign w:val="center"/>
          </w:tcPr>
          <w:p>
            <w:pPr>
              <w:widowControl/>
              <w:jc w:val="center"/>
              <w:textAlignment w:val="center"/>
              <w:rPr>
                <w:szCs w:val="21"/>
              </w:rPr>
            </w:pPr>
            <w:r>
              <w:rPr>
                <w:rFonts w:hint="eastAsia"/>
                <w:szCs w:val="21"/>
              </w:rPr>
              <w:t>10.4</w:t>
            </w:r>
          </w:p>
        </w:tc>
        <w:tc>
          <w:tcPr>
            <w:tcW w:w="994" w:type="dxa"/>
            <w:noWrap w:val="0"/>
            <w:tcMar>
              <w:left w:w="28" w:type="dxa"/>
              <w:right w:w="28" w:type="dxa"/>
            </w:tcMar>
            <w:vAlign w:val="center"/>
          </w:tcPr>
          <w:p>
            <w:pPr>
              <w:widowControl/>
              <w:jc w:val="center"/>
              <w:textAlignment w:val="center"/>
              <w:rPr>
                <w:rFonts w:hint="eastAsia" w:eastAsia="宋体"/>
                <w:kern w:val="0"/>
                <w:szCs w:val="21"/>
                <w:lang w:eastAsia="zh-CN"/>
              </w:rPr>
            </w:pPr>
            <w:r>
              <w:rPr>
                <w:rFonts w:hint="eastAsia"/>
                <w:szCs w:val="21"/>
                <w:lang w:eastAsia="zh-CN"/>
              </w:rPr>
              <w:t>3066</w:t>
            </w:r>
          </w:p>
        </w:tc>
        <w:tc>
          <w:tcPr>
            <w:tcW w:w="851" w:type="dxa"/>
            <w:noWrap w:val="0"/>
            <w:tcMar>
              <w:left w:w="28" w:type="dxa"/>
              <w:right w:w="28" w:type="dxa"/>
            </w:tcMar>
            <w:vAlign w:val="center"/>
          </w:tcPr>
          <w:p>
            <w:pPr>
              <w:widowControl/>
              <w:jc w:val="center"/>
              <w:textAlignment w:val="center"/>
              <w:rPr>
                <w:rFonts w:hint="eastAsia" w:eastAsia="宋体"/>
                <w:szCs w:val="21"/>
                <w:lang w:eastAsia="zh-CN"/>
              </w:rPr>
            </w:pPr>
            <w:r>
              <w:rPr>
                <w:rFonts w:hint="eastAsia"/>
                <w:szCs w:val="21"/>
                <w:lang w:eastAsia="zh-CN"/>
              </w:rPr>
              <w:t>4.2462</w:t>
            </w:r>
          </w:p>
        </w:tc>
        <w:tc>
          <w:tcPr>
            <w:tcW w:w="961" w:type="dxa"/>
            <w:noWrap w:val="0"/>
            <w:tcMar>
              <w:left w:w="28" w:type="dxa"/>
              <w:right w:w="28" w:type="dxa"/>
            </w:tcMar>
            <w:vAlign w:val="center"/>
          </w:tcPr>
          <w:p>
            <w:pPr>
              <w:widowControl/>
              <w:jc w:val="center"/>
              <w:textAlignment w:val="center"/>
              <w:rPr>
                <w:rFonts w:hint="eastAsia" w:eastAsia="宋体"/>
                <w:szCs w:val="21"/>
                <w:lang w:eastAsia="zh-CN"/>
              </w:rPr>
            </w:pPr>
            <w:r>
              <w:rPr>
                <w:rFonts w:hint="eastAsia"/>
                <w:szCs w:val="21"/>
                <w:lang w:eastAsia="zh-CN"/>
              </w:rPr>
              <w:t>1549.863</w:t>
            </w:r>
          </w:p>
        </w:tc>
      </w:tr>
    </w:tbl>
    <w:p>
      <w:pPr>
        <w:spacing w:line="520" w:lineRule="exact"/>
        <w:ind w:firstLine="480" w:firstLineChars="200"/>
        <w:rPr>
          <w:rFonts w:hint="eastAsia"/>
          <w:bCs/>
          <w:color w:val="auto"/>
          <w:sz w:val="24"/>
        </w:rPr>
      </w:pPr>
      <w:r>
        <w:rPr>
          <w:rFonts w:hint="eastAsia"/>
          <w:bCs/>
          <w:sz w:val="24"/>
        </w:rPr>
        <w:t>猪只</w:t>
      </w:r>
      <w:r>
        <w:rPr>
          <w:bCs/>
          <w:sz w:val="24"/>
        </w:rPr>
        <w:t>刚排出的</w:t>
      </w:r>
      <w:r>
        <w:rPr>
          <w:rFonts w:hint="eastAsia"/>
          <w:bCs/>
          <w:sz w:val="24"/>
        </w:rPr>
        <w:t>新鲜猪粪</w:t>
      </w:r>
      <w:r>
        <w:rPr>
          <w:bCs/>
          <w:sz w:val="24"/>
        </w:rPr>
        <w:t>含水率为</w:t>
      </w:r>
      <w:r>
        <w:rPr>
          <w:rFonts w:hint="eastAsia"/>
          <w:bCs/>
          <w:sz w:val="24"/>
        </w:rPr>
        <w:t>80</w:t>
      </w:r>
      <w:r>
        <w:rPr>
          <w:bCs/>
          <w:sz w:val="24"/>
        </w:rPr>
        <w:t>%，</w:t>
      </w:r>
      <w:r>
        <w:rPr>
          <w:rFonts w:hint="eastAsia"/>
          <w:sz w:val="24"/>
        </w:rPr>
        <w:t>猪粪干重为</w:t>
      </w:r>
      <w:r>
        <w:rPr>
          <w:rFonts w:hint="eastAsia"/>
          <w:sz w:val="24"/>
          <w:lang w:eastAsia="zh-CN"/>
        </w:rPr>
        <w:t>309.9726</w:t>
      </w:r>
      <w:r>
        <w:rPr>
          <w:rFonts w:hint="eastAsia"/>
          <w:sz w:val="24"/>
        </w:rPr>
        <w:t>t/a。</w:t>
      </w:r>
      <w:r>
        <w:rPr>
          <w:rFonts w:hint="eastAsia"/>
          <w:bCs/>
          <w:sz w:val="24"/>
        </w:rPr>
        <w:t>项目采用干清粪工艺，经固液分离机分离出猪粪，分离率为50%，被分离出来的猪粪量为干重为</w:t>
      </w:r>
      <w:r>
        <w:rPr>
          <w:rFonts w:hint="eastAsia"/>
          <w:bCs/>
          <w:sz w:val="24"/>
          <w:lang w:eastAsia="zh-CN"/>
        </w:rPr>
        <w:t>154.9863</w:t>
      </w:r>
      <w:r>
        <w:rPr>
          <w:rFonts w:hint="eastAsia"/>
          <w:bCs/>
          <w:sz w:val="24"/>
        </w:rPr>
        <w:t>t/a，分</w:t>
      </w:r>
      <w:r>
        <w:rPr>
          <w:rFonts w:hint="eastAsia"/>
          <w:bCs/>
          <w:color w:val="auto"/>
          <w:sz w:val="24"/>
        </w:rPr>
        <w:t>离后</w:t>
      </w:r>
      <w:r>
        <w:rPr>
          <w:bCs/>
          <w:color w:val="auto"/>
          <w:sz w:val="24"/>
        </w:rPr>
        <w:t>含水量</w:t>
      </w:r>
      <w:r>
        <w:rPr>
          <w:rFonts w:hint="eastAsia"/>
          <w:bCs/>
          <w:color w:val="auto"/>
          <w:sz w:val="24"/>
        </w:rPr>
        <w:t>为</w:t>
      </w:r>
      <w:r>
        <w:rPr>
          <w:bCs/>
          <w:color w:val="auto"/>
          <w:sz w:val="24"/>
        </w:rPr>
        <w:t>55%</w:t>
      </w:r>
      <w:r>
        <w:rPr>
          <w:rFonts w:hint="eastAsia"/>
          <w:bCs/>
          <w:color w:val="auto"/>
          <w:sz w:val="24"/>
        </w:rPr>
        <w:t>的</w:t>
      </w:r>
      <w:r>
        <w:rPr>
          <w:bCs/>
          <w:color w:val="auto"/>
          <w:sz w:val="24"/>
        </w:rPr>
        <w:t>猪粪</w:t>
      </w:r>
      <w:r>
        <w:rPr>
          <w:rFonts w:hint="eastAsia"/>
          <w:bCs/>
          <w:color w:val="auto"/>
          <w:sz w:val="24"/>
          <w:lang w:eastAsia="zh-CN"/>
        </w:rPr>
        <w:t>344.414</w:t>
      </w:r>
      <w:r>
        <w:rPr>
          <w:rFonts w:hint="eastAsia"/>
          <w:bCs/>
          <w:color w:val="auto"/>
          <w:sz w:val="24"/>
        </w:rPr>
        <w:t>t/a，进入堆肥</w:t>
      </w:r>
      <w:r>
        <w:rPr>
          <w:bCs/>
          <w:color w:val="auto"/>
          <w:sz w:val="24"/>
        </w:rPr>
        <w:t>发酵棚发酵生产有机肥</w:t>
      </w:r>
      <w:r>
        <w:rPr>
          <w:rFonts w:hint="eastAsia"/>
          <w:bCs/>
          <w:color w:val="auto"/>
          <w:sz w:val="24"/>
        </w:rPr>
        <w:t>基料</w:t>
      </w:r>
      <w:r>
        <w:rPr>
          <w:bCs/>
          <w:color w:val="auto"/>
          <w:sz w:val="24"/>
        </w:rPr>
        <w:t>，</w:t>
      </w:r>
      <w:r>
        <w:rPr>
          <w:rFonts w:hint="eastAsia"/>
          <w:bCs/>
          <w:color w:val="auto"/>
          <w:sz w:val="24"/>
        </w:rPr>
        <w:t>剩余</w:t>
      </w:r>
      <w:r>
        <w:rPr>
          <w:bCs/>
          <w:color w:val="auto"/>
          <w:sz w:val="24"/>
        </w:rPr>
        <w:t>溶解在废水里的猪粪</w:t>
      </w:r>
      <w:r>
        <w:rPr>
          <w:rFonts w:hint="eastAsia"/>
          <w:bCs/>
          <w:color w:val="auto"/>
          <w:sz w:val="24"/>
        </w:rPr>
        <w:t>（干重</w:t>
      </w:r>
      <w:r>
        <w:rPr>
          <w:rFonts w:hint="eastAsia"/>
          <w:bCs/>
          <w:color w:val="auto"/>
          <w:sz w:val="24"/>
          <w:lang w:eastAsia="zh-CN"/>
        </w:rPr>
        <w:t>154.9863</w:t>
      </w:r>
      <w:r>
        <w:rPr>
          <w:rFonts w:hint="eastAsia"/>
          <w:bCs/>
          <w:color w:val="auto"/>
          <w:sz w:val="24"/>
        </w:rPr>
        <w:t>t/a）连同</w:t>
      </w:r>
      <w:r>
        <w:rPr>
          <w:bCs/>
          <w:color w:val="auto"/>
          <w:sz w:val="24"/>
        </w:rPr>
        <w:t>污水一起进入</w:t>
      </w:r>
      <w:r>
        <w:rPr>
          <w:rFonts w:hint="eastAsia"/>
          <w:bCs/>
          <w:color w:val="auto"/>
          <w:sz w:val="24"/>
        </w:rPr>
        <w:t>黑膜</w:t>
      </w:r>
      <w:r>
        <w:rPr>
          <w:bCs/>
          <w:color w:val="auto"/>
          <w:sz w:val="24"/>
        </w:rPr>
        <w:t>沼气池</w:t>
      </w:r>
      <w:r>
        <w:rPr>
          <w:rFonts w:hint="eastAsia"/>
          <w:bCs/>
          <w:color w:val="auto"/>
          <w:sz w:val="24"/>
        </w:rPr>
        <w:t>进行处理。</w:t>
      </w:r>
    </w:p>
    <w:p>
      <w:pPr>
        <w:spacing w:line="520" w:lineRule="exact"/>
        <w:ind w:firstLine="480" w:firstLineChars="200"/>
        <w:rPr>
          <w:rFonts w:hint="eastAsia"/>
          <w:color w:val="auto"/>
          <w:sz w:val="24"/>
          <w:highlight w:val="none"/>
        </w:rPr>
      </w:pPr>
      <w:r>
        <w:rPr>
          <w:rFonts w:hint="eastAsia"/>
          <w:color w:val="auto"/>
          <w:sz w:val="24"/>
          <w:highlight w:val="none"/>
        </w:rPr>
        <w:t>固液分离后</w:t>
      </w:r>
      <w:r>
        <w:rPr>
          <w:color w:val="auto"/>
          <w:sz w:val="24"/>
          <w:highlight w:val="none"/>
        </w:rPr>
        <w:t>的猪粪</w:t>
      </w:r>
      <w:r>
        <w:rPr>
          <w:rFonts w:hint="eastAsia"/>
          <w:color w:val="auto"/>
          <w:sz w:val="24"/>
          <w:highlight w:val="none"/>
        </w:rPr>
        <w:t>通过</w:t>
      </w:r>
      <w:r>
        <w:rPr>
          <w:color w:val="auto"/>
          <w:sz w:val="24"/>
          <w:highlight w:val="none"/>
        </w:rPr>
        <w:t>接种有机肥</w:t>
      </w:r>
      <w:r>
        <w:rPr>
          <w:rFonts w:hint="eastAsia"/>
          <w:color w:val="auto"/>
          <w:sz w:val="24"/>
          <w:highlight w:val="none"/>
        </w:rPr>
        <w:t>基料</w:t>
      </w:r>
      <w:r>
        <w:rPr>
          <w:color w:val="auto"/>
          <w:sz w:val="24"/>
          <w:highlight w:val="none"/>
        </w:rPr>
        <w:t>半成品通过发酵生成有机肥</w:t>
      </w:r>
      <w:r>
        <w:rPr>
          <w:rFonts w:hint="eastAsia"/>
          <w:color w:val="auto"/>
          <w:sz w:val="24"/>
          <w:highlight w:val="none"/>
        </w:rPr>
        <w:t>基料</w:t>
      </w:r>
      <w:r>
        <w:rPr>
          <w:color w:val="auto"/>
          <w:sz w:val="24"/>
          <w:highlight w:val="none"/>
        </w:rPr>
        <w:t>。有机肥产生量按原料总量的30%计，</w:t>
      </w:r>
      <w:r>
        <w:rPr>
          <w:rFonts w:hint="eastAsia"/>
          <w:color w:val="auto"/>
          <w:sz w:val="24"/>
          <w:highlight w:val="none"/>
        </w:rPr>
        <w:t>项目发酵后的固体有机肥基料，经过腐熟度检测、质量检测、安全检测后在通过自然风干、晾晒等方法把含水量降至30%以下定期外售，</w:t>
      </w:r>
      <w:r>
        <w:rPr>
          <w:color w:val="auto"/>
          <w:sz w:val="24"/>
          <w:highlight w:val="none"/>
        </w:rPr>
        <w:t>有机肥</w:t>
      </w:r>
      <w:r>
        <w:rPr>
          <w:rFonts w:hint="eastAsia"/>
          <w:color w:val="auto"/>
          <w:sz w:val="24"/>
          <w:highlight w:val="none"/>
        </w:rPr>
        <w:t>基料</w:t>
      </w:r>
      <w:r>
        <w:rPr>
          <w:color w:val="auto"/>
          <w:sz w:val="24"/>
          <w:highlight w:val="none"/>
        </w:rPr>
        <w:t>产</w:t>
      </w:r>
      <w:r>
        <w:rPr>
          <w:rFonts w:hint="eastAsia"/>
          <w:color w:val="auto"/>
          <w:sz w:val="24"/>
          <w:highlight w:val="none"/>
        </w:rPr>
        <w:t>生</w:t>
      </w:r>
      <w:r>
        <w:rPr>
          <w:color w:val="auto"/>
          <w:sz w:val="24"/>
          <w:highlight w:val="none"/>
        </w:rPr>
        <w:t>量为</w:t>
      </w:r>
      <w:r>
        <w:rPr>
          <w:rFonts w:hint="eastAsia"/>
          <w:color w:val="auto"/>
          <w:sz w:val="24"/>
          <w:highlight w:val="none"/>
          <w:lang w:eastAsia="zh-CN"/>
        </w:rPr>
        <w:t>102.2907</w:t>
      </w:r>
      <w:r>
        <w:rPr>
          <w:rFonts w:hint="eastAsia"/>
          <w:color w:val="auto"/>
          <w:sz w:val="24"/>
          <w:highlight w:val="none"/>
        </w:rPr>
        <w:t>t/a。</w:t>
      </w:r>
    </w:p>
    <w:p>
      <w:pPr>
        <w:spacing w:line="520" w:lineRule="exact"/>
        <w:ind w:firstLine="480" w:firstLineChars="200"/>
        <w:rPr>
          <w:bCs/>
          <w:sz w:val="24"/>
        </w:rPr>
      </w:pPr>
      <w:r>
        <w:rPr>
          <w:bCs/>
          <w:sz w:val="24"/>
        </w:rPr>
        <w:t>（2）沼渣</w:t>
      </w:r>
    </w:p>
    <w:p>
      <w:pPr>
        <w:spacing w:line="520" w:lineRule="exact"/>
        <w:ind w:firstLine="480" w:firstLineChars="200"/>
        <w:rPr>
          <w:rFonts w:hint="eastAsia"/>
          <w:sz w:val="24"/>
        </w:rPr>
      </w:pPr>
      <w:r>
        <w:rPr>
          <w:rFonts w:hint="eastAsia"/>
          <w:sz w:val="24"/>
        </w:rPr>
        <w:t>黑膜</w:t>
      </w:r>
      <w:r>
        <w:rPr>
          <w:sz w:val="24"/>
        </w:rPr>
        <w:t>沼气池底部、四周及顶部采用全黑膜包裹，内部设置进水管、排</w:t>
      </w:r>
      <w:r>
        <w:rPr>
          <w:rFonts w:hint="eastAsia"/>
          <w:sz w:val="24"/>
        </w:rPr>
        <w:t>泥</w:t>
      </w:r>
      <w:r>
        <w:rPr>
          <w:sz w:val="24"/>
        </w:rPr>
        <w:t>管及出水管，根据具体池体长度定，排泥管为带孔花管每隔15-18米布设一根，</w:t>
      </w:r>
      <w:r>
        <w:rPr>
          <w:rFonts w:hint="eastAsia"/>
          <w:sz w:val="24"/>
        </w:rPr>
        <w:t>孔径50mm，</w:t>
      </w:r>
      <w:r>
        <w:rPr>
          <w:sz w:val="24"/>
        </w:rPr>
        <w:t>第一根距离进水端30m，最后一根距离出水端2m，其他均匀分布，排气管从第一根开始往后一次增加长度2m</w:t>
      </w:r>
      <w:r>
        <w:rPr>
          <w:rFonts w:hint="eastAsia"/>
          <w:sz w:val="24"/>
        </w:rPr>
        <w:t>。</w:t>
      </w:r>
    </w:p>
    <w:p>
      <w:pPr>
        <w:pStyle w:val="7"/>
        <w:spacing w:line="520" w:lineRule="exact"/>
        <w:ind w:left="0" w:leftChars="0" w:firstLine="480" w:firstLineChars="200"/>
        <w:rPr>
          <w:sz w:val="24"/>
        </w:rPr>
      </w:pPr>
      <w:r>
        <w:rPr>
          <w:sz w:val="24"/>
        </w:rPr>
        <w:t>项目进入</w:t>
      </w:r>
      <w:r>
        <w:rPr>
          <w:rFonts w:hint="eastAsia"/>
          <w:sz w:val="24"/>
          <w:lang w:eastAsia="zh-CN"/>
        </w:rPr>
        <w:t>黑膜</w:t>
      </w:r>
      <w:r>
        <w:rPr>
          <w:sz w:val="24"/>
        </w:rPr>
        <w:t>沼气池猪粪</w:t>
      </w:r>
      <w:r>
        <w:rPr>
          <w:rFonts w:hint="eastAsia"/>
          <w:sz w:val="24"/>
        </w:rPr>
        <w:t>干重</w:t>
      </w:r>
      <w:r>
        <w:rPr>
          <w:sz w:val="24"/>
        </w:rPr>
        <w:t>为</w:t>
      </w:r>
      <w:r>
        <w:rPr>
          <w:rFonts w:hint="eastAsia"/>
          <w:sz w:val="24"/>
          <w:lang w:val="en-US" w:eastAsia="zh-CN"/>
        </w:rPr>
        <w:t>154.9863</w:t>
      </w:r>
      <w:r>
        <w:rPr>
          <w:rFonts w:hint="eastAsia"/>
          <w:bCs/>
          <w:sz w:val="24"/>
        </w:rPr>
        <w:t>t/a</w:t>
      </w:r>
      <w:r>
        <w:rPr>
          <w:rFonts w:hint="eastAsia"/>
          <w:sz w:val="24"/>
        </w:rPr>
        <w:t>，粪便</w:t>
      </w:r>
      <w:r>
        <w:rPr>
          <w:sz w:val="24"/>
        </w:rPr>
        <w:t>中的有机物质在厌氧反应阶段被降解50%，20%进入沼液，30%转化为沼渣，厌氧反应处理后沼渣实际含水率为85%，故沼渣产生量</w:t>
      </w:r>
      <w:r>
        <w:rPr>
          <w:rFonts w:hint="eastAsia"/>
          <w:sz w:val="24"/>
        </w:rPr>
        <w:t>（总</w:t>
      </w:r>
      <w:r>
        <w:rPr>
          <w:sz w:val="24"/>
        </w:rPr>
        <w:t>重</w:t>
      </w:r>
      <w:r>
        <w:rPr>
          <w:rFonts w:hint="eastAsia"/>
          <w:sz w:val="24"/>
        </w:rPr>
        <w:t>）</w:t>
      </w:r>
      <w:r>
        <w:rPr>
          <w:sz w:val="24"/>
        </w:rPr>
        <w:t>为</w:t>
      </w:r>
      <w:r>
        <w:rPr>
          <w:rFonts w:hint="eastAsia"/>
          <w:sz w:val="24"/>
          <w:lang w:val="en-US" w:eastAsia="zh-CN"/>
        </w:rPr>
        <w:t>309.9726</w:t>
      </w:r>
      <w:r>
        <w:rPr>
          <w:rFonts w:hint="eastAsia"/>
          <w:sz w:val="24"/>
        </w:rPr>
        <w:t>t/a。</w:t>
      </w:r>
      <w:r>
        <w:rPr>
          <w:sz w:val="24"/>
        </w:rPr>
        <w:t>沼渣</w:t>
      </w:r>
      <w:r>
        <w:rPr>
          <w:rFonts w:hint="eastAsia"/>
          <w:sz w:val="24"/>
        </w:rPr>
        <w:t>经</w:t>
      </w:r>
      <w:r>
        <w:rPr>
          <w:sz w:val="24"/>
        </w:rPr>
        <w:t>排泥管排出通过管道</w:t>
      </w:r>
      <w:r>
        <w:rPr>
          <w:rFonts w:hint="eastAsia"/>
          <w:sz w:val="24"/>
        </w:rPr>
        <w:t>送</w:t>
      </w:r>
      <w:r>
        <w:rPr>
          <w:sz w:val="24"/>
        </w:rPr>
        <w:t>至</w:t>
      </w:r>
      <w:r>
        <w:rPr>
          <w:rFonts w:hint="eastAsia"/>
          <w:sz w:val="24"/>
        </w:rPr>
        <w:t>有机肥基料</w:t>
      </w:r>
      <w:r>
        <w:rPr>
          <w:rFonts w:hint="eastAsia"/>
          <w:color w:val="auto"/>
          <w:sz w:val="24"/>
        </w:rPr>
        <w:t>堆肥</w:t>
      </w:r>
      <w:r>
        <w:rPr>
          <w:color w:val="auto"/>
          <w:sz w:val="24"/>
        </w:rPr>
        <w:t>发酵场</w:t>
      </w:r>
      <w:r>
        <w:rPr>
          <w:rFonts w:hint="eastAsia"/>
          <w:color w:val="auto"/>
          <w:sz w:val="24"/>
        </w:rPr>
        <w:t>经过</w:t>
      </w:r>
      <w:r>
        <w:rPr>
          <w:color w:val="auto"/>
          <w:sz w:val="24"/>
        </w:rPr>
        <w:t>晾晒</w:t>
      </w:r>
      <w:r>
        <w:rPr>
          <w:rFonts w:hint="eastAsia"/>
          <w:color w:val="auto"/>
          <w:sz w:val="24"/>
        </w:rPr>
        <w:t>、</w:t>
      </w:r>
      <w:r>
        <w:rPr>
          <w:color w:val="auto"/>
          <w:sz w:val="24"/>
        </w:rPr>
        <w:t>自然风干到含水率</w:t>
      </w:r>
      <w:r>
        <w:rPr>
          <w:rFonts w:hint="eastAsia"/>
          <w:color w:val="auto"/>
          <w:sz w:val="24"/>
        </w:rPr>
        <w:t>60</w:t>
      </w:r>
      <w:r>
        <w:rPr>
          <w:color w:val="auto"/>
          <w:sz w:val="24"/>
        </w:rPr>
        <w:t>%，作为有机肥</w:t>
      </w:r>
      <w:r>
        <w:rPr>
          <w:rFonts w:hint="eastAsia"/>
          <w:color w:val="auto"/>
          <w:sz w:val="24"/>
        </w:rPr>
        <w:t>基料</w:t>
      </w:r>
      <w:r>
        <w:rPr>
          <w:color w:val="auto"/>
          <w:sz w:val="24"/>
        </w:rPr>
        <w:t>外售</w:t>
      </w:r>
      <w:r>
        <w:rPr>
          <w:rFonts w:hint="eastAsia"/>
          <w:color w:val="auto"/>
          <w:sz w:val="24"/>
        </w:rPr>
        <w:t>，</w:t>
      </w:r>
      <w:r>
        <w:rPr>
          <w:color w:val="auto"/>
          <w:sz w:val="24"/>
        </w:rPr>
        <w:t>有机肥</w:t>
      </w:r>
      <w:r>
        <w:rPr>
          <w:rFonts w:hint="eastAsia"/>
          <w:color w:val="auto"/>
          <w:sz w:val="24"/>
        </w:rPr>
        <w:t>基料</w:t>
      </w:r>
      <w:r>
        <w:rPr>
          <w:color w:val="auto"/>
          <w:sz w:val="24"/>
        </w:rPr>
        <w:t>产生量为</w:t>
      </w:r>
      <w:r>
        <w:rPr>
          <w:rFonts w:hint="eastAsia"/>
          <w:color w:val="auto"/>
          <w:sz w:val="24"/>
          <w:lang w:val="en-US" w:eastAsia="zh-CN"/>
        </w:rPr>
        <w:t>116.2397</w:t>
      </w:r>
      <w:r>
        <w:rPr>
          <w:rFonts w:hint="eastAsia"/>
          <w:color w:val="auto"/>
          <w:sz w:val="24"/>
        </w:rPr>
        <w:t>t/a。</w:t>
      </w:r>
    </w:p>
    <w:p>
      <w:pPr>
        <w:spacing w:line="520" w:lineRule="exact"/>
        <w:ind w:firstLine="480" w:firstLineChars="200"/>
        <w:rPr>
          <w:bCs/>
          <w:sz w:val="24"/>
        </w:rPr>
      </w:pPr>
      <w:r>
        <w:rPr>
          <w:rFonts w:hint="eastAsia"/>
          <w:bCs/>
          <w:sz w:val="24"/>
        </w:rPr>
        <w:t>（</w:t>
      </w:r>
      <w:r>
        <w:rPr>
          <w:bCs/>
          <w:sz w:val="24"/>
        </w:rPr>
        <w:t>二</w:t>
      </w:r>
      <w:r>
        <w:rPr>
          <w:rFonts w:hint="eastAsia"/>
          <w:bCs/>
          <w:sz w:val="24"/>
        </w:rPr>
        <w:t>）</w:t>
      </w:r>
      <w:r>
        <w:rPr>
          <w:bCs/>
          <w:sz w:val="24"/>
        </w:rPr>
        <w:t>病死猪</w:t>
      </w:r>
    </w:p>
    <w:p>
      <w:pPr>
        <w:spacing w:line="520" w:lineRule="exact"/>
        <w:ind w:firstLine="480" w:firstLineChars="200"/>
        <w:jc w:val="left"/>
        <w:rPr>
          <w:rFonts w:hint="eastAsia"/>
          <w:sz w:val="24"/>
        </w:rPr>
      </w:pPr>
      <w:r>
        <w:rPr>
          <w:bCs/>
          <w:sz w:val="24"/>
        </w:rPr>
        <w:t>由于养殖场采用科学化管理与养殖，病死猪产生量很小。死猪主要来源为病死猪，根据目前规模化养殖场的管理水平，出现病死猪的几率和数量较低。类比现有规模化养殖场生产情况，评价按表2.3-12中死亡率及重量计</w:t>
      </w:r>
      <w:r>
        <w:rPr>
          <w:rFonts w:hint="eastAsia"/>
          <w:bCs/>
          <w:sz w:val="24"/>
        </w:rPr>
        <w:t>。</w:t>
      </w:r>
    </w:p>
    <w:p>
      <w:pPr>
        <w:spacing w:line="520" w:lineRule="exact"/>
        <w:ind w:firstLine="482" w:firstLineChars="200"/>
        <w:jc w:val="center"/>
        <w:rPr>
          <w:b/>
          <w:sz w:val="24"/>
          <w:u w:val="single"/>
        </w:rPr>
      </w:pPr>
      <w:r>
        <w:rPr>
          <w:b/>
          <w:sz w:val="24"/>
        </w:rPr>
        <w:t>表2.3-12    各种类猪死亡率及平均重量一览表</w:t>
      </w:r>
    </w:p>
    <w:tbl>
      <w:tblPr>
        <w:tblStyle w:val="1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69"/>
        <w:gridCol w:w="1223"/>
        <w:gridCol w:w="933"/>
        <w:gridCol w:w="1178"/>
        <w:gridCol w:w="1273"/>
        <w:gridCol w:w="1560"/>
        <w:gridCol w:w="161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653" w:type="pct"/>
            <w:tcBorders>
              <w:right w:val="single" w:color="auto" w:sz="4" w:space="0"/>
            </w:tcBorders>
            <w:noWrap w:val="0"/>
            <w:vAlign w:val="center"/>
          </w:tcPr>
          <w:p>
            <w:pPr>
              <w:jc w:val="center"/>
              <w:rPr>
                <w:b/>
                <w:szCs w:val="21"/>
              </w:rPr>
            </w:pPr>
            <w:r>
              <w:rPr>
                <w:b/>
                <w:szCs w:val="21"/>
              </w:rPr>
              <w:t>种类</w:t>
            </w:r>
          </w:p>
        </w:tc>
        <w:tc>
          <w:tcPr>
            <w:tcW w:w="683" w:type="pct"/>
            <w:noWrap w:val="0"/>
            <w:vAlign w:val="center"/>
          </w:tcPr>
          <w:p>
            <w:pPr>
              <w:jc w:val="center"/>
              <w:rPr>
                <w:b/>
                <w:szCs w:val="21"/>
              </w:rPr>
            </w:pPr>
            <w:r>
              <w:rPr>
                <w:rFonts w:hint="eastAsia"/>
                <w:b/>
                <w:szCs w:val="21"/>
              </w:rPr>
              <w:t>数量（头）</w:t>
            </w:r>
          </w:p>
        </w:tc>
        <w:tc>
          <w:tcPr>
            <w:tcW w:w="521" w:type="pct"/>
            <w:tcBorders>
              <w:right w:val="single" w:color="auto" w:sz="4" w:space="0"/>
            </w:tcBorders>
            <w:noWrap w:val="0"/>
            <w:vAlign w:val="center"/>
          </w:tcPr>
          <w:p>
            <w:pPr>
              <w:jc w:val="center"/>
              <w:rPr>
                <w:rFonts w:hint="eastAsia"/>
                <w:b/>
                <w:szCs w:val="21"/>
              </w:rPr>
            </w:pPr>
            <w:r>
              <w:rPr>
                <w:rFonts w:hint="eastAsia"/>
                <w:b/>
                <w:szCs w:val="21"/>
              </w:rPr>
              <w:t>批次</w:t>
            </w:r>
            <w:r>
              <w:rPr>
                <w:b/>
                <w:szCs w:val="21"/>
              </w:rPr>
              <w:t>（</w:t>
            </w:r>
            <w:r>
              <w:rPr>
                <w:rFonts w:hint="eastAsia"/>
                <w:b/>
                <w:szCs w:val="21"/>
              </w:rPr>
              <w:t>批/a</w:t>
            </w:r>
            <w:r>
              <w:rPr>
                <w:b/>
                <w:szCs w:val="21"/>
              </w:rPr>
              <w:t>）</w:t>
            </w:r>
          </w:p>
        </w:tc>
        <w:tc>
          <w:tcPr>
            <w:tcW w:w="658" w:type="pct"/>
            <w:tcBorders>
              <w:left w:val="single" w:color="auto" w:sz="4" w:space="0"/>
            </w:tcBorders>
            <w:noWrap w:val="0"/>
            <w:vAlign w:val="center"/>
          </w:tcPr>
          <w:p>
            <w:pPr>
              <w:jc w:val="center"/>
              <w:rPr>
                <w:b/>
                <w:szCs w:val="21"/>
              </w:rPr>
            </w:pPr>
            <w:r>
              <w:rPr>
                <w:b/>
                <w:szCs w:val="21"/>
              </w:rPr>
              <w:t>平均死亡率（</w:t>
            </w:r>
            <w:r>
              <w:rPr>
                <w:szCs w:val="21"/>
              </w:rPr>
              <w:t>%）</w:t>
            </w:r>
          </w:p>
        </w:tc>
        <w:tc>
          <w:tcPr>
            <w:tcW w:w="711" w:type="pct"/>
            <w:tcBorders>
              <w:right w:val="single" w:color="auto" w:sz="4" w:space="0"/>
            </w:tcBorders>
            <w:noWrap w:val="0"/>
            <w:vAlign w:val="center"/>
          </w:tcPr>
          <w:p>
            <w:pPr>
              <w:jc w:val="center"/>
              <w:rPr>
                <w:b/>
                <w:szCs w:val="21"/>
              </w:rPr>
            </w:pPr>
            <w:r>
              <w:rPr>
                <w:b/>
                <w:szCs w:val="21"/>
              </w:rPr>
              <w:t>平均重量</w:t>
            </w:r>
          </w:p>
          <w:p>
            <w:pPr>
              <w:jc w:val="center"/>
              <w:rPr>
                <w:b/>
                <w:szCs w:val="21"/>
              </w:rPr>
            </w:pPr>
            <w:r>
              <w:rPr>
                <w:b/>
                <w:szCs w:val="21"/>
              </w:rPr>
              <w:t>（</w:t>
            </w:r>
            <w:r>
              <w:rPr>
                <w:szCs w:val="21"/>
              </w:rPr>
              <w:t>kg/头）</w:t>
            </w:r>
          </w:p>
        </w:tc>
        <w:tc>
          <w:tcPr>
            <w:tcW w:w="871" w:type="pct"/>
            <w:tcBorders>
              <w:left w:val="single" w:color="auto" w:sz="4" w:space="0"/>
              <w:right w:val="single" w:color="auto" w:sz="4" w:space="0"/>
            </w:tcBorders>
            <w:noWrap w:val="0"/>
            <w:vAlign w:val="center"/>
          </w:tcPr>
          <w:p>
            <w:pPr>
              <w:jc w:val="center"/>
              <w:rPr>
                <w:b/>
                <w:szCs w:val="21"/>
              </w:rPr>
            </w:pPr>
            <w:r>
              <w:rPr>
                <w:b/>
                <w:szCs w:val="21"/>
              </w:rPr>
              <w:t>病死猪产生</w:t>
            </w:r>
            <w:r>
              <w:rPr>
                <w:rFonts w:hint="eastAsia"/>
                <w:b/>
                <w:szCs w:val="21"/>
              </w:rPr>
              <w:t>量</w:t>
            </w:r>
          </w:p>
          <w:p>
            <w:pPr>
              <w:jc w:val="center"/>
              <w:rPr>
                <w:b/>
                <w:szCs w:val="21"/>
              </w:rPr>
            </w:pPr>
            <w:r>
              <w:rPr>
                <w:b/>
                <w:szCs w:val="21"/>
              </w:rPr>
              <w:t>（头）</w:t>
            </w:r>
          </w:p>
        </w:tc>
        <w:tc>
          <w:tcPr>
            <w:tcW w:w="900" w:type="pct"/>
            <w:tcBorders>
              <w:left w:val="single" w:color="auto" w:sz="4" w:space="0"/>
            </w:tcBorders>
            <w:noWrap w:val="0"/>
            <w:vAlign w:val="center"/>
          </w:tcPr>
          <w:p>
            <w:pPr>
              <w:jc w:val="center"/>
              <w:rPr>
                <w:b/>
                <w:szCs w:val="21"/>
              </w:rPr>
            </w:pPr>
            <w:r>
              <w:rPr>
                <w:b/>
                <w:szCs w:val="21"/>
              </w:rPr>
              <w:t>病死猪产生重量</w:t>
            </w:r>
            <w:r>
              <w:rPr>
                <w:bCs/>
                <w:szCs w:val="21"/>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653" w:type="pct"/>
            <w:noWrap w:val="0"/>
            <w:vAlign w:val="center"/>
          </w:tcPr>
          <w:p>
            <w:pPr>
              <w:jc w:val="center"/>
              <w:rPr>
                <w:szCs w:val="21"/>
              </w:rPr>
            </w:pPr>
            <w:r>
              <w:rPr>
                <w:szCs w:val="21"/>
              </w:rPr>
              <w:t>育肥猪</w:t>
            </w:r>
          </w:p>
        </w:tc>
        <w:tc>
          <w:tcPr>
            <w:tcW w:w="683" w:type="pct"/>
            <w:tcBorders>
              <w:bottom w:val="single" w:color="auto" w:sz="4" w:space="0"/>
            </w:tcBorders>
            <w:noWrap w:val="0"/>
            <w:vAlign w:val="center"/>
          </w:tcPr>
          <w:p>
            <w:pPr>
              <w:jc w:val="center"/>
              <w:rPr>
                <w:szCs w:val="21"/>
              </w:rPr>
            </w:pPr>
            <w:r>
              <w:rPr>
                <w:rFonts w:hint="eastAsia"/>
                <w:szCs w:val="21"/>
                <w:lang w:val="en-US" w:eastAsia="zh-CN"/>
              </w:rPr>
              <w:t>4</w:t>
            </w:r>
            <w:r>
              <w:rPr>
                <w:rFonts w:hint="eastAsia"/>
                <w:szCs w:val="21"/>
              </w:rPr>
              <w:t>200</w:t>
            </w:r>
          </w:p>
        </w:tc>
        <w:tc>
          <w:tcPr>
            <w:tcW w:w="521" w:type="pct"/>
            <w:tcBorders>
              <w:right w:val="single" w:color="auto" w:sz="4" w:space="0"/>
            </w:tcBorders>
            <w:noWrap w:val="0"/>
            <w:vAlign w:val="center"/>
          </w:tcPr>
          <w:p>
            <w:pPr>
              <w:jc w:val="center"/>
              <w:rPr>
                <w:szCs w:val="21"/>
              </w:rPr>
            </w:pPr>
            <w:r>
              <w:rPr>
                <w:rFonts w:hint="eastAsia"/>
                <w:szCs w:val="21"/>
              </w:rPr>
              <w:t>3</w:t>
            </w:r>
          </w:p>
        </w:tc>
        <w:tc>
          <w:tcPr>
            <w:tcW w:w="658" w:type="pct"/>
            <w:tcBorders>
              <w:left w:val="single" w:color="auto" w:sz="4" w:space="0"/>
            </w:tcBorders>
            <w:noWrap w:val="0"/>
            <w:vAlign w:val="center"/>
          </w:tcPr>
          <w:p>
            <w:pPr>
              <w:jc w:val="center"/>
              <w:rPr>
                <w:szCs w:val="21"/>
              </w:rPr>
            </w:pPr>
            <w:r>
              <w:rPr>
                <w:szCs w:val="21"/>
              </w:rPr>
              <w:t>1</w:t>
            </w:r>
          </w:p>
        </w:tc>
        <w:tc>
          <w:tcPr>
            <w:tcW w:w="711" w:type="pct"/>
            <w:noWrap w:val="0"/>
            <w:vAlign w:val="center"/>
          </w:tcPr>
          <w:p>
            <w:pPr>
              <w:jc w:val="center"/>
              <w:rPr>
                <w:szCs w:val="21"/>
              </w:rPr>
            </w:pPr>
            <w:r>
              <w:rPr>
                <w:szCs w:val="21"/>
              </w:rPr>
              <w:t>50</w:t>
            </w:r>
          </w:p>
        </w:tc>
        <w:tc>
          <w:tcPr>
            <w:tcW w:w="871" w:type="pct"/>
            <w:tcBorders>
              <w:left w:val="single" w:color="auto" w:sz="4" w:space="0"/>
              <w:bottom w:val="single" w:color="auto" w:sz="4" w:space="0"/>
              <w:right w:val="single" w:color="auto" w:sz="4" w:space="0"/>
            </w:tcBorders>
            <w:noWrap w:val="0"/>
            <w:vAlign w:val="center"/>
          </w:tcPr>
          <w:p>
            <w:pPr>
              <w:jc w:val="center"/>
              <w:rPr>
                <w:rFonts w:hint="default" w:eastAsia="宋体"/>
                <w:szCs w:val="21"/>
                <w:lang w:val="en-US" w:eastAsia="zh-CN"/>
              </w:rPr>
            </w:pPr>
            <w:r>
              <w:rPr>
                <w:rFonts w:hint="eastAsia"/>
                <w:szCs w:val="21"/>
                <w:lang w:val="en-US" w:eastAsia="zh-CN"/>
              </w:rPr>
              <w:t>126</w:t>
            </w:r>
          </w:p>
        </w:tc>
        <w:tc>
          <w:tcPr>
            <w:tcW w:w="900" w:type="pct"/>
            <w:tcBorders>
              <w:left w:val="single" w:color="auto" w:sz="4" w:space="0"/>
              <w:bottom w:val="single" w:color="auto" w:sz="4" w:space="0"/>
            </w:tcBorders>
            <w:noWrap w:val="0"/>
            <w:vAlign w:val="center"/>
          </w:tcPr>
          <w:p>
            <w:pPr>
              <w:jc w:val="center"/>
              <w:rPr>
                <w:rFonts w:hint="default" w:eastAsia="宋体"/>
                <w:szCs w:val="21"/>
                <w:lang w:val="en-US" w:eastAsia="zh-CN"/>
              </w:rPr>
            </w:pPr>
            <w:r>
              <w:rPr>
                <w:rFonts w:hint="eastAsia"/>
                <w:szCs w:val="21"/>
                <w:lang w:val="en-US" w:eastAsia="zh-CN"/>
              </w:rPr>
              <w:t>6.3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454" w:hRule="atLeast"/>
        </w:trPr>
        <w:tc>
          <w:tcPr>
            <w:tcW w:w="653" w:type="pct"/>
            <w:tcBorders>
              <w:right w:val="single" w:color="auto" w:sz="4" w:space="0"/>
            </w:tcBorders>
            <w:noWrap w:val="0"/>
            <w:vAlign w:val="center"/>
          </w:tcPr>
          <w:p>
            <w:pPr>
              <w:jc w:val="center"/>
              <w:rPr>
                <w:szCs w:val="21"/>
              </w:rPr>
            </w:pPr>
            <w:r>
              <w:rPr>
                <w:szCs w:val="21"/>
              </w:rPr>
              <w:t>总计</w:t>
            </w:r>
          </w:p>
        </w:tc>
        <w:tc>
          <w:tcPr>
            <w:tcW w:w="683" w:type="pct"/>
            <w:noWrap w:val="0"/>
            <w:vAlign w:val="center"/>
          </w:tcPr>
          <w:p>
            <w:pPr>
              <w:jc w:val="center"/>
              <w:rPr>
                <w:szCs w:val="21"/>
              </w:rPr>
            </w:pPr>
            <w:r>
              <w:rPr>
                <w:rFonts w:hint="eastAsia"/>
                <w:szCs w:val="21"/>
              </w:rPr>
              <w:t>/</w:t>
            </w:r>
          </w:p>
        </w:tc>
        <w:tc>
          <w:tcPr>
            <w:tcW w:w="521" w:type="pct"/>
            <w:tcBorders>
              <w:right w:val="single" w:color="auto" w:sz="4" w:space="0"/>
            </w:tcBorders>
            <w:noWrap w:val="0"/>
            <w:vAlign w:val="center"/>
          </w:tcPr>
          <w:p>
            <w:pPr>
              <w:jc w:val="center"/>
              <w:rPr>
                <w:szCs w:val="21"/>
              </w:rPr>
            </w:pPr>
          </w:p>
        </w:tc>
        <w:tc>
          <w:tcPr>
            <w:tcW w:w="658" w:type="pct"/>
            <w:tcBorders>
              <w:left w:val="single" w:color="auto" w:sz="4" w:space="0"/>
            </w:tcBorders>
            <w:noWrap w:val="0"/>
            <w:vAlign w:val="center"/>
          </w:tcPr>
          <w:p>
            <w:pPr>
              <w:jc w:val="center"/>
              <w:rPr>
                <w:szCs w:val="21"/>
              </w:rPr>
            </w:pPr>
            <w:r>
              <w:rPr>
                <w:szCs w:val="21"/>
              </w:rPr>
              <w:t>/</w:t>
            </w:r>
          </w:p>
        </w:tc>
        <w:tc>
          <w:tcPr>
            <w:tcW w:w="711" w:type="pct"/>
            <w:tcBorders>
              <w:right w:val="single" w:color="auto" w:sz="4" w:space="0"/>
            </w:tcBorders>
            <w:noWrap w:val="0"/>
            <w:vAlign w:val="center"/>
          </w:tcPr>
          <w:p>
            <w:pPr>
              <w:jc w:val="center"/>
              <w:rPr>
                <w:szCs w:val="21"/>
              </w:rPr>
            </w:pPr>
            <w:r>
              <w:rPr>
                <w:szCs w:val="21"/>
              </w:rPr>
              <w:t>/</w:t>
            </w:r>
          </w:p>
        </w:tc>
        <w:tc>
          <w:tcPr>
            <w:tcW w:w="871" w:type="pct"/>
            <w:tcBorders>
              <w:left w:val="single" w:color="auto" w:sz="4" w:space="0"/>
              <w:right w:val="single" w:color="auto" w:sz="4" w:space="0"/>
            </w:tcBorders>
            <w:noWrap w:val="0"/>
            <w:vAlign w:val="center"/>
          </w:tcPr>
          <w:p>
            <w:pPr>
              <w:jc w:val="center"/>
              <w:rPr>
                <w:rFonts w:hint="default" w:eastAsia="宋体"/>
                <w:szCs w:val="21"/>
                <w:lang w:val="en-US" w:eastAsia="zh-CN"/>
              </w:rPr>
            </w:pPr>
            <w:r>
              <w:rPr>
                <w:rFonts w:hint="eastAsia"/>
                <w:szCs w:val="21"/>
                <w:lang w:val="en-US" w:eastAsia="zh-CN"/>
              </w:rPr>
              <w:t>126</w:t>
            </w:r>
          </w:p>
        </w:tc>
        <w:tc>
          <w:tcPr>
            <w:tcW w:w="900" w:type="pct"/>
            <w:tcBorders>
              <w:left w:val="single" w:color="auto" w:sz="4" w:space="0"/>
            </w:tcBorders>
            <w:noWrap w:val="0"/>
            <w:vAlign w:val="center"/>
          </w:tcPr>
          <w:p>
            <w:pPr>
              <w:jc w:val="center"/>
              <w:rPr>
                <w:rFonts w:hint="default" w:eastAsia="宋体"/>
                <w:szCs w:val="21"/>
                <w:lang w:val="en-US" w:eastAsia="zh-CN"/>
              </w:rPr>
            </w:pPr>
            <w:r>
              <w:rPr>
                <w:rFonts w:hint="eastAsia"/>
                <w:szCs w:val="21"/>
                <w:lang w:val="en-US" w:eastAsia="zh-CN"/>
              </w:rPr>
              <w:t>6.3</w:t>
            </w:r>
          </w:p>
        </w:tc>
      </w:tr>
    </w:tbl>
    <w:p>
      <w:pPr>
        <w:spacing w:line="520" w:lineRule="exact"/>
        <w:ind w:firstLine="480" w:firstLineChars="200"/>
        <w:jc w:val="left"/>
        <w:rPr>
          <w:bCs/>
          <w:sz w:val="24"/>
        </w:rPr>
      </w:pPr>
      <w:r>
        <w:rPr>
          <w:rFonts w:hint="eastAsia" w:cs="宋体"/>
          <w:bCs/>
          <w:sz w:val="24"/>
          <w:lang w:bidi="ar"/>
        </w:rPr>
        <w:t>经计算项目产生病死猪尸体</w:t>
      </w:r>
      <w:r>
        <w:rPr>
          <w:rFonts w:hint="eastAsia"/>
          <w:bCs/>
          <w:sz w:val="24"/>
          <w:lang w:val="en-US" w:eastAsia="zh-CN" w:bidi="ar"/>
        </w:rPr>
        <w:t>6.3</w:t>
      </w:r>
      <w:r>
        <w:rPr>
          <w:bCs/>
          <w:sz w:val="24"/>
          <w:lang w:bidi="ar"/>
        </w:rPr>
        <w:t>t/a</w:t>
      </w:r>
      <w:r>
        <w:rPr>
          <w:rFonts w:hint="eastAsia" w:cs="宋体"/>
          <w:bCs/>
          <w:sz w:val="24"/>
          <w:lang w:bidi="ar"/>
        </w:rPr>
        <w:t>，委托正阳县畜禽无害化处理中心处理。</w:t>
      </w:r>
    </w:p>
    <w:p>
      <w:pPr>
        <w:spacing w:line="480" w:lineRule="exact"/>
        <w:ind w:firstLine="480" w:firstLineChars="200"/>
        <w:rPr>
          <w:bCs/>
          <w:sz w:val="24"/>
        </w:rPr>
      </w:pPr>
      <w:r>
        <w:rPr>
          <w:bCs/>
          <w:sz w:val="24"/>
        </w:rPr>
        <w:t>(</w:t>
      </w:r>
      <w:r>
        <w:rPr>
          <w:rFonts w:hint="eastAsia"/>
          <w:bCs/>
          <w:sz w:val="24"/>
        </w:rPr>
        <w:t>三</w:t>
      </w:r>
      <w:r>
        <w:rPr>
          <w:bCs/>
          <w:sz w:val="24"/>
        </w:rPr>
        <w:t>) 疾病防疫产生的医疗废物</w:t>
      </w:r>
    </w:p>
    <w:p>
      <w:pPr>
        <w:adjustRightInd w:val="0"/>
        <w:snapToGrid w:val="0"/>
        <w:spacing w:line="520" w:lineRule="exact"/>
        <w:ind w:firstLine="480" w:firstLineChars="200"/>
        <w:rPr>
          <w:sz w:val="24"/>
          <w:szCs w:val="22"/>
        </w:rPr>
      </w:pPr>
      <w:r>
        <w:rPr>
          <w:sz w:val="24"/>
          <w:szCs w:val="22"/>
        </w:rPr>
        <w:t>生猪在生长过程接种免疫或发病期接受治疗产生的少量医疗废物，每头猪防疫产生医疗量约为0.005kg/a，全场产生量约为</w:t>
      </w:r>
      <w:r>
        <w:rPr>
          <w:rFonts w:hint="eastAsia"/>
          <w:sz w:val="24"/>
          <w:szCs w:val="22"/>
          <w:lang w:eastAsia="zh-CN"/>
        </w:rPr>
        <w:t>0.021</w:t>
      </w:r>
      <w:r>
        <w:rPr>
          <w:sz w:val="24"/>
          <w:szCs w:val="22"/>
        </w:rPr>
        <w:t>t/a，评价要求场区内建设具备</w:t>
      </w:r>
      <w:r>
        <w:rPr>
          <w:rFonts w:hint="eastAsia"/>
          <w:sz w:val="24"/>
          <w:szCs w:val="22"/>
        </w:rPr>
        <w:t>“</w:t>
      </w:r>
      <w:r>
        <w:rPr>
          <w:sz w:val="24"/>
          <w:szCs w:val="22"/>
        </w:rPr>
        <w:t>三防</w:t>
      </w:r>
      <w:r>
        <w:rPr>
          <w:rFonts w:hint="eastAsia"/>
          <w:sz w:val="24"/>
          <w:szCs w:val="22"/>
        </w:rPr>
        <w:t>”</w:t>
      </w:r>
      <w:r>
        <w:rPr>
          <w:sz w:val="24"/>
          <w:szCs w:val="22"/>
        </w:rPr>
        <w:t>措施的暂存场所，并设置危险废物识别标志，医疗废物在厂区内暂存后，</w:t>
      </w:r>
      <w:r>
        <w:rPr>
          <w:bCs/>
          <w:snapToGrid w:val="0"/>
          <w:sz w:val="24"/>
        </w:rPr>
        <w:t>定期交</w:t>
      </w:r>
      <w:r>
        <w:rPr>
          <w:snapToGrid w:val="0"/>
          <w:sz w:val="24"/>
        </w:rPr>
        <w:t>由</w:t>
      </w:r>
      <w:r>
        <w:rPr>
          <w:rFonts w:hint="eastAsia"/>
          <w:snapToGrid w:val="0"/>
          <w:sz w:val="24"/>
        </w:rPr>
        <w:t>有</w:t>
      </w:r>
      <w:r>
        <w:rPr>
          <w:rFonts w:hint="eastAsia"/>
          <w:bCs/>
          <w:snapToGrid w:val="0"/>
          <w:sz w:val="24"/>
        </w:rPr>
        <w:t>资质的单位</w:t>
      </w:r>
      <w:r>
        <w:rPr>
          <w:bCs/>
          <w:snapToGrid w:val="0"/>
          <w:sz w:val="24"/>
        </w:rPr>
        <w:t>集中处置。</w:t>
      </w:r>
    </w:p>
    <w:p>
      <w:pPr>
        <w:spacing w:line="480" w:lineRule="exact"/>
        <w:ind w:firstLine="480" w:firstLineChars="200"/>
        <w:rPr>
          <w:sz w:val="24"/>
        </w:rPr>
      </w:pPr>
      <w:r>
        <w:rPr>
          <w:sz w:val="24"/>
        </w:rPr>
        <w:t>(</w:t>
      </w:r>
      <w:r>
        <w:rPr>
          <w:rFonts w:hint="eastAsia"/>
          <w:sz w:val="24"/>
        </w:rPr>
        <w:t>四</w:t>
      </w:r>
      <w:r>
        <w:rPr>
          <w:sz w:val="24"/>
        </w:rPr>
        <w:t>)废脱硫剂</w:t>
      </w:r>
    </w:p>
    <w:p>
      <w:pPr>
        <w:spacing w:line="500" w:lineRule="exact"/>
        <w:ind w:firstLine="480" w:firstLineChars="200"/>
        <w:rPr>
          <w:bCs/>
          <w:sz w:val="24"/>
        </w:rPr>
      </w:pPr>
      <w:r>
        <w:rPr>
          <w:rFonts w:hint="eastAsia"/>
          <w:bCs/>
          <w:sz w:val="24"/>
        </w:rPr>
        <w:t>项目采用干法对沼气中硫化氢进行去除，沼气通过活性炭、氧化铁等构成的填</w:t>
      </w:r>
      <w:r>
        <w:rPr>
          <w:rFonts w:hint="eastAsia"/>
          <w:bCs/>
          <w:color w:val="auto"/>
          <w:sz w:val="24"/>
        </w:rPr>
        <w:t>料层，使硫化氢氧化成单质硫或硫氧化物。根据《沼气常温氧化铁脱硫催化剂的研制》（武汉工程大学学报2010.07）可知：常温下，理论上每100g活性氧化铁一次可吸收脱除57.5g硫化氢气体。本项目硫化氢的吸收量为</w:t>
      </w:r>
      <w:r>
        <w:rPr>
          <w:rFonts w:hint="eastAsia"/>
          <w:bCs/>
          <w:color w:val="auto"/>
          <w:sz w:val="24"/>
          <w:lang w:eastAsia="zh-CN"/>
        </w:rPr>
        <w:t>40.88</w:t>
      </w:r>
      <w:r>
        <w:rPr>
          <w:rFonts w:hint="eastAsia"/>
          <w:bCs/>
          <w:color w:val="auto"/>
          <w:sz w:val="24"/>
        </w:rPr>
        <w:t>kg/a，需消耗活性氧化铁</w:t>
      </w:r>
      <w:r>
        <w:rPr>
          <w:rFonts w:hint="eastAsia"/>
          <w:bCs/>
          <w:color w:val="auto"/>
          <w:sz w:val="24"/>
          <w:lang w:eastAsia="zh-CN"/>
        </w:rPr>
        <w:t>71.096</w:t>
      </w:r>
      <w:r>
        <w:rPr>
          <w:rFonts w:hint="eastAsia"/>
          <w:bCs/>
          <w:color w:val="auto"/>
          <w:sz w:val="24"/>
        </w:rPr>
        <w:t>kg/a。</w:t>
      </w:r>
    </w:p>
    <w:p>
      <w:pPr>
        <w:spacing w:line="500" w:lineRule="exact"/>
        <w:ind w:firstLine="480" w:firstLineChars="200"/>
        <w:rPr>
          <w:bCs/>
          <w:sz w:val="24"/>
          <w:highlight w:val="none"/>
        </w:rPr>
      </w:pPr>
      <w:r>
        <w:rPr>
          <w:rFonts w:hint="eastAsia"/>
          <w:bCs/>
          <w:sz w:val="24"/>
        </w:rPr>
        <w:t>根据建设单位提供沼气脱硫装置情况，项目所使用脱硫剂氧化铁含量为30%，</w:t>
      </w:r>
      <w:r>
        <w:rPr>
          <w:rFonts w:hint="eastAsia"/>
          <w:bCs/>
          <w:sz w:val="24"/>
          <w:highlight w:val="none"/>
        </w:rPr>
        <w:t>废脱硫剂半年再生一次，脱硫剂一年更换一次，更换废脱硫剂</w:t>
      </w:r>
      <w:r>
        <w:rPr>
          <w:bCs/>
          <w:sz w:val="24"/>
          <w:highlight w:val="none"/>
        </w:rPr>
        <w:t>产生量</w:t>
      </w:r>
      <w:r>
        <w:rPr>
          <w:rFonts w:hint="eastAsia"/>
          <w:bCs/>
          <w:sz w:val="24"/>
          <w:highlight w:val="none"/>
        </w:rPr>
        <w:t>约</w:t>
      </w:r>
      <w:r>
        <w:rPr>
          <w:bCs/>
          <w:sz w:val="24"/>
          <w:highlight w:val="none"/>
        </w:rPr>
        <w:t>为</w:t>
      </w:r>
      <w:r>
        <w:rPr>
          <w:rFonts w:hint="eastAsia"/>
          <w:bCs/>
          <w:sz w:val="24"/>
          <w:highlight w:val="none"/>
          <w:lang w:val="en-US" w:eastAsia="zh-CN"/>
        </w:rPr>
        <w:t>0.043</w:t>
      </w:r>
      <w:r>
        <w:rPr>
          <w:rFonts w:hint="eastAsia"/>
          <w:bCs/>
          <w:sz w:val="24"/>
          <w:highlight w:val="none"/>
        </w:rPr>
        <w:t>t/a</w:t>
      </w:r>
      <w:r>
        <w:rPr>
          <w:bCs/>
          <w:sz w:val="24"/>
          <w:highlight w:val="none"/>
        </w:rPr>
        <w:t>。</w:t>
      </w:r>
      <w:r>
        <w:rPr>
          <w:rFonts w:hint="eastAsia"/>
          <w:bCs/>
          <w:sz w:val="24"/>
          <w:highlight w:val="none"/>
        </w:rPr>
        <w:t>沼气脱硫装置中失去活性的废脱硫剂（主要成分为废活性炭和氧化铁）由</w:t>
      </w:r>
      <w:r>
        <w:rPr>
          <w:bCs/>
          <w:sz w:val="24"/>
          <w:highlight w:val="none"/>
        </w:rPr>
        <w:t>生产厂家统一回收处置</w:t>
      </w:r>
      <w:r>
        <w:rPr>
          <w:rFonts w:hint="eastAsia"/>
          <w:bCs/>
          <w:sz w:val="24"/>
          <w:highlight w:val="none"/>
        </w:rPr>
        <w:t>。</w:t>
      </w:r>
    </w:p>
    <w:p>
      <w:pPr>
        <w:spacing w:line="520" w:lineRule="exact"/>
        <w:ind w:firstLine="480" w:firstLineChars="200"/>
        <w:rPr>
          <w:bCs/>
          <w:sz w:val="24"/>
          <w:highlight w:val="none"/>
        </w:rPr>
      </w:pPr>
      <w:r>
        <w:rPr>
          <w:bCs/>
          <w:sz w:val="24"/>
          <w:highlight w:val="none"/>
        </w:rPr>
        <w:t>沼气脱硫装置中失去活性的废脱硫剂由生产厂家统一回收处置，年产生量约为</w:t>
      </w:r>
      <w:r>
        <w:rPr>
          <w:rFonts w:hint="eastAsia"/>
          <w:bCs/>
          <w:sz w:val="24"/>
          <w:highlight w:val="none"/>
        </w:rPr>
        <w:t>0.</w:t>
      </w:r>
      <w:r>
        <w:rPr>
          <w:rFonts w:hint="eastAsia"/>
          <w:bCs/>
          <w:sz w:val="24"/>
          <w:highlight w:val="none"/>
          <w:lang w:val="en-US" w:eastAsia="zh-CN"/>
        </w:rPr>
        <w:t>43</w:t>
      </w:r>
      <w:r>
        <w:rPr>
          <w:bCs/>
          <w:sz w:val="24"/>
          <w:highlight w:val="none"/>
        </w:rPr>
        <w:t>t。</w:t>
      </w:r>
    </w:p>
    <w:p>
      <w:pPr>
        <w:spacing w:line="480" w:lineRule="exact"/>
        <w:ind w:firstLine="480" w:firstLineChars="200"/>
        <w:rPr>
          <w:bCs/>
          <w:sz w:val="24"/>
        </w:rPr>
      </w:pPr>
      <w:r>
        <w:rPr>
          <w:bCs/>
          <w:sz w:val="24"/>
        </w:rPr>
        <w:t>(</w:t>
      </w:r>
      <w:r>
        <w:rPr>
          <w:rFonts w:hint="eastAsia"/>
          <w:bCs/>
          <w:sz w:val="24"/>
        </w:rPr>
        <w:t>五</w:t>
      </w:r>
      <w:r>
        <w:rPr>
          <w:bCs/>
          <w:sz w:val="24"/>
        </w:rPr>
        <w:t>)生活垃圾</w:t>
      </w:r>
    </w:p>
    <w:p>
      <w:pPr>
        <w:spacing w:line="520" w:lineRule="exact"/>
        <w:ind w:firstLine="480" w:firstLineChars="200"/>
        <w:rPr>
          <w:bCs/>
          <w:sz w:val="24"/>
        </w:rPr>
      </w:pPr>
      <w:r>
        <w:rPr>
          <w:bCs/>
          <w:sz w:val="24"/>
        </w:rPr>
        <w:t>生活垃圾产生系数按0.5kg/d人计，本项目建成后拟聘职工</w:t>
      </w:r>
      <w:r>
        <w:rPr>
          <w:rFonts w:hint="eastAsia"/>
          <w:bCs/>
          <w:sz w:val="24"/>
        </w:rPr>
        <w:t>10</w:t>
      </w:r>
      <w:r>
        <w:rPr>
          <w:bCs/>
          <w:sz w:val="24"/>
        </w:rPr>
        <w:t>人，则场区职工生活垃圾产生量为</w:t>
      </w:r>
      <w:r>
        <w:rPr>
          <w:rFonts w:hint="eastAsia"/>
          <w:bCs/>
          <w:sz w:val="24"/>
        </w:rPr>
        <w:t>5</w:t>
      </w:r>
      <w:r>
        <w:rPr>
          <w:bCs/>
          <w:sz w:val="24"/>
        </w:rPr>
        <w:t>kg/d、</w:t>
      </w:r>
      <w:r>
        <w:rPr>
          <w:rFonts w:hint="eastAsia"/>
          <w:bCs/>
          <w:sz w:val="24"/>
        </w:rPr>
        <w:t>1.825</w:t>
      </w:r>
      <w:r>
        <w:rPr>
          <w:bCs/>
          <w:sz w:val="24"/>
        </w:rPr>
        <w:t>t/a。生活垃圾由环卫部门定期收集后运往当地生活垃圾填埋场处置。</w:t>
      </w:r>
    </w:p>
    <w:p>
      <w:pPr>
        <w:spacing w:line="480" w:lineRule="exact"/>
        <w:ind w:firstLine="480" w:firstLineChars="200"/>
        <w:rPr>
          <w:bCs/>
          <w:sz w:val="24"/>
        </w:rPr>
      </w:pPr>
      <w:r>
        <w:rPr>
          <w:bCs/>
          <w:sz w:val="24"/>
        </w:rPr>
        <w:t>项目固体废物产排情况及处置措施见表2.3-13。</w:t>
      </w:r>
    </w:p>
    <w:p>
      <w:pPr>
        <w:spacing w:after="72" w:afterLines="30" w:line="500" w:lineRule="exact"/>
        <w:jc w:val="center"/>
        <w:rPr>
          <w:b/>
          <w:sz w:val="24"/>
        </w:rPr>
      </w:pPr>
      <w:r>
        <w:rPr>
          <w:b/>
          <w:sz w:val="24"/>
        </w:rPr>
        <w:t>表2.3-13     固体废物产排情况及处置措施一览表</w:t>
      </w:r>
    </w:p>
    <w:tbl>
      <w:tblPr>
        <w:tblStyle w:val="17"/>
        <w:tblW w:w="894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27"/>
        <w:gridCol w:w="1566"/>
        <w:gridCol w:w="1276"/>
        <w:gridCol w:w="1274"/>
        <w:gridCol w:w="993"/>
        <w:gridCol w:w="2400"/>
        <w:gridCol w:w="9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527" w:type="dxa"/>
            <w:noWrap w:val="0"/>
            <w:tcMar>
              <w:top w:w="0" w:type="dxa"/>
              <w:left w:w="28" w:type="dxa"/>
              <w:bottom w:w="0" w:type="dxa"/>
              <w:right w:w="28" w:type="dxa"/>
            </w:tcMar>
            <w:vAlign w:val="center"/>
          </w:tcPr>
          <w:p>
            <w:pPr>
              <w:jc w:val="center"/>
              <w:rPr>
                <w:b/>
                <w:bCs/>
                <w:szCs w:val="21"/>
              </w:rPr>
            </w:pPr>
            <w:r>
              <w:rPr>
                <w:b/>
                <w:bCs/>
                <w:szCs w:val="21"/>
              </w:rPr>
              <w:t>序号</w:t>
            </w:r>
          </w:p>
        </w:tc>
        <w:tc>
          <w:tcPr>
            <w:tcW w:w="1566" w:type="dxa"/>
            <w:noWrap w:val="0"/>
            <w:tcMar>
              <w:top w:w="0" w:type="dxa"/>
              <w:left w:w="28" w:type="dxa"/>
              <w:bottom w:w="0" w:type="dxa"/>
              <w:right w:w="28" w:type="dxa"/>
            </w:tcMar>
            <w:vAlign w:val="center"/>
          </w:tcPr>
          <w:p>
            <w:pPr>
              <w:jc w:val="center"/>
              <w:rPr>
                <w:b/>
                <w:bCs/>
                <w:szCs w:val="21"/>
              </w:rPr>
            </w:pPr>
            <w:r>
              <w:rPr>
                <w:b/>
                <w:bCs/>
                <w:szCs w:val="21"/>
              </w:rPr>
              <w:t>产生环节</w:t>
            </w:r>
          </w:p>
        </w:tc>
        <w:tc>
          <w:tcPr>
            <w:tcW w:w="1276" w:type="dxa"/>
            <w:noWrap w:val="0"/>
            <w:tcMar>
              <w:top w:w="0" w:type="dxa"/>
              <w:left w:w="28" w:type="dxa"/>
              <w:bottom w:w="0" w:type="dxa"/>
              <w:right w:w="28" w:type="dxa"/>
            </w:tcMar>
            <w:vAlign w:val="center"/>
          </w:tcPr>
          <w:p>
            <w:pPr>
              <w:jc w:val="center"/>
              <w:rPr>
                <w:b/>
                <w:bCs/>
                <w:szCs w:val="21"/>
              </w:rPr>
            </w:pPr>
            <w:r>
              <w:rPr>
                <w:b/>
                <w:bCs/>
                <w:szCs w:val="21"/>
              </w:rPr>
              <w:t>名称</w:t>
            </w:r>
          </w:p>
        </w:tc>
        <w:tc>
          <w:tcPr>
            <w:tcW w:w="1274" w:type="dxa"/>
            <w:noWrap w:val="0"/>
            <w:tcMar>
              <w:top w:w="0" w:type="dxa"/>
              <w:left w:w="28" w:type="dxa"/>
              <w:bottom w:w="0" w:type="dxa"/>
              <w:right w:w="28" w:type="dxa"/>
            </w:tcMar>
            <w:vAlign w:val="center"/>
          </w:tcPr>
          <w:p>
            <w:pPr>
              <w:jc w:val="center"/>
              <w:rPr>
                <w:b/>
                <w:bCs/>
                <w:szCs w:val="21"/>
              </w:rPr>
            </w:pPr>
            <w:r>
              <w:rPr>
                <w:b/>
                <w:bCs/>
                <w:szCs w:val="21"/>
              </w:rPr>
              <w:t>固废性质</w:t>
            </w:r>
          </w:p>
        </w:tc>
        <w:tc>
          <w:tcPr>
            <w:tcW w:w="993" w:type="dxa"/>
            <w:tcBorders>
              <w:bottom w:val="single" w:color="auto" w:sz="4" w:space="0"/>
            </w:tcBorders>
            <w:noWrap w:val="0"/>
            <w:tcMar>
              <w:top w:w="0" w:type="dxa"/>
              <w:left w:w="28" w:type="dxa"/>
              <w:bottom w:w="0" w:type="dxa"/>
              <w:right w:w="28" w:type="dxa"/>
            </w:tcMar>
            <w:vAlign w:val="center"/>
          </w:tcPr>
          <w:p>
            <w:pPr>
              <w:jc w:val="center"/>
              <w:rPr>
                <w:b/>
                <w:bCs/>
                <w:szCs w:val="21"/>
              </w:rPr>
            </w:pPr>
            <w:r>
              <w:rPr>
                <w:b/>
                <w:bCs/>
                <w:szCs w:val="21"/>
              </w:rPr>
              <w:t>产生量（t/a）</w:t>
            </w:r>
          </w:p>
        </w:tc>
        <w:tc>
          <w:tcPr>
            <w:tcW w:w="2400" w:type="dxa"/>
            <w:tcBorders>
              <w:bottom w:val="single" w:color="auto" w:sz="4" w:space="0"/>
            </w:tcBorders>
            <w:noWrap w:val="0"/>
            <w:tcMar>
              <w:top w:w="0" w:type="dxa"/>
              <w:left w:w="28" w:type="dxa"/>
              <w:bottom w:w="0" w:type="dxa"/>
              <w:right w:w="28" w:type="dxa"/>
            </w:tcMar>
            <w:vAlign w:val="center"/>
          </w:tcPr>
          <w:p>
            <w:pPr>
              <w:jc w:val="center"/>
              <w:rPr>
                <w:b/>
                <w:bCs/>
                <w:szCs w:val="21"/>
              </w:rPr>
            </w:pPr>
            <w:r>
              <w:rPr>
                <w:b/>
                <w:bCs/>
                <w:szCs w:val="21"/>
              </w:rPr>
              <w:t>处置措施</w:t>
            </w:r>
          </w:p>
        </w:tc>
        <w:tc>
          <w:tcPr>
            <w:tcW w:w="910" w:type="dxa"/>
            <w:tcBorders>
              <w:bottom w:val="single" w:color="auto" w:sz="4" w:space="0"/>
            </w:tcBorders>
            <w:noWrap w:val="0"/>
            <w:tcMar>
              <w:top w:w="0" w:type="dxa"/>
              <w:left w:w="28" w:type="dxa"/>
              <w:bottom w:w="0" w:type="dxa"/>
              <w:right w:w="28" w:type="dxa"/>
            </w:tcMar>
            <w:vAlign w:val="center"/>
          </w:tcPr>
          <w:p>
            <w:pPr>
              <w:jc w:val="center"/>
              <w:rPr>
                <w:b/>
                <w:bCs/>
                <w:szCs w:val="21"/>
              </w:rPr>
            </w:pPr>
            <w:r>
              <w:rPr>
                <w:b/>
                <w:bCs/>
                <w:szCs w:val="21"/>
              </w:rPr>
              <w:t>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7" w:type="dxa"/>
            <w:vMerge w:val="restart"/>
            <w:noWrap w:val="0"/>
            <w:tcMar>
              <w:top w:w="0" w:type="dxa"/>
              <w:left w:w="28" w:type="dxa"/>
              <w:bottom w:w="0" w:type="dxa"/>
              <w:right w:w="28" w:type="dxa"/>
            </w:tcMar>
            <w:vAlign w:val="center"/>
          </w:tcPr>
          <w:p>
            <w:pPr>
              <w:jc w:val="center"/>
              <w:rPr>
                <w:bCs/>
                <w:szCs w:val="21"/>
              </w:rPr>
            </w:pPr>
            <w:r>
              <w:rPr>
                <w:bCs/>
                <w:szCs w:val="21"/>
              </w:rPr>
              <w:t>1</w:t>
            </w:r>
          </w:p>
        </w:tc>
        <w:tc>
          <w:tcPr>
            <w:tcW w:w="1566" w:type="dxa"/>
            <w:noWrap w:val="0"/>
            <w:tcMar>
              <w:top w:w="0" w:type="dxa"/>
              <w:left w:w="28" w:type="dxa"/>
              <w:bottom w:w="0" w:type="dxa"/>
              <w:right w:w="28" w:type="dxa"/>
            </w:tcMar>
            <w:vAlign w:val="center"/>
          </w:tcPr>
          <w:p>
            <w:pPr>
              <w:jc w:val="center"/>
              <w:rPr>
                <w:rFonts w:hint="eastAsia"/>
                <w:bCs/>
                <w:szCs w:val="21"/>
              </w:rPr>
            </w:pPr>
            <w:r>
              <w:rPr>
                <w:rFonts w:hint="eastAsia"/>
                <w:bCs/>
                <w:szCs w:val="21"/>
              </w:rPr>
              <w:t>猪舍</w:t>
            </w:r>
          </w:p>
        </w:tc>
        <w:tc>
          <w:tcPr>
            <w:tcW w:w="1276" w:type="dxa"/>
            <w:noWrap w:val="0"/>
            <w:tcMar>
              <w:top w:w="0" w:type="dxa"/>
              <w:left w:w="28" w:type="dxa"/>
              <w:bottom w:w="0" w:type="dxa"/>
              <w:right w:w="28" w:type="dxa"/>
            </w:tcMar>
            <w:vAlign w:val="center"/>
          </w:tcPr>
          <w:p>
            <w:pPr>
              <w:jc w:val="center"/>
              <w:rPr>
                <w:bCs/>
                <w:szCs w:val="21"/>
              </w:rPr>
            </w:pPr>
            <w:r>
              <w:rPr>
                <w:szCs w:val="21"/>
              </w:rPr>
              <w:t>猪粪固形物</w:t>
            </w:r>
          </w:p>
        </w:tc>
        <w:tc>
          <w:tcPr>
            <w:tcW w:w="1274" w:type="dxa"/>
            <w:noWrap w:val="0"/>
            <w:tcMar>
              <w:top w:w="0" w:type="dxa"/>
              <w:left w:w="28" w:type="dxa"/>
              <w:bottom w:w="0" w:type="dxa"/>
              <w:right w:w="28" w:type="dxa"/>
            </w:tcMar>
            <w:vAlign w:val="center"/>
          </w:tcPr>
          <w:p>
            <w:pPr>
              <w:jc w:val="center"/>
              <w:rPr>
                <w:bCs/>
                <w:szCs w:val="21"/>
              </w:rPr>
            </w:pPr>
            <w:r>
              <w:rPr>
                <w:szCs w:val="21"/>
              </w:rPr>
              <w:t>一般固废</w:t>
            </w:r>
          </w:p>
        </w:tc>
        <w:tc>
          <w:tcPr>
            <w:tcW w:w="993" w:type="dxa"/>
            <w:noWrap w:val="0"/>
            <w:tcMar>
              <w:top w:w="0" w:type="dxa"/>
              <w:left w:w="28" w:type="dxa"/>
              <w:bottom w:w="0" w:type="dxa"/>
              <w:right w:w="28" w:type="dxa"/>
            </w:tcMar>
            <w:vAlign w:val="center"/>
          </w:tcPr>
          <w:p>
            <w:pPr>
              <w:jc w:val="center"/>
              <w:rPr>
                <w:rFonts w:hint="eastAsia" w:eastAsia="宋体"/>
                <w:bCs/>
                <w:szCs w:val="21"/>
                <w:lang w:eastAsia="zh-CN"/>
              </w:rPr>
            </w:pPr>
            <w:r>
              <w:rPr>
                <w:rFonts w:hint="eastAsia"/>
                <w:bCs/>
                <w:szCs w:val="21"/>
                <w:lang w:eastAsia="zh-CN"/>
              </w:rPr>
              <w:t>1549.863</w:t>
            </w:r>
          </w:p>
        </w:tc>
        <w:tc>
          <w:tcPr>
            <w:tcW w:w="2400" w:type="dxa"/>
            <w:noWrap w:val="0"/>
            <w:tcMar>
              <w:top w:w="0" w:type="dxa"/>
              <w:left w:w="28" w:type="dxa"/>
              <w:bottom w:w="0" w:type="dxa"/>
              <w:right w:w="28" w:type="dxa"/>
            </w:tcMar>
            <w:vAlign w:val="center"/>
          </w:tcPr>
          <w:p>
            <w:pPr>
              <w:jc w:val="center"/>
              <w:rPr>
                <w:rFonts w:hint="eastAsia"/>
                <w:bCs/>
                <w:szCs w:val="21"/>
              </w:rPr>
            </w:pPr>
            <w:r>
              <w:rPr>
                <w:rFonts w:hint="eastAsia"/>
                <w:bCs/>
                <w:szCs w:val="21"/>
              </w:rPr>
              <w:t>固液分离后生产有机肥基料</w:t>
            </w:r>
          </w:p>
        </w:tc>
        <w:tc>
          <w:tcPr>
            <w:tcW w:w="910" w:type="dxa"/>
            <w:noWrap w:val="0"/>
            <w:tcMar>
              <w:top w:w="0" w:type="dxa"/>
              <w:left w:w="28" w:type="dxa"/>
              <w:bottom w:w="0" w:type="dxa"/>
              <w:right w:w="28" w:type="dxa"/>
            </w:tcMar>
            <w:vAlign w:val="center"/>
          </w:tcPr>
          <w:p>
            <w:pPr>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 w:hRule="atLeast"/>
        </w:trPr>
        <w:tc>
          <w:tcPr>
            <w:tcW w:w="527" w:type="dxa"/>
            <w:vMerge w:val="continue"/>
            <w:noWrap w:val="0"/>
            <w:tcMar>
              <w:top w:w="0" w:type="dxa"/>
              <w:left w:w="28" w:type="dxa"/>
              <w:bottom w:w="0" w:type="dxa"/>
              <w:right w:w="28" w:type="dxa"/>
            </w:tcMar>
            <w:vAlign w:val="center"/>
          </w:tcPr>
          <w:p>
            <w:pPr>
              <w:jc w:val="center"/>
              <w:rPr>
                <w:bCs/>
                <w:szCs w:val="21"/>
              </w:rPr>
            </w:pPr>
          </w:p>
        </w:tc>
        <w:tc>
          <w:tcPr>
            <w:tcW w:w="1566" w:type="dxa"/>
            <w:vMerge w:val="restart"/>
            <w:noWrap w:val="0"/>
            <w:tcMar>
              <w:top w:w="0" w:type="dxa"/>
              <w:left w:w="28" w:type="dxa"/>
              <w:bottom w:w="0" w:type="dxa"/>
              <w:right w:w="28" w:type="dxa"/>
            </w:tcMar>
            <w:vAlign w:val="center"/>
          </w:tcPr>
          <w:p>
            <w:pPr>
              <w:jc w:val="center"/>
              <w:rPr>
                <w:szCs w:val="21"/>
              </w:rPr>
            </w:pPr>
            <w:r>
              <w:rPr>
                <w:rFonts w:hint="eastAsia"/>
                <w:szCs w:val="21"/>
              </w:rPr>
              <w:t>黑膜沼气池</w:t>
            </w:r>
          </w:p>
        </w:tc>
        <w:tc>
          <w:tcPr>
            <w:tcW w:w="1276" w:type="dxa"/>
            <w:vMerge w:val="restart"/>
            <w:noWrap w:val="0"/>
            <w:tcMar>
              <w:top w:w="0" w:type="dxa"/>
              <w:left w:w="28" w:type="dxa"/>
              <w:bottom w:w="0" w:type="dxa"/>
              <w:right w:w="28" w:type="dxa"/>
            </w:tcMar>
            <w:vAlign w:val="center"/>
          </w:tcPr>
          <w:p>
            <w:pPr>
              <w:jc w:val="center"/>
              <w:rPr>
                <w:szCs w:val="21"/>
              </w:rPr>
            </w:pPr>
            <w:r>
              <w:rPr>
                <w:szCs w:val="21"/>
              </w:rPr>
              <w:t>沼渣</w:t>
            </w:r>
          </w:p>
        </w:tc>
        <w:tc>
          <w:tcPr>
            <w:tcW w:w="1274" w:type="dxa"/>
            <w:vMerge w:val="restart"/>
            <w:noWrap w:val="0"/>
            <w:tcMar>
              <w:top w:w="0" w:type="dxa"/>
              <w:left w:w="28" w:type="dxa"/>
              <w:bottom w:w="0" w:type="dxa"/>
              <w:right w:w="28" w:type="dxa"/>
            </w:tcMar>
            <w:vAlign w:val="center"/>
          </w:tcPr>
          <w:p>
            <w:pPr>
              <w:jc w:val="center"/>
              <w:rPr>
                <w:bCs/>
                <w:szCs w:val="21"/>
              </w:rPr>
            </w:pPr>
            <w:r>
              <w:rPr>
                <w:szCs w:val="21"/>
              </w:rPr>
              <w:t>一般固废</w:t>
            </w:r>
          </w:p>
        </w:tc>
        <w:tc>
          <w:tcPr>
            <w:tcW w:w="993" w:type="dxa"/>
            <w:vMerge w:val="restart"/>
            <w:noWrap w:val="0"/>
            <w:tcMar>
              <w:top w:w="0" w:type="dxa"/>
              <w:left w:w="28" w:type="dxa"/>
              <w:bottom w:w="0" w:type="dxa"/>
              <w:right w:w="28" w:type="dxa"/>
            </w:tcMar>
            <w:vAlign w:val="center"/>
          </w:tcPr>
          <w:p>
            <w:pPr>
              <w:jc w:val="center"/>
              <w:rPr>
                <w:rFonts w:hint="eastAsia" w:eastAsia="宋体"/>
                <w:szCs w:val="21"/>
                <w:lang w:eastAsia="zh-CN"/>
              </w:rPr>
            </w:pPr>
            <w:r>
              <w:rPr>
                <w:rFonts w:hint="eastAsia"/>
                <w:szCs w:val="21"/>
                <w:lang w:eastAsia="zh-CN"/>
              </w:rPr>
              <w:t>309.9726</w:t>
            </w:r>
          </w:p>
        </w:tc>
        <w:tc>
          <w:tcPr>
            <w:tcW w:w="2400" w:type="dxa"/>
            <w:vMerge w:val="restart"/>
            <w:noWrap w:val="0"/>
            <w:tcMar>
              <w:top w:w="0" w:type="dxa"/>
              <w:left w:w="28" w:type="dxa"/>
              <w:bottom w:w="0" w:type="dxa"/>
              <w:right w:w="28" w:type="dxa"/>
            </w:tcMar>
            <w:vAlign w:val="center"/>
          </w:tcPr>
          <w:p>
            <w:pPr>
              <w:jc w:val="center"/>
              <w:rPr>
                <w:bCs/>
                <w:szCs w:val="21"/>
              </w:rPr>
            </w:pPr>
            <w:r>
              <w:rPr>
                <w:rFonts w:hint="eastAsia" w:hAnsi="宋体"/>
                <w:bCs/>
                <w:szCs w:val="21"/>
              </w:rPr>
              <w:t>干化后作为基料外售</w:t>
            </w:r>
          </w:p>
        </w:tc>
        <w:tc>
          <w:tcPr>
            <w:tcW w:w="910" w:type="dxa"/>
            <w:noWrap w:val="0"/>
            <w:tcMar>
              <w:top w:w="0" w:type="dxa"/>
              <w:left w:w="28" w:type="dxa"/>
              <w:bottom w:w="0" w:type="dxa"/>
              <w:right w:w="28" w:type="dxa"/>
            </w:tcMar>
            <w:vAlign w:val="center"/>
          </w:tcPr>
          <w:p>
            <w:pPr>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527" w:type="dxa"/>
            <w:vMerge w:val="continue"/>
            <w:noWrap w:val="0"/>
            <w:tcMar>
              <w:top w:w="0" w:type="dxa"/>
              <w:left w:w="28" w:type="dxa"/>
              <w:bottom w:w="0" w:type="dxa"/>
              <w:right w:w="28" w:type="dxa"/>
            </w:tcMar>
            <w:vAlign w:val="center"/>
          </w:tcPr>
          <w:p>
            <w:pPr>
              <w:jc w:val="center"/>
              <w:rPr>
                <w:bCs/>
                <w:szCs w:val="21"/>
              </w:rPr>
            </w:pPr>
          </w:p>
        </w:tc>
        <w:tc>
          <w:tcPr>
            <w:tcW w:w="1566" w:type="dxa"/>
            <w:vMerge w:val="continue"/>
            <w:noWrap w:val="0"/>
            <w:tcMar>
              <w:top w:w="0" w:type="dxa"/>
              <w:left w:w="28" w:type="dxa"/>
              <w:bottom w:w="0" w:type="dxa"/>
              <w:right w:w="28" w:type="dxa"/>
            </w:tcMar>
            <w:vAlign w:val="center"/>
          </w:tcPr>
          <w:p>
            <w:pPr>
              <w:jc w:val="center"/>
              <w:rPr>
                <w:rFonts w:hint="eastAsia"/>
                <w:szCs w:val="21"/>
              </w:rPr>
            </w:pPr>
          </w:p>
        </w:tc>
        <w:tc>
          <w:tcPr>
            <w:tcW w:w="1276" w:type="dxa"/>
            <w:vMerge w:val="continue"/>
            <w:noWrap w:val="0"/>
            <w:tcMar>
              <w:top w:w="0" w:type="dxa"/>
              <w:left w:w="28" w:type="dxa"/>
              <w:bottom w:w="0" w:type="dxa"/>
              <w:right w:w="28" w:type="dxa"/>
            </w:tcMar>
            <w:vAlign w:val="center"/>
          </w:tcPr>
          <w:p>
            <w:pPr>
              <w:jc w:val="center"/>
              <w:rPr>
                <w:szCs w:val="21"/>
              </w:rPr>
            </w:pPr>
          </w:p>
        </w:tc>
        <w:tc>
          <w:tcPr>
            <w:tcW w:w="1274" w:type="dxa"/>
            <w:vMerge w:val="continue"/>
            <w:noWrap w:val="0"/>
            <w:tcMar>
              <w:top w:w="0" w:type="dxa"/>
              <w:left w:w="28" w:type="dxa"/>
              <w:bottom w:w="0" w:type="dxa"/>
              <w:right w:w="28" w:type="dxa"/>
            </w:tcMar>
            <w:vAlign w:val="center"/>
          </w:tcPr>
          <w:p>
            <w:pPr>
              <w:jc w:val="center"/>
              <w:rPr>
                <w:szCs w:val="21"/>
              </w:rPr>
            </w:pPr>
          </w:p>
        </w:tc>
        <w:tc>
          <w:tcPr>
            <w:tcW w:w="993" w:type="dxa"/>
            <w:vMerge w:val="continue"/>
            <w:noWrap w:val="0"/>
            <w:tcMar>
              <w:top w:w="0" w:type="dxa"/>
              <w:left w:w="28" w:type="dxa"/>
              <w:bottom w:w="0" w:type="dxa"/>
              <w:right w:w="28" w:type="dxa"/>
            </w:tcMar>
            <w:vAlign w:val="center"/>
          </w:tcPr>
          <w:p>
            <w:pPr>
              <w:jc w:val="center"/>
              <w:rPr>
                <w:bCs/>
                <w:szCs w:val="21"/>
              </w:rPr>
            </w:pPr>
          </w:p>
        </w:tc>
        <w:tc>
          <w:tcPr>
            <w:tcW w:w="2400" w:type="dxa"/>
            <w:vMerge w:val="continue"/>
            <w:noWrap w:val="0"/>
            <w:tcMar>
              <w:top w:w="0" w:type="dxa"/>
              <w:left w:w="28" w:type="dxa"/>
              <w:bottom w:w="0" w:type="dxa"/>
              <w:right w:w="28" w:type="dxa"/>
            </w:tcMar>
            <w:vAlign w:val="center"/>
          </w:tcPr>
          <w:p>
            <w:pPr>
              <w:jc w:val="center"/>
              <w:rPr>
                <w:bCs/>
                <w:szCs w:val="21"/>
              </w:rPr>
            </w:pPr>
          </w:p>
        </w:tc>
        <w:tc>
          <w:tcPr>
            <w:tcW w:w="910" w:type="dxa"/>
            <w:noWrap w:val="0"/>
            <w:tcMar>
              <w:top w:w="0" w:type="dxa"/>
              <w:left w:w="28" w:type="dxa"/>
              <w:bottom w:w="0" w:type="dxa"/>
              <w:right w:w="28" w:type="dxa"/>
            </w:tcMar>
            <w:vAlign w:val="center"/>
          </w:tcPr>
          <w:p>
            <w:pPr>
              <w:jc w:val="center"/>
              <w:rPr>
                <w:szCs w:val="21"/>
              </w:rPr>
            </w:pPr>
            <w:r>
              <w:rPr>
                <w:rFonts w:hint="eastAsia"/>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7" w:type="dxa"/>
            <w:noWrap w:val="0"/>
            <w:tcMar>
              <w:top w:w="0" w:type="dxa"/>
              <w:left w:w="28" w:type="dxa"/>
              <w:bottom w:w="0" w:type="dxa"/>
              <w:right w:w="28" w:type="dxa"/>
            </w:tcMar>
            <w:vAlign w:val="center"/>
          </w:tcPr>
          <w:p>
            <w:pPr>
              <w:jc w:val="center"/>
              <w:rPr>
                <w:bCs/>
                <w:szCs w:val="21"/>
              </w:rPr>
            </w:pPr>
            <w:r>
              <w:rPr>
                <w:bCs/>
                <w:szCs w:val="21"/>
              </w:rPr>
              <w:t>2</w:t>
            </w:r>
          </w:p>
        </w:tc>
        <w:tc>
          <w:tcPr>
            <w:tcW w:w="1566" w:type="dxa"/>
            <w:noWrap w:val="0"/>
            <w:tcMar>
              <w:top w:w="0" w:type="dxa"/>
              <w:left w:w="28" w:type="dxa"/>
              <w:bottom w:w="0" w:type="dxa"/>
              <w:right w:w="28" w:type="dxa"/>
            </w:tcMar>
            <w:vAlign w:val="center"/>
          </w:tcPr>
          <w:p>
            <w:pPr>
              <w:jc w:val="center"/>
              <w:rPr>
                <w:szCs w:val="21"/>
              </w:rPr>
            </w:pPr>
            <w:r>
              <w:rPr>
                <w:szCs w:val="21"/>
              </w:rPr>
              <w:t>养殖过程</w:t>
            </w:r>
          </w:p>
        </w:tc>
        <w:tc>
          <w:tcPr>
            <w:tcW w:w="1276" w:type="dxa"/>
            <w:noWrap w:val="0"/>
            <w:tcMar>
              <w:top w:w="0" w:type="dxa"/>
              <w:left w:w="28" w:type="dxa"/>
              <w:bottom w:w="0" w:type="dxa"/>
              <w:right w:w="28" w:type="dxa"/>
            </w:tcMar>
            <w:vAlign w:val="center"/>
          </w:tcPr>
          <w:p>
            <w:pPr>
              <w:jc w:val="center"/>
              <w:rPr>
                <w:szCs w:val="21"/>
              </w:rPr>
            </w:pPr>
            <w:r>
              <w:rPr>
                <w:szCs w:val="21"/>
              </w:rPr>
              <w:t>病死猪</w:t>
            </w:r>
          </w:p>
        </w:tc>
        <w:tc>
          <w:tcPr>
            <w:tcW w:w="1274" w:type="dxa"/>
            <w:noWrap w:val="0"/>
            <w:tcMar>
              <w:top w:w="0" w:type="dxa"/>
              <w:left w:w="28" w:type="dxa"/>
              <w:bottom w:w="0" w:type="dxa"/>
              <w:right w:w="28" w:type="dxa"/>
            </w:tcMar>
            <w:vAlign w:val="center"/>
          </w:tcPr>
          <w:p>
            <w:pPr>
              <w:jc w:val="center"/>
              <w:rPr>
                <w:szCs w:val="21"/>
              </w:rPr>
            </w:pPr>
            <w:r>
              <w:rPr>
                <w:szCs w:val="21"/>
              </w:rPr>
              <w:t>一般固废</w:t>
            </w:r>
          </w:p>
        </w:tc>
        <w:tc>
          <w:tcPr>
            <w:tcW w:w="993" w:type="dxa"/>
            <w:noWrap w:val="0"/>
            <w:tcMar>
              <w:top w:w="0" w:type="dxa"/>
              <w:left w:w="28" w:type="dxa"/>
              <w:bottom w:w="0" w:type="dxa"/>
              <w:right w:w="28" w:type="dxa"/>
            </w:tcMar>
            <w:vAlign w:val="center"/>
          </w:tcPr>
          <w:p>
            <w:pPr>
              <w:jc w:val="center"/>
              <w:rPr>
                <w:rFonts w:hint="default" w:eastAsia="宋体"/>
                <w:bCs/>
                <w:szCs w:val="21"/>
                <w:lang w:val="en-US" w:eastAsia="zh-CN"/>
              </w:rPr>
            </w:pPr>
            <w:r>
              <w:rPr>
                <w:rFonts w:hint="eastAsia"/>
                <w:bCs/>
                <w:szCs w:val="21"/>
                <w:lang w:val="en-US" w:eastAsia="zh-CN"/>
              </w:rPr>
              <w:t>6.3</w:t>
            </w:r>
          </w:p>
        </w:tc>
        <w:tc>
          <w:tcPr>
            <w:tcW w:w="2400" w:type="dxa"/>
            <w:noWrap w:val="0"/>
            <w:tcMar>
              <w:top w:w="0" w:type="dxa"/>
              <w:left w:w="28" w:type="dxa"/>
              <w:bottom w:w="0" w:type="dxa"/>
              <w:right w:w="28" w:type="dxa"/>
            </w:tcMar>
            <w:vAlign w:val="center"/>
          </w:tcPr>
          <w:p>
            <w:pPr>
              <w:jc w:val="center"/>
              <w:rPr>
                <w:bCs/>
                <w:szCs w:val="21"/>
              </w:rPr>
            </w:pPr>
            <w:r>
              <w:rPr>
                <w:rFonts w:hint="eastAsia"/>
                <w:bCs/>
                <w:szCs w:val="21"/>
              </w:rPr>
              <w:t>送至正阳县畜禽无害化处理中心处理</w:t>
            </w:r>
          </w:p>
        </w:tc>
        <w:tc>
          <w:tcPr>
            <w:tcW w:w="910" w:type="dxa"/>
            <w:noWrap w:val="0"/>
            <w:tcMar>
              <w:top w:w="0" w:type="dxa"/>
              <w:left w:w="28" w:type="dxa"/>
              <w:bottom w:w="0" w:type="dxa"/>
              <w:right w:w="28" w:type="dxa"/>
            </w:tcMar>
            <w:vAlign w:val="center"/>
          </w:tcPr>
          <w:p>
            <w:pPr>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7" w:type="dxa"/>
            <w:noWrap w:val="0"/>
            <w:tcMar>
              <w:top w:w="0" w:type="dxa"/>
              <w:left w:w="28" w:type="dxa"/>
              <w:bottom w:w="0" w:type="dxa"/>
              <w:right w:w="28" w:type="dxa"/>
            </w:tcMar>
            <w:vAlign w:val="center"/>
          </w:tcPr>
          <w:p>
            <w:pPr>
              <w:jc w:val="center"/>
              <w:rPr>
                <w:bCs/>
                <w:szCs w:val="21"/>
              </w:rPr>
            </w:pPr>
            <w:r>
              <w:rPr>
                <w:bCs/>
                <w:szCs w:val="21"/>
              </w:rPr>
              <w:t>3</w:t>
            </w:r>
          </w:p>
        </w:tc>
        <w:tc>
          <w:tcPr>
            <w:tcW w:w="1566" w:type="dxa"/>
            <w:noWrap w:val="0"/>
            <w:tcMar>
              <w:top w:w="0" w:type="dxa"/>
              <w:left w:w="28" w:type="dxa"/>
              <w:bottom w:w="0" w:type="dxa"/>
              <w:right w:w="28" w:type="dxa"/>
            </w:tcMar>
            <w:vAlign w:val="center"/>
          </w:tcPr>
          <w:p>
            <w:pPr>
              <w:jc w:val="center"/>
              <w:rPr>
                <w:szCs w:val="21"/>
              </w:rPr>
            </w:pPr>
            <w:r>
              <w:rPr>
                <w:szCs w:val="21"/>
              </w:rPr>
              <w:t>防疫</w:t>
            </w:r>
          </w:p>
        </w:tc>
        <w:tc>
          <w:tcPr>
            <w:tcW w:w="1276" w:type="dxa"/>
            <w:noWrap w:val="0"/>
            <w:tcMar>
              <w:top w:w="0" w:type="dxa"/>
              <w:left w:w="28" w:type="dxa"/>
              <w:bottom w:w="0" w:type="dxa"/>
              <w:right w:w="28" w:type="dxa"/>
            </w:tcMar>
            <w:vAlign w:val="center"/>
          </w:tcPr>
          <w:p>
            <w:pPr>
              <w:jc w:val="center"/>
              <w:rPr>
                <w:szCs w:val="21"/>
              </w:rPr>
            </w:pPr>
            <w:r>
              <w:rPr>
                <w:szCs w:val="21"/>
              </w:rPr>
              <w:t>医疗固废</w:t>
            </w:r>
          </w:p>
        </w:tc>
        <w:tc>
          <w:tcPr>
            <w:tcW w:w="1274" w:type="dxa"/>
            <w:noWrap w:val="0"/>
            <w:tcMar>
              <w:top w:w="0" w:type="dxa"/>
              <w:left w:w="28" w:type="dxa"/>
              <w:bottom w:w="0" w:type="dxa"/>
              <w:right w:w="28" w:type="dxa"/>
            </w:tcMar>
            <w:vAlign w:val="center"/>
          </w:tcPr>
          <w:p>
            <w:pPr>
              <w:jc w:val="center"/>
              <w:rPr>
                <w:szCs w:val="21"/>
              </w:rPr>
            </w:pPr>
            <w:r>
              <w:rPr>
                <w:szCs w:val="21"/>
              </w:rPr>
              <w:t>危险废物</w:t>
            </w:r>
          </w:p>
          <w:p>
            <w:pPr>
              <w:jc w:val="center"/>
              <w:rPr>
                <w:szCs w:val="21"/>
              </w:rPr>
            </w:pPr>
            <w:r>
              <w:rPr>
                <w:szCs w:val="21"/>
              </w:rPr>
              <w:t>（HW01）</w:t>
            </w:r>
          </w:p>
        </w:tc>
        <w:tc>
          <w:tcPr>
            <w:tcW w:w="993" w:type="dxa"/>
            <w:noWrap w:val="0"/>
            <w:tcMar>
              <w:top w:w="0" w:type="dxa"/>
              <w:left w:w="28" w:type="dxa"/>
              <w:bottom w:w="0" w:type="dxa"/>
              <w:right w:w="28" w:type="dxa"/>
            </w:tcMar>
            <w:vAlign w:val="center"/>
          </w:tcPr>
          <w:p>
            <w:pPr>
              <w:jc w:val="center"/>
              <w:rPr>
                <w:rFonts w:hint="eastAsia" w:eastAsia="宋体"/>
                <w:szCs w:val="21"/>
                <w:lang w:eastAsia="zh-CN"/>
              </w:rPr>
            </w:pPr>
            <w:r>
              <w:rPr>
                <w:rFonts w:hint="eastAsia"/>
                <w:szCs w:val="21"/>
                <w:lang w:eastAsia="zh-CN"/>
              </w:rPr>
              <w:t>0.021</w:t>
            </w:r>
          </w:p>
        </w:tc>
        <w:tc>
          <w:tcPr>
            <w:tcW w:w="2400" w:type="dxa"/>
            <w:noWrap w:val="0"/>
            <w:tcMar>
              <w:top w:w="0" w:type="dxa"/>
              <w:left w:w="28" w:type="dxa"/>
              <w:bottom w:w="0" w:type="dxa"/>
              <w:right w:w="28" w:type="dxa"/>
            </w:tcMar>
            <w:vAlign w:val="center"/>
          </w:tcPr>
          <w:p>
            <w:pPr>
              <w:jc w:val="center"/>
              <w:rPr>
                <w:rFonts w:hint="eastAsia"/>
                <w:szCs w:val="21"/>
              </w:rPr>
            </w:pPr>
            <w:r>
              <w:rPr>
                <w:rFonts w:hint="eastAsia"/>
                <w:szCs w:val="21"/>
                <w:lang w:bidi="ar"/>
              </w:rPr>
              <w:t>交由有资质的单位进行处理</w:t>
            </w:r>
          </w:p>
        </w:tc>
        <w:tc>
          <w:tcPr>
            <w:tcW w:w="910" w:type="dxa"/>
            <w:noWrap w:val="0"/>
            <w:tcMar>
              <w:top w:w="0" w:type="dxa"/>
              <w:left w:w="28" w:type="dxa"/>
              <w:bottom w:w="0" w:type="dxa"/>
              <w:right w:w="28" w:type="dxa"/>
            </w:tcMar>
            <w:vAlign w:val="center"/>
          </w:tcPr>
          <w:p>
            <w:pPr>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7" w:type="dxa"/>
            <w:noWrap w:val="0"/>
            <w:tcMar>
              <w:top w:w="0" w:type="dxa"/>
              <w:left w:w="28" w:type="dxa"/>
              <w:bottom w:w="0" w:type="dxa"/>
              <w:right w:w="28" w:type="dxa"/>
            </w:tcMar>
            <w:vAlign w:val="center"/>
          </w:tcPr>
          <w:p>
            <w:pPr>
              <w:jc w:val="center"/>
              <w:rPr>
                <w:bCs/>
                <w:szCs w:val="21"/>
              </w:rPr>
            </w:pPr>
            <w:r>
              <w:rPr>
                <w:bCs/>
                <w:szCs w:val="21"/>
              </w:rPr>
              <w:t>4</w:t>
            </w:r>
          </w:p>
        </w:tc>
        <w:tc>
          <w:tcPr>
            <w:tcW w:w="1566" w:type="dxa"/>
            <w:noWrap w:val="0"/>
            <w:tcMar>
              <w:top w:w="0" w:type="dxa"/>
              <w:left w:w="28" w:type="dxa"/>
              <w:bottom w:w="0" w:type="dxa"/>
              <w:right w:w="28" w:type="dxa"/>
            </w:tcMar>
            <w:vAlign w:val="center"/>
          </w:tcPr>
          <w:p>
            <w:pPr>
              <w:jc w:val="center"/>
              <w:rPr>
                <w:szCs w:val="21"/>
              </w:rPr>
            </w:pPr>
            <w:r>
              <w:rPr>
                <w:szCs w:val="21"/>
              </w:rPr>
              <w:t>职工生活</w:t>
            </w:r>
          </w:p>
        </w:tc>
        <w:tc>
          <w:tcPr>
            <w:tcW w:w="1276" w:type="dxa"/>
            <w:noWrap w:val="0"/>
            <w:tcMar>
              <w:top w:w="0" w:type="dxa"/>
              <w:left w:w="28" w:type="dxa"/>
              <w:bottom w:w="0" w:type="dxa"/>
              <w:right w:w="28" w:type="dxa"/>
            </w:tcMar>
            <w:vAlign w:val="center"/>
          </w:tcPr>
          <w:p>
            <w:pPr>
              <w:jc w:val="center"/>
              <w:rPr>
                <w:szCs w:val="21"/>
              </w:rPr>
            </w:pPr>
            <w:r>
              <w:rPr>
                <w:szCs w:val="21"/>
              </w:rPr>
              <w:t>生活垃圾</w:t>
            </w:r>
          </w:p>
        </w:tc>
        <w:tc>
          <w:tcPr>
            <w:tcW w:w="1274" w:type="dxa"/>
            <w:noWrap w:val="0"/>
            <w:tcMar>
              <w:top w:w="0" w:type="dxa"/>
              <w:left w:w="28" w:type="dxa"/>
              <w:bottom w:w="0" w:type="dxa"/>
              <w:right w:w="28" w:type="dxa"/>
            </w:tcMar>
            <w:vAlign w:val="center"/>
          </w:tcPr>
          <w:p>
            <w:pPr>
              <w:jc w:val="center"/>
              <w:rPr>
                <w:szCs w:val="21"/>
              </w:rPr>
            </w:pPr>
            <w:r>
              <w:rPr>
                <w:szCs w:val="21"/>
              </w:rPr>
              <w:t>一般固废</w:t>
            </w:r>
          </w:p>
        </w:tc>
        <w:tc>
          <w:tcPr>
            <w:tcW w:w="993" w:type="dxa"/>
            <w:noWrap w:val="0"/>
            <w:tcMar>
              <w:top w:w="0" w:type="dxa"/>
              <w:left w:w="28" w:type="dxa"/>
              <w:bottom w:w="0" w:type="dxa"/>
              <w:right w:w="28" w:type="dxa"/>
            </w:tcMar>
            <w:vAlign w:val="center"/>
          </w:tcPr>
          <w:p>
            <w:pPr>
              <w:jc w:val="center"/>
              <w:rPr>
                <w:szCs w:val="21"/>
              </w:rPr>
            </w:pPr>
            <w:r>
              <w:rPr>
                <w:rFonts w:hint="eastAsia"/>
                <w:szCs w:val="21"/>
              </w:rPr>
              <w:t>1.825</w:t>
            </w:r>
          </w:p>
        </w:tc>
        <w:tc>
          <w:tcPr>
            <w:tcW w:w="2400" w:type="dxa"/>
            <w:noWrap w:val="0"/>
            <w:tcMar>
              <w:top w:w="0" w:type="dxa"/>
              <w:left w:w="28" w:type="dxa"/>
              <w:bottom w:w="0" w:type="dxa"/>
              <w:right w:w="28" w:type="dxa"/>
            </w:tcMar>
            <w:vAlign w:val="center"/>
          </w:tcPr>
          <w:p>
            <w:pPr>
              <w:jc w:val="center"/>
              <w:rPr>
                <w:szCs w:val="21"/>
              </w:rPr>
            </w:pPr>
            <w:r>
              <w:rPr>
                <w:szCs w:val="21"/>
              </w:rPr>
              <w:t>送交环卫部门处理</w:t>
            </w:r>
          </w:p>
        </w:tc>
        <w:tc>
          <w:tcPr>
            <w:tcW w:w="910" w:type="dxa"/>
            <w:noWrap w:val="0"/>
            <w:tcMar>
              <w:top w:w="0" w:type="dxa"/>
              <w:left w:w="28" w:type="dxa"/>
              <w:bottom w:w="0" w:type="dxa"/>
              <w:right w:w="28" w:type="dxa"/>
            </w:tcMar>
            <w:vAlign w:val="center"/>
          </w:tcPr>
          <w:p>
            <w:pPr>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7" w:type="dxa"/>
            <w:noWrap w:val="0"/>
            <w:tcMar>
              <w:top w:w="0" w:type="dxa"/>
              <w:left w:w="28" w:type="dxa"/>
              <w:bottom w:w="0" w:type="dxa"/>
              <w:right w:w="28" w:type="dxa"/>
            </w:tcMar>
            <w:vAlign w:val="center"/>
          </w:tcPr>
          <w:p>
            <w:pPr>
              <w:jc w:val="center"/>
              <w:rPr>
                <w:bCs/>
                <w:szCs w:val="21"/>
              </w:rPr>
            </w:pPr>
            <w:r>
              <w:rPr>
                <w:bCs/>
                <w:szCs w:val="21"/>
              </w:rPr>
              <w:t>5</w:t>
            </w:r>
          </w:p>
        </w:tc>
        <w:tc>
          <w:tcPr>
            <w:tcW w:w="1566" w:type="dxa"/>
            <w:noWrap w:val="0"/>
            <w:tcMar>
              <w:top w:w="0" w:type="dxa"/>
              <w:left w:w="28" w:type="dxa"/>
              <w:bottom w:w="0" w:type="dxa"/>
              <w:right w:w="28" w:type="dxa"/>
            </w:tcMar>
            <w:vAlign w:val="center"/>
          </w:tcPr>
          <w:p>
            <w:pPr>
              <w:jc w:val="center"/>
              <w:rPr>
                <w:szCs w:val="21"/>
              </w:rPr>
            </w:pPr>
            <w:r>
              <w:rPr>
                <w:szCs w:val="21"/>
              </w:rPr>
              <w:t>沼气脱硫装置</w:t>
            </w:r>
          </w:p>
        </w:tc>
        <w:tc>
          <w:tcPr>
            <w:tcW w:w="1276" w:type="dxa"/>
            <w:noWrap w:val="0"/>
            <w:tcMar>
              <w:top w:w="0" w:type="dxa"/>
              <w:left w:w="28" w:type="dxa"/>
              <w:bottom w:w="0" w:type="dxa"/>
              <w:right w:w="28" w:type="dxa"/>
            </w:tcMar>
            <w:vAlign w:val="center"/>
          </w:tcPr>
          <w:p>
            <w:pPr>
              <w:jc w:val="center"/>
              <w:rPr>
                <w:szCs w:val="21"/>
              </w:rPr>
            </w:pPr>
            <w:r>
              <w:rPr>
                <w:szCs w:val="21"/>
              </w:rPr>
              <w:t>废脱硫剂</w:t>
            </w:r>
          </w:p>
        </w:tc>
        <w:tc>
          <w:tcPr>
            <w:tcW w:w="1274" w:type="dxa"/>
            <w:noWrap w:val="0"/>
            <w:tcMar>
              <w:top w:w="0" w:type="dxa"/>
              <w:left w:w="28" w:type="dxa"/>
              <w:bottom w:w="0" w:type="dxa"/>
              <w:right w:w="28" w:type="dxa"/>
            </w:tcMar>
            <w:vAlign w:val="center"/>
          </w:tcPr>
          <w:p>
            <w:pPr>
              <w:jc w:val="center"/>
              <w:rPr>
                <w:szCs w:val="21"/>
              </w:rPr>
            </w:pPr>
            <w:r>
              <w:rPr>
                <w:szCs w:val="21"/>
              </w:rPr>
              <w:t>一般固废</w:t>
            </w:r>
          </w:p>
        </w:tc>
        <w:tc>
          <w:tcPr>
            <w:tcW w:w="993" w:type="dxa"/>
            <w:noWrap w:val="0"/>
            <w:tcMar>
              <w:top w:w="0" w:type="dxa"/>
              <w:left w:w="28" w:type="dxa"/>
              <w:bottom w:w="0" w:type="dxa"/>
              <w:right w:w="28" w:type="dxa"/>
            </w:tcMar>
            <w:vAlign w:val="center"/>
          </w:tcPr>
          <w:p>
            <w:pPr>
              <w:jc w:val="center"/>
              <w:rPr>
                <w:rFonts w:hint="eastAsia" w:eastAsia="宋体"/>
                <w:szCs w:val="21"/>
                <w:lang w:eastAsia="zh-CN"/>
              </w:rPr>
            </w:pPr>
            <w:r>
              <w:rPr>
                <w:rFonts w:hint="eastAsia"/>
                <w:szCs w:val="21"/>
                <w:lang w:eastAsia="zh-CN"/>
              </w:rPr>
              <w:t>0.043</w:t>
            </w:r>
          </w:p>
        </w:tc>
        <w:tc>
          <w:tcPr>
            <w:tcW w:w="2400" w:type="dxa"/>
            <w:noWrap w:val="0"/>
            <w:tcMar>
              <w:top w:w="0" w:type="dxa"/>
              <w:left w:w="28" w:type="dxa"/>
              <w:bottom w:w="0" w:type="dxa"/>
              <w:right w:w="28" w:type="dxa"/>
            </w:tcMar>
            <w:vAlign w:val="center"/>
          </w:tcPr>
          <w:p>
            <w:pPr>
              <w:jc w:val="center"/>
              <w:rPr>
                <w:b/>
                <w:szCs w:val="21"/>
                <w:u w:val="single"/>
              </w:rPr>
            </w:pPr>
            <w:r>
              <w:rPr>
                <w:szCs w:val="21"/>
              </w:rPr>
              <w:t>由生产厂家统一回收</w:t>
            </w:r>
          </w:p>
        </w:tc>
        <w:tc>
          <w:tcPr>
            <w:tcW w:w="910" w:type="dxa"/>
            <w:noWrap w:val="0"/>
            <w:tcMar>
              <w:top w:w="0" w:type="dxa"/>
              <w:left w:w="28" w:type="dxa"/>
              <w:bottom w:w="0" w:type="dxa"/>
              <w:right w:w="28" w:type="dxa"/>
            </w:tcMar>
            <w:vAlign w:val="center"/>
          </w:tcPr>
          <w:p>
            <w:pPr>
              <w:jc w:val="center"/>
              <w:rPr>
                <w:szCs w:val="21"/>
              </w:rPr>
            </w:pPr>
            <w:r>
              <w:rPr>
                <w:szCs w:val="21"/>
              </w:rPr>
              <w:t>0</w:t>
            </w:r>
          </w:p>
        </w:tc>
      </w:tr>
    </w:tbl>
    <w:p>
      <w:pPr>
        <w:snapToGrid w:val="0"/>
        <w:spacing w:line="520" w:lineRule="exact"/>
        <w:outlineLvl w:val="1"/>
        <w:rPr>
          <w:rFonts w:eastAsia="黑体"/>
          <w:bCs/>
          <w:sz w:val="28"/>
          <w:szCs w:val="28"/>
        </w:rPr>
      </w:pPr>
      <w:bookmarkStart w:id="291" w:name="_Toc311979820"/>
      <w:bookmarkStart w:id="292" w:name="_Toc388881920"/>
      <w:bookmarkStart w:id="293" w:name="_Toc445457721"/>
      <w:bookmarkStart w:id="294" w:name="_Toc413166139"/>
      <w:bookmarkStart w:id="295" w:name="_Toc27091"/>
      <w:bookmarkStart w:id="296" w:name="_Toc311979865"/>
      <w:bookmarkStart w:id="297" w:name="_Toc311979933"/>
      <w:bookmarkStart w:id="298" w:name="_Toc31767"/>
      <w:bookmarkStart w:id="299" w:name="_Toc9539"/>
      <w:bookmarkStart w:id="300" w:name="_Toc407001412"/>
      <w:bookmarkStart w:id="301" w:name="_Toc406847419"/>
      <w:r>
        <w:rPr>
          <w:rFonts w:eastAsia="黑体"/>
          <w:bCs/>
          <w:sz w:val="28"/>
          <w:szCs w:val="28"/>
        </w:rPr>
        <w:t>2.4 项目主要污染物产排情况</w:t>
      </w:r>
      <w:bookmarkEnd w:id="291"/>
      <w:bookmarkEnd w:id="292"/>
      <w:bookmarkEnd w:id="293"/>
      <w:bookmarkEnd w:id="294"/>
      <w:bookmarkEnd w:id="295"/>
      <w:bookmarkEnd w:id="296"/>
      <w:bookmarkEnd w:id="297"/>
      <w:bookmarkEnd w:id="298"/>
      <w:bookmarkEnd w:id="299"/>
      <w:bookmarkEnd w:id="300"/>
      <w:bookmarkEnd w:id="301"/>
    </w:p>
    <w:p>
      <w:pPr>
        <w:tabs>
          <w:tab w:val="left" w:pos="2835"/>
        </w:tabs>
        <w:adjustRightInd w:val="0"/>
        <w:snapToGrid w:val="0"/>
        <w:spacing w:line="520" w:lineRule="exact"/>
        <w:ind w:firstLine="480" w:firstLineChars="200"/>
        <w:rPr>
          <w:sz w:val="24"/>
        </w:rPr>
      </w:pPr>
      <w:r>
        <w:rPr>
          <w:sz w:val="24"/>
        </w:rPr>
        <w:t>项目主要污染物产排情况见表2.4-1。</w:t>
      </w:r>
    </w:p>
    <w:p>
      <w:pPr>
        <w:rPr>
          <w:sz w:val="24"/>
        </w:rPr>
        <w:sectPr>
          <w:pgSz w:w="11906" w:h="16838"/>
          <w:pgMar w:top="1984" w:right="1587" w:bottom="1701" w:left="1587" w:header="851" w:footer="992" w:gutter="0"/>
          <w:pgNumType w:fmt="numberInDash"/>
          <w:cols w:space="720" w:num="1"/>
          <w:docGrid w:linePitch="312" w:charSpace="0"/>
        </w:sectPr>
      </w:pPr>
    </w:p>
    <w:p>
      <w:pPr>
        <w:spacing w:after="72" w:afterLines="30" w:line="500" w:lineRule="exact"/>
        <w:jc w:val="center"/>
        <w:rPr>
          <w:b/>
          <w:sz w:val="24"/>
        </w:rPr>
      </w:pPr>
      <w:r>
        <w:rPr>
          <w:b/>
          <w:sz w:val="24"/>
        </w:rPr>
        <w:t>表2.4-1    项目污染物产排汇总情况一览表</w:t>
      </w:r>
    </w:p>
    <w:tbl>
      <w:tblPr>
        <w:tblStyle w:val="17"/>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55"/>
        <w:gridCol w:w="1358"/>
        <w:gridCol w:w="2123"/>
        <w:gridCol w:w="1242"/>
        <w:gridCol w:w="1135"/>
        <w:gridCol w:w="1243"/>
        <w:gridCol w:w="1265"/>
        <w:gridCol w:w="985"/>
        <w:gridCol w:w="356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1813" w:type="dxa"/>
            <w:gridSpan w:val="2"/>
            <w:tcBorders>
              <w:top w:val="single" w:color="auto" w:sz="12" w:space="0"/>
              <w:left w:val="single" w:color="auto" w:sz="12" w:space="0"/>
            </w:tcBorders>
            <w:noWrap w:val="0"/>
            <w:vAlign w:val="center"/>
          </w:tcPr>
          <w:p>
            <w:pPr>
              <w:adjustRightInd w:val="0"/>
              <w:snapToGrid w:val="0"/>
              <w:spacing w:line="320" w:lineRule="exact"/>
              <w:jc w:val="center"/>
              <w:rPr>
                <w:b/>
                <w:szCs w:val="21"/>
              </w:rPr>
            </w:pPr>
            <w:r>
              <w:rPr>
                <w:b/>
                <w:szCs w:val="21"/>
              </w:rPr>
              <w:t>项目</w:t>
            </w:r>
          </w:p>
        </w:tc>
        <w:tc>
          <w:tcPr>
            <w:tcW w:w="2123" w:type="dxa"/>
            <w:tcBorders>
              <w:top w:val="single" w:color="auto" w:sz="12" w:space="0"/>
            </w:tcBorders>
            <w:noWrap w:val="0"/>
            <w:vAlign w:val="center"/>
          </w:tcPr>
          <w:p>
            <w:pPr>
              <w:adjustRightInd w:val="0"/>
              <w:snapToGrid w:val="0"/>
              <w:spacing w:line="320" w:lineRule="exact"/>
              <w:jc w:val="center"/>
              <w:rPr>
                <w:b/>
                <w:szCs w:val="21"/>
              </w:rPr>
            </w:pPr>
            <w:r>
              <w:rPr>
                <w:b/>
                <w:szCs w:val="21"/>
              </w:rPr>
              <w:t>污染物</w:t>
            </w:r>
          </w:p>
          <w:p>
            <w:pPr>
              <w:adjustRightInd w:val="0"/>
              <w:snapToGrid w:val="0"/>
              <w:spacing w:line="320" w:lineRule="exact"/>
              <w:jc w:val="center"/>
              <w:rPr>
                <w:b/>
                <w:szCs w:val="21"/>
              </w:rPr>
            </w:pPr>
            <w:r>
              <w:rPr>
                <w:b/>
                <w:szCs w:val="21"/>
              </w:rPr>
              <w:t>名称</w:t>
            </w:r>
          </w:p>
        </w:tc>
        <w:tc>
          <w:tcPr>
            <w:tcW w:w="1242" w:type="dxa"/>
            <w:tcBorders>
              <w:top w:val="single" w:color="auto" w:sz="12" w:space="0"/>
            </w:tcBorders>
            <w:noWrap w:val="0"/>
            <w:vAlign w:val="center"/>
          </w:tcPr>
          <w:p>
            <w:pPr>
              <w:adjustRightInd w:val="0"/>
              <w:snapToGrid w:val="0"/>
              <w:spacing w:line="320" w:lineRule="exact"/>
              <w:jc w:val="center"/>
              <w:rPr>
                <w:b/>
                <w:szCs w:val="21"/>
              </w:rPr>
            </w:pPr>
            <w:r>
              <w:rPr>
                <w:b/>
                <w:szCs w:val="21"/>
              </w:rPr>
              <w:t>产生浓度</w:t>
            </w:r>
            <w:r>
              <w:rPr>
                <w:bCs/>
                <w:szCs w:val="21"/>
              </w:rPr>
              <w:t>mg/m</w:t>
            </w:r>
            <w:r>
              <w:rPr>
                <w:bCs/>
                <w:szCs w:val="21"/>
                <w:vertAlign w:val="superscript"/>
              </w:rPr>
              <w:t>3</w:t>
            </w:r>
            <w:r>
              <w:rPr>
                <w:bCs/>
                <w:szCs w:val="21"/>
              </w:rPr>
              <w:t>（mg/L）</w:t>
            </w:r>
          </w:p>
        </w:tc>
        <w:tc>
          <w:tcPr>
            <w:tcW w:w="1135" w:type="dxa"/>
            <w:tcBorders>
              <w:top w:val="single" w:color="auto" w:sz="12" w:space="0"/>
            </w:tcBorders>
            <w:noWrap w:val="0"/>
            <w:vAlign w:val="center"/>
          </w:tcPr>
          <w:p>
            <w:pPr>
              <w:adjustRightInd w:val="0"/>
              <w:snapToGrid w:val="0"/>
              <w:spacing w:line="320" w:lineRule="exact"/>
              <w:jc w:val="center"/>
              <w:rPr>
                <w:b/>
                <w:szCs w:val="21"/>
              </w:rPr>
            </w:pPr>
            <w:r>
              <w:rPr>
                <w:b/>
                <w:szCs w:val="21"/>
              </w:rPr>
              <w:t>产生量</w:t>
            </w:r>
          </w:p>
          <w:p>
            <w:pPr>
              <w:adjustRightInd w:val="0"/>
              <w:snapToGrid w:val="0"/>
              <w:spacing w:line="320" w:lineRule="exact"/>
              <w:jc w:val="center"/>
              <w:rPr>
                <w:b/>
                <w:szCs w:val="21"/>
              </w:rPr>
            </w:pPr>
            <w:r>
              <w:rPr>
                <w:b/>
                <w:szCs w:val="21"/>
              </w:rPr>
              <w:t>（t/a）</w:t>
            </w:r>
          </w:p>
        </w:tc>
        <w:tc>
          <w:tcPr>
            <w:tcW w:w="1243" w:type="dxa"/>
            <w:tcBorders>
              <w:top w:val="single" w:color="auto" w:sz="12" w:space="0"/>
            </w:tcBorders>
            <w:noWrap w:val="0"/>
            <w:vAlign w:val="center"/>
          </w:tcPr>
          <w:p>
            <w:pPr>
              <w:adjustRightInd w:val="0"/>
              <w:snapToGrid w:val="0"/>
              <w:spacing w:line="320" w:lineRule="exact"/>
              <w:jc w:val="center"/>
              <w:rPr>
                <w:b/>
                <w:szCs w:val="21"/>
              </w:rPr>
            </w:pPr>
            <w:r>
              <w:rPr>
                <w:b/>
                <w:szCs w:val="21"/>
              </w:rPr>
              <w:t>削减量</w:t>
            </w:r>
          </w:p>
          <w:p>
            <w:pPr>
              <w:adjustRightInd w:val="0"/>
              <w:snapToGrid w:val="0"/>
              <w:spacing w:line="320" w:lineRule="exact"/>
              <w:jc w:val="center"/>
              <w:rPr>
                <w:b/>
                <w:szCs w:val="21"/>
              </w:rPr>
            </w:pPr>
            <w:r>
              <w:rPr>
                <w:b/>
                <w:szCs w:val="21"/>
              </w:rPr>
              <w:t>（t/a）</w:t>
            </w:r>
          </w:p>
        </w:tc>
        <w:tc>
          <w:tcPr>
            <w:tcW w:w="1265" w:type="dxa"/>
            <w:tcBorders>
              <w:top w:val="single" w:color="auto" w:sz="12" w:space="0"/>
            </w:tcBorders>
            <w:noWrap w:val="0"/>
            <w:vAlign w:val="center"/>
          </w:tcPr>
          <w:p>
            <w:pPr>
              <w:adjustRightInd w:val="0"/>
              <w:snapToGrid w:val="0"/>
              <w:spacing w:line="320" w:lineRule="exact"/>
              <w:jc w:val="center"/>
              <w:rPr>
                <w:b/>
                <w:szCs w:val="21"/>
              </w:rPr>
            </w:pPr>
            <w:r>
              <w:rPr>
                <w:b/>
                <w:szCs w:val="21"/>
              </w:rPr>
              <w:t>处理后</w:t>
            </w:r>
          </w:p>
          <w:p>
            <w:pPr>
              <w:adjustRightInd w:val="0"/>
              <w:snapToGrid w:val="0"/>
              <w:spacing w:line="320" w:lineRule="exact"/>
              <w:jc w:val="center"/>
              <w:rPr>
                <w:b/>
                <w:szCs w:val="21"/>
              </w:rPr>
            </w:pPr>
            <w:r>
              <w:rPr>
                <w:b/>
                <w:szCs w:val="21"/>
              </w:rPr>
              <w:t>浓度</w:t>
            </w:r>
            <w:r>
              <w:rPr>
                <w:bCs/>
                <w:szCs w:val="21"/>
              </w:rPr>
              <w:t>mg/m</w:t>
            </w:r>
            <w:r>
              <w:rPr>
                <w:bCs/>
                <w:szCs w:val="21"/>
                <w:vertAlign w:val="superscript"/>
              </w:rPr>
              <w:t>3</w:t>
            </w:r>
            <w:r>
              <w:rPr>
                <w:bCs/>
                <w:szCs w:val="21"/>
              </w:rPr>
              <w:t>（mg/L）</w:t>
            </w:r>
          </w:p>
        </w:tc>
        <w:tc>
          <w:tcPr>
            <w:tcW w:w="985" w:type="dxa"/>
            <w:tcBorders>
              <w:top w:val="single" w:color="auto" w:sz="12" w:space="0"/>
            </w:tcBorders>
            <w:noWrap w:val="0"/>
            <w:vAlign w:val="center"/>
          </w:tcPr>
          <w:p>
            <w:pPr>
              <w:adjustRightInd w:val="0"/>
              <w:snapToGrid w:val="0"/>
              <w:spacing w:line="320" w:lineRule="exact"/>
              <w:jc w:val="center"/>
              <w:rPr>
                <w:b/>
                <w:szCs w:val="21"/>
              </w:rPr>
            </w:pPr>
            <w:r>
              <w:rPr>
                <w:b/>
                <w:szCs w:val="21"/>
              </w:rPr>
              <w:t>排放量</w:t>
            </w:r>
          </w:p>
          <w:p>
            <w:pPr>
              <w:adjustRightInd w:val="0"/>
              <w:snapToGrid w:val="0"/>
              <w:spacing w:line="320" w:lineRule="exact"/>
              <w:jc w:val="center"/>
              <w:rPr>
                <w:b/>
                <w:szCs w:val="21"/>
              </w:rPr>
            </w:pPr>
            <w:r>
              <w:rPr>
                <w:b/>
                <w:szCs w:val="21"/>
              </w:rPr>
              <w:t>（t/a）</w:t>
            </w:r>
          </w:p>
        </w:tc>
        <w:tc>
          <w:tcPr>
            <w:tcW w:w="3562" w:type="dxa"/>
            <w:tcBorders>
              <w:top w:val="single" w:color="auto" w:sz="12" w:space="0"/>
              <w:right w:val="single" w:color="auto" w:sz="12" w:space="0"/>
            </w:tcBorders>
            <w:noWrap w:val="0"/>
            <w:vAlign w:val="center"/>
          </w:tcPr>
          <w:p>
            <w:pPr>
              <w:adjustRightInd w:val="0"/>
              <w:snapToGrid w:val="0"/>
              <w:spacing w:line="320" w:lineRule="exact"/>
              <w:jc w:val="center"/>
              <w:rPr>
                <w:b/>
                <w:szCs w:val="21"/>
              </w:rPr>
            </w:pPr>
            <w:r>
              <w:rPr>
                <w:b/>
                <w:szCs w:val="21"/>
              </w:rPr>
              <w:t>备注—治理措施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5" w:type="dxa"/>
            <w:vMerge w:val="restart"/>
            <w:tcBorders>
              <w:left w:val="single" w:color="auto" w:sz="12" w:space="0"/>
            </w:tcBorders>
            <w:noWrap w:val="0"/>
            <w:vAlign w:val="center"/>
          </w:tcPr>
          <w:p>
            <w:pPr>
              <w:adjustRightInd w:val="0"/>
              <w:snapToGrid w:val="0"/>
              <w:spacing w:line="320" w:lineRule="exact"/>
              <w:jc w:val="center"/>
              <w:rPr>
                <w:bCs/>
                <w:szCs w:val="21"/>
              </w:rPr>
            </w:pPr>
            <w:r>
              <w:rPr>
                <w:bCs/>
                <w:szCs w:val="21"/>
              </w:rPr>
              <w:t>废气</w:t>
            </w:r>
          </w:p>
        </w:tc>
        <w:tc>
          <w:tcPr>
            <w:tcW w:w="1358" w:type="dxa"/>
            <w:vMerge w:val="restart"/>
            <w:noWrap w:val="0"/>
            <w:vAlign w:val="center"/>
          </w:tcPr>
          <w:p>
            <w:pPr>
              <w:adjustRightInd w:val="0"/>
              <w:snapToGrid w:val="0"/>
              <w:spacing w:line="320" w:lineRule="exact"/>
              <w:jc w:val="center"/>
              <w:rPr>
                <w:bCs/>
                <w:szCs w:val="21"/>
              </w:rPr>
            </w:pPr>
            <w:r>
              <w:rPr>
                <w:bCs/>
                <w:szCs w:val="21"/>
              </w:rPr>
              <w:t>场区</w:t>
            </w:r>
          </w:p>
        </w:tc>
        <w:tc>
          <w:tcPr>
            <w:tcW w:w="2123" w:type="dxa"/>
            <w:noWrap w:val="0"/>
            <w:vAlign w:val="center"/>
          </w:tcPr>
          <w:p>
            <w:pPr>
              <w:adjustRightInd w:val="0"/>
              <w:snapToGrid w:val="0"/>
              <w:spacing w:line="320" w:lineRule="exact"/>
              <w:jc w:val="center"/>
              <w:rPr>
                <w:bCs/>
                <w:szCs w:val="21"/>
              </w:rPr>
            </w:pPr>
            <w:r>
              <w:rPr>
                <w:bCs/>
                <w:szCs w:val="21"/>
              </w:rPr>
              <w:t>NH</w:t>
            </w:r>
            <w:r>
              <w:rPr>
                <w:bCs/>
                <w:szCs w:val="21"/>
                <w:vertAlign w:val="subscript"/>
              </w:rPr>
              <w:t>3</w:t>
            </w:r>
          </w:p>
        </w:tc>
        <w:tc>
          <w:tcPr>
            <w:tcW w:w="1242" w:type="dxa"/>
            <w:noWrap w:val="0"/>
            <w:vAlign w:val="center"/>
          </w:tcPr>
          <w:p>
            <w:pPr>
              <w:adjustRightInd w:val="0"/>
              <w:snapToGrid w:val="0"/>
              <w:spacing w:line="320" w:lineRule="exact"/>
              <w:jc w:val="center"/>
              <w:rPr>
                <w:bCs/>
                <w:szCs w:val="21"/>
              </w:rPr>
            </w:pPr>
            <w:r>
              <w:rPr>
                <w:bCs/>
                <w:szCs w:val="21"/>
              </w:rPr>
              <w:t>—</w:t>
            </w:r>
          </w:p>
        </w:tc>
        <w:tc>
          <w:tcPr>
            <w:tcW w:w="1135" w:type="dxa"/>
            <w:noWrap w:val="0"/>
            <w:vAlign w:val="center"/>
          </w:tcPr>
          <w:p>
            <w:pPr>
              <w:spacing w:line="260" w:lineRule="exact"/>
              <w:jc w:val="center"/>
              <w:rPr>
                <w:rFonts w:hint="eastAsia" w:eastAsia="宋体"/>
                <w:bCs/>
                <w:iCs/>
                <w:szCs w:val="21"/>
                <w:lang w:eastAsia="zh-CN"/>
              </w:rPr>
            </w:pPr>
            <w:r>
              <w:rPr>
                <w:rFonts w:hint="eastAsia"/>
                <w:snapToGrid w:val="0"/>
                <w:spacing w:val="-4"/>
                <w:szCs w:val="21"/>
                <w:lang w:eastAsia="zh-CN"/>
              </w:rPr>
              <w:t>0.8539</w:t>
            </w:r>
          </w:p>
        </w:tc>
        <w:tc>
          <w:tcPr>
            <w:tcW w:w="1243" w:type="dxa"/>
            <w:noWrap w:val="0"/>
            <w:vAlign w:val="center"/>
          </w:tcPr>
          <w:p>
            <w:pPr>
              <w:spacing w:line="280" w:lineRule="exact"/>
              <w:jc w:val="center"/>
              <w:rPr>
                <w:rFonts w:hint="eastAsia" w:eastAsia="宋体"/>
                <w:snapToGrid w:val="0"/>
                <w:spacing w:val="-4"/>
                <w:szCs w:val="21"/>
                <w:lang w:eastAsia="zh-CN"/>
              </w:rPr>
            </w:pPr>
            <w:r>
              <w:rPr>
                <w:rFonts w:hint="eastAsia"/>
                <w:snapToGrid w:val="0"/>
                <w:spacing w:val="-4"/>
                <w:szCs w:val="21"/>
                <w:lang w:eastAsia="zh-CN"/>
              </w:rPr>
              <w:t>0.5978</w:t>
            </w:r>
          </w:p>
        </w:tc>
        <w:tc>
          <w:tcPr>
            <w:tcW w:w="1265" w:type="dxa"/>
            <w:noWrap w:val="0"/>
            <w:vAlign w:val="center"/>
          </w:tcPr>
          <w:p>
            <w:pPr>
              <w:adjustRightInd w:val="0"/>
              <w:snapToGrid w:val="0"/>
              <w:spacing w:line="320" w:lineRule="exact"/>
              <w:jc w:val="center"/>
              <w:rPr>
                <w:bCs/>
                <w:iCs/>
                <w:szCs w:val="21"/>
              </w:rPr>
            </w:pPr>
            <w:r>
              <w:rPr>
                <w:bCs/>
                <w:iCs/>
                <w:szCs w:val="21"/>
              </w:rPr>
              <w:t>—</w:t>
            </w:r>
          </w:p>
        </w:tc>
        <w:tc>
          <w:tcPr>
            <w:tcW w:w="985" w:type="dxa"/>
            <w:noWrap w:val="0"/>
            <w:vAlign w:val="center"/>
          </w:tcPr>
          <w:p>
            <w:pPr>
              <w:spacing w:line="260" w:lineRule="exact"/>
              <w:jc w:val="center"/>
              <w:rPr>
                <w:rFonts w:hint="eastAsia" w:eastAsia="宋体"/>
                <w:snapToGrid w:val="0"/>
                <w:spacing w:val="-4"/>
                <w:szCs w:val="21"/>
                <w:lang w:eastAsia="zh-CN"/>
              </w:rPr>
            </w:pPr>
            <w:r>
              <w:rPr>
                <w:rFonts w:hint="eastAsia"/>
                <w:snapToGrid w:val="0"/>
                <w:spacing w:val="-4"/>
                <w:szCs w:val="21"/>
                <w:lang w:eastAsia="zh-CN"/>
              </w:rPr>
              <w:t>0.2561</w:t>
            </w:r>
          </w:p>
        </w:tc>
        <w:tc>
          <w:tcPr>
            <w:tcW w:w="3562" w:type="dxa"/>
            <w:vMerge w:val="restart"/>
            <w:tcBorders>
              <w:right w:val="single" w:color="auto" w:sz="12" w:space="0"/>
            </w:tcBorders>
            <w:noWrap w:val="0"/>
            <w:vAlign w:val="center"/>
          </w:tcPr>
          <w:p>
            <w:pPr>
              <w:adjustRightInd w:val="0"/>
              <w:snapToGrid w:val="0"/>
              <w:spacing w:line="320" w:lineRule="exact"/>
              <w:jc w:val="center"/>
              <w:rPr>
                <w:bCs/>
                <w:szCs w:val="21"/>
              </w:rPr>
            </w:pPr>
            <w:r>
              <w:rPr>
                <w:bCs/>
                <w:szCs w:val="21"/>
              </w:rPr>
              <w:t>控制养殖密度、饲料添加剂、喷洒除臭剂、设置绿化带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5" w:type="dxa"/>
            <w:vMerge w:val="continue"/>
            <w:tcBorders>
              <w:left w:val="single" w:color="auto" w:sz="12" w:space="0"/>
            </w:tcBorders>
            <w:noWrap w:val="0"/>
            <w:vAlign w:val="center"/>
          </w:tcPr>
          <w:p>
            <w:pPr>
              <w:adjustRightInd w:val="0"/>
              <w:snapToGrid w:val="0"/>
              <w:spacing w:line="320" w:lineRule="exact"/>
              <w:jc w:val="center"/>
              <w:rPr>
                <w:bCs/>
                <w:szCs w:val="21"/>
              </w:rPr>
            </w:pPr>
          </w:p>
        </w:tc>
        <w:tc>
          <w:tcPr>
            <w:tcW w:w="1358" w:type="dxa"/>
            <w:vMerge w:val="continue"/>
            <w:tcBorders>
              <w:bottom w:val="single" w:color="auto" w:sz="4" w:space="0"/>
            </w:tcBorders>
            <w:noWrap w:val="0"/>
            <w:vAlign w:val="center"/>
          </w:tcPr>
          <w:p>
            <w:pPr>
              <w:adjustRightInd w:val="0"/>
              <w:snapToGrid w:val="0"/>
              <w:spacing w:line="320" w:lineRule="exact"/>
              <w:jc w:val="center"/>
              <w:rPr>
                <w:bCs/>
                <w:szCs w:val="21"/>
              </w:rPr>
            </w:pPr>
          </w:p>
        </w:tc>
        <w:tc>
          <w:tcPr>
            <w:tcW w:w="2123" w:type="dxa"/>
            <w:noWrap w:val="0"/>
            <w:vAlign w:val="center"/>
          </w:tcPr>
          <w:p>
            <w:pPr>
              <w:adjustRightInd w:val="0"/>
              <w:snapToGrid w:val="0"/>
              <w:spacing w:line="320" w:lineRule="exact"/>
              <w:jc w:val="center"/>
              <w:rPr>
                <w:bCs/>
                <w:szCs w:val="21"/>
              </w:rPr>
            </w:pPr>
            <w:r>
              <w:rPr>
                <w:bCs/>
                <w:szCs w:val="21"/>
              </w:rPr>
              <w:t>H</w:t>
            </w:r>
            <w:r>
              <w:rPr>
                <w:bCs/>
                <w:szCs w:val="21"/>
                <w:vertAlign w:val="subscript"/>
              </w:rPr>
              <w:t>2</w:t>
            </w:r>
            <w:r>
              <w:rPr>
                <w:bCs/>
                <w:szCs w:val="21"/>
              </w:rPr>
              <w:t>S</w:t>
            </w:r>
          </w:p>
        </w:tc>
        <w:tc>
          <w:tcPr>
            <w:tcW w:w="1242" w:type="dxa"/>
            <w:noWrap w:val="0"/>
            <w:vAlign w:val="center"/>
          </w:tcPr>
          <w:p>
            <w:pPr>
              <w:adjustRightInd w:val="0"/>
              <w:snapToGrid w:val="0"/>
              <w:spacing w:line="320" w:lineRule="exact"/>
              <w:jc w:val="center"/>
              <w:rPr>
                <w:bCs/>
                <w:szCs w:val="21"/>
              </w:rPr>
            </w:pPr>
            <w:r>
              <w:rPr>
                <w:bCs/>
                <w:szCs w:val="21"/>
              </w:rPr>
              <w:t>—</w:t>
            </w:r>
          </w:p>
        </w:tc>
        <w:tc>
          <w:tcPr>
            <w:tcW w:w="1135" w:type="dxa"/>
            <w:noWrap w:val="0"/>
            <w:vAlign w:val="center"/>
          </w:tcPr>
          <w:p>
            <w:pPr>
              <w:spacing w:line="260" w:lineRule="exact"/>
              <w:jc w:val="center"/>
              <w:rPr>
                <w:rFonts w:hint="eastAsia" w:eastAsia="宋体"/>
                <w:bCs/>
                <w:iCs/>
                <w:szCs w:val="21"/>
                <w:lang w:eastAsia="zh-CN"/>
              </w:rPr>
            </w:pPr>
            <w:r>
              <w:rPr>
                <w:rFonts w:hint="eastAsia"/>
                <w:snapToGrid w:val="0"/>
                <w:spacing w:val="-4"/>
                <w:szCs w:val="21"/>
                <w:lang w:eastAsia="zh-CN"/>
              </w:rPr>
              <w:t>0.05838</w:t>
            </w:r>
          </w:p>
        </w:tc>
        <w:tc>
          <w:tcPr>
            <w:tcW w:w="1243" w:type="dxa"/>
            <w:noWrap w:val="0"/>
            <w:vAlign w:val="center"/>
          </w:tcPr>
          <w:p>
            <w:pPr>
              <w:spacing w:line="280" w:lineRule="exact"/>
              <w:jc w:val="center"/>
              <w:rPr>
                <w:rFonts w:hint="eastAsia" w:eastAsia="宋体"/>
                <w:snapToGrid w:val="0"/>
                <w:spacing w:val="-4"/>
                <w:szCs w:val="21"/>
                <w:lang w:eastAsia="zh-CN"/>
              </w:rPr>
            </w:pPr>
            <w:r>
              <w:rPr>
                <w:rFonts w:hint="eastAsia"/>
                <w:snapToGrid w:val="0"/>
                <w:spacing w:val="-4"/>
                <w:szCs w:val="21"/>
                <w:lang w:eastAsia="zh-CN"/>
              </w:rPr>
              <w:t>0.04088</w:t>
            </w:r>
          </w:p>
        </w:tc>
        <w:tc>
          <w:tcPr>
            <w:tcW w:w="1265" w:type="dxa"/>
            <w:noWrap w:val="0"/>
            <w:vAlign w:val="center"/>
          </w:tcPr>
          <w:p>
            <w:pPr>
              <w:adjustRightInd w:val="0"/>
              <w:snapToGrid w:val="0"/>
              <w:spacing w:line="320" w:lineRule="exact"/>
              <w:jc w:val="center"/>
              <w:rPr>
                <w:bCs/>
                <w:iCs/>
                <w:szCs w:val="21"/>
              </w:rPr>
            </w:pPr>
            <w:r>
              <w:rPr>
                <w:bCs/>
                <w:iCs/>
                <w:szCs w:val="21"/>
              </w:rPr>
              <w:t>—</w:t>
            </w:r>
          </w:p>
        </w:tc>
        <w:tc>
          <w:tcPr>
            <w:tcW w:w="985" w:type="dxa"/>
            <w:tcBorders>
              <w:bottom w:val="single" w:color="auto" w:sz="4" w:space="0"/>
            </w:tcBorders>
            <w:noWrap w:val="0"/>
            <w:vAlign w:val="center"/>
          </w:tcPr>
          <w:p>
            <w:pPr>
              <w:spacing w:line="260" w:lineRule="exact"/>
              <w:jc w:val="center"/>
              <w:rPr>
                <w:rFonts w:hint="eastAsia" w:eastAsia="宋体"/>
                <w:snapToGrid w:val="0"/>
                <w:spacing w:val="-4"/>
                <w:szCs w:val="21"/>
                <w:lang w:eastAsia="zh-CN"/>
              </w:rPr>
            </w:pPr>
            <w:r>
              <w:rPr>
                <w:rFonts w:hint="eastAsia"/>
                <w:snapToGrid w:val="0"/>
                <w:spacing w:val="-4"/>
                <w:szCs w:val="21"/>
                <w:lang w:eastAsia="zh-CN"/>
              </w:rPr>
              <w:t>0.0175</w:t>
            </w:r>
          </w:p>
        </w:tc>
        <w:tc>
          <w:tcPr>
            <w:tcW w:w="3562" w:type="dxa"/>
            <w:vMerge w:val="continue"/>
            <w:tcBorders>
              <w:bottom w:val="single" w:color="auto" w:sz="4" w:space="0"/>
              <w:right w:val="single" w:color="auto" w:sz="12" w:space="0"/>
            </w:tcBorders>
            <w:noWrap w:val="0"/>
            <w:vAlign w:val="center"/>
          </w:tcPr>
          <w:p>
            <w:pPr>
              <w:adjustRightInd w:val="0"/>
              <w:snapToGrid w:val="0"/>
              <w:spacing w:line="320" w:lineRule="exact"/>
              <w:jc w:val="center"/>
              <w:rPr>
                <w:bCs/>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5" w:type="dxa"/>
            <w:vMerge w:val="continue"/>
            <w:tcBorders>
              <w:left w:val="single" w:color="auto" w:sz="12" w:space="0"/>
            </w:tcBorders>
            <w:noWrap w:val="0"/>
            <w:vAlign w:val="center"/>
          </w:tcPr>
          <w:p>
            <w:pPr>
              <w:adjustRightInd w:val="0"/>
              <w:snapToGrid w:val="0"/>
              <w:spacing w:line="320" w:lineRule="exact"/>
              <w:jc w:val="center"/>
              <w:rPr>
                <w:bCs/>
                <w:szCs w:val="21"/>
              </w:rPr>
            </w:pPr>
          </w:p>
        </w:tc>
        <w:tc>
          <w:tcPr>
            <w:tcW w:w="1358" w:type="dxa"/>
            <w:vMerge w:val="restart"/>
            <w:tcBorders>
              <w:top w:val="single" w:color="auto" w:sz="4" w:space="0"/>
            </w:tcBorders>
            <w:noWrap w:val="0"/>
            <w:vAlign w:val="center"/>
          </w:tcPr>
          <w:p>
            <w:pPr>
              <w:adjustRightInd w:val="0"/>
              <w:snapToGrid w:val="0"/>
              <w:spacing w:line="320" w:lineRule="exact"/>
              <w:jc w:val="center"/>
              <w:rPr>
                <w:rFonts w:hint="eastAsia"/>
                <w:bCs/>
                <w:szCs w:val="21"/>
              </w:rPr>
            </w:pPr>
            <w:r>
              <w:rPr>
                <w:rFonts w:hint="eastAsia"/>
                <w:bCs/>
                <w:szCs w:val="21"/>
              </w:rPr>
              <w:t>火炬燃烧</w:t>
            </w:r>
          </w:p>
        </w:tc>
        <w:tc>
          <w:tcPr>
            <w:tcW w:w="2123" w:type="dxa"/>
            <w:noWrap w:val="0"/>
            <w:vAlign w:val="center"/>
          </w:tcPr>
          <w:p>
            <w:pPr>
              <w:adjustRightInd w:val="0"/>
              <w:snapToGrid w:val="0"/>
              <w:spacing w:line="320" w:lineRule="exact"/>
              <w:jc w:val="center"/>
              <w:rPr>
                <w:bCs/>
                <w:szCs w:val="21"/>
              </w:rPr>
            </w:pPr>
            <w:r>
              <w:rPr>
                <w:rFonts w:hint="eastAsia"/>
                <w:bCs/>
                <w:szCs w:val="21"/>
              </w:rPr>
              <w:t>SO</w:t>
            </w:r>
            <w:r>
              <w:rPr>
                <w:rFonts w:hint="eastAsia"/>
                <w:bCs/>
                <w:szCs w:val="21"/>
                <w:vertAlign w:val="subscript"/>
              </w:rPr>
              <w:t>2</w:t>
            </w:r>
          </w:p>
        </w:tc>
        <w:tc>
          <w:tcPr>
            <w:tcW w:w="1242" w:type="dxa"/>
            <w:noWrap w:val="0"/>
            <w:vAlign w:val="center"/>
          </w:tcPr>
          <w:p>
            <w:pPr>
              <w:jc w:val="center"/>
              <w:rPr>
                <w:rFonts w:hint="default" w:eastAsia="宋体"/>
                <w:bCs/>
                <w:szCs w:val="21"/>
                <w:lang w:val="en-US" w:eastAsia="zh-CN"/>
              </w:rPr>
            </w:pPr>
            <w:r>
              <w:rPr>
                <w:rFonts w:hint="eastAsia"/>
                <w:szCs w:val="21"/>
                <w:lang w:val="en-US" w:eastAsia="zh-CN" w:bidi="ar"/>
              </w:rPr>
              <w:t>2.00</w:t>
            </w:r>
          </w:p>
        </w:tc>
        <w:tc>
          <w:tcPr>
            <w:tcW w:w="1135" w:type="dxa"/>
            <w:noWrap w:val="0"/>
            <w:vAlign w:val="center"/>
          </w:tcPr>
          <w:p>
            <w:pPr>
              <w:jc w:val="center"/>
              <w:rPr>
                <w:rFonts w:hint="default" w:eastAsia="宋体"/>
                <w:bCs/>
                <w:szCs w:val="21"/>
                <w:lang w:val="en-US" w:eastAsia="zh-CN"/>
              </w:rPr>
            </w:pPr>
            <w:r>
              <w:rPr>
                <w:rFonts w:hint="eastAsia"/>
                <w:szCs w:val="21"/>
                <w:lang w:val="en-US" w:eastAsia="zh-CN" w:bidi="ar"/>
              </w:rPr>
              <w:t>0.00089</w:t>
            </w:r>
          </w:p>
        </w:tc>
        <w:tc>
          <w:tcPr>
            <w:tcW w:w="1243" w:type="dxa"/>
            <w:noWrap w:val="0"/>
            <w:vAlign w:val="center"/>
          </w:tcPr>
          <w:p>
            <w:pPr>
              <w:adjustRightInd w:val="0"/>
              <w:snapToGrid w:val="0"/>
              <w:spacing w:line="320" w:lineRule="exact"/>
              <w:jc w:val="center"/>
              <w:rPr>
                <w:bCs/>
                <w:szCs w:val="21"/>
              </w:rPr>
            </w:pPr>
            <w:r>
              <w:rPr>
                <w:rFonts w:hint="eastAsia"/>
                <w:bCs/>
                <w:szCs w:val="21"/>
              </w:rPr>
              <w:t>0</w:t>
            </w:r>
          </w:p>
        </w:tc>
        <w:tc>
          <w:tcPr>
            <w:tcW w:w="1265" w:type="dxa"/>
            <w:noWrap w:val="0"/>
            <w:vAlign w:val="center"/>
          </w:tcPr>
          <w:p>
            <w:pPr>
              <w:jc w:val="center"/>
              <w:rPr>
                <w:bCs/>
                <w:szCs w:val="21"/>
              </w:rPr>
            </w:pPr>
            <w:r>
              <w:rPr>
                <w:rFonts w:hint="eastAsia"/>
                <w:szCs w:val="21"/>
                <w:lang w:val="en-US" w:eastAsia="zh-CN" w:bidi="ar"/>
              </w:rPr>
              <w:t>2.00</w:t>
            </w:r>
          </w:p>
        </w:tc>
        <w:tc>
          <w:tcPr>
            <w:tcW w:w="985" w:type="dxa"/>
            <w:noWrap w:val="0"/>
            <w:vAlign w:val="center"/>
          </w:tcPr>
          <w:p>
            <w:pPr>
              <w:jc w:val="center"/>
              <w:rPr>
                <w:bCs/>
                <w:szCs w:val="21"/>
              </w:rPr>
            </w:pPr>
            <w:r>
              <w:rPr>
                <w:rFonts w:hint="eastAsia"/>
                <w:szCs w:val="21"/>
                <w:lang w:val="en-US" w:eastAsia="zh-CN" w:bidi="ar"/>
              </w:rPr>
              <w:t>0.00089</w:t>
            </w:r>
          </w:p>
        </w:tc>
        <w:tc>
          <w:tcPr>
            <w:tcW w:w="3562" w:type="dxa"/>
            <w:vMerge w:val="restart"/>
            <w:tcBorders>
              <w:right w:val="single" w:color="auto" w:sz="12" w:space="0"/>
            </w:tcBorders>
            <w:noWrap w:val="0"/>
            <w:vAlign w:val="center"/>
          </w:tcPr>
          <w:p>
            <w:pPr>
              <w:adjustRightInd w:val="0"/>
              <w:snapToGrid w:val="0"/>
              <w:spacing w:line="320" w:lineRule="exact"/>
              <w:jc w:val="center"/>
              <w:rPr>
                <w:rFonts w:hint="eastAsia"/>
                <w:bCs/>
                <w:szCs w:val="21"/>
              </w:rPr>
            </w:pPr>
            <w:r>
              <w:rPr>
                <w:color w:val="000000"/>
                <w:szCs w:val="21"/>
                <w:lang w:bidi="ar"/>
              </w:rPr>
              <w:t>1</w:t>
            </w:r>
            <w:r>
              <w:rPr>
                <w:rFonts w:hint="eastAsia"/>
                <w:color w:val="000000"/>
                <w:szCs w:val="21"/>
                <w:lang w:bidi="ar"/>
              </w:rPr>
              <w:t>根</w:t>
            </w:r>
            <w:r>
              <w:rPr>
                <w:color w:val="000000"/>
                <w:szCs w:val="21"/>
                <w:lang w:bidi="ar"/>
              </w:rPr>
              <w:t>8m</w:t>
            </w:r>
            <w:r>
              <w:rPr>
                <w:rFonts w:hint="eastAsia"/>
                <w:color w:val="000000"/>
                <w:szCs w:val="21"/>
                <w:lang w:bidi="ar"/>
              </w:rPr>
              <w:t>高排气筒排放，排放口规范化，设置排放口标志</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3" w:hRule="atLeast"/>
          <w:jc w:val="center"/>
        </w:trPr>
        <w:tc>
          <w:tcPr>
            <w:tcW w:w="455" w:type="dxa"/>
            <w:vMerge w:val="continue"/>
            <w:tcBorders>
              <w:left w:val="single" w:color="auto" w:sz="12" w:space="0"/>
            </w:tcBorders>
            <w:noWrap w:val="0"/>
            <w:vAlign w:val="center"/>
          </w:tcPr>
          <w:p>
            <w:pPr>
              <w:adjustRightInd w:val="0"/>
              <w:snapToGrid w:val="0"/>
              <w:spacing w:line="320" w:lineRule="exact"/>
              <w:jc w:val="center"/>
              <w:rPr>
                <w:bCs/>
                <w:szCs w:val="21"/>
              </w:rPr>
            </w:pPr>
          </w:p>
        </w:tc>
        <w:tc>
          <w:tcPr>
            <w:tcW w:w="1358" w:type="dxa"/>
            <w:vMerge w:val="continue"/>
            <w:noWrap w:val="0"/>
            <w:vAlign w:val="center"/>
          </w:tcPr>
          <w:p>
            <w:pPr>
              <w:adjustRightInd w:val="0"/>
              <w:snapToGrid w:val="0"/>
              <w:spacing w:line="320" w:lineRule="exact"/>
              <w:jc w:val="center"/>
              <w:rPr>
                <w:bCs/>
                <w:szCs w:val="21"/>
              </w:rPr>
            </w:pPr>
          </w:p>
        </w:tc>
        <w:tc>
          <w:tcPr>
            <w:tcW w:w="2123" w:type="dxa"/>
            <w:noWrap w:val="0"/>
            <w:vAlign w:val="center"/>
          </w:tcPr>
          <w:p>
            <w:pPr>
              <w:adjustRightInd w:val="0"/>
              <w:snapToGrid w:val="0"/>
              <w:spacing w:line="320" w:lineRule="exact"/>
              <w:jc w:val="center"/>
              <w:rPr>
                <w:bCs/>
                <w:szCs w:val="21"/>
              </w:rPr>
            </w:pPr>
            <w:r>
              <w:rPr>
                <w:rFonts w:hint="eastAsia"/>
                <w:bCs/>
                <w:szCs w:val="21"/>
              </w:rPr>
              <w:t>NO</w:t>
            </w:r>
            <w:r>
              <w:rPr>
                <w:rFonts w:hint="eastAsia"/>
                <w:bCs/>
                <w:szCs w:val="21"/>
                <w:vertAlign w:val="subscript"/>
              </w:rPr>
              <w:t>X</w:t>
            </w:r>
          </w:p>
        </w:tc>
        <w:tc>
          <w:tcPr>
            <w:tcW w:w="1242" w:type="dxa"/>
            <w:noWrap w:val="0"/>
            <w:vAlign w:val="center"/>
          </w:tcPr>
          <w:p>
            <w:pPr>
              <w:jc w:val="center"/>
              <w:rPr>
                <w:rFonts w:hint="default" w:eastAsia="宋体"/>
                <w:bCs/>
                <w:szCs w:val="21"/>
                <w:lang w:val="en-US" w:eastAsia="zh-CN"/>
              </w:rPr>
            </w:pPr>
            <w:r>
              <w:rPr>
                <w:rFonts w:hint="eastAsia"/>
                <w:szCs w:val="21"/>
                <w:lang w:val="en-US" w:eastAsia="zh-CN" w:bidi="ar"/>
              </w:rPr>
              <w:t>65.41</w:t>
            </w:r>
          </w:p>
        </w:tc>
        <w:tc>
          <w:tcPr>
            <w:tcW w:w="1135" w:type="dxa"/>
            <w:noWrap w:val="0"/>
            <w:vAlign w:val="center"/>
          </w:tcPr>
          <w:p>
            <w:pPr>
              <w:jc w:val="center"/>
              <w:rPr>
                <w:rFonts w:hint="default" w:eastAsia="宋体"/>
                <w:bCs/>
                <w:szCs w:val="21"/>
                <w:lang w:val="en-US" w:eastAsia="zh-CN"/>
              </w:rPr>
            </w:pPr>
            <w:r>
              <w:rPr>
                <w:szCs w:val="21"/>
                <w:lang w:bidi="ar"/>
              </w:rPr>
              <w:t>0.0</w:t>
            </w:r>
            <w:r>
              <w:rPr>
                <w:rFonts w:hint="eastAsia"/>
                <w:szCs w:val="21"/>
                <w:lang w:val="en-US" w:eastAsia="zh-CN" w:bidi="ar"/>
              </w:rPr>
              <w:t>29</w:t>
            </w:r>
          </w:p>
        </w:tc>
        <w:tc>
          <w:tcPr>
            <w:tcW w:w="1243" w:type="dxa"/>
            <w:noWrap w:val="0"/>
            <w:vAlign w:val="center"/>
          </w:tcPr>
          <w:p>
            <w:pPr>
              <w:adjustRightInd w:val="0"/>
              <w:snapToGrid w:val="0"/>
              <w:spacing w:line="320" w:lineRule="exact"/>
              <w:jc w:val="center"/>
              <w:rPr>
                <w:bCs/>
                <w:szCs w:val="21"/>
              </w:rPr>
            </w:pPr>
            <w:r>
              <w:rPr>
                <w:rFonts w:hint="eastAsia"/>
                <w:bCs/>
                <w:szCs w:val="21"/>
              </w:rPr>
              <w:t>0</w:t>
            </w:r>
          </w:p>
        </w:tc>
        <w:tc>
          <w:tcPr>
            <w:tcW w:w="1265" w:type="dxa"/>
            <w:noWrap w:val="0"/>
            <w:vAlign w:val="center"/>
          </w:tcPr>
          <w:p>
            <w:pPr>
              <w:jc w:val="center"/>
              <w:rPr>
                <w:bCs/>
                <w:szCs w:val="21"/>
              </w:rPr>
            </w:pPr>
            <w:r>
              <w:rPr>
                <w:rFonts w:hint="eastAsia"/>
                <w:szCs w:val="21"/>
                <w:lang w:val="en-US" w:eastAsia="zh-CN" w:bidi="ar"/>
              </w:rPr>
              <w:t>65.41</w:t>
            </w:r>
          </w:p>
        </w:tc>
        <w:tc>
          <w:tcPr>
            <w:tcW w:w="985" w:type="dxa"/>
            <w:noWrap w:val="0"/>
            <w:vAlign w:val="center"/>
          </w:tcPr>
          <w:p>
            <w:pPr>
              <w:jc w:val="center"/>
              <w:rPr>
                <w:bCs/>
                <w:szCs w:val="21"/>
              </w:rPr>
            </w:pPr>
            <w:r>
              <w:rPr>
                <w:szCs w:val="21"/>
                <w:lang w:bidi="ar"/>
              </w:rPr>
              <w:t>0.0</w:t>
            </w:r>
            <w:r>
              <w:rPr>
                <w:rFonts w:hint="eastAsia"/>
                <w:szCs w:val="21"/>
                <w:lang w:val="en-US" w:eastAsia="zh-CN" w:bidi="ar"/>
              </w:rPr>
              <w:t>29</w:t>
            </w:r>
          </w:p>
        </w:tc>
        <w:tc>
          <w:tcPr>
            <w:tcW w:w="3562" w:type="dxa"/>
            <w:vMerge w:val="continue"/>
            <w:tcBorders>
              <w:right w:val="single" w:color="auto" w:sz="12" w:space="0"/>
            </w:tcBorders>
            <w:noWrap w:val="0"/>
            <w:vAlign w:val="center"/>
          </w:tcPr>
          <w:p>
            <w:pPr>
              <w:adjustRightInd w:val="0"/>
              <w:snapToGrid w:val="0"/>
              <w:spacing w:line="320" w:lineRule="exact"/>
              <w:jc w:val="center"/>
              <w:rPr>
                <w:bCs/>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55" w:type="dxa"/>
            <w:vMerge w:val="continue"/>
            <w:tcBorders>
              <w:left w:val="single" w:color="auto" w:sz="12" w:space="0"/>
            </w:tcBorders>
            <w:noWrap w:val="0"/>
            <w:vAlign w:val="center"/>
          </w:tcPr>
          <w:p>
            <w:pPr>
              <w:adjustRightInd w:val="0"/>
              <w:snapToGrid w:val="0"/>
              <w:spacing w:line="320" w:lineRule="exact"/>
              <w:jc w:val="center"/>
              <w:rPr>
                <w:bCs/>
                <w:szCs w:val="21"/>
              </w:rPr>
            </w:pPr>
          </w:p>
        </w:tc>
        <w:tc>
          <w:tcPr>
            <w:tcW w:w="1358" w:type="dxa"/>
            <w:noWrap w:val="0"/>
            <w:vAlign w:val="center"/>
          </w:tcPr>
          <w:p>
            <w:pPr>
              <w:adjustRightInd w:val="0"/>
              <w:snapToGrid w:val="0"/>
              <w:spacing w:line="320" w:lineRule="exact"/>
              <w:jc w:val="center"/>
              <w:rPr>
                <w:bCs/>
                <w:szCs w:val="21"/>
              </w:rPr>
            </w:pPr>
            <w:r>
              <w:rPr>
                <w:bCs/>
                <w:szCs w:val="21"/>
              </w:rPr>
              <w:t>食堂</w:t>
            </w:r>
          </w:p>
        </w:tc>
        <w:tc>
          <w:tcPr>
            <w:tcW w:w="2123" w:type="dxa"/>
            <w:noWrap w:val="0"/>
            <w:vAlign w:val="center"/>
          </w:tcPr>
          <w:p>
            <w:pPr>
              <w:adjustRightInd w:val="0"/>
              <w:snapToGrid w:val="0"/>
              <w:spacing w:line="320" w:lineRule="exact"/>
              <w:jc w:val="center"/>
              <w:rPr>
                <w:bCs/>
                <w:szCs w:val="21"/>
              </w:rPr>
            </w:pPr>
            <w:r>
              <w:rPr>
                <w:bCs/>
                <w:szCs w:val="21"/>
              </w:rPr>
              <w:t>油烟</w:t>
            </w:r>
          </w:p>
        </w:tc>
        <w:tc>
          <w:tcPr>
            <w:tcW w:w="1242" w:type="dxa"/>
            <w:noWrap w:val="0"/>
            <w:vAlign w:val="center"/>
          </w:tcPr>
          <w:p>
            <w:pPr>
              <w:adjustRightInd w:val="0"/>
              <w:snapToGrid w:val="0"/>
              <w:spacing w:line="320" w:lineRule="exact"/>
              <w:jc w:val="center"/>
              <w:rPr>
                <w:bCs/>
                <w:szCs w:val="21"/>
              </w:rPr>
            </w:pPr>
            <w:r>
              <w:rPr>
                <w:rFonts w:hint="eastAsia"/>
                <w:bCs/>
                <w:szCs w:val="21"/>
              </w:rPr>
              <w:t>1.85</w:t>
            </w:r>
          </w:p>
        </w:tc>
        <w:tc>
          <w:tcPr>
            <w:tcW w:w="1135" w:type="dxa"/>
            <w:noWrap w:val="0"/>
            <w:vAlign w:val="center"/>
          </w:tcPr>
          <w:p>
            <w:pPr>
              <w:adjustRightInd w:val="0"/>
              <w:snapToGrid w:val="0"/>
              <w:spacing w:line="320" w:lineRule="exact"/>
              <w:jc w:val="center"/>
              <w:rPr>
                <w:bCs/>
                <w:szCs w:val="21"/>
              </w:rPr>
            </w:pPr>
            <w:r>
              <w:rPr>
                <w:bCs/>
                <w:szCs w:val="21"/>
              </w:rPr>
              <w:t>0.0</w:t>
            </w:r>
            <w:r>
              <w:rPr>
                <w:rFonts w:hint="eastAsia"/>
                <w:bCs/>
                <w:szCs w:val="21"/>
              </w:rPr>
              <w:t>027</w:t>
            </w:r>
          </w:p>
        </w:tc>
        <w:tc>
          <w:tcPr>
            <w:tcW w:w="1243" w:type="dxa"/>
            <w:noWrap w:val="0"/>
            <w:vAlign w:val="center"/>
          </w:tcPr>
          <w:p>
            <w:pPr>
              <w:adjustRightInd w:val="0"/>
              <w:snapToGrid w:val="0"/>
              <w:spacing w:line="320" w:lineRule="exact"/>
              <w:jc w:val="center"/>
              <w:rPr>
                <w:bCs/>
                <w:szCs w:val="21"/>
              </w:rPr>
            </w:pPr>
            <w:r>
              <w:rPr>
                <w:rFonts w:hint="eastAsia"/>
                <w:bCs/>
                <w:szCs w:val="21"/>
              </w:rPr>
              <w:t>0.0024</w:t>
            </w:r>
          </w:p>
        </w:tc>
        <w:tc>
          <w:tcPr>
            <w:tcW w:w="1265" w:type="dxa"/>
            <w:noWrap w:val="0"/>
            <w:vAlign w:val="center"/>
          </w:tcPr>
          <w:p>
            <w:pPr>
              <w:adjustRightInd w:val="0"/>
              <w:snapToGrid w:val="0"/>
              <w:spacing w:line="320" w:lineRule="exact"/>
              <w:jc w:val="center"/>
              <w:rPr>
                <w:bCs/>
                <w:szCs w:val="21"/>
              </w:rPr>
            </w:pPr>
            <w:r>
              <w:rPr>
                <w:rFonts w:hint="eastAsia"/>
                <w:bCs/>
                <w:szCs w:val="21"/>
              </w:rPr>
              <w:t>0.19</w:t>
            </w:r>
          </w:p>
        </w:tc>
        <w:tc>
          <w:tcPr>
            <w:tcW w:w="985" w:type="dxa"/>
            <w:noWrap w:val="0"/>
            <w:vAlign w:val="center"/>
          </w:tcPr>
          <w:p>
            <w:pPr>
              <w:adjustRightInd w:val="0"/>
              <w:snapToGrid w:val="0"/>
              <w:spacing w:line="320" w:lineRule="exact"/>
              <w:jc w:val="center"/>
              <w:rPr>
                <w:bCs/>
                <w:szCs w:val="21"/>
              </w:rPr>
            </w:pPr>
            <w:r>
              <w:rPr>
                <w:bCs/>
                <w:szCs w:val="21"/>
              </w:rPr>
              <w:t>0.00</w:t>
            </w:r>
            <w:r>
              <w:rPr>
                <w:rFonts w:hint="eastAsia"/>
                <w:bCs/>
                <w:szCs w:val="21"/>
              </w:rPr>
              <w:t>03</w:t>
            </w:r>
          </w:p>
        </w:tc>
        <w:tc>
          <w:tcPr>
            <w:tcW w:w="3562" w:type="dxa"/>
            <w:tcBorders>
              <w:top w:val="single" w:color="auto" w:sz="4" w:space="0"/>
              <w:right w:val="single" w:color="auto" w:sz="12" w:space="0"/>
            </w:tcBorders>
            <w:noWrap w:val="0"/>
            <w:vAlign w:val="center"/>
          </w:tcPr>
          <w:p>
            <w:pPr>
              <w:adjustRightInd w:val="0"/>
              <w:snapToGrid w:val="0"/>
              <w:spacing w:line="320" w:lineRule="exact"/>
              <w:jc w:val="center"/>
              <w:rPr>
                <w:bCs/>
                <w:szCs w:val="21"/>
              </w:rPr>
            </w:pPr>
            <w:r>
              <w:rPr>
                <w:bCs/>
                <w:szCs w:val="21"/>
              </w:rPr>
              <w:t>油烟净化器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13" w:type="dxa"/>
            <w:gridSpan w:val="2"/>
            <w:vMerge w:val="restart"/>
            <w:tcBorders>
              <w:left w:val="single" w:color="auto" w:sz="12" w:space="0"/>
            </w:tcBorders>
            <w:noWrap w:val="0"/>
            <w:vAlign w:val="center"/>
          </w:tcPr>
          <w:p>
            <w:pPr>
              <w:adjustRightInd w:val="0"/>
              <w:snapToGrid w:val="0"/>
              <w:spacing w:line="320" w:lineRule="exact"/>
              <w:jc w:val="center"/>
              <w:rPr>
                <w:bCs/>
                <w:szCs w:val="21"/>
              </w:rPr>
            </w:pPr>
            <w:r>
              <w:rPr>
                <w:bCs/>
                <w:szCs w:val="21"/>
              </w:rPr>
              <w:t>废水</w:t>
            </w:r>
          </w:p>
        </w:tc>
        <w:tc>
          <w:tcPr>
            <w:tcW w:w="2123" w:type="dxa"/>
            <w:noWrap w:val="0"/>
            <w:vAlign w:val="center"/>
          </w:tcPr>
          <w:p>
            <w:pPr>
              <w:adjustRightInd w:val="0"/>
              <w:snapToGrid w:val="0"/>
              <w:spacing w:line="320" w:lineRule="exact"/>
              <w:jc w:val="center"/>
              <w:rPr>
                <w:bCs/>
                <w:szCs w:val="21"/>
              </w:rPr>
            </w:pPr>
            <w:r>
              <w:rPr>
                <w:bCs/>
                <w:szCs w:val="21"/>
              </w:rPr>
              <w:t>废水量</w:t>
            </w:r>
          </w:p>
        </w:tc>
        <w:tc>
          <w:tcPr>
            <w:tcW w:w="1242" w:type="dxa"/>
            <w:noWrap w:val="0"/>
            <w:vAlign w:val="center"/>
          </w:tcPr>
          <w:p>
            <w:pPr>
              <w:adjustRightInd w:val="0"/>
              <w:snapToGrid w:val="0"/>
              <w:spacing w:line="320" w:lineRule="exact"/>
              <w:jc w:val="center"/>
              <w:rPr>
                <w:bCs/>
                <w:iCs/>
                <w:szCs w:val="21"/>
              </w:rPr>
            </w:pPr>
            <w:r>
              <w:rPr>
                <w:bCs/>
                <w:iCs/>
                <w:szCs w:val="21"/>
              </w:rPr>
              <w:t>—</w:t>
            </w:r>
          </w:p>
        </w:tc>
        <w:tc>
          <w:tcPr>
            <w:tcW w:w="1135" w:type="dxa"/>
            <w:noWrap w:val="0"/>
            <w:vAlign w:val="center"/>
          </w:tcPr>
          <w:p>
            <w:pPr>
              <w:adjustRightInd w:val="0"/>
              <w:snapToGrid w:val="0"/>
              <w:spacing w:line="320" w:lineRule="exact"/>
              <w:jc w:val="center"/>
              <w:rPr>
                <w:rFonts w:hint="eastAsia" w:eastAsia="宋体"/>
                <w:bCs/>
                <w:iCs/>
                <w:szCs w:val="21"/>
                <w:lang w:eastAsia="zh-CN"/>
              </w:rPr>
            </w:pPr>
            <w:r>
              <w:rPr>
                <w:rFonts w:hint="eastAsia"/>
                <w:bCs/>
                <w:szCs w:val="21"/>
                <w:lang w:eastAsia="zh-CN"/>
              </w:rPr>
              <w:t>7512.9907</w:t>
            </w:r>
          </w:p>
        </w:tc>
        <w:tc>
          <w:tcPr>
            <w:tcW w:w="1243" w:type="dxa"/>
            <w:noWrap w:val="0"/>
            <w:vAlign w:val="center"/>
          </w:tcPr>
          <w:p>
            <w:pPr>
              <w:adjustRightInd w:val="0"/>
              <w:snapToGrid w:val="0"/>
              <w:spacing w:line="320" w:lineRule="exact"/>
              <w:jc w:val="center"/>
              <w:rPr>
                <w:rFonts w:hint="eastAsia" w:eastAsia="宋体"/>
                <w:bCs/>
                <w:iCs/>
                <w:szCs w:val="21"/>
                <w:lang w:eastAsia="zh-CN"/>
              </w:rPr>
            </w:pPr>
            <w:r>
              <w:rPr>
                <w:rFonts w:hint="eastAsia"/>
                <w:bCs/>
                <w:szCs w:val="21"/>
                <w:lang w:eastAsia="zh-CN"/>
              </w:rPr>
              <w:t>7512.9907</w:t>
            </w:r>
          </w:p>
        </w:tc>
        <w:tc>
          <w:tcPr>
            <w:tcW w:w="1265" w:type="dxa"/>
            <w:noWrap w:val="0"/>
            <w:vAlign w:val="center"/>
          </w:tcPr>
          <w:p>
            <w:pPr>
              <w:adjustRightInd w:val="0"/>
              <w:snapToGrid w:val="0"/>
              <w:spacing w:line="320" w:lineRule="exact"/>
              <w:jc w:val="center"/>
              <w:rPr>
                <w:bCs/>
                <w:iCs/>
                <w:szCs w:val="21"/>
              </w:rPr>
            </w:pPr>
            <w:r>
              <w:rPr>
                <w:bCs/>
                <w:iCs/>
                <w:szCs w:val="21"/>
              </w:rPr>
              <w:t>—</w:t>
            </w:r>
          </w:p>
        </w:tc>
        <w:tc>
          <w:tcPr>
            <w:tcW w:w="985" w:type="dxa"/>
            <w:noWrap w:val="0"/>
            <w:vAlign w:val="center"/>
          </w:tcPr>
          <w:p>
            <w:pPr>
              <w:adjustRightInd w:val="0"/>
              <w:snapToGrid w:val="0"/>
              <w:spacing w:line="320" w:lineRule="exact"/>
              <w:jc w:val="center"/>
              <w:rPr>
                <w:bCs/>
                <w:szCs w:val="21"/>
              </w:rPr>
            </w:pPr>
            <w:r>
              <w:rPr>
                <w:bCs/>
                <w:szCs w:val="21"/>
              </w:rPr>
              <w:t>0</w:t>
            </w:r>
          </w:p>
        </w:tc>
        <w:tc>
          <w:tcPr>
            <w:tcW w:w="3562" w:type="dxa"/>
            <w:vMerge w:val="restart"/>
            <w:tcBorders>
              <w:right w:val="single" w:color="auto" w:sz="12" w:space="0"/>
            </w:tcBorders>
            <w:noWrap w:val="0"/>
            <w:vAlign w:val="center"/>
          </w:tcPr>
          <w:p>
            <w:pPr>
              <w:adjustRightInd w:val="0"/>
              <w:snapToGrid w:val="0"/>
              <w:spacing w:line="320" w:lineRule="exact"/>
              <w:jc w:val="left"/>
              <w:rPr>
                <w:bCs/>
                <w:szCs w:val="21"/>
              </w:rPr>
            </w:pPr>
            <w:r>
              <w:rPr>
                <w:bCs/>
                <w:szCs w:val="21"/>
              </w:rPr>
              <w:t>经“</w:t>
            </w:r>
            <w:r>
              <w:rPr>
                <w:rFonts w:hint="eastAsia"/>
                <w:bCs/>
                <w:szCs w:val="21"/>
              </w:rPr>
              <w:t>黑膜沼气池</w:t>
            </w:r>
            <w:r>
              <w:rPr>
                <w:bCs/>
                <w:szCs w:val="21"/>
              </w:rPr>
              <w:t>”处理</w:t>
            </w:r>
            <w:r>
              <w:rPr>
                <w:rFonts w:hint="eastAsia"/>
                <w:bCs/>
                <w:szCs w:val="21"/>
              </w:rPr>
              <w:t>后</w:t>
            </w:r>
            <w:r>
              <w:rPr>
                <w:bCs/>
                <w:szCs w:val="21"/>
              </w:rPr>
              <w:t>做液肥使用不外排</w:t>
            </w:r>
            <w:r>
              <w:rPr>
                <w:bCs/>
                <w:iCs/>
                <w:szCs w:val="21"/>
              </w:rPr>
              <w:t>，</w:t>
            </w:r>
            <w:r>
              <w:rPr>
                <w:rFonts w:hint="eastAsia"/>
                <w:bCs/>
                <w:iCs/>
                <w:szCs w:val="21"/>
              </w:rPr>
              <w:t>黑膜沼气池</w:t>
            </w:r>
            <w:r>
              <w:rPr>
                <w:bCs/>
                <w:iCs/>
                <w:szCs w:val="21"/>
              </w:rPr>
              <w:t>容积</w:t>
            </w:r>
            <w:r>
              <w:rPr>
                <w:rFonts w:hint="eastAsia"/>
                <w:bCs/>
                <w:iCs/>
                <w:szCs w:val="21"/>
              </w:rPr>
              <w:t>1200</w:t>
            </w:r>
            <w:r>
              <w:rPr>
                <w:bCs/>
                <w:iCs/>
                <w:szCs w:val="21"/>
              </w:rPr>
              <w:t>m</w:t>
            </w:r>
            <w:r>
              <w:rPr>
                <w:bCs/>
                <w:iCs/>
                <w:szCs w:val="21"/>
                <w:vertAlign w:val="superscript"/>
              </w:rPr>
              <w:t>3</w:t>
            </w:r>
            <w:r>
              <w:rPr>
                <w:bCs/>
                <w:iCs/>
                <w:szCs w:val="21"/>
              </w:rPr>
              <w:t>/d</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13" w:type="dxa"/>
            <w:gridSpan w:val="2"/>
            <w:vMerge w:val="continue"/>
            <w:tcBorders>
              <w:left w:val="single" w:color="auto" w:sz="12" w:space="0"/>
            </w:tcBorders>
            <w:noWrap w:val="0"/>
            <w:vAlign w:val="center"/>
          </w:tcPr>
          <w:p>
            <w:pPr>
              <w:widowControl/>
              <w:adjustRightInd w:val="0"/>
              <w:snapToGrid w:val="0"/>
              <w:spacing w:line="320" w:lineRule="exact"/>
              <w:jc w:val="center"/>
              <w:rPr>
                <w:bCs/>
                <w:kern w:val="44"/>
                <w:szCs w:val="21"/>
              </w:rPr>
            </w:pPr>
          </w:p>
        </w:tc>
        <w:tc>
          <w:tcPr>
            <w:tcW w:w="2123" w:type="dxa"/>
            <w:noWrap w:val="0"/>
            <w:vAlign w:val="center"/>
          </w:tcPr>
          <w:p>
            <w:pPr>
              <w:adjustRightInd w:val="0"/>
              <w:snapToGrid w:val="0"/>
              <w:spacing w:line="320" w:lineRule="exact"/>
              <w:jc w:val="center"/>
              <w:rPr>
                <w:bCs/>
                <w:szCs w:val="21"/>
              </w:rPr>
            </w:pPr>
            <w:r>
              <w:rPr>
                <w:bCs/>
                <w:szCs w:val="21"/>
              </w:rPr>
              <w:t>COD</w:t>
            </w:r>
          </w:p>
        </w:tc>
        <w:tc>
          <w:tcPr>
            <w:tcW w:w="1242" w:type="dxa"/>
            <w:noWrap w:val="0"/>
            <w:vAlign w:val="bottom"/>
          </w:tcPr>
          <w:p>
            <w:pPr>
              <w:widowControl/>
              <w:jc w:val="center"/>
              <w:rPr>
                <w:rFonts w:hint="eastAsia" w:eastAsia="宋体"/>
                <w:kern w:val="0"/>
                <w:szCs w:val="21"/>
                <w:lang w:eastAsia="zh-CN"/>
              </w:rPr>
            </w:pPr>
            <w:r>
              <w:rPr>
                <w:rFonts w:hint="eastAsia"/>
                <w:szCs w:val="21"/>
                <w:lang w:eastAsia="zh-CN"/>
              </w:rPr>
              <w:t>18608.369</w:t>
            </w:r>
          </w:p>
        </w:tc>
        <w:tc>
          <w:tcPr>
            <w:tcW w:w="1135" w:type="dxa"/>
            <w:noWrap w:val="0"/>
            <w:vAlign w:val="bottom"/>
          </w:tcPr>
          <w:p>
            <w:pPr>
              <w:widowControl/>
              <w:jc w:val="center"/>
              <w:rPr>
                <w:rFonts w:hint="eastAsia" w:eastAsia="宋体"/>
                <w:kern w:val="0"/>
                <w:szCs w:val="21"/>
                <w:lang w:eastAsia="zh-CN"/>
              </w:rPr>
            </w:pPr>
            <w:r>
              <w:rPr>
                <w:rFonts w:hint="eastAsia"/>
                <w:szCs w:val="21"/>
                <w:lang w:eastAsia="zh-CN"/>
              </w:rPr>
              <w:t>140.475</w:t>
            </w:r>
          </w:p>
        </w:tc>
        <w:tc>
          <w:tcPr>
            <w:tcW w:w="1243" w:type="dxa"/>
            <w:noWrap w:val="0"/>
            <w:vAlign w:val="bottom"/>
          </w:tcPr>
          <w:p>
            <w:pPr>
              <w:widowControl/>
              <w:jc w:val="center"/>
              <w:rPr>
                <w:rFonts w:hint="eastAsia" w:eastAsia="宋体"/>
                <w:kern w:val="0"/>
                <w:szCs w:val="21"/>
                <w:lang w:eastAsia="zh-CN"/>
              </w:rPr>
            </w:pPr>
            <w:r>
              <w:rPr>
                <w:rFonts w:hint="eastAsia"/>
                <w:szCs w:val="21"/>
                <w:lang w:eastAsia="zh-CN"/>
              </w:rPr>
              <w:t>117.825</w:t>
            </w:r>
          </w:p>
        </w:tc>
        <w:tc>
          <w:tcPr>
            <w:tcW w:w="1265" w:type="dxa"/>
            <w:noWrap w:val="0"/>
            <w:vAlign w:val="bottom"/>
          </w:tcPr>
          <w:p>
            <w:pPr>
              <w:spacing w:line="360" w:lineRule="exact"/>
              <w:jc w:val="center"/>
              <w:rPr>
                <w:szCs w:val="21"/>
              </w:rPr>
            </w:pPr>
            <w:r>
              <w:rPr>
                <w:szCs w:val="21"/>
              </w:rPr>
              <w:t>3000</w:t>
            </w:r>
          </w:p>
        </w:tc>
        <w:tc>
          <w:tcPr>
            <w:tcW w:w="985" w:type="dxa"/>
            <w:noWrap w:val="0"/>
            <w:vAlign w:val="center"/>
          </w:tcPr>
          <w:p>
            <w:pPr>
              <w:adjustRightInd w:val="0"/>
              <w:snapToGrid w:val="0"/>
              <w:spacing w:line="320" w:lineRule="exact"/>
              <w:jc w:val="center"/>
              <w:rPr>
                <w:bCs/>
                <w:szCs w:val="21"/>
              </w:rPr>
            </w:pPr>
            <w:r>
              <w:rPr>
                <w:bCs/>
                <w:szCs w:val="21"/>
              </w:rPr>
              <w:t>0</w:t>
            </w:r>
          </w:p>
        </w:tc>
        <w:tc>
          <w:tcPr>
            <w:tcW w:w="3562" w:type="dxa"/>
            <w:vMerge w:val="continue"/>
            <w:tcBorders>
              <w:right w:val="single" w:color="auto" w:sz="12" w:space="0"/>
            </w:tcBorders>
            <w:noWrap w:val="0"/>
            <w:vAlign w:val="center"/>
          </w:tcPr>
          <w:p>
            <w:pPr>
              <w:adjustRightInd w:val="0"/>
              <w:snapToGrid w:val="0"/>
              <w:spacing w:line="320" w:lineRule="exact"/>
              <w:jc w:val="center"/>
              <w:rPr>
                <w:bCs/>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13" w:type="dxa"/>
            <w:gridSpan w:val="2"/>
            <w:vMerge w:val="continue"/>
            <w:tcBorders>
              <w:left w:val="single" w:color="auto" w:sz="12" w:space="0"/>
            </w:tcBorders>
            <w:noWrap w:val="0"/>
            <w:vAlign w:val="center"/>
          </w:tcPr>
          <w:p>
            <w:pPr>
              <w:widowControl/>
              <w:adjustRightInd w:val="0"/>
              <w:snapToGrid w:val="0"/>
              <w:spacing w:line="320" w:lineRule="exact"/>
              <w:jc w:val="center"/>
              <w:rPr>
                <w:bCs/>
                <w:kern w:val="44"/>
                <w:szCs w:val="21"/>
              </w:rPr>
            </w:pPr>
          </w:p>
        </w:tc>
        <w:tc>
          <w:tcPr>
            <w:tcW w:w="2123" w:type="dxa"/>
            <w:noWrap w:val="0"/>
            <w:vAlign w:val="center"/>
          </w:tcPr>
          <w:p>
            <w:pPr>
              <w:adjustRightInd w:val="0"/>
              <w:snapToGrid w:val="0"/>
              <w:spacing w:line="320" w:lineRule="exact"/>
              <w:jc w:val="center"/>
              <w:rPr>
                <w:bCs/>
                <w:szCs w:val="21"/>
              </w:rPr>
            </w:pPr>
            <w:r>
              <w:rPr>
                <w:bCs/>
                <w:szCs w:val="21"/>
              </w:rPr>
              <w:t>BOD</w:t>
            </w:r>
            <w:r>
              <w:rPr>
                <w:bCs/>
                <w:szCs w:val="21"/>
                <w:vertAlign w:val="subscript"/>
              </w:rPr>
              <w:t>5</w:t>
            </w:r>
          </w:p>
        </w:tc>
        <w:tc>
          <w:tcPr>
            <w:tcW w:w="1242" w:type="dxa"/>
            <w:noWrap w:val="0"/>
            <w:vAlign w:val="bottom"/>
          </w:tcPr>
          <w:p>
            <w:pPr>
              <w:jc w:val="center"/>
              <w:rPr>
                <w:rFonts w:hint="eastAsia" w:eastAsia="宋体"/>
                <w:szCs w:val="21"/>
                <w:lang w:eastAsia="zh-CN"/>
              </w:rPr>
            </w:pPr>
            <w:r>
              <w:rPr>
                <w:rFonts w:hint="eastAsia"/>
                <w:szCs w:val="21"/>
                <w:lang w:eastAsia="zh-CN"/>
              </w:rPr>
              <w:t>7635.77</w:t>
            </w:r>
          </w:p>
        </w:tc>
        <w:tc>
          <w:tcPr>
            <w:tcW w:w="1135" w:type="dxa"/>
            <w:noWrap w:val="0"/>
            <w:vAlign w:val="bottom"/>
          </w:tcPr>
          <w:p>
            <w:pPr>
              <w:jc w:val="center"/>
              <w:rPr>
                <w:rFonts w:hint="eastAsia" w:eastAsia="宋体"/>
                <w:szCs w:val="21"/>
                <w:lang w:eastAsia="zh-CN"/>
              </w:rPr>
            </w:pPr>
            <w:r>
              <w:rPr>
                <w:rFonts w:hint="eastAsia"/>
                <w:szCs w:val="21"/>
                <w:lang w:eastAsia="zh-CN"/>
              </w:rPr>
              <w:t>57.6426</w:t>
            </w:r>
          </w:p>
        </w:tc>
        <w:tc>
          <w:tcPr>
            <w:tcW w:w="1243" w:type="dxa"/>
            <w:noWrap w:val="0"/>
            <w:vAlign w:val="bottom"/>
          </w:tcPr>
          <w:p>
            <w:pPr>
              <w:jc w:val="center"/>
              <w:rPr>
                <w:rFonts w:hint="eastAsia" w:eastAsia="宋体"/>
                <w:szCs w:val="21"/>
                <w:lang w:eastAsia="zh-CN"/>
              </w:rPr>
            </w:pPr>
            <w:r>
              <w:rPr>
                <w:rFonts w:hint="eastAsia"/>
                <w:szCs w:val="21"/>
                <w:lang w:eastAsia="zh-CN"/>
              </w:rPr>
              <w:t>47.0726</w:t>
            </w:r>
          </w:p>
        </w:tc>
        <w:tc>
          <w:tcPr>
            <w:tcW w:w="1265" w:type="dxa"/>
            <w:noWrap w:val="0"/>
            <w:vAlign w:val="bottom"/>
          </w:tcPr>
          <w:p>
            <w:pPr>
              <w:spacing w:line="360" w:lineRule="exact"/>
              <w:jc w:val="center"/>
              <w:rPr>
                <w:szCs w:val="21"/>
              </w:rPr>
            </w:pPr>
            <w:r>
              <w:rPr>
                <w:szCs w:val="21"/>
              </w:rPr>
              <w:t>1400</w:t>
            </w:r>
          </w:p>
        </w:tc>
        <w:tc>
          <w:tcPr>
            <w:tcW w:w="985" w:type="dxa"/>
            <w:noWrap w:val="0"/>
            <w:vAlign w:val="center"/>
          </w:tcPr>
          <w:p>
            <w:pPr>
              <w:adjustRightInd w:val="0"/>
              <w:snapToGrid w:val="0"/>
              <w:spacing w:line="320" w:lineRule="exact"/>
              <w:jc w:val="center"/>
              <w:rPr>
                <w:bCs/>
                <w:szCs w:val="21"/>
              </w:rPr>
            </w:pPr>
            <w:r>
              <w:rPr>
                <w:bCs/>
                <w:szCs w:val="21"/>
              </w:rPr>
              <w:t>0</w:t>
            </w:r>
          </w:p>
        </w:tc>
        <w:tc>
          <w:tcPr>
            <w:tcW w:w="3562" w:type="dxa"/>
            <w:vMerge w:val="continue"/>
            <w:tcBorders>
              <w:right w:val="single" w:color="auto" w:sz="12" w:space="0"/>
            </w:tcBorders>
            <w:noWrap w:val="0"/>
            <w:vAlign w:val="center"/>
          </w:tcPr>
          <w:p>
            <w:pPr>
              <w:adjustRightInd w:val="0"/>
              <w:snapToGrid w:val="0"/>
              <w:spacing w:line="320" w:lineRule="exact"/>
              <w:jc w:val="center"/>
              <w:rPr>
                <w:bCs/>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13" w:type="dxa"/>
            <w:gridSpan w:val="2"/>
            <w:vMerge w:val="continue"/>
            <w:tcBorders>
              <w:left w:val="single" w:color="auto" w:sz="12" w:space="0"/>
            </w:tcBorders>
            <w:noWrap w:val="0"/>
            <w:vAlign w:val="center"/>
          </w:tcPr>
          <w:p>
            <w:pPr>
              <w:widowControl/>
              <w:adjustRightInd w:val="0"/>
              <w:snapToGrid w:val="0"/>
              <w:spacing w:line="320" w:lineRule="exact"/>
              <w:jc w:val="center"/>
              <w:rPr>
                <w:bCs/>
                <w:kern w:val="44"/>
                <w:szCs w:val="21"/>
              </w:rPr>
            </w:pPr>
          </w:p>
        </w:tc>
        <w:tc>
          <w:tcPr>
            <w:tcW w:w="2123" w:type="dxa"/>
            <w:noWrap w:val="0"/>
            <w:vAlign w:val="center"/>
          </w:tcPr>
          <w:p>
            <w:pPr>
              <w:adjustRightInd w:val="0"/>
              <w:snapToGrid w:val="0"/>
              <w:spacing w:line="320" w:lineRule="exact"/>
              <w:jc w:val="center"/>
              <w:rPr>
                <w:bCs/>
                <w:szCs w:val="21"/>
              </w:rPr>
            </w:pPr>
            <w:r>
              <w:rPr>
                <w:bCs/>
                <w:szCs w:val="21"/>
              </w:rPr>
              <w:t>SS</w:t>
            </w:r>
          </w:p>
        </w:tc>
        <w:tc>
          <w:tcPr>
            <w:tcW w:w="1242" w:type="dxa"/>
            <w:noWrap w:val="0"/>
            <w:vAlign w:val="bottom"/>
          </w:tcPr>
          <w:p>
            <w:pPr>
              <w:jc w:val="center"/>
              <w:rPr>
                <w:rFonts w:hint="eastAsia" w:eastAsia="宋体"/>
                <w:szCs w:val="21"/>
                <w:lang w:eastAsia="zh-CN"/>
              </w:rPr>
            </w:pPr>
            <w:r>
              <w:rPr>
                <w:rFonts w:hint="eastAsia"/>
                <w:szCs w:val="21"/>
                <w:lang w:eastAsia="zh-CN"/>
              </w:rPr>
              <w:t>1535.04</w:t>
            </w:r>
          </w:p>
        </w:tc>
        <w:tc>
          <w:tcPr>
            <w:tcW w:w="1135" w:type="dxa"/>
            <w:noWrap w:val="0"/>
            <w:vAlign w:val="bottom"/>
          </w:tcPr>
          <w:p>
            <w:pPr>
              <w:jc w:val="center"/>
              <w:rPr>
                <w:rFonts w:hint="eastAsia" w:eastAsia="宋体"/>
                <w:szCs w:val="21"/>
                <w:lang w:eastAsia="zh-CN"/>
              </w:rPr>
            </w:pPr>
            <w:r>
              <w:rPr>
                <w:rFonts w:hint="eastAsia"/>
                <w:szCs w:val="21"/>
                <w:lang w:eastAsia="zh-CN"/>
              </w:rPr>
              <w:t>115.8808</w:t>
            </w:r>
          </w:p>
        </w:tc>
        <w:tc>
          <w:tcPr>
            <w:tcW w:w="1243" w:type="dxa"/>
            <w:noWrap w:val="0"/>
            <w:vAlign w:val="bottom"/>
          </w:tcPr>
          <w:p>
            <w:pPr>
              <w:jc w:val="center"/>
              <w:rPr>
                <w:rFonts w:hint="eastAsia" w:eastAsia="宋体"/>
                <w:szCs w:val="21"/>
                <w:lang w:eastAsia="zh-CN"/>
              </w:rPr>
            </w:pPr>
            <w:r>
              <w:rPr>
                <w:rFonts w:hint="eastAsia"/>
                <w:szCs w:val="21"/>
                <w:lang w:eastAsia="zh-CN"/>
              </w:rPr>
              <w:t>100.7828</w:t>
            </w:r>
          </w:p>
        </w:tc>
        <w:tc>
          <w:tcPr>
            <w:tcW w:w="1265" w:type="dxa"/>
            <w:noWrap w:val="0"/>
            <w:vAlign w:val="bottom"/>
          </w:tcPr>
          <w:p>
            <w:pPr>
              <w:spacing w:line="360" w:lineRule="exact"/>
              <w:jc w:val="center"/>
              <w:rPr>
                <w:szCs w:val="21"/>
              </w:rPr>
            </w:pPr>
            <w:r>
              <w:rPr>
                <w:szCs w:val="21"/>
              </w:rPr>
              <w:t>2000</w:t>
            </w:r>
          </w:p>
        </w:tc>
        <w:tc>
          <w:tcPr>
            <w:tcW w:w="985" w:type="dxa"/>
            <w:noWrap w:val="0"/>
            <w:vAlign w:val="center"/>
          </w:tcPr>
          <w:p>
            <w:pPr>
              <w:adjustRightInd w:val="0"/>
              <w:snapToGrid w:val="0"/>
              <w:spacing w:line="320" w:lineRule="exact"/>
              <w:jc w:val="center"/>
              <w:rPr>
                <w:bCs/>
                <w:szCs w:val="21"/>
              </w:rPr>
            </w:pPr>
            <w:r>
              <w:rPr>
                <w:bCs/>
                <w:szCs w:val="21"/>
              </w:rPr>
              <w:t>0</w:t>
            </w:r>
          </w:p>
        </w:tc>
        <w:tc>
          <w:tcPr>
            <w:tcW w:w="3562" w:type="dxa"/>
            <w:vMerge w:val="continue"/>
            <w:tcBorders>
              <w:right w:val="single" w:color="auto" w:sz="12" w:space="0"/>
            </w:tcBorders>
            <w:noWrap w:val="0"/>
            <w:vAlign w:val="center"/>
          </w:tcPr>
          <w:p>
            <w:pPr>
              <w:adjustRightInd w:val="0"/>
              <w:snapToGrid w:val="0"/>
              <w:spacing w:line="320" w:lineRule="exact"/>
              <w:jc w:val="center"/>
              <w:rPr>
                <w:bCs/>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13" w:type="dxa"/>
            <w:gridSpan w:val="2"/>
            <w:vMerge w:val="continue"/>
            <w:tcBorders>
              <w:left w:val="single" w:color="auto" w:sz="12" w:space="0"/>
            </w:tcBorders>
            <w:noWrap w:val="0"/>
            <w:vAlign w:val="center"/>
          </w:tcPr>
          <w:p>
            <w:pPr>
              <w:widowControl/>
              <w:adjustRightInd w:val="0"/>
              <w:snapToGrid w:val="0"/>
              <w:spacing w:line="320" w:lineRule="exact"/>
              <w:jc w:val="center"/>
              <w:rPr>
                <w:bCs/>
                <w:kern w:val="44"/>
                <w:szCs w:val="21"/>
              </w:rPr>
            </w:pPr>
          </w:p>
        </w:tc>
        <w:tc>
          <w:tcPr>
            <w:tcW w:w="2123" w:type="dxa"/>
            <w:noWrap w:val="0"/>
            <w:vAlign w:val="center"/>
          </w:tcPr>
          <w:p>
            <w:pPr>
              <w:adjustRightInd w:val="0"/>
              <w:snapToGrid w:val="0"/>
              <w:spacing w:line="320" w:lineRule="exact"/>
              <w:jc w:val="center"/>
              <w:rPr>
                <w:bCs/>
                <w:szCs w:val="21"/>
              </w:rPr>
            </w:pPr>
            <w:r>
              <w:rPr>
                <w:bCs/>
                <w:szCs w:val="21"/>
              </w:rPr>
              <w:t>NH</w:t>
            </w:r>
            <w:r>
              <w:rPr>
                <w:bCs/>
                <w:szCs w:val="21"/>
                <w:vertAlign w:val="subscript"/>
              </w:rPr>
              <w:t>3</w:t>
            </w:r>
            <w:r>
              <w:rPr>
                <w:bCs/>
                <w:szCs w:val="21"/>
              </w:rPr>
              <w:t>-N</w:t>
            </w:r>
          </w:p>
        </w:tc>
        <w:tc>
          <w:tcPr>
            <w:tcW w:w="1242" w:type="dxa"/>
            <w:noWrap w:val="0"/>
            <w:vAlign w:val="bottom"/>
          </w:tcPr>
          <w:p>
            <w:pPr>
              <w:jc w:val="center"/>
              <w:rPr>
                <w:rFonts w:hint="eastAsia" w:eastAsia="宋体"/>
                <w:szCs w:val="21"/>
                <w:lang w:eastAsia="zh-CN"/>
              </w:rPr>
            </w:pPr>
            <w:r>
              <w:rPr>
                <w:rFonts w:hint="eastAsia"/>
                <w:szCs w:val="21"/>
                <w:lang w:eastAsia="zh-CN"/>
              </w:rPr>
              <w:t>1145.91</w:t>
            </w:r>
          </w:p>
        </w:tc>
        <w:tc>
          <w:tcPr>
            <w:tcW w:w="1135" w:type="dxa"/>
            <w:noWrap w:val="0"/>
            <w:vAlign w:val="bottom"/>
          </w:tcPr>
          <w:p>
            <w:pPr>
              <w:jc w:val="center"/>
              <w:rPr>
                <w:rFonts w:hint="eastAsia" w:eastAsia="宋体"/>
                <w:szCs w:val="21"/>
                <w:lang w:eastAsia="zh-CN"/>
              </w:rPr>
            </w:pPr>
            <w:r>
              <w:rPr>
                <w:rFonts w:hint="eastAsia"/>
                <w:szCs w:val="21"/>
                <w:lang w:eastAsia="zh-CN"/>
              </w:rPr>
              <w:t>8.6505</w:t>
            </w:r>
          </w:p>
        </w:tc>
        <w:tc>
          <w:tcPr>
            <w:tcW w:w="1243" w:type="dxa"/>
            <w:noWrap w:val="0"/>
            <w:vAlign w:val="bottom"/>
          </w:tcPr>
          <w:p>
            <w:pPr>
              <w:jc w:val="center"/>
              <w:rPr>
                <w:rFonts w:hint="eastAsia" w:eastAsia="宋体"/>
                <w:szCs w:val="21"/>
                <w:lang w:eastAsia="zh-CN"/>
              </w:rPr>
            </w:pPr>
            <w:r>
              <w:rPr>
                <w:rFonts w:hint="eastAsia"/>
                <w:szCs w:val="21"/>
                <w:lang w:eastAsia="zh-CN"/>
              </w:rPr>
              <w:t>1.8565</w:t>
            </w:r>
          </w:p>
        </w:tc>
        <w:tc>
          <w:tcPr>
            <w:tcW w:w="1265" w:type="dxa"/>
            <w:noWrap w:val="0"/>
            <w:vAlign w:val="bottom"/>
          </w:tcPr>
          <w:p>
            <w:pPr>
              <w:spacing w:line="360" w:lineRule="exact"/>
              <w:jc w:val="center"/>
              <w:rPr>
                <w:szCs w:val="21"/>
              </w:rPr>
            </w:pPr>
            <w:r>
              <w:rPr>
                <w:szCs w:val="21"/>
              </w:rPr>
              <w:t>900</w:t>
            </w:r>
          </w:p>
        </w:tc>
        <w:tc>
          <w:tcPr>
            <w:tcW w:w="985" w:type="dxa"/>
            <w:noWrap w:val="0"/>
            <w:vAlign w:val="center"/>
          </w:tcPr>
          <w:p>
            <w:pPr>
              <w:adjustRightInd w:val="0"/>
              <w:snapToGrid w:val="0"/>
              <w:spacing w:line="320" w:lineRule="exact"/>
              <w:jc w:val="center"/>
              <w:rPr>
                <w:bCs/>
                <w:szCs w:val="21"/>
              </w:rPr>
            </w:pPr>
            <w:r>
              <w:rPr>
                <w:bCs/>
                <w:szCs w:val="21"/>
              </w:rPr>
              <w:t>0</w:t>
            </w:r>
          </w:p>
        </w:tc>
        <w:tc>
          <w:tcPr>
            <w:tcW w:w="3562" w:type="dxa"/>
            <w:vMerge w:val="continue"/>
            <w:tcBorders>
              <w:right w:val="single" w:color="auto" w:sz="12" w:space="0"/>
            </w:tcBorders>
            <w:noWrap w:val="0"/>
            <w:vAlign w:val="center"/>
          </w:tcPr>
          <w:p>
            <w:pPr>
              <w:adjustRightInd w:val="0"/>
              <w:snapToGrid w:val="0"/>
              <w:spacing w:line="320" w:lineRule="exact"/>
              <w:jc w:val="center"/>
              <w:rPr>
                <w:bCs/>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13" w:type="dxa"/>
            <w:gridSpan w:val="2"/>
            <w:vMerge w:val="restart"/>
            <w:tcBorders>
              <w:left w:val="single" w:color="auto" w:sz="12" w:space="0"/>
            </w:tcBorders>
            <w:noWrap w:val="0"/>
            <w:vAlign w:val="center"/>
          </w:tcPr>
          <w:p>
            <w:pPr>
              <w:adjustRightInd w:val="0"/>
              <w:snapToGrid w:val="0"/>
              <w:spacing w:line="320" w:lineRule="exact"/>
              <w:jc w:val="center"/>
              <w:rPr>
                <w:bCs/>
                <w:szCs w:val="21"/>
              </w:rPr>
            </w:pPr>
            <w:r>
              <w:rPr>
                <w:bCs/>
                <w:szCs w:val="21"/>
              </w:rPr>
              <w:t>固体废物</w:t>
            </w:r>
          </w:p>
        </w:tc>
        <w:tc>
          <w:tcPr>
            <w:tcW w:w="2123" w:type="dxa"/>
            <w:noWrap w:val="0"/>
            <w:vAlign w:val="center"/>
          </w:tcPr>
          <w:p>
            <w:pPr>
              <w:adjustRightInd w:val="0"/>
              <w:snapToGrid w:val="0"/>
              <w:spacing w:line="320" w:lineRule="exact"/>
              <w:jc w:val="center"/>
              <w:rPr>
                <w:bCs/>
                <w:szCs w:val="21"/>
              </w:rPr>
            </w:pPr>
            <w:r>
              <w:rPr>
                <w:bCs/>
                <w:szCs w:val="21"/>
              </w:rPr>
              <w:t>猪粪</w:t>
            </w:r>
          </w:p>
        </w:tc>
        <w:tc>
          <w:tcPr>
            <w:tcW w:w="1242" w:type="dxa"/>
            <w:noWrap w:val="0"/>
            <w:vAlign w:val="center"/>
          </w:tcPr>
          <w:p>
            <w:pPr>
              <w:adjustRightInd w:val="0"/>
              <w:snapToGrid w:val="0"/>
              <w:spacing w:line="320" w:lineRule="exact"/>
              <w:jc w:val="center"/>
              <w:rPr>
                <w:bCs/>
                <w:szCs w:val="21"/>
              </w:rPr>
            </w:pPr>
            <w:r>
              <w:rPr>
                <w:bCs/>
                <w:szCs w:val="21"/>
              </w:rPr>
              <w:t>—</w:t>
            </w:r>
          </w:p>
        </w:tc>
        <w:tc>
          <w:tcPr>
            <w:tcW w:w="1135" w:type="dxa"/>
            <w:noWrap w:val="0"/>
            <w:vAlign w:val="center"/>
          </w:tcPr>
          <w:p>
            <w:pPr>
              <w:jc w:val="center"/>
              <w:rPr>
                <w:rFonts w:hint="eastAsia" w:eastAsia="宋体"/>
                <w:bCs/>
                <w:szCs w:val="21"/>
                <w:lang w:eastAsia="zh-CN"/>
              </w:rPr>
            </w:pPr>
            <w:r>
              <w:rPr>
                <w:rFonts w:hint="eastAsia"/>
                <w:bCs/>
                <w:szCs w:val="21"/>
                <w:lang w:eastAsia="zh-CN"/>
              </w:rPr>
              <w:t>1549.863</w:t>
            </w:r>
          </w:p>
        </w:tc>
        <w:tc>
          <w:tcPr>
            <w:tcW w:w="1243" w:type="dxa"/>
            <w:noWrap w:val="0"/>
            <w:vAlign w:val="center"/>
          </w:tcPr>
          <w:p>
            <w:pPr>
              <w:jc w:val="center"/>
              <w:rPr>
                <w:rFonts w:hint="eastAsia" w:eastAsia="宋体"/>
                <w:bCs/>
                <w:szCs w:val="21"/>
                <w:lang w:eastAsia="zh-CN"/>
              </w:rPr>
            </w:pPr>
            <w:r>
              <w:rPr>
                <w:rFonts w:hint="eastAsia"/>
                <w:bCs/>
                <w:szCs w:val="21"/>
                <w:lang w:eastAsia="zh-CN"/>
              </w:rPr>
              <w:t>1549.863</w:t>
            </w:r>
          </w:p>
        </w:tc>
        <w:tc>
          <w:tcPr>
            <w:tcW w:w="1265" w:type="dxa"/>
            <w:noWrap w:val="0"/>
            <w:vAlign w:val="center"/>
          </w:tcPr>
          <w:p>
            <w:pPr>
              <w:adjustRightInd w:val="0"/>
              <w:snapToGrid w:val="0"/>
              <w:spacing w:line="320" w:lineRule="exact"/>
              <w:jc w:val="center"/>
              <w:rPr>
                <w:bCs/>
                <w:szCs w:val="21"/>
              </w:rPr>
            </w:pPr>
            <w:r>
              <w:rPr>
                <w:bCs/>
                <w:szCs w:val="21"/>
              </w:rPr>
              <w:t>—</w:t>
            </w:r>
          </w:p>
        </w:tc>
        <w:tc>
          <w:tcPr>
            <w:tcW w:w="985" w:type="dxa"/>
            <w:noWrap w:val="0"/>
            <w:vAlign w:val="center"/>
          </w:tcPr>
          <w:p>
            <w:pPr>
              <w:adjustRightInd w:val="0"/>
              <w:snapToGrid w:val="0"/>
              <w:spacing w:line="320" w:lineRule="exact"/>
              <w:jc w:val="center"/>
              <w:rPr>
                <w:bCs/>
                <w:szCs w:val="21"/>
              </w:rPr>
            </w:pPr>
            <w:r>
              <w:rPr>
                <w:bCs/>
                <w:szCs w:val="21"/>
              </w:rPr>
              <w:t>0</w:t>
            </w:r>
          </w:p>
        </w:tc>
        <w:tc>
          <w:tcPr>
            <w:tcW w:w="3562" w:type="dxa"/>
            <w:tcBorders>
              <w:bottom w:val="single" w:color="auto" w:sz="4" w:space="0"/>
              <w:right w:val="single" w:color="auto" w:sz="12" w:space="0"/>
            </w:tcBorders>
            <w:noWrap w:val="0"/>
            <w:vAlign w:val="center"/>
          </w:tcPr>
          <w:p>
            <w:pPr>
              <w:adjustRightInd w:val="0"/>
              <w:snapToGrid w:val="0"/>
              <w:spacing w:line="320" w:lineRule="exact"/>
              <w:jc w:val="left"/>
              <w:rPr>
                <w:bCs/>
                <w:szCs w:val="21"/>
              </w:rPr>
            </w:pPr>
            <w:r>
              <w:rPr>
                <w:rFonts w:hint="eastAsia"/>
                <w:bCs/>
                <w:szCs w:val="21"/>
              </w:rPr>
              <w:t>固液分离后</w:t>
            </w:r>
            <w:r>
              <w:rPr>
                <w:bCs/>
                <w:szCs w:val="21"/>
              </w:rPr>
              <w:t>发酵制有机肥</w:t>
            </w:r>
            <w:r>
              <w:rPr>
                <w:rFonts w:hint="eastAsia"/>
                <w:bCs/>
                <w:szCs w:val="21"/>
              </w:rPr>
              <w:t>基料</w:t>
            </w:r>
            <w:r>
              <w:rPr>
                <w:bCs/>
                <w:szCs w:val="21"/>
              </w:rPr>
              <w:t>，外售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jc w:val="center"/>
        </w:trPr>
        <w:tc>
          <w:tcPr>
            <w:tcW w:w="1813" w:type="dxa"/>
            <w:gridSpan w:val="2"/>
            <w:vMerge w:val="continue"/>
            <w:tcBorders>
              <w:left w:val="single" w:color="auto" w:sz="12" w:space="0"/>
            </w:tcBorders>
            <w:noWrap w:val="0"/>
            <w:vAlign w:val="center"/>
          </w:tcPr>
          <w:p>
            <w:pPr>
              <w:adjustRightInd w:val="0"/>
              <w:snapToGrid w:val="0"/>
              <w:spacing w:line="320" w:lineRule="exact"/>
              <w:jc w:val="center"/>
              <w:rPr>
                <w:bCs/>
                <w:szCs w:val="21"/>
              </w:rPr>
            </w:pPr>
          </w:p>
        </w:tc>
        <w:tc>
          <w:tcPr>
            <w:tcW w:w="2123" w:type="dxa"/>
            <w:tcBorders>
              <w:top w:val="single" w:color="auto" w:sz="4" w:space="0"/>
            </w:tcBorders>
            <w:noWrap w:val="0"/>
            <w:vAlign w:val="center"/>
          </w:tcPr>
          <w:p>
            <w:pPr>
              <w:adjustRightInd w:val="0"/>
              <w:snapToGrid w:val="0"/>
              <w:spacing w:line="320" w:lineRule="exact"/>
              <w:jc w:val="center"/>
              <w:rPr>
                <w:bCs/>
                <w:szCs w:val="21"/>
              </w:rPr>
            </w:pPr>
            <w:r>
              <w:rPr>
                <w:bCs/>
                <w:szCs w:val="21"/>
              </w:rPr>
              <w:t>沼渣</w:t>
            </w:r>
          </w:p>
        </w:tc>
        <w:tc>
          <w:tcPr>
            <w:tcW w:w="1242" w:type="dxa"/>
            <w:tcBorders>
              <w:top w:val="single" w:color="auto" w:sz="4" w:space="0"/>
            </w:tcBorders>
            <w:noWrap w:val="0"/>
            <w:vAlign w:val="center"/>
          </w:tcPr>
          <w:p>
            <w:pPr>
              <w:adjustRightInd w:val="0"/>
              <w:snapToGrid w:val="0"/>
              <w:spacing w:line="320" w:lineRule="exact"/>
              <w:jc w:val="center"/>
              <w:rPr>
                <w:bCs/>
                <w:szCs w:val="21"/>
              </w:rPr>
            </w:pPr>
            <w:r>
              <w:rPr>
                <w:bCs/>
                <w:szCs w:val="21"/>
              </w:rPr>
              <w:t>—</w:t>
            </w:r>
          </w:p>
        </w:tc>
        <w:tc>
          <w:tcPr>
            <w:tcW w:w="1135" w:type="dxa"/>
            <w:tcBorders>
              <w:top w:val="single" w:color="auto" w:sz="4" w:space="0"/>
            </w:tcBorders>
            <w:noWrap w:val="0"/>
            <w:vAlign w:val="center"/>
          </w:tcPr>
          <w:p>
            <w:pPr>
              <w:jc w:val="center"/>
              <w:rPr>
                <w:rFonts w:hint="eastAsia" w:eastAsia="宋体"/>
                <w:szCs w:val="21"/>
                <w:lang w:eastAsia="zh-CN"/>
              </w:rPr>
            </w:pPr>
            <w:r>
              <w:rPr>
                <w:rFonts w:hint="eastAsia"/>
                <w:bCs/>
                <w:szCs w:val="21"/>
                <w:lang w:eastAsia="zh-CN"/>
              </w:rPr>
              <w:t>309.9726</w:t>
            </w:r>
          </w:p>
        </w:tc>
        <w:tc>
          <w:tcPr>
            <w:tcW w:w="1243" w:type="dxa"/>
            <w:tcBorders>
              <w:top w:val="single" w:color="auto" w:sz="4" w:space="0"/>
            </w:tcBorders>
            <w:noWrap w:val="0"/>
            <w:vAlign w:val="center"/>
          </w:tcPr>
          <w:p>
            <w:pPr>
              <w:jc w:val="center"/>
              <w:rPr>
                <w:rFonts w:hint="eastAsia" w:eastAsia="宋体"/>
                <w:szCs w:val="21"/>
                <w:lang w:eastAsia="zh-CN"/>
              </w:rPr>
            </w:pPr>
            <w:r>
              <w:rPr>
                <w:rFonts w:hint="eastAsia"/>
                <w:bCs/>
                <w:szCs w:val="21"/>
                <w:lang w:eastAsia="zh-CN"/>
              </w:rPr>
              <w:t>309.9726</w:t>
            </w:r>
          </w:p>
        </w:tc>
        <w:tc>
          <w:tcPr>
            <w:tcW w:w="1265" w:type="dxa"/>
            <w:tcBorders>
              <w:top w:val="single" w:color="auto" w:sz="4" w:space="0"/>
            </w:tcBorders>
            <w:noWrap w:val="0"/>
            <w:vAlign w:val="center"/>
          </w:tcPr>
          <w:p>
            <w:pPr>
              <w:adjustRightInd w:val="0"/>
              <w:snapToGrid w:val="0"/>
              <w:spacing w:line="320" w:lineRule="exact"/>
              <w:jc w:val="center"/>
              <w:rPr>
                <w:bCs/>
                <w:szCs w:val="21"/>
              </w:rPr>
            </w:pPr>
            <w:r>
              <w:rPr>
                <w:bCs/>
                <w:szCs w:val="21"/>
              </w:rPr>
              <w:t>—</w:t>
            </w:r>
          </w:p>
        </w:tc>
        <w:tc>
          <w:tcPr>
            <w:tcW w:w="985" w:type="dxa"/>
            <w:tcBorders>
              <w:top w:val="single" w:color="auto" w:sz="4" w:space="0"/>
            </w:tcBorders>
            <w:noWrap w:val="0"/>
            <w:vAlign w:val="center"/>
          </w:tcPr>
          <w:p>
            <w:pPr>
              <w:adjustRightInd w:val="0"/>
              <w:snapToGrid w:val="0"/>
              <w:spacing w:line="320" w:lineRule="exact"/>
              <w:jc w:val="center"/>
              <w:rPr>
                <w:bCs/>
                <w:szCs w:val="21"/>
              </w:rPr>
            </w:pPr>
            <w:r>
              <w:rPr>
                <w:bCs/>
                <w:szCs w:val="21"/>
              </w:rPr>
              <w:t>0</w:t>
            </w:r>
          </w:p>
        </w:tc>
        <w:tc>
          <w:tcPr>
            <w:tcW w:w="3562" w:type="dxa"/>
            <w:tcBorders>
              <w:top w:val="single" w:color="auto" w:sz="4" w:space="0"/>
              <w:right w:val="single" w:color="auto" w:sz="12" w:space="0"/>
            </w:tcBorders>
            <w:noWrap w:val="0"/>
            <w:vAlign w:val="center"/>
          </w:tcPr>
          <w:p>
            <w:pPr>
              <w:adjustRightInd w:val="0"/>
              <w:snapToGrid w:val="0"/>
              <w:spacing w:line="320" w:lineRule="exact"/>
              <w:jc w:val="center"/>
              <w:rPr>
                <w:rFonts w:hint="eastAsia"/>
                <w:bCs/>
                <w:szCs w:val="21"/>
              </w:rPr>
            </w:pPr>
            <w:r>
              <w:rPr>
                <w:rFonts w:hint="eastAsia"/>
                <w:bCs/>
                <w:szCs w:val="21"/>
              </w:rPr>
              <w:t>干化后</w:t>
            </w:r>
            <w:r>
              <w:rPr>
                <w:bCs/>
                <w:szCs w:val="21"/>
              </w:rPr>
              <w:t>作为基料外售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13" w:type="dxa"/>
            <w:gridSpan w:val="2"/>
            <w:vMerge w:val="continue"/>
            <w:tcBorders>
              <w:left w:val="single" w:color="auto" w:sz="12" w:space="0"/>
            </w:tcBorders>
            <w:noWrap w:val="0"/>
            <w:vAlign w:val="center"/>
          </w:tcPr>
          <w:p>
            <w:pPr>
              <w:adjustRightInd w:val="0"/>
              <w:snapToGrid w:val="0"/>
              <w:spacing w:line="320" w:lineRule="exact"/>
              <w:jc w:val="center"/>
              <w:rPr>
                <w:bCs/>
                <w:szCs w:val="21"/>
              </w:rPr>
            </w:pPr>
          </w:p>
        </w:tc>
        <w:tc>
          <w:tcPr>
            <w:tcW w:w="2123" w:type="dxa"/>
            <w:noWrap w:val="0"/>
            <w:vAlign w:val="center"/>
          </w:tcPr>
          <w:p>
            <w:pPr>
              <w:adjustRightInd w:val="0"/>
              <w:snapToGrid w:val="0"/>
              <w:spacing w:line="320" w:lineRule="exact"/>
              <w:jc w:val="center"/>
              <w:rPr>
                <w:bCs/>
                <w:szCs w:val="21"/>
              </w:rPr>
            </w:pPr>
            <w:r>
              <w:rPr>
                <w:bCs/>
                <w:szCs w:val="21"/>
              </w:rPr>
              <w:t>病死猪尸体</w:t>
            </w:r>
          </w:p>
        </w:tc>
        <w:tc>
          <w:tcPr>
            <w:tcW w:w="1242" w:type="dxa"/>
            <w:noWrap w:val="0"/>
            <w:vAlign w:val="center"/>
          </w:tcPr>
          <w:p>
            <w:pPr>
              <w:adjustRightInd w:val="0"/>
              <w:snapToGrid w:val="0"/>
              <w:spacing w:line="320" w:lineRule="exact"/>
              <w:jc w:val="center"/>
              <w:rPr>
                <w:bCs/>
                <w:color w:val="auto"/>
                <w:szCs w:val="21"/>
              </w:rPr>
            </w:pPr>
            <w:r>
              <w:rPr>
                <w:bCs/>
                <w:color w:val="auto"/>
                <w:szCs w:val="21"/>
              </w:rPr>
              <w:t>—</w:t>
            </w:r>
          </w:p>
        </w:tc>
        <w:tc>
          <w:tcPr>
            <w:tcW w:w="1135" w:type="dxa"/>
            <w:noWrap w:val="0"/>
            <w:vAlign w:val="center"/>
          </w:tcPr>
          <w:p>
            <w:pPr>
              <w:jc w:val="center"/>
              <w:rPr>
                <w:rFonts w:hint="default" w:eastAsia="宋体"/>
                <w:bCs/>
                <w:color w:val="auto"/>
                <w:szCs w:val="21"/>
                <w:lang w:val="en-US" w:eastAsia="zh-CN"/>
              </w:rPr>
            </w:pPr>
            <w:r>
              <w:rPr>
                <w:rFonts w:hint="eastAsia"/>
                <w:bCs/>
                <w:color w:val="auto"/>
                <w:szCs w:val="21"/>
                <w:lang w:val="en-US" w:eastAsia="zh-CN"/>
              </w:rPr>
              <w:t>6.3</w:t>
            </w:r>
          </w:p>
        </w:tc>
        <w:tc>
          <w:tcPr>
            <w:tcW w:w="1243" w:type="dxa"/>
            <w:noWrap w:val="0"/>
            <w:vAlign w:val="center"/>
          </w:tcPr>
          <w:p>
            <w:pPr>
              <w:jc w:val="center"/>
              <w:rPr>
                <w:bCs/>
                <w:color w:val="auto"/>
                <w:szCs w:val="21"/>
              </w:rPr>
            </w:pPr>
            <w:r>
              <w:rPr>
                <w:rFonts w:hint="eastAsia"/>
                <w:bCs/>
                <w:color w:val="auto"/>
                <w:szCs w:val="21"/>
                <w:lang w:val="en-US" w:eastAsia="zh-CN"/>
              </w:rPr>
              <w:t>6.3</w:t>
            </w:r>
          </w:p>
        </w:tc>
        <w:tc>
          <w:tcPr>
            <w:tcW w:w="1265" w:type="dxa"/>
            <w:noWrap w:val="0"/>
            <w:vAlign w:val="center"/>
          </w:tcPr>
          <w:p>
            <w:pPr>
              <w:adjustRightInd w:val="0"/>
              <w:snapToGrid w:val="0"/>
              <w:spacing w:line="320" w:lineRule="exact"/>
              <w:jc w:val="center"/>
              <w:rPr>
                <w:bCs/>
                <w:szCs w:val="21"/>
              </w:rPr>
            </w:pPr>
            <w:r>
              <w:rPr>
                <w:bCs/>
                <w:szCs w:val="21"/>
              </w:rPr>
              <w:t>—</w:t>
            </w:r>
          </w:p>
        </w:tc>
        <w:tc>
          <w:tcPr>
            <w:tcW w:w="985" w:type="dxa"/>
            <w:noWrap w:val="0"/>
            <w:vAlign w:val="center"/>
          </w:tcPr>
          <w:p>
            <w:pPr>
              <w:adjustRightInd w:val="0"/>
              <w:snapToGrid w:val="0"/>
              <w:spacing w:line="320" w:lineRule="exact"/>
              <w:jc w:val="center"/>
              <w:rPr>
                <w:bCs/>
                <w:szCs w:val="21"/>
              </w:rPr>
            </w:pPr>
            <w:r>
              <w:rPr>
                <w:bCs/>
                <w:szCs w:val="21"/>
              </w:rPr>
              <w:t>0</w:t>
            </w:r>
          </w:p>
        </w:tc>
        <w:tc>
          <w:tcPr>
            <w:tcW w:w="3562" w:type="dxa"/>
            <w:tcBorders>
              <w:right w:val="single" w:color="auto" w:sz="12" w:space="0"/>
            </w:tcBorders>
            <w:noWrap w:val="0"/>
            <w:vAlign w:val="center"/>
          </w:tcPr>
          <w:p>
            <w:pPr>
              <w:adjustRightInd w:val="0"/>
              <w:snapToGrid w:val="0"/>
              <w:spacing w:line="320" w:lineRule="exact"/>
              <w:jc w:val="center"/>
              <w:rPr>
                <w:rFonts w:hint="eastAsia"/>
                <w:bCs/>
                <w:szCs w:val="21"/>
              </w:rPr>
            </w:pPr>
            <w:r>
              <w:rPr>
                <w:rFonts w:hint="eastAsia"/>
                <w:bCs/>
                <w:szCs w:val="21"/>
              </w:rPr>
              <w:t>送至正阳县畜禽无害化处理中心处理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jc w:val="center"/>
        </w:trPr>
        <w:tc>
          <w:tcPr>
            <w:tcW w:w="1813" w:type="dxa"/>
            <w:gridSpan w:val="2"/>
            <w:vMerge w:val="continue"/>
            <w:tcBorders>
              <w:left w:val="single" w:color="auto" w:sz="12" w:space="0"/>
            </w:tcBorders>
            <w:noWrap w:val="0"/>
            <w:vAlign w:val="center"/>
          </w:tcPr>
          <w:p>
            <w:pPr>
              <w:adjustRightInd w:val="0"/>
              <w:snapToGrid w:val="0"/>
              <w:spacing w:line="320" w:lineRule="exact"/>
              <w:jc w:val="center"/>
              <w:rPr>
                <w:bCs/>
                <w:szCs w:val="21"/>
              </w:rPr>
            </w:pPr>
          </w:p>
        </w:tc>
        <w:tc>
          <w:tcPr>
            <w:tcW w:w="2123" w:type="dxa"/>
            <w:noWrap w:val="0"/>
            <w:vAlign w:val="center"/>
          </w:tcPr>
          <w:p>
            <w:pPr>
              <w:adjustRightInd w:val="0"/>
              <w:snapToGrid w:val="0"/>
              <w:spacing w:line="320" w:lineRule="exact"/>
              <w:jc w:val="center"/>
              <w:rPr>
                <w:bCs/>
                <w:szCs w:val="21"/>
              </w:rPr>
            </w:pPr>
            <w:r>
              <w:rPr>
                <w:bCs/>
                <w:szCs w:val="21"/>
              </w:rPr>
              <w:t>生活垃圾</w:t>
            </w:r>
          </w:p>
        </w:tc>
        <w:tc>
          <w:tcPr>
            <w:tcW w:w="1242" w:type="dxa"/>
            <w:noWrap w:val="0"/>
            <w:vAlign w:val="center"/>
          </w:tcPr>
          <w:p>
            <w:pPr>
              <w:adjustRightInd w:val="0"/>
              <w:snapToGrid w:val="0"/>
              <w:spacing w:line="320" w:lineRule="exact"/>
              <w:jc w:val="center"/>
              <w:rPr>
                <w:bCs/>
                <w:szCs w:val="21"/>
              </w:rPr>
            </w:pPr>
            <w:r>
              <w:rPr>
                <w:bCs/>
                <w:szCs w:val="21"/>
              </w:rPr>
              <w:t>—</w:t>
            </w:r>
          </w:p>
        </w:tc>
        <w:tc>
          <w:tcPr>
            <w:tcW w:w="1135" w:type="dxa"/>
            <w:noWrap w:val="0"/>
            <w:vAlign w:val="center"/>
          </w:tcPr>
          <w:p>
            <w:pPr>
              <w:jc w:val="center"/>
              <w:rPr>
                <w:bCs/>
                <w:szCs w:val="21"/>
              </w:rPr>
            </w:pPr>
            <w:r>
              <w:rPr>
                <w:rFonts w:hint="eastAsia"/>
                <w:szCs w:val="21"/>
              </w:rPr>
              <w:t>1.825</w:t>
            </w:r>
          </w:p>
        </w:tc>
        <w:tc>
          <w:tcPr>
            <w:tcW w:w="1243" w:type="dxa"/>
            <w:noWrap w:val="0"/>
            <w:vAlign w:val="center"/>
          </w:tcPr>
          <w:p>
            <w:pPr>
              <w:jc w:val="center"/>
              <w:rPr>
                <w:bCs/>
                <w:szCs w:val="21"/>
              </w:rPr>
            </w:pPr>
            <w:r>
              <w:rPr>
                <w:rFonts w:hint="eastAsia"/>
                <w:szCs w:val="21"/>
              </w:rPr>
              <w:t>1.825</w:t>
            </w:r>
          </w:p>
        </w:tc>
        <w:tc>
          <w:tcPr>
            <w:tcW w:w="1265" w:type="dxa"/>
            <w:noWrap w:val="0"/>
            <w:vAlign w:val="center"/>
          </w:tcPr>
          <w:p>
            <w:pPr>
              <w:adjustRightInd w:val="0"/>
              <w:snapToGrid w:val="0"/>
              <w:spacing w:line="320" w:lineRule="exact"/>
              <w:jc w:val="center"/>
              <w:rPr>
                <w:bCs/>
                <w:szCs w:val="21"/>
              </w:rPr>
            </w:pPr>
            <w:r>
              <w:rPr>
                <w:bCs/>
                <w:szCs w:val="21"/>
              </w:rPr>
              <w:t>—</w:t>
            </w:r>
          </w:p>
        </w:tc>
        <w:tc>
          <w:tcPr>
            <w:tcW w:w="985" w:type="dxa"/>
            <w:noWrap w:val="0"/>
            <w:vAlign w:val="center"/>
          </w:tcPr>
          <w:p>
            <w:pPr>
              <w:adjustRightInd w:val="0"/>
              <w:snapToGrid w:val="0"/>
              <w:spacing w:line="320" w:lineRule="exact"/>
              <w:jc w:val="center"/>
              <w:rPr>
                <w:bCs/>
                <w:szCs w:val="21"/>
              </w:rPr>
            </w:pPr>
            <w:r>
              <w:rPr>
                <w:bCs/>
                <w:szCs w:val="21"/>
              </w:rPr>
              <w:t>0</w:t>
            </w:r>
          </w:p>
        </w:tc>
        <w:tc>
          <w:tcPr>
            <w:tcW w:w="3562" w:type="dxa"/>
            <w:tcBorders>
              <w:right w:val="single" w:color="auto" w:sz="12" w:space="0"/>
            </w:tcBorders>
            <w:noWrap w:val="0"/>
            <w:vAlign w:val="center"/>
          </w:tcPr>
          <w:p>
            <w:pPr>
              <w:adjustRightInd w:val="0"/>
              <w:snapToGrid w:val="0"/>
              <w:spacing w:line="320" w:lineRule="exact"/>
              <w:jc w:val="center"/>
              <w:rPr>
                <w:bCs/>
                <w:szCs w:val="21"/>
              </w:rPr>
            </w:pPr>
            <w:r>
              <w:rPr>
                <w:bCs/>
                <w:szCs w:val="21"/>
              </w:rPr>
              <w:t>送环卫部门处理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jc w:val="center"/>
        </w:trPr>
        <w:tc>
          <w:tcPr>
            <w:tcW w:w="1813" w:type="dxa"/>
            <w:gridSpan w:val="2"/>
            <w:vMerge w:val="continue"/>
            <w:tcBorders>
              <w:left w:val="single" w:color="auto" w:sz="12" w:space="0"/>
            </w:tcBorders>
            <w:noWrap w:val="0"/>
            <w:vAlign w:val="center"/>
          </w:tcPr>
          <w:p>
            <w:pPr>
              <w:widowControl/>
              <w:adjustRightInd w:val="0"/>
              <w:snapToGrid w:val="0"/>
              <w:spacing w:line="320" w:lineRule="exact"/>
              <w:jc w:val="center"/>
              <w:rPr>
                <w:bCs/>
                <w:kern w:val="44"/>
                <w:szCs w:val="21"/>
              </w:rPr>
            </w:pPr>
          </w:p>
        </w:tc>
        <w:tc>
          <w:tcPr>
            <w:tcW w:w="2123" w:type="dxa"/>
            <w:noWrap w:val="0"/>
            <w:vAlign w:val="center"/>
          </w:tcPr>
          <w:p>
            <w:pPr>
              <w:adjustRightInd w:val="0"/>
              <w:snapToGrid w:val="0"/>
              <w:spacing w:line="320" w:lineRule="exact"/>
              <w:jc w:val="center"/>
              <w:rPr>
                <w:bCs/>
                <w:szCs w:val="21"/>
              </w:rPr>
            </w:pPr>
            <w:r>
              <w:rPr>
                <w:bCs/>
                <w:szCs w:val="21"/>
              </w:rPr>
              <w:t>疾病防疫产生的医疗废物</w:t>
            </w:r>
          </w:p>
        </w:tc>
        <w:tc>
          <w:tcPr>
            <w:tcW w:w="1242" w:type="dxa"/>
            <w:noWrap w:val="0"/>
            <w:vAlign w:val="center"/>
          </w:tcPr>
          <w:p>
            <w:pPr>
              <w:adjustRightInd w:val="0"/>
              <w:snapToGrid w:val="0"/>
              <w:spacing w:line="320" w:lineRule="exact"/>
              <w:jc w:val="center"/>
              <w:rPr>
                <w:bCs/>
                <w:szCs w:val="21"/>
              </w:rPr>
            </w:pPr>
            <w:r>
              <w:rPr>
                <w:bCs/>
                <w:szCs w:val="21"/>
              </w:rPr>
              <w:t>—</w:t>
            </w:r>
          </w:p>
        </w:tc>
        <w:tc>
          <w:tcPr>
            <w:tcW w:w="1135" w:type="dxa"/>
            <w:noWrap w:val="0"/>
            <w:vAlign w:val="center"/>
          </w:tcPr>
          <w:p>
            <w:pPr>
              <w:adjustRightInd w:val="0"/>
              <w:snapToGrid w:val="0"/>
              <w:spacing w:line="320" w:lineRule="exact"/>
              <w:jc w:val="center"/>
              <w:rPr>
                <w:rFonts w:hint="eastAsia" w:eastAsia="宋体"/>
                <w:bCs/>
                <w:color w:val="auto"/>
                <w:szCs w:val="21"/>
                <w:lang w:eastAsia="zh-CN"/>
              </w:rPr>
            </w:pPr>
            <w:r>
              <w:rPr>
                <w:rFonts w:hint="eastAsia"/>
                <w:color w:val="auto"/>
                <w:szCs w:val="21"/>
                <w:lang w:eastAsia="zh-CN"/>
              </w:rPr>
              <w:t>0.021</w:t>
            </w:r>
          </w:p>
        </w:tc>
        <w:tc>
          <w:tcPr>
            <w:tcW w:w="1243" w:type="dxa"/>
            <w:noWrap w:val="0"/>
            <w:vAlign w:val="center"/>
          </w:tcPr>
          <w:p>
            <w:pPr>
              <w:adjustRightInd w:val="0"/>
              <w:snapToGrid w:val="0"/>
              <w:spacing w:line="320" w:lineRule="exact"/>
              <w:jc w:val="center"/>
              <w:rPr>
                <w:rFonts w:hint="eastAsia" w:eastAsia="宋体"/>
                <w:bCs/>
                <w:color w:val="auto"/>
                <w:szCs w:val="21"/>
                <w:lang w:eastAsia="zh-CN"/>
              </w:rPr>
            </w:pPr>
            <w:r>
              <w:rPr>
                <w:rFonts w:hint="eastAsia"/>
                <w:color w:val="auto"/>
                <w:szCs w:val="21"/>
                <w:lang w:eastAsia="zh-CN"/>
              </w:rPr>
              <w:t>0.021</w:t>
            </w:r>
          </w:p>
        </w:tc>
        <w:tc>
          <w:tcPr>
            <w:tcW w:w="1265" w:type="dxa"/>
            <w:noWrap w:val="0"/>
            <w:vAlign w:val="center"/>
          </w:tcPr>
          <w:p>
            <w:pPr>
              <w:adjustRightInd w:val="0"/>
              <w:snapToGrid w:val="0"/>
              <w:spacing w:line="320" w:lineRule="exact"/>
              <w:jc w:val="center"/>
              <w:rPr>
                <w:bCs/>
                <w:szCs w:val="21"/>
              </w:rPr>
            </w:pPr>
            <w:r>
              <w:rPr>
                <w:bCs/>
                <w:szCs w:val="21"/>
              </w:rPr>
              <w:t>—</w:t>
            </w:r>
          </w:p>
        </w:tc>
        <w:tc>
          <w:tcPr>
            <w:tcW w:w="985" w:type="dxa"/>
            <w:noWrap w:val="0"/>
            <w:vAlign w:val="center"/>
          </w:tcPr>
          <w:p>
            <w:pPr>
              <w:adjustRightInd w:val="0"/>
              <w:snapToGrid w:val="0"/>
              <w:spacing w:line="320" w:lineRule="exact"/>
              <w:jc w:val="center"/>
              <w:rPr>
                <w:bCs/>
                <w:szCs w:val="21"/>
              </w:rPr>
            </w:pPr>
            <w:r>
              <w:rPr>
                <w:bCs/>
                <w:szCs w:val="21"/>
              </w:rPr>
              <w:t>0</w:t>
            </w:r>
          </w:p>
        </w:tc>
        <w:tc>
          <w:tcPr>
            <w:tcW w:w="3562" w:type="dxa"/>
            <w:tcBorders>
              <w:right w:val="single" w:color="auto" w:sz="12" w:space="0"/>
            </w:tcBorders>
            <w:noWrap w:val="0"/>
            <w:vAlign w:val="center"/>
          </w:tcPr>
          <w:p>
            <w:pPr>
              <w:adjustRightInd w:val="0"/>
              <w:snapToGrid w:val="0"/>
              <w:spacing w:line="320" w:lineRule="exact"/>
              <w:jc w:val="center"/>
              <w:rPr>
                <w:bCs/>
                <w:szCs w:val="21"/>
              </w:rPr>
            </w:pPr>
            <w:r>
              <w:rPr>
                <w:rFonts w:hint="eastAsia"/>
                <w:bCs/>
                <w:szCs w:val="21"/>
              </w:rPr>
              <w:t>交由有资质的单位进行处理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13" w:type="dxa"/>
            <w:gridSpan w:val="2"/>
            <w:vMerge w:val="continue"/>
            <w:tcBorders>
              <w:left w:val="single" w:color="auto" w:sz="12" w:space="0"/>
              <w:bottom w:val="single" w:color="auto" w:sz="12" w:space="0"/>
            </w:tcBorders>
            <w:noWrap w:val="0"/>
            <w:vAlign w:val="center"/>
          </w:tcPr>
          <w:p>
            <w:pPr>
              <w:widowControl/>
              <w:adjustRightInd w:val="0"/>
              <w:snapToGrid w:val="0"/>
              <w:spacing w:line="320" w:lineRule="exact"/>
              <w:jc w:val="center"/>
              <w:rPr>
                <w:bCs/>
                <w:kern w:val="44"/>
                <w:szCs w:val="21"/>
              </w:rPr>
            </w:pPr>
          </w:p>
        </w:tc>
        <w:tc>
          <w:tcPr>
            <w:tcW w:w="2123" w:type="dxa"/>
            <w:tcBorders>
              <w:bottom w:val="single" w:color="auto" w:sz="12" w:space="0"/>
            </w:tcBorders>
            <w:noWrap w:val="0"/>
            <w:vAlign w:val="center"/>
          </w:tcPr>
          <w:p>
            <w:pPr>
              <w:adjustRightInd w:val="0"/>
              <w:snapToGrid w:val="0"/>
              <w:spacing w:line="320" w:lineRule="exact"/>
              <w:jc w:val="center"/>
              <w:rPr>
                <w:bCs/>
                <w:szCs w:val="21"/>
              </w:rPr>
            </w:pPr>
            <w:r>
              <w:rPr>
                <w:bCs/>
                <w:szCs w:val="21"/>
              </w:rPr>
              <w:t>脱硫装置产生的废脱硫剂</w:t>
            </w:r>
          </w:p>
        </w:tc>
        <w:tc>
          <w:tcPr>
            <w:tcW w:w="1242" w:type="dxa"/>
            <w:tcBorders>
              <w:bottom w:val="single" w:color="auto" w:sz="12" w:space="0"/>
            </w:tcBorders>
            <w:noWrap w:val="0"/>
            <w:vAlign w:val="center"/>
          </w:tcPr>
          <w:p>
            <w:pPr>
              <w:adjustRightInd w:val="0"/>
              <w:snapToGrid w:val="0"/>
              <w:spacing w:line="320" w:lineRule="exact"/>
              <w:jc w:val="center"/>
              <w:rPr>
                <w:bCs/>
                <w:szCs w:val="21"/>
              </w:rPr>
            </w:pPr>
            <w:r>
              <w:rPr>
                <w:bCs/>
                <w:szCs w:val="21"/>
              </w:rPr>
              <w:t>—</w:t>
            </w:r>
          </w:p>
        </w:tc>
        <w:tc>
          <w:tcPr>
            <w:tcW w:w="1135" w:type="dxa"/>
            <w:tcBorders>
              <w:bottom w:val="single" w:color="auto" w:sz="12" w:space="0"/>
            </w:tcBorders>
            <w:noWrap w:val="0"/>
            <w:vAlign w:val="center"/>
          </w:tcPr>
          <w:p>
            <w:pPr>
              <w:adjustRightInd w:val="0"/>
              <w:snapToGrid w:val="0"/>
              <w:spacing w:line="320" w:lineRule="exact"/>
              <w:jc w:val="center"/>
              <w:rPr>
                <w:rFonts w:hint="eastAsia" w:eastAsia="宋体"/>
                <w:bCs/>
                <w:color w:val="auto"/>
                <w:szCs w:val="21"/>
                <w:lang w:eastAsia="zh-CN"/>
              </w:rPr>
            </w:pPr>
            <w:r>
              <w:rPr>
                <w:rFonts w:hint="eastAsia"/>
                <w:color w:val="auto"/>
                <w:szCs w:val="21"/>
                <w:lang w:eastAsia="zh-CN"/>
              </w:rPr>
              <w:t>0.043</w:t>
            </w:r>
          </w:p>
        </w:tc>
        <w:tc>
          <w:tcPr>
            <w:tcW w:w="1243" w:type="dxa"/>
            <w:tcBorders>
              <w:bottom w:val="single" w:color="auto" w:sz="12" w:space="0"/>
            </w:tcBorders>
            <w:noWrap w:val="0"/>
            <w:vAlign w:val="center"/>
          </w:tcPr>
          <w:p>
            <w:pPr>
              <w:adjustRightInd w:val="0"/>
              <w:snapToGrid w:val="0"/>
              <w:spacing w:line="320" w:lineRule="exact"/>
              <w:jc w:val="center"/>
              <w:rPr>
                <w:rFonts w:hint="eastAsia" w:eastAsia="宋体"/>
                <w:bCs/>
                <w:color w:val="auto"/>
                <w:szCs w:val="21"/>
                <w:lang w:eastAsia="zh-CN"/>
              </w:rPr>
            </w:pPr>
            <w:r>
              <w:rPr>
                <w:rFonts w:hint="eastAsia"/>
                <w:color w:val="auto"/>
                <w:szCs w:val="21"/>
                <w:lang w:eastAsia="zh-CN"/>
              </w:rPr>
              <w:t>0.043</w:t>
            </w:r>
          </w:p>
        </w:tc>
        <w:tc>
          <w:tcPr>
            <w:tcW w:w="1265" w:type="dxa"/>
            <w:tcBorders>
              <w:bottom w:val="single" w:color="auto" w:sz="12" w:space="0"/>
            </w:tcBorders>
            <w:noWrap w:val="0"/>
            <w:vAlign w:val="center"/>
          </w:tcPr>
          <w:p>
            <w:pPr>
              <w:adjustRightInd w:val="0"/>
              <w:snapToGrid w:val="0"/>
              <w:spacing w:line="320" w:lineRule="exact"/>
              <w:jc w:val="center"/>
              <w:rPr>
                <w:bCs/>
                <w:szCs w:val="21"/>
              </w:rPr>
            </w:pPr>
            <w:r>
              <w:rPr>
                <w:bCs/>
                <w:szCs w:val="21"/>
              </w:rPr>
              <w:t>—</w:t>
            </w:r>
          </w:p>
        </w:tc>
        <w:tc>
          <w:tcPr>
            <w:tcW w:w="985" w:type="dxa"/>
            <w:tcBorders>
              <w:bottom w:val="single" w:color="auto" w:sz="12" w:space="0"/>
            </w:tcBorders>
            <w:noWrap w:val="0"/>
            <w:vAlign w:val="center"/>
          </w:tcPr>
          <w:p>
            <w:pPr>
              <w:adjustRightInd w:val="0"/>
              <w:snapToGrid w:val="0"/>
              <w:spacing w:line="320" w:lineRule="exact"/>
              <w:jc w:val="center"/>
              <w:rPr>
                <w:bCs/>
                <w:szCs w:val="21"/>
              </w:rPr>
            </w:pPr>
            <w:r>
              <w:rPr>
                <w:bCs/>
                <w:szCs w:val="21"/>
              </w:rPr>
              <w:t>0</w:t>
            </w:r>
          </w:p>
        </w:tc>
        <w:tc>
          <w:tcPr>
            <w:tcW w:w="3562" w:type="dxa"/>
            <w:tcBorders>
              <w:bottom w:val="single" w:color="auto" w:sz="12" w:space="0"/>
              <w:right w:val="single" w:color="auto" w:sz="12" w:space="0"/>
            </w:tcBorders>
            <w:noWrap w:val="0"/>
            <w:vAlign w:val="center"/>
          </w:tcPr>
          <w:p>
            <w:pPr>
              <w:adjustRightInd w:val="0"/>
              <w:snapToGrid w:val="0"/>
              <w:spacing w:line="320" w:lineRule="exact"/>
              <w:jc w:val="center"/>
              <w:rPr>
                <w:bCs/>
                <w:szCs w:val="21"/>
              </w:rPr>
            </w:pPr>
            <w:r>
              <w:rPr>
                <w:szCs w:val="21"/>
              </w:rPr>
              <w:t>由生产厂家统一回收</w:t>
            </w:r>
          </w:p>
        </w:tc>
      </w:tr>
    </w:tbl>
    <w:p>
      <w:pPr>
        <w:rPr>
          <w:sz w:val="24"/>
        </w:rPr>
      </w:pPr>
    </w:p>
    <w:p>
      <w:pPr>
        <w:rPr>
          <w:sz w:val="24"/>
        </w:rPr>
        <w:sectPr>
          <w:pgSz w:w="16838" w:h="11906" w:orient="landscape"/>
          <w:pgMar w:top="1587" w:right="1984" w:bottom="1587" w:left="1701" w:header="851" w:footer="992" w:gutter="0"/>
          <w:pgNumType w:fmt="numberInDash"/>
          <w:cols w:space="720" w:num="1"/>
          <w:docGrid w:linePitch="312" w:charSpace="0"/>
        </w:sectPr>
      </w:pPr>
    </w:p>
    <w:p>
      <w:pPr>
        <w:keepNext/>
        <w:keepLines/>
        <w:spacing w:before="100" w:beforeAutospacing="1" w:after="100" w:afterAutospacing="1"/>
        <w:jc w:val="center"/>
        <w:outlineLvl w:val="0"/>
        <w:rPr>
          <w:b/>
          <w:sz w:val="44"/>
          <w:szCs w:val="44"/>
        </w:rPr>
      </w:pPr>
      <w:r>
        <w:rPr>
          <w:b/>
          <w:sz w:val="44"/>
          <w:szCs w:val="44"/>
        </w:rPr>
        <w:tab/>
      </w:r>
      <w:bookmarkStart w:id="302" w:name="_Toc470206263"/>
      <w:bookmarkStart w:id="303" w:name="_Toc413833393"/>
      <w:bookmarkStart w:id="304" w:name="_Toc28667"/>
      <w:r>
        <w:rPr>
          <w:b/>
          <w:sz w:val="44"/>
          <w:szCs w:val="44"/>
        </w:rPr>
        <w:t xml:space="preserve">第三章  </w:t>
      </w:r>
      <w:bookmarkEnd w:id="302"/>
      <w:bookmarkEnd w:id="303"/>
      <w:r>
        <w:rPr>
          <w:b/>
          <w:sz w:val="44"/>
          <w:szCs w:val="44"/>
        </w:rPr>
        <w:t>环境现状调查与评价</w:t>
      </w:r>
      <w:bookmarkEnd w:id="304"/>
    </w:p>
    <w:p>
      <w:pPr>
        <w:snapToGrid w:val="0"/>
        <w:spacing w:line="520" w:lineRule="exact"/>
        <w:outlineLvl w:val="1"/>
        <w:rPr>
          <w:rFonts w:eastAsia="黑体"/>
          <w:bCs/>
          <w:sz w:val="28"/>
          <w:szCs w:val="28"/>
        </w:rPr>
      </w:pPr>
      <w:bookmarkStart w:id="305" w:name="_Toc472009596"/>
      <w:bookmarkStart w:id="306" w:name="_Toc857"/>
      <w:r>
        <w:rPr>
          <w:rFonts w:eastAsia="黑体"/>
          <w:bCs/>
          <w:sz w:val="28"/>
          <w:szCs w:val="28"/>
        </w:rPr>
        <w:t>3.1自然现状调查与评价</w:t>
      </w:r>
      <w:bookmarkEnd w:id="305"/>
      <w:bookmarkEnd w:id="306"/>
    </w:p>
    <w:p>
      <w:pPr>
        <w:pStyle w:val="2"/>
        <w:spacing w:before="0" w:after="0" w:line="520" w:lineRule="exact"/>
        <w:rPr>
          <w:rFonts w:eastAsia="黑体"/>
          <w:b w:val="0"/>
          <w:sz w:val="24"/>
          <w:szCs w:val="24"/>
        </w:rPr>
      </w:pPr>
      <w:r>
        <w:rPr>
          <w:rFonts w:eastAsia="黑体"/>
          <w:b w:val="0"/>
          <w:sz w:val="24"/>
          <w:szCs w:val="24"/>
        </w:rPr>
        <w:t>3.1.1地理位置</w:t>
      </w:r>
    </w:p>
    <w:p>
      <w:pPr>
        <w:spacing w:line="500" w:lineRule="exact"/>
        <w:ind w:firstLine="480" w:firstLineChars="200"/>
        <w:rPr>
          <w:sz w:val="24"/>
        </w:rPr>
      </w:pPr>
      <w:r>
        <w:rPr>
          <w:rFonts w:hAnsi="宋体"/>
          <w:sz w:val="24"/>
        </w:rPr>
        <w:t>驻马店市位于河南省中南部，东经</w:t>
      </w:r>
      <w:r>
        <w:rPr>
          <w:sz w:val="24"/>
        </w:rPr>
        <w:t>113°10ˊ</w:t>
      </w:r>
      <w:r>
        <w:rPr>
          <w:rFonts w:hAnsi="宋体"/>
          <w:sz w:val="24"/>
        </w:rPr>
        <w:t>～</w:t>
      </w:r>
      <w:r>
        <w:rPr>
          <w:sz w:val="24"/>
        </w:rPr>
        <w:t>115°12ˊ</w:t>
      </w:r>
      <w:r>
        <w:rPr>
          <w:rFonts w:hAnsi="宋体"/>
          <w:sz w:val="24"/>
        </w:rPr>
        <w:t>、北纬</w:t>
      </w:r>
      <w:r>
        <w:rPr>
          <w:sz w:val="24"/>
        </w:rPr>
        <w:t xml:space="preserve"> 32°18ˊ</w:t>
      </w:r>
      <w:r>
        <w:rPr>
          <w:rFonts w:hAnsi="宋体"/>
          <w:sz w:val="24"/>
        </w:rPr>
        <w:t>～</w:t>
      </w:r>
    </w:p>
    <w:p>
      <w:pPr>
        <w:spacing w:line="500" w:lineRule="exact"/>
        <w:rPr>
          <w:sz w:val="24"/>
        </w:rPr>
      </w:pPr>
      <w:r>
        <w:rPr>
          <w:sz w:val="24"/>
        </w:rPr>
        <w:t>33°35ˊ</w:t>
      </w:r>
      <w:r>
        <w:rPr>
          <w:rFonts w:hAnsi="宋体"/>
          <w:sz w:val="24"/>
        </w:rPr>
        <w:t>。东西长</w:t>
      </w:r>
      <w:r>
        <w:rPr>
          <w:sz w:val="24"/>
        </w:rPr>
        <w:t>191.5km</w:t>
      </w:r>
      <w:r>
        <w:rPr>
          <w:rFonts w:hAnsi="宋体"/>
          <w:sz w:val="24"/>
        </w:rPr>
        <w:t>，南北宽</w:t>
      </w:r>
      <w:r>
        <w:rPr>
          <w:sz w:val="24"/>
        </w:rPr>
        <w:t>137.5km</w:t>
      </w:r>
      <w:r>
        <w:rPr>
          <w:rFonts w:hAnsi="宋体"/>
          <w:sz w:val="24"/>
        </w:rPr>
        <w:t>，总面积</w:t>
      </w:r>
      <w:r>
        <w:rPr>
          <w:sz w:val="24"/>
        </w:rPr>
        <w:t>15095km</w:t>
      </w:r>
      <w:r>
        <w:rPr>
          <w:sz w:val="24"/>
          <w:vertAlign w:val="superscript"/>
        </w:rPr>
        <w:t xml:space="preserve"> 2</w:t>
      </w:r>
      <w:r>
        <w:rPr>
          <w:rFonts w:hAnsi="宋体"/>
          <w:sz w:val="24"/>
        </w:rPr>
        <w:t>，占全省总面积的</w:t>
      </w:r>
      <w:r>
        <w:rPr>
          <w:sz w:val="24"/>
        </w:rPr>
        <w:t xml:space="preserve"> 8.9%</w:t>
      </w:r>
      <w:r>
        <w:rPr>
          <w:rFonts w:hAnsi="宋体"/>
          <w:sz w:val="24"/>
        </w:rPr>
        <w:t>。驻马店市东接安徽省阜阳地区，西连南阳市，北靠周口市、平顶山市和漯河，南邻信阳市，现管辖遂平、西平、上蔡、平舆、新蔡、正阳、泌阳、汝南、确山九县和驿城区。</w:t>
      </w:r>
    </w:p>
    <w:p>
      <w:pPr>
        <w:spacing w:line="500" w:lineRule="exact"/>
        <w:ind w:firstLine="480" w:firstLineChars="200"/>
        <w:rPr>
          <w:sz w:val="24"/>
        </w:rPr>
      </w:pPr>
      <w:r>
        <w:rPr>
          <w:rFonts w:hAnsi="宋体"/>
          <w:sz w:val="24"/>
        </w:rPr>
        <w:t>正阳县位于河南省东南部，淮河北岸。东与新蔡、息县接壤，西与确山县毗邻，北靠汝南、平舆，南与罗山、信阳县隔淮相望。地处东经</w:t>
      </w:r>
      <w:r>
        <w:rPr>
          <w:sz w:val="24"/>
        </w:rPr>
        <w:t>114°12</w:t>
      </w:r>
      <w:r>
        <w:rPr>
          <w:szCs w:val="28"/>
        </w:rPr>
        <w:t>ˊ</w:t>
      </w:r>
      <w:r>
        <w:rPr>
          <w:sz w:val="24"/>
        </w:rPr>
        <w:t>—114°53</w:t>
      </w:r>
      <w:r>
        <w:rPr>
          <w:rFonts w:hAnsi="宋体"/>
          <w:sz w:val="24"/>
        </w:rPr>
        <w:t>＇，北纬</w:t>
      </w:r>
      <w:r>
        <w:rPr>
          <w:sz w:val="24"/>
        </w:rPr>
        <w:t>32°16</w:t>
      </w:r>
      <w:r>
        <w:rPr>
          <w:rFonts w:hAnsi="宋体"/>
          <w:sz w:val="24"/>
        </w:rPr>
        <w:t>＇</w:t>
      </w:r>
      <w:r>
        <w:rPr>
          <w:sz w:val="24"/>
        </w:rPr>
        <w:t>—32°47</w:t>
      </w:r>
      <w:r>
        <w:rPr>
          <w:rFonts w:hAnsi="宋体"/>
          <w:sz w:val="24"/>
        </w:rPr>
        <w:t>＇。南北长</w:t>
      </w:r>
      <w:r>
        <w:rPr>
          <w:sz w:val="24"/>
        </w:rPr>
        <w:t>57</w:t>
      </w:r>
      <w:r>
        <w:rPr>
          <w:rFonts w:hAnsi="宋体"/>
          <w:sz w:val="24"/>
        </w:rPr>
        <w:t>公里，东西宽</w:t>
      </w:r>
      <w:r>
        <w:rPr>
          <w:sz w:val="24"/>
        </w:rPr>
        <w:t>64.5</w:t>
      </w:r>
      <w:r>
        <w:rPr>
          <w:rFonts w:hAnsi="宋体"/>
          <w:sz w:val="24"/>
        </w:rPr>
        <w:t>公里。总面积</w:t>
      </w:r>
      <w:r>
        <w:rPr>
          <w:sz w:val="24"/>
        </w:rPr>
        <w:t>1903</w:t>
      </w:r>
      <w:r>
        <w:rPr>
          <w:rFonts w:hAnsi="宋体"/>
          <w:sz w:val="24"/>
        </w:rPr>
        <w:t>平方公里</w:t>
      </w:r>
      <w:bookmarkStart w:id="307" w:name="_Toc163642795"/>
      <w:bookmarkStart w:id="308" w:name="_Toc163642678"/>
      <w:bookmarkStart w:id="309" w:name="_Toc163642560"/>
      <w:r>
        <w:rPr>
          <w:rFonts w:hAnsi="宋体"/>
          <w:sz w:val="24"/>
        </w:rPr>
        <w:t>，辖</w:t>
      </w:r>
      <w:r>
        <w:rPr>
          <w:sz w:val="24"/>
        </w:rPr>
        <w:t>7</w:t>
      </w:r>
      <w:r>
        <w:rPr>
          <w:rFonts w:hAnsi="宋体"/>
          <w:sz w:val="24"/>
        </w:rPr>
        <w:t>镇</w:t>
      </w:r>
      <w:r>
        <w:rPr>
          <w:sz w:val="24"/>
        </w:rPr>
        <w:t>12</w:t>
      </w:r>
      <w:r>
        <w:rPr>
          <w:rFonts w:hAnsi="宋体"/>
          <w:sz w:val="24"/>
        </w:rPr>
        <w:t>乡。</w:t>
      </w:r>
      <w:bookmarkEnd w:id="307"/>
      <w:bookmarkEnd w:id="308"/>
      <w:bookmarkEnd w:id="309"/>
    </w:p>
    <w:p>
      <w:pPr>
        <w:spacing w:line="500" w:lineRule="exact"/>
        <w:ind w:firstLine="480" w:firstLineChars="200"/>
        <w:rPr>
          <w:rFonts w:hint="eastAsia"/>
          <w:sz w:val="24"/>
        </w:rPr>
      </w:pPr>
      <w:r>
        <w:rPr>
          <w:rFonts w:hAnsi="宋体"/>
          <w:sz w:val="24"/>
        </w:rPr>
        <w:t>本次评价对象为</w:t>
      </w:r>
      <w:r>
        <w:rPr>
          <w:rFonts w:hint="eastAsia" w:hAnsi="宋体"/>
          <w:sz w:val="24"/>
          <w:lang w:eastAsia="zh-CN"/>
        </w:rPr>
        <w:t>正阳县鑫鑫向荣大型种猪养殖有限责任公司</w:t>
      </w:r>
      <w:r>
        <w:rPr>
          <w:rFonts w:hint="eastAsia" w:hAnsi="宋体"/>
          <w:sz w:val="24"/>
        </w:rPr>
        <w:t>建设</w:t>
      </w:r>
      <w:r>
        <w:rPr>
          <w:rFonts w:hint="eastAsia" w:hAnsi="宋体"/>
          <w:sz w:val="24"/>
          <w:lang w:eastAsia="zh-CN"/>
        </w:rPr>
        <w:t>年产1.2万头生猪养殖场项目</w:t>
      </w:r>
      <w:r>
        <w:rPr>
          <w:rFonts w:hAnsi="宋体"/>
          <w:sz w:val="24"/>
        </w:rPr>
        <w:t>，位于</w:t>
      </w:r>
      <w:r>
        <w:rPr>
          <w:rFonts w:hint="eastAsia" w:hAnsi="宋体"/>
          <w:sz w:val="24"/>
          <w:lang w:eastAsia="zh-CN"/>
        </w:rPr>
        <w:t>正阳县汝南埠镇大温寺王店</w:t>
      </w:r>
      <w:r>
        <w:rPr>
          <w:rFonts w:hAnsi="宋体"/>
          <w:sz w:val="24"/>
        </w:rPr>
        <w:t>，场区四周为农田。周边</w:t>
      </w:r>
      <w:r>
        <w:rPr>
          <w:rFonts w:hint="eastAsia"/>
          <w:sz w:val="24"/>
          <w:lang w:val="en-US" w:eastAsia="zh-CN"/>
        </w:rPr>
        <w:t>4</w:t>
      </w:r>
      <w:r>
        <w:rPr>
          <w:sz w:val="24"/>
        </w:rPr>
        <w:t>00m</w:t>
      </w:r>
      <w:r>
        <w:rPr>
          <w:rFonts w:hAnsi="宋体"/>
          <w:sz w:val="24"/>
        </w:rPr>
        <w:t>内无</w:t>
      </w:r>
      <w:r>
        <w:rPr>
          <w:rFonts w:hint="eastAsia" w:hAnsi="宋体"/>
          <w:sz w:val="24"/>
        </w:rPr>
        <w:t>集中居民区</w:t>
      </w:r>
      <w:r>
        <w:rPr>
          <w:rFonts w:hAnsi="宋体"/>
          <w:sz w:val="24"/>
        </w:rPr>
        <w:t>、学校、医院、疗养院等环境敏感点及无功能性地表水体。项目地理位置见附图一</w:t>
      </w:r>
      <w:r>
        <w:rPr>
          <w:rFonts w:hint="eastAsia" w:hAnsi="宋体"/>
          <w:sz w:val="24"/>
        </w:rPr>
        <w:t>，周围</w:t>
      </w:r>
      <w:r>
        <w:rPr>
          <w:rFonts w:hAnsi="宋体"/>
          <w:sz w:val="24"/>
        </w:rPr>
        <w:t>敏感点示意图见附图二</w:t>
      </w:r>
      <w:r>
        <w:rPr>
          <w:rFonts w:hint="eastAsia" w:hAnsi="宋体"/>
          <w:sz w:val="24"/>
        </w:rPr>
        <w:t>。</w:t>
      </w:r>
    </w:p>
    <w:p>
      <w:pPr>
        <w:spacing w:line="520" w:lineRule="exact"/>
        <w:rPr>
          <w:rFonts w:hint="eastAsia"/>
          <w:sz w:val="24"/>
        </w:rPr>
      </w:pPr>
      <w:r>
        <w:rPr>
          <w:rFonts w:eastAsia="黑体"/>
          <w:sz w:val="24"/>
        </w:rPr>
        <w:t>3.1.2</w:t>
      </w:r>
      <w:r>
        <w:rPr>
          <w:rFonts w:hint="eastAsia" w:eastAsia="黑体"/>
          <w:sz w:val="24"/>
        </w:rPr>
        <w:t>地形地貌</w:t>
      </w:r>
      <w:r>
        <w:rPr>
          <w:rFonts w:eastAsia="黑体"/>
          <w:sz w:val="24"/>
        </w:rPr>
        <w:t>和地址</w:t>
      </w:r>
    </w:p>
    <w:p>
      <w:pPr>
        <w:autoSpaceDE w:val="0"/>
        <w:autoSpaceDN w:val="0"/>
        <w:spacing w:line="520" w:lineRule="exact"/>
        <w:ind w:firstLine="479"/>
        <w:rPr>
          <w:rFonts w:hAnsi="宋体"/>
          <w:sz w:val="24"/>
        </w:rPr>
      </w:pPr>
      <w:bookmarkStart w:id="310" w:name="_Toc163642758"/>
      <w:bookmarkStart w:id="311" w:name="_Toc163642523"/>
      <w:bookmarkStart w:id="312" w:name="_Toc163642641"/>
      <w:r>
        <w:rPr>
          <w:rFonts w:hint="eastAsia" w:hAnsi="宋体"/>
          <w:sz w:val="24"/>
        </w:rPr>
        <w:t>正阳属于淮河地带的坳陷部分，系由淮河北岸支流经多年泛滥和冲积而形成。地势由西北向东南倾斜，宽阔平坦，为一低地平原。局部地下水埋藏甚浅，地表径流排泄不畅，出现积水，造成部分起伏状态。正阳县地表为黄淮冲积平原的一部分，境内既无高山，亦无丘陵。地面标高在</w:t>
      </w:r>
      <w:r>
        <w:rPr>
          <w:rFonts w:hAnsi="宋体"/>
          <w:sz w:val="24"/>
        </w:rPr>
        <w:t>65</w:t>
      </w:r>
      <w:r>
        <w:rPr>
          <w:rFonts w:hint="eastAsia" w:hAnsi="宋体"/>
          <w:sz w:val="24"/>
        </w:rPr>
        <w:t>～</w:t>
      </w:r>
      <w:r>
        <w:rPr>
          <w:rFonts w:hAnsi="宋体"/>
          <w:sz w:val="24"/>
        </w:rPr>
        <w:t>85</w:t>
      </w:r>
      <w:r>
        <w:rPr>
          <w:rFonts w:hint="eastAsia" w:hAnsi="宋体"/>
          <w:sz w:val="24"/>
        </w:rPr>
        <w:t>m之间，西北部宋店最高为</w:t>
      </w:r>
      <w:r>
        <w:rPr>
          <w:rFonts w:hAnsi="宋体"/>
          <w:sz w:val="24"/>
        </w:rPr>
        <w:t>103</w:t>
      </w:r>
      <w:r>
        <w:rPr>
          <w:rFonts w:hint="eastAsia" w:hAnsi="宋体"/>
          <w:sz w:val="24"/>
        </w:rPr>
        <w:t>m，东部李洼最低为</w:t>
      </w:r>
      <w:r>
        <w:rPr>
          <w:rFonts w:hAnsi="宋体"/>
          <w:sz w:val="24"/>
        </w:rPr>
        <w:t>36.1</w:t>
      </w:r>
      <w:r>
        <w:rPr>
          <w:rFonts w:hint="eastAsia" w:hAnsi="宋体"/>
          <w:sz w:val="24"/>
        </w:rPr>
        <w:t>m。比降</w:t>
      </w:r>
      <w:r>
        <w:rPr>
          <w:rFonts w:hAnsi="宋体"/>
          <w:sz w:val="24"/>
        </w:rPr>
        <w:t>1</w:t>
      </w:r>
      <w:r>
        <w:rPr>
          <w:rFonts w:hint="eastAsia" w:hAnsi="宋体"/>
          <w:sz w:val="24"/>
        </w:rPr>
        <w:t>：</w:t>
      </w:r>
      <w:r>
        <w:rPr>
          <w:rFonts w:hAnsi="宋体"/>
          <w:sz w:val="24"/>
        </w:rPr>
        <w:t>200</w:t>
      </w:r>
      <w:r>
        <w:rPr>
          <w:rFonts w:hint="eastAsia" w:hAnsi="宋体"/>
          <w:sz w:val="24"/>
        </w:rPr>
        <w:t>～</w:t>
      </w:r>
      <w:r>
        <w:rPr>
          <w:rFonts w:hAnsi="宋体"/>
          <w:sz w:val="24"/>
        </w:rPr>
        <w:t>1:1500</w:t>
      </w:r>
      <w:r>
        <w:rPr>
          <w:rFonts w:hint="eastAsia" w:hAnsi="宋体"/>
          <w:sz w:val="24"/>
        </w:rPr>
        <w:t>，河流大都随地势之倾斜方向，自西北流向东南。县内平原</w:t>
      </w:r>
      <w:r>
        <w:rPr>
          <w:rFonts w:hAnsi="宋体"/>
          <w:sz w:val="24"/>
        </w:rPr>
        <w:t>1324.5</w:t>
      </w:r>
      <w:r>
        <w:rPr>
          <w:rFonts w:hint="eastAsia" w:hAnsi="宋体"/>
          <w:sz w:val="24"/>
        </w:rPr>
        <w:t>平方公里，占总面积的</w:t>
      </w:r>
      <w:r>
        <w:rPr>
          <w:rFonts w:hAnsi="宋体"/>
          <w:sz w:val="24"/>
        </w:rPr>
        <w:t>70</w:t>
      </w:r>
      <w:r>
        <w:rPr>
          <w:rFonts w:hint="eastAsia" w:hAnsi="宋体"/>
          <w:sz w:val="24"/>
        </w:rPr>
        <w:t>％；洼地</w:t>
      </w:r>
      <w:r>
        <w:rPr>
          <w:rFonts w:hAnsi="宋体"/>
          <w:sz w:val="24"/>
        </w:rPr>
        <w:t>382.5</w:t>
      </w:r>
      <w:r>
        <w:rPr>
          <w:rFonts w:hint="eastAsia" w:hAnsi="宋体"/>
          <w:sz w:val="24"/>
        </w:rPr>
        <w:t>平方公里，占总面积的</w:t>
      </w:r>
      <w:r>
        <w:rPr>
          <w:rFonts w:hAnsi="宋体"/>
          <w:sz w:val="24"/>
        </w:rPr>
        <w:t>20</w:t>
      </w:r>
      <w:r>
        <w:rPr>
          <w:rFonts w:hint="eastAsia" w:hAnsi="宋体"/>
          <w:sz w:val="24"/>
        </w:rPr>
        <w:t>％；岗地</w:t>
      </w:r>
      <w:r>
        <w:rPr>
          <w:rFonts w:hAnsi="宋体"/>
          <w:sz w:val="24"/>
        </w:rPr>
        <w:t>196</w:t>
      </w:r>
      <w:r>
        <w:rPr>
          <w:rFonts w:hint="eastAsia" w:hAnsi="宋体"/>
          <w:sz w:val="24"/>
        </w:rPr>
        <w:t>平方公里，占总面积的</w:t>
      </w:r>
      <w:r>
        <w:rPr>
          <w:rFonts w:hAnsi="宋体"/>
          <w:sz w:val="24"/>
        </w:rPr>
        <w:t>10</w:t>
      </w:r>
      <w:r>
        <w:rPr>
          <w:rFonts w:hint="eastAsia" w:hAnsi="宋体"/>
          <w:sz w:val="24"/>
        </w:rPr>
        <w:t>％。</w:t>
      </w:r>
      <w:r>
        <w:rPr>
          <w:rFonts w:hAnsi="宋体"/>
          <w:sz w:val="24"/>
        </w:rPr>
        <w:t xml:space="preserve"> </w:t>
      </w:r>
    </w:p>
    <w:p>
      <w:pPr>
        <w:autoSpaceDE w:val="0"/>
        <w:autoSpaceDN w:val="0"/>
        <w:spacing w:line="520" w:lineRule="exact"/>
        <w:ind w:firstLine="479"/>
        <w:rPr>
          <w:sz w:val="24"/>
        </w:rPr>
      </w:pPr>
      <w:r>
        <w:rPr>
          <w:rFonts w:hAnsi="宋体"/>
          <w:sz w:val="24"/>
        </w:rPr>
        <w:t>正阳县属冲湖积浅丘平原地带，地势平坦、地形开阔。项目所在区域地层属第四纪晚更新世纪形成的膨胀土。区域地质结构和成土母质多为变质岩系，工程地质均匀，土层深厚，土壤多为棕黄壤，潮土、砂姜土、水稻土四类。</w:t>
      </w:r>
      <w:bookmarkEnd w:id="310"/>
      <w:bookmarkEnd w:id="311"/>
      <w:bookmarkEnd w:id="312"/>
    </w:p>
    <w:p>
      <w:pPr>
        <w:adjustRightInd w:val="0"/>
        <w:snapToGrid w:val="0"/>
        <w:spacing w:line="520" w:lineRule="exact"/>
        <w:ind w:firstLine="482"/>
        <w:rPr>
          <w:rFonts w:hint="eastAsia"/>
          <w:bCs/>
          <w:snapToGrid w:val="0"/>
          <w:sz w:val="24"/>
        </w:rPr>
      </w:pPr>
      <w:r>
        <w:rPr>
          <w:rFonts w:hint="eastAsia"/>
          <w:bCs/>
          <w:snapToGrid w:val="0"/>
          <w:sz w:val="24"/>
        </w:rPr>
        <w:t>本项目位于正阳县</w:t>
      </w:r>
      <w:r>
        <w:rPr>
          <w:rFonts w:hint="eastAsia"/>
          <w:bCs/>
          <w:snapToGrid w:val="0"/>
          <w:sz w:val="24"/>
          <w:lang w:eastAsia="zh-CN"/>
        </w:rPr>
        <w:t>汝南埠镇</w:t>
      </w:r>
      <w:r>
        <w:rPr>
          <w:rFonts w:hint="eastAsia"/>
          <w:bCs/>
          <w:snapToGrid w:val="0"/>
          <w:sz w:val="24"/>
        </w:rPr>
        <w:t>，属平原地区，地势平坦，稍有起伏。</w:t>
      </w:r>
    </w:p>
    <w:p>
      <w:pPr>
        <w:pStyle w:val="2"/>
        <w:spacing w:before="0" w:after="0" w:line="520" w:lineRule="exact"/>
        <w:rPr>
          <w:rFonts w:eastAsia="黑体"/>
          <w:b w:val="0"/>
          <w:sz w:val="24"/>
          <w:szCs w:val="24"/>
        </w:rPr>
      </w:pPr>
      <w:r>
        <w:rPr>
          <w:rFonts w:eastAsia="黑体"/>
          <w:b w:val="0"/>
          <w:sz w:val="24"/>
          <w:szCs w:val="24"/>
        </w:rPr>
        <w:t>3.1.3气候气象</w:t>
      </w:r>
    </w:p>
    <w:p>
      <w:pPr>
        <w:autoSpaceDE w:val="0"/>
        <w:autoSpaceDN w:val="0"/>
        <w:spacing w:line="520" w:lineRule="exact"/>
        <w:ind w:firstLine="480" w:firstLineChars="200"/>
        <w:rPr>
          <w:rFonts w:hint="eastAsia"/>
          <w:b/>
          <w:sz w:val="24"/>
        </w:rPr>
      </w:pPr>
      <w:r>
        <w:rPr>
          <w:rFonts w:hAnsi="宋体"/>
          <w:sz w:val="24"/>
        </w:rPr>
        <w:t>正阳县属北亚热带向暖温带的过渡区，属大陆性季风型亚湿润气候，四季分明，夏热冬冷，春秋温和。雨水充沛，阳光充足。年平均气温</w:t>
      </w:r>
      <w:r>
        <w:rPr>
          <w:sz w:val="24"/>
        </w:rPr>
        <w:t>14.9</w:t>
      </w:r>
      <w:r>
        <w:rPr>
          <w:rFonts w:hAnsi="宋体"/>
          <w:sz w:val="24"/>
        </w:rPr>
        <w:t>℃，年</w:t>
      </w:r>
      <w:r>
        <w:rPr>
          <w:rFonts w:hint="eastAsia" w:hAnsi="宋体"/>
          <w:sz w:val="24"/>
        </w:rPr>
        <w:t>总</w:t>
      </w:r>
      <w:r>
        <w:rPr>
          <w:rFonts w:hAnsi="宋体"/>
          <w:sz w:val="24"/>
        </w:rPr>
        <w:t>降雨量</w:t>
      </w:r>
      <w:r>
        <w:rPr>
          <w:sz w:val="24"/>
        </w:rPr>
        <w:t>2189mm</w:t>
      </w:r>
      <w:r>
        <w:rPr>
          <w:rFonts w:hAnsi="宋体"/>
          <w:sz w:val="24"/>
        </w:rPr>
        <w:t>，</w:t>
      </w:r>
      <w:r>
        <w:rPr>
          <w:rFonts w:hint="eastAsia" w:hAnsi="宋体"/>
          <w:sz w:val="24"/>
        </w:rPr>
        <w:t>平均降雨量</w:t>
      </w:r>
      <w:r>
        <w:rPr>
          <w:rFonts w:hAnsi="宋体"/>
          <w:sz w:val="24"/>
        </w:rPr>
        <w:t>182.42mm</w:t>
      </w:r>
      <w:r>
        <w:rPr>
          <w:rFonts w:hint="eastAsia" w:hAnsi="宋体"/>
          <w:sz w:val="24"/>
        </w:rPr>
        <w:t>，</w:t>
      </w:r>
      <w:r>
        <w:rPr>
          <w:rFonts w:hAnsi="宋体"/>
          <w:sz w:val="24"/>
        </w:rPr>
        <w:t>年蒸发量1572.9mm</w:t>
      </w:r>
      <w:r>
        <w:rPr>
          <w:rFonts w:hint="eastAsia" w:hAnsi="宋体"/>
          <w:sz w:val="24"/>
        </w:rPr>
        <w:t>左右</w:t>
      </w:r>
      <w:r>
        <w:rPr>
          <w:rFonts w:hAnsi="宋体"/>
          <w:sz w:val="24"/>
        </w:rPr>
        <w:t>，</w:t>
      </w:r>
      <w:r>
        <w:rPr>
          <w:rFonts w:hint="eastAsia" w:hAnsi="宋体"/>
          <w:sz w:val="24"/>
        </w:rPr>
        <w:t>西北风</w:t>
      </w:r>
      <w:r>
        <w:rPr>
          <w:rFonts w:hAnsi="宋体"/>
          <w:sz w:val="24"/>
        </w:rPr>
        <w:t>主，南风次之，年平均风速</w:t>
      </w:r>
      <w:r>
        <w:rPr>
          <w:sz w:val="24"/>
        </w:rPr>
        <w:t>2.5m/s</w:t>
      </w:r>
      <w:r>
        <w:rPr>
          <w:rFonts w:hAnsi="宋体"/>
          <w:sz w:val="24"/>
        </w:rPr>
        <w:t>，年平均气压</w:t>
      </w:r>
      <w:r>
        <w:rPr>
          <w:sz w:val="24"/>
        </w:rPr>
        <w:t>1006.9Pa</w:t>
      </w:r>
      <w:r>
        <w:rPr>
          <w:rFonts w:hAnsi="宋体"/>
          <w:sz w:val="24"/>
        </w:rPr>
        <w:t>。</w:t>
      </w:r>
    </w:p>
    <w:p>
      <w:pPr>
        <w:pStyle w:val="2"/>
        <w:spacing w:before="0" w:after="0" w:line="520" w:lineRule="exact"/>
        <w:rPr>
          <w:rFonts w:eastAsia="黑体"/>
          <w:b w:val="0"/>
          <w:sz w:val="24"/>
          <w:szCs w:val="24"/>
        </w:rPr>
      </w:pPr>
      <w:r>
        <w:rPr>
          <w:rFonts w:eastAsia="黑体"/>
          <w:b w:val="0"/>
          <w:sz w:val="24"/>
          <w:szCs w:val="24"/>
        </w:rPr>
        <w:t>3.1.4水文</w:t>
      </w:r>
    </w:p>
    <w:p>
      <w:pPr>
        <w:pStyle w:val="3"/>
        <w:spacing w:before="0" w:after="0" w:line="520" w:lineRule="exact"/>
        <w:rPr>
          <w:rFonts w:hAnsi="Times New Roman" w:eastAsia="宋体"/>
          <w:sz w:val="24"/>
        </w:rPr>
      </w:pPr>
      <w:r>
        <w:rPr>
          <w:rFonts w:hAnsi="Times New Roman" w:eastAsia="宋体"/>
          <w:sz w:val="24"/>
        </w:rPr>
        <w:t>3.1.4.1地表水</w:t>
      </w:r>
    </w:p>
    <w:p>
      <w:pPr>
        <w:autoSpaceDE w:val="0"/>
        <w:autoSpaceDN w:val="0"/>
        <w:spacing w:line="520" w:lineRule="exact"/>
        <w:ind w:firstLine="480" w:firstLineChars="200"/>
        <w:rPr>
          <w:rFonts w:hAnsi="宋体"/>
          <w:sz w:val="24"/>
        </w:rPr>
      </w:pPr>
      <w:r>
        <w:rPr>
          <w:rFonts w:hAnsi="宋体"/>
          <w:sz w:val="24"/>
        </w:rPr>
        <w:t>正阳县属淮河流域，境内有淮、汝河两大水系。淮河水系流经正阳县南部和中部的</w:t>
      </w:r>
      <w:r>
        <w:rPr>
          <w:sz w:val="24"/>
        </w:rPr>
        <w:t>12</w:t>
      </w:r>
      <w:r>
        <w:rPr>
          <w:rFonts w:hAnsi="宋体"/>
          <w:sz w:val="24"/>
        </w:rPr>
        <w:t>个乡镇，境内全长</w:t>
      </w:r>
      <w:r>
        <w:rPr>
          <w:sz w:val="24"/>
        </w:rPr>
        <w:t>54km</w:t>
      </w:r>
      <w:r>
        <w:rPr>
          <w:rFonts w:hAnsi="宋体"/>
          <w:sz w:val="24"/>
        </w:rPr>
        <w:t>，流域面积</w:t>
      </w:r>
      <w:r>
        <w:rPr>
          <w:sz w:val="24"/>
        </w:rPr>
        <w:t>1217km</w:t>
      </w:r>
      <w:r>
        <w:rPr>
          <w:sz w:val="24"/>
          <w:vertAlign w:val="superscript"/>
        </w:rPr>
        <w:t>2</w:t>
      </w:r>
      <w:r>
        <w:rPr>
          <w:rFonts w:hAnsi="宋体"/>
          <w:sz w:val="24"/>
        </w:rPr>
        <w:t>。其主要支流有闾河、清水河、白河、陡沟、祝大堰、三门堰、涂店堰等；汝河水系流经县城东、北的</w:t>
      </w:r>
      <w:r>
        <w:rPr>
          <w:sz w:val="24"/>
        </w:rPr>
        <w:t>7</w:t>
      </w:r>
      <w:r>
        <w:rPr>
          <w:rFonts w:hAnsi="宋体"/>
          <w:sz w:val="24"/>
        </w:rPr>
        <w:t>个乡镇，境内长度</w:t>
      </w:r>
      <w:r>
        <w:rPr>
          <w:sz w:val="24"/>
        </w:rPr>
        <w:t>75km</w:t>
      </w:r>
      <w:r>
        <w:rPr>
          <w:rFonts w:hAnsi="宋体"/>
          <w:sz w:val="24"/>
        </w:rPr>
        <w:t>，流域面积</w:t>
      </w:r>
      <w:r>
        <w:rPr>
          <w:sz w:val="24"/>
        </w:rPr>
        <w:t>686km</w:t>
      </w:r>
      <w:r>
        <w:rPr>
          <w:sz w:val="24"/>
          <w:vertAlign w:val="superscript"/>
        </w:rPr>
        <w:t>2</w:t>
      </w:r>
      <w:r>
        <w:rPr>
          <w:rFonts w:hAnsi="宋体"/>
          <w:sz w:val="24"/>
        </w:rPr>
        <w:t>。其主要支流有慎水河、黄大港、文殊河、东公正沟、西公正沟、付港等。上述河流中，闾河和清水河为淮河一级支流，慎水河为汝河二级支流，均为季节性河流，主要功能为排涝泄洪。</w:t>
      </w:r>
    </w:p>
    <w:p>
      <w:pPr>
        <w:widowControl/>
        <w:spacing w:line="520" w:lineRule="exact"/>
        <w:ind w:firstLine="480" w:firstLineChars="200"/>
        <w:jc w:val="left"/>
        <w:rPr>
          <w:rFonts w:hint="eastAsia"/>
          <w:bCs/>
          <w:sz w:val="24"/>
        </w:rPr>
      </w:pPr>
      <w:r>
        <w:rPr>
          <w:rFonts w:hint="eastAsia"/>
          <w:bCs/>
          <w:sz w:val="24"/>
        </w:rPr>
        <w:t>根据现场调查，距离本项目最近的地表水</w:t>
      </w:r>
      <w:r>
        <w:rPr>
          <w:bCs/>
          <w:sz w:val="24"/>
        </w:rPr>
        <w:t>体</w:t>
      </w:r>
      <w:r>
        <w:rPr>
          <w:rFonts w:hint="eastAsia"/>
          <w:bCs/>
          <w:sz w:val="24"/>
        </w:rPr>
        <w:t>为</w:t>
      </w:r>
      <w:r>
        <w:rPr>
          <w:rFonts w:hint="eastAsia"/>
          <w:bCs/>
          <w:sz w:val="24"/>
          <w:lang w:eastAsia="zh-CN"/>
        </w:rPr>
        <w:t>项目西北侧2800m的黄大港</w:t>
      </w:r>
      <w:r>
        <w:rPr>
          <w:rFonts w:hint="eastAsia"/>
          <w:bCs/>
          <w:sz w:val="24"/>
        </w:rPr>
        <w:t>（</w:t>
      </w:r>
      <w:r>
        <w:rPr>
          <w:rFonts w:hint="eastAsia"/>
          <w:bCs/>
          <w:sz w:val="24"/>
          <w:lang w:eastAsia="zh-CN"/>
        </w:rPr>
        <w:t>黄大港为汝河支流，汝河为淮河支流</w:t>
      </w:r>
      <w:r>
        <w:rPr>
          <w:rFonts w:hint="eastAsia"/>
          <w:bCs/>
          <w:sz w:val="24"/>
        </w:rPr>
        <w:t>），</w:t>
      </w:r>
      <w:r>
        <w:rPr>
          <w:rFonts w:hAnsi="宋体"/>
          <w:bCs/>
          <w:sz w:val="24"/>
        </w:rPr>
        <w:t>水体功能规划</w:t>
      </w:r>
      <w:r>
        <w:rPr>
          <w:bCs/>
          <w:sz w:val="24"/>
        </w:rPr>
        <w:t>为</w:t>
      </w:r>
      <w:r>
        <w:rPr>
          <w:bCs/>
          <w:sz w:val="24"/>
        </w:rPr>
        <w:fldChar w:fldCharType="begin"/>
      </w:r>
      <w:r>
        <w:rPr>
          <w:bCs/>
          <w:sz w:val="24"/>
        </w:rPr>
        <w:instrText xml:space="preserve"> = 3 \* ROMAN </w:instrText>
      </w:r>
      <w:r>
        <w:rPr>
          <w:bCs/>
          <w:sz w:val="24"/>
        </w:rPr>
        <w:fldChar w:fldCharType="separate"/>
      </w:r>
      <w:r>
        <w:rPr>
          <w:bCs/>
          <w:sz w:val="24"/>
        </w:rPr>
        <w:t>III</w:t>
      </w:r>
      <w:r>
        <w:rPr>
          <w:bCs/>
          <w:sz w:val="24"/>
        </w:rPr>
        <w:fldChar w:fldCharType="end"/>
      </w:r>
      <w:r>
        <w:rPr>
          <w:rFonts w:hAnsi="宋体"/>
          <w:bCs/>
          <w:sz w:val="24"/>
        </w:rPr>
        <w:t>类</w:t>
      </w:r>
      <w:r>
        <w:rPr>
          <w:rFonts w:hint="eastAsia" w:hAnsi="宋体"/>
          <w:bCs/>
          <w:sz w:val="24"/>
        </w:rPr>
        <w:t>（区域水系图见附图五）</w:t>
      </w:r>
      <w:r>
        <w:rPr>
          <w:rFonts w:hAnsi="宋体"/>
          <w:bCs/>
          <w:sz w:val="24"/>
        </w:rPr>
        <w:t>。</w:t>
      </w:r>
      <w:r>
        <w:rPr>
          <w:rFonts w:hint="eastAsia" w:hAnsi="宋体"/>
          <w:bCs/>
          <w:sz w:val="24"/>
        </w:rPr>
        <w:t>本项目粪便处理采用干清粪的工艺，粪污处理采用“</w:t>
      </w:r>
      <w:r>
        <w:rPr>
          <w:rFonts w:hAnsi="宋体"/>
          <w:bCs/>
          <w:sz w:val="24"/>
        </w:rPr>
        <w:t>基料</w:t>
      </w:r>
      <w:r>
        <w:rPr>
          <w:rFonts w:hint="eastAsia" w:hAnsi="宋体"/>
          <w:bCs/>
          <w:sz w:val="24"/>
        </w:rPr>
        <w:t>制作+沼气”的工艺进行处理，项目污废水经过场区污水处理站处理后，部分回用于刮板冲洗，剩余沼液作为农肥还田，不排入地表水体。</w:t>
      </w:r>
    </w:p>
    <w:p>
      <w:pPr>
        <w:pStyle w:val="3"/>
        <w:spacing w:before="0" w:after="0" w:line="520" w:lineRule="exact"/>
        <w:rPr>
          <w:rFonts w:hAnsi="Times New Roman" w:eastAsia="宋体"/>
          <w:sz w:val="24"/>
        </w:rPr>
      </w:pPr>
      <w:r>
        <w:rPr>
          <w:rFonts w:hAnsi="Times New Roman" w:eastAsia="宋体"/>
          <w:sz w:val="24"/>
        </w:rPr>
        <w:t>3.1.4.2地下水</w:t>
      </w:r>
    </w:p>
    <w:p>
      <w:pPr>
        <w:autoSpaceDE w:val="0"/>
        <w:autoSpaceDN w:val="0"/>
        <w:spacing w:line="520" w:lineRule="exact"/>
        <w:ind w:firstLine="480" w:firstLineChars="200"/>
        <w:rPr>
          <w:sz w:val="24"/>
        </w:rPr>
      </w:pPr>
      <w:r>
        <w:rPr>
          <w:rFonts w:hAnsi="宋体"/>
          <w:sz w:val="24"/>
        </w:rPr>
        <w:t>正阳县地下水分为三个水文地质分区：富水亚砂土区、贫水亚粘土区、弱富水亚粘土区。根据河南省驻马店地质工程堪察院提供的勘查资料，正阳县区地下水类型为浅层含水层（赋存潜水）和深层含水层（赋存承压水）；浅层含水层单井涌水量小于</w:t>
      </w:r>
      <w:r>
        <w:rPr>
          <w:sz w:val="24"/>
        </w:rPr>
        <w:t>500m</w:t>
      </w:r>
      <w:r>
        <w:rPr>
          <w:sz w:val="24"/>
          <w:vertAlign w:val="superscript"/>
        </w:rPr>
        <w:t>3</w:t>
      </w:r>
      <w:r>
        <w:rPr>
          <w:sz w:val="24"/>
        </w:rPr>
        <w:t>/d</w:t>
      </w:r>
      <w:r>
        <w:rPr>
          <w:rFonts w:hAnsi="宋体"/>
          <w:sz w:val="24"/>
        </w:rPr>
        <w:t>，属弱富水区；深层含水层厚度</w:t>
      </w:r>
      <w:r>
        <w:rPr>
          <w:sz w:val="24"/>
        </w:rPr>
        <w:t>50</w:t>
      </w:r>
      <w:r>
        <w:rPr>
          <w:rFonts w:hAnsi="宋体"/>
          <w:sz w:val="24"/>
        </w:rPr>
        <w:t>～</w:t>
      </w:r>
      <w:r>
        <w:rPr>
          <w:sz w:val="24"/>
        </w:rPr>
        <w:t>75m</w:t>
      </w:r>
      <w:r>
        <w:rPr>
          <w:rFonts w:hAnsi="宋体"/>
          <w:sz w:val="24"/>
        </w:rPr>
        <w:t>，单井涌水量</w:t>
      </w:r>
      <w:r>
        <w:rPr>
          <w:sz w:val="24"/>
        </w:rPr>
        <w:t>100</w:t>
      </w:r>
      <w:r>
        <w:rPr>
          <w:rFonts w:hAnsi="宋体"/>
          <w:sz w:val="24"/>
        </w:rPr>
        <w:t>～</w:t>
      </w:r>
      <w:r>
        <w:rPr>
          <w:sz w:val="24"/>
        </w:rPr>
        <w:t>3000m</w:t>
      </w:r>
      <w:r>
        <w:rPr>
          <w:sz w:val="24"/>
          <w:vertAlign w:val="superscript"/>
        </w:rPr>
        <w:t>3</w:t>
      </w:r>
      <w:r>
        <w:rPr>
          <w:sz w:val="24"/>
        </w:rPr>
        <w:t>/d</w:t>
      </w:r>
      <w:r>
        <w:rPr>
          <w:rFonts w:hAnsi="宋体"/>
          <w:sz w:val="24"/>
        </w:rPr>
        <w:t>，属富水区。正阳县城区地下水储量丰富，水质良好，县城附近单井出水量在</w:t>
      </w:r>
      <w:r>
        <w:rPr>
          <w:sz w:val="24"/>
        </w:rPr>
        <w:t>60</w:t>
      </w:r>
      <w:r>
        <w:rPr>
          <w:rFonts w:hAnsi="宋体"/>
          <w:sz w:val="24"/>
        </w:rPr>
        <w:t>～</w:t>
      </w:r>
      <w:r>
        <w:rPr>
          <w:sz w:val="24"/>
        </w:rPr>
        <w:t>80m</w:t>
      </w:r>
      <w:r>
        <w:rPr>
          <w:sz w:val="24"/>
          <w:vertAlign w:val="superscript"/>
        </w:rPr>
        <w:t>3</w:t>
      </w:r>
      <w:r>
        <w:rPr>
          <w:sz w:val="24"/>
        </w:rPr>
        <w:t>/h</w:t>
      </w:r>
      <w:r>
        <w:rPr>
          <w:rFonts w:hAnsi="宋体"/>
          <w:sz w:val="24"/>
        </w:rPr>
        <w:t>，大气降水和河水是本</w:t>
      </w:r>
      <w:r>
        <w:rPr>
          <w:rFonts w:hint="eastAsia" w:hAnsi="宋体"/>
          <w:sz w:val="24"/>
        </w:rPr>
        <w:t>区</w:t>
      </w:r>
      <w:r>
        <w:rPr>
          <w:rFonts w:hAnsi="宋体"/>
          <w:sz w:val="24"/>
        </w:rPr>
        <w:t>域地下水的主要来源。</w:t>
      </w:r>
    </w:p>
    <w:p>
      <w:pPr>
        <w:autoSpaceDE w:val="0"/>
        <w:autoSpaceDN w:val="0"/>
        <w:adjustRightInd w:val="0"/>
        <w:spacing w:line="520" w:lineRule="exact"/>
        <w:ind w:firstLine="480" w:firstLineChars="200"/>
        <w:jc w:val="left"/>
        <w:rPr>
          <w:b/>
          <w:sz w:val="24"/>
        </w:rPr>
      </w:pPr>
      <w:r>
        <w:rPr>
          <w:rFonts w:hAnsi="宋体"/>
          <w:sz w:val="24"/>
        </w:rPr>
        <w:t>项目位于平原区，项目区附近土壤类型主要为黄棕壤土为主，土壤包气带渗透系数为</w:t>
      </w:r>
      <w:r>
        <w:rPr>
          <w:sz w:val="24"/>
        </w:rPr>
        <w:t>2×10</w:t>
      </w:r>
      <w:r>
        <w:rPr>
          <w:sz w:val="24"/>
          <w:vertAlign w:val="superscript"/>
        </w:rPr>
        <w:t>-7</w:t>
      </w:r>
      <w:r>
        <w:rPr>
          <w:sz w:val="24"/>
        </w:rPr>
        <w:t>cm/s</w:t>
      </w:r>
      <w:r>
        <w:rPr>
          <w:rFonts w:hAnsi="宋体"/>
          <w:sz w:val="24"/>
        </w:rPr>
        <w:t>＜</w:t>
      </w:r>
      <w:r>
        <w:rPr>
          <w:sz w:val="24"/>
        </w:rPr>
        <w:t>K</w:t>
      </w:r>
      <w:r>
        <w:rPr>
          <w:rFonts w:hAnsi="宋体"/>
          <w:sz w:val="24"/>
        </w:rPr>
        <w:t>＜</w:t>
      </w:r>
      <w:r>
        <w:rPr>
          <w:sz w:val="24"/>
        </w:rPr>
        <w:t>5×10</w:t>
      </w:r>
      <w:r>
        <w:rPr>
          <w:sz w:val="24"/>
          <w:vertAlign w:val="superscript"/>
        </w:rPr>
        <w:t>-4</w:t>
      </w:r>
      <w:r>
        <w:rPr>
          <w:sz w:val="24"/>
        </w:rPr>
        <w:t>cm/s</w:t>
      </w:r>
      <w:r>
        <w:rPr>
          <w:rFonts w:hAnsi="宋体"/>
          <w:sz w:val="24"/>
        </w:rPr>
        <w:t>，地下水主要为浅层地下水，区域地下水流向为自西北向东南，</w:t>
      </w:r>
      <w:r>
        <w:rPr>
          <w:rFonts w:hint="eastAsia" w:hAnsi="宋体"/>
          <w:sz w:val="24"/>
        </w:rPr>
        <w:t>根据正阳县地下水埋深图，</w:t>
      </w:r>
      <w:r>
        <w:rPr>
          <w:rFonts w:hAnsi="宋体"/>
          <w:sz w:val="24"/>
        </w:rPr>
        <w:t>埋深</w:t>
      </w:r>
      <w:r>
        <w:rPr>
          <w:rFonts w:hint="eastAsia"/>
          <w:sz w:val="24"/>
        </w:rPr>
        <w:t>2</w:t>
      </w:r>
      <w:r>
        <w:rPr>
          <w:rFonts w:hAnsi="宋体"/>
          <w:sz w:val="24"/>
        </w:rPr>
        <w:t>～</w:t>
      </w:r>
      <w:r>
        <w:rPr>
          <w:rFonts w:hint="eastAsia"/>
          <w:sz w:val="24"/>
        </w:rPr>
        <w:t>4</w:t>
      </w:r>
      <w:r>
        <w:rPr>
          <w:sz w:val="24"/>
        </w:rPr>
        <w:t>m</w:t>
      </w:r>
      <w:r>
        <w:rPr>
          <w:rFonts w:hAnsi="宋体"/>
          <w:sz w:val="24"/>
        </w:rPr>
        <w:t>；场区取水为自备井，取自深层地下水，埋深</w:t>
      </w:r>
      <w:r>
        <w:rPr>
          <w:sz w:val="24"/>
        </w:rPr>
        <w:t>120m</w:t>
      </w:r>
      <w:r>
        <w:rPr>
          <w:rFonts w:hAnsi="宋体"/>
          <w:sz w:val="24"/>
        </w:rPr>
        <w:t>。区域浅层地下水补给来源主要为大气降水。</w:t>
      </w:r>
    </w:p>
    <w:p>
      <w:pPr>
        <w:pStyle w:val="2"/>
        <w:spacing w:before="0" w:after="0" w:line="520" w:lineRule="exact"/>
        <w:rPr>
          <w:rFonts w:hint="eastAsia" w:eastAsia="黑体"/>
          <w:b w:val="0"/>
          <w:sz w:val="24"/>
          <w:szCs w:val="24"/>
        </w:rPr>
      </w:pPr>
      <w:r>
        <w:rPr>
          <w:rFonts w:eastAsia="黑体"/>
          <w:b w:val="0"/>
          <w:sz w:val="24"/>
          <w:szCs w:val="24"/>
        </w:rPr>
        <w:t>3.1.5</w:t>
      </w:r>
      <w:r>
        <w:rPr>
          <w:rFonts w:hint="eastAsia" w:eastAsia="黑体"/>
          <w:b w:val="0"/>
          <w:sz w:val="24"/>
          <w:szCs w:val="24"/>
        </w:rPr>
        <w:t>土壤</w:t>
      </w:r>
    </w:p>
    <w:p>
      <w:pPr>
        <w:autoSpaceDE w:val="0"/>
        <w:autoSpaceDN w:val="0"/>
        <w:spacing w:line="520" w:lineRule="exact"/>
        <w:ind w:firstLine="511"/>
        <w:rPr>
          <w:sz w:val="24"/>
        </w:rPr>
      </w:pPr>
      <w:r>
        <w:rPr>
          <w:rFonts w:hAnsi="宋体"/>
          <w:sz w:val="24"/>
        </w:rPr>
        <w:t>驻马店市的土壤属于栽种历史悠久的农业土壤，在自然因素的长期综合利</w:t>
      </w:r>
      <w:r>
        <w:rPr>
          <w:sz w:val="24"/>
        </w:rPr>
        <w:t xml:space="preserve"> </w:t>
      </w:r>
      <w:r>
        <w:rPr>
          <w:rFonts w:hAnsi="宋体"/>
          <w:sz w:val="24"/>
        </w:rPr>
        <w:t>用下，形成了不同的类型。</w:t>
      </w:r>
      <w:r>
        <w:rPr>
          <w:sz w:val="24"/>
        </w:rPr>
        <w:t>1994</w:t>
      </w:r>
      <w:r>
        <w:rPr>
          <w:rFonts w:hAnsi="宋体"/>
          <w:sz w:val="24"/>
        </w:rPr>
        <w:t>年土壤耕层养分普查时，依据《河南省土壤普查技术规程》，将区内的土壤划分为</w:t>
      </w:r>
      <w:r>
        <w:rPr>
          <w:sz w:val="24"/>
        </w:rPr>
        <w:t>4</w:t>
      </w:r>
      <w:r>
        <w:rPr>
          <w:rFonts w:hAnsi="宋体"/>
          <w:sz w:val="24"/>
        </w:rPr>
        <w:t>个土类：黄棕壤土、潮土、砂疆黑土、水稻土。</w:t>
      </w:r>
      <w:r>
        <w:rPr>
          <w:sz w:val="24"/>
        </w:rPr>
        <w:t xml:space="preserve"> </w:t>
      </w:r>
    </w:p>
    <w:p>
      <w:pPr>
        <w:autoSpaceDE w:val="0"/>
        <w:autoSpaceDN w:val="0"/>
        <w:spacing w:line="520" w:lineRule="exact"/>
        <w:ind w:firstLine="480" w:firstLineChars="200"/>
        <w:rPr>
          <w:sz w:val="24"/>
        </w:rPr>
      </w:pPr>
      <w:r>
        <w:rPr>
          <w:rFonts w:hAnsi="宋体"/>
          <w:sz w:val="24"/>
        </w:rPr>
        <w:t>项目区黄棕壤土以</w:t>
      </w:r>
      <w:r>
        <w:rPr>
          <w:rFonts w:hint="eastAsia" w:hAnsi="宋体"/>
          <w:sz w:val="24"/>
        </w:rPr>
        <w:t>粘</w:t>
      </w:r>
      <w:r>
        <w:rPr>
          <w:rFonts w:hAnsi="宋体"/>
          <w:sz w:val="24"/>
        </w:rPr>
        <w:t>土为主。黄棕壤土主要分布在驿城区西部、中部、南部、东南部、西北部岗丘地带、平原区地势较高部位。该土类面积大，是驻马店市主要产粮土壤，在农业生产上有举足轻重的地位，但由于质地黏重，土层黏化现象明显，形成障碍层次，多数土地适耕期短。</w:t>
      </w:r>
    </w:p>
    <w:p>
      <w:pPr>
        <w:spacing w:line="520" w:lineRule="exact"/>
        <w:ind w:firstLine="480"/>
        <w:rPr>
          <w:rFonts w:hAnsi="宋体"/>
          <w:sz w:val="24"/>
        </w:rPr>
      </w:pPr>
      <w:r>
        <w:rPr>
          <w:rFonts w:hAnsi="宋体"/>
          <w:sz w:val="24"/>
        </w:rPr>
        <w:t>本次项目位于正阳县</w:t>
      </w:r>
      <w:r>
        <w:rPr>
          <w:rFonts w:hint="eastAsia" w:hAnsi="宋体"/>
          <w:sz w:val="24"/>
          <w:lang w:eastAsia="zh-CN"/>
        </w:rPr>
        <w:t>汝南埠镇</w:t>
      </w:r>
      <w:r>
        <w:rPr>
          <w:rFonts w:hAnsi="宋体"/>
          <w:sz w:val="24"/>
        </w:rPr>
        <w:t>，土壤类型以黄棕壤土为主，少量潮土。</w:t>
      </w:r>
    </w:p>
    <w:p>
      <w:pPr>
        <w:pStyle w:val="2"/>
        <w:spacing w:before="0" w:after="0" w:line="520" w:lineRule="exact"/>
        <w:rPr>
          <w:rFonts w:hint="eastAsia" w:eastAsia="黑体"/>
          <w:b w:val="0"/>
          <w:sz w:val="24"/>
          <w:szCs w:val="24"/>
        </w:rPr>
      </w:pPr>
      <w:r>
        <w:rPr>
          <w:rFonts w:hint="eastAsia" w:eastAsia="黑体"/>
          <w:b w:val="0"/>
          <w:sz w:val="24"/>
          <w:szCs w:val="24"/>
        </w:rPr>
        <w:t>3</w:t>
      </w:r>
      <w:r>
        <w:rPr>
          <w:rFonts w:eastAsia="黑体"/>
          <w:b w:val="0"/>
          <w:sz w:val="24"/>
          <w:szCs w:val="24"/>
        </w:rPr>
        <w:t>.1.6</w:t>
      </w:r>
      <w:r>
        <w:rPr>
          <w:rFonts w:hint="eastAsia" w:eastAsia="黑体"/>
          <w:b w:val="0"/>
          <w:sz w:val="24"/>
          <w:szCs w:val="24"/>
        </w:rPr>
        <w:t>动植物资源</w:t>
      </w:r>
    </w:p>
    <w:p>
      <w:pPr>
        <w:autoSpaceDE w:val="0"/>
        <w:autoSpaceDN w:val="0"/>
        <w:spacing w:line="520" w:lineRule="exact"/>
        <w:ind w:firstLine="479"/>
        <w:rPr>
          <w:sz w:val="24"/>
        </w:rPr>
      </w:pPr>
      <w:r>
        <w:rPr>
          <w:rFonts w:hAnsi="宋体"/>
          <w:sz w:val="24"/>
        </w:rPr>
        <w:t>正阳县为平原农业地区，植被以农作物为主，兼有少量的道路林。野生动物种类主要有麻雀、喜鹊、斑鸠、鹌鹑、黄鼠狼、野兔、稚鸡、鹰、蛇、鼠类、青蛙、刺猬等，生物多样性程度相对较低。</w:t>
      </w:r>
    </w:p>
    <w:p>
      <w:pPr>
        <w:autoSpaceDE w:val="0"/>
        <w:autoSpaceDN w:val="0"/>
        <w:adjustRightInd w:val="0"/>
        <w:spacing w:line="500" w:lineRule="exact"/>
        <w:ind w:firstLine="480" w:firstLineChars="200"/>
        <w:jc w:val="left"/>
        <w:rPr>
          <w:sz w:val="24"/>
        </w:rPr>
      </w:pPr>
      <w:r>
        <w:rPr>
          <w:rFonts w:hAnsi="宋体"/>
          <w:sz w:val="24"/>
        </w:rPr>
        <w:t>项目区域植被以农作物为主，主要种植有</w:t>
      </w:r>
      <w:r>
        <w:rPr>
          <w:rFonts w:hint="eastAsia" w:hAnsi="宋体"/>
          <w:sz w:val="24"/>
        </w:rPr>
        <w:t>水稻</w:t>
      </w:r>
      <w:r>
        <w:rPr>
          <w:rFonts w:hAnsi="宋体"/>
          <w:sz w:val="24"/>
        </w:rPr>
        <w:t>、玉米、红薯、芝麻、大豆等作物。</w:t>
      </w:r>
    </w:p>
    <w:p>
      <w:pPr>
        <w:autoSpaceDE w:val="0"/>
        <w:autoSpaceDN w:val="0"/>
        <w:adjustRightInd w:val="0"/>
        <w:spacing w:line="500" w:lineRule="exact"/>
        <w:ind w:firstLine="480" w:firstLineChars="200"/>
        <w:jc w:val="left"/>
        <w:rPr>
          <w:rFonts w:hint="eastAsia"/>
          <w:sz w:val="24"/>
        </w:rPr>
      </w:pPr>
      <w:r>
        <w:rPr>
          <w:rFonts w:hAnsi="宋体"/>
          <w:sz w:val="24"/>
        </w:rPr>
        <w:t>区域内没有珍稀、濒危动物物种，动物以家禽、家畜为主；家禽以鸡、鸭、鹅为主，家畜以猪、牛、羊为主。</w:t>
      </w:r>
    </w:p>
    <w:p>
      <w:pPr>
        <w:snapToGrid w:val="0"/>
        <w:spacing w:line="520" w:lineRule="exact"/>
        <w:outlineLvl w:val="1"/>
        <w:rPr>
          <w:rFonts w:eastAsia="黑体"/>
          <w:bCs/>
          <w:sz w:val="28"/>
          <w:szCs w:val="28"/>
        </w:rPr>
      </w:pPr>
      <w:bookmarkStart w:id="313" w:name="_Toc19102"/>
      <w:bookmarkStart w:id="314" w:name="_Toc472009597"/>
      <w:r>
        <w:rPr>
          <w:rFonts w:eastAsia="黑体"/>
          <w:bCs/>
          <w:sz w:val="28"/>
          <w:szCs w:val="28"/>
        </w:rPr>
        <w:t>3.2环境保护目标调查</w:t>
      </w:r>
      <w:bookmarkEnd w:id="313"/>
      <w:bookmarkEnd w:id="314"/>
    </w:p>
    <w:p>
      <w:pPr>
        <w:pStyle w:val="25"/>
        <w:adjustRightInd w:val="0"/>
        <w:snapToGrid w:val="0"/>
        <w:spacing w:line="520" w:lineRule="exact"/>
        <w:ind w:firstLine="480"/>
      </w:pPr>
      <w:r>
        <w:t>根据项目特点，确定以评价范围内的主要居民点为环境保</w:t>
      </w:r>
      <w:r>
        <w:rPr>
          <w:rFonts w:hint="eastAsia"/>
        </w:rPr>
        <w:t>护</w:t>
      </w:r>
      <w:r>
        <w:t>目标，经过对拟建项目区域的现场踏勘，评价区域内尚未发现重点文物、自然保护区、珍稀护目标，项目周边2.5km范围内的环境保护目标具体见表3.2-1。</w:t>
      </w:r>
    </w:p>
    <w:p>
      <w:pPr>
        <w:spacing w:line="520" w:lineRule="exact"/>
        <w:jc w:val="center"/>
        <w:rPr>
          <w:b/>
          <w:sz w:val="24"/>
        </w:rPr>
      </w:pPr>
      <w:r>
        <w:rPr>
          <w:b/>
          <w:sz w:val="24"/>
        </w:rPr>
        <w:t>表3.2-1      环境保护目标一览表</w:t>
      </w:r>
    </w:p>
    <w:tbl>
      <w:tblPr>
        <w:tblStyle w:val="17"/>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94"/>
        <w:gridCol w:w="1487"/>
        <w:gridCol w:w="1191"/>
        <w:gridCol w:w="905"/>
        <w:gridCol w:w="891"/>
        <w:gridCol w:w="891"/>
        <w:gridCol w:w="25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556" w:type="pct"/>
            <w:tcBorders>
              <w:top w:val="single" w:color="auto" w:sz="12" w:space="0"/>
              <w:left w:val="single" w:color="auto" w:sz="12" w:space="0"/>
              <w:bottom w:val="single" w:color="auto" w:sz="4" w:space="0"/>
              <w:right w:val="single" w:color="auto" w:sz="4" w:space="0"/>
            </w:tcBorders>
            <w:noWrap w:val="0"/>
            <w:vAlign w:val="center"/>
          </w:tcPr>
          <w:p>
            <w:pPr>
              <w:spacing w:line="320" w:lineRule="exact"/>
              <w:jc w:val="center"/>
              <w:rPr>
                <w:szCs w:val="21"/>
              </w:rPr>
            </w:pPr>
            <w:r>
              <w:rPr>
                <w:rFonts w:hint="eastAsia" w:cs="宋体"/>
                <w:szCs w:val="21"/>
                <w:lang w:bidi="ar"/>
              </w:rPr>
              <w:t>环境要素</w:t>
            </w:r>
          </w:p>
        </w:tc>
        <w:tc>
          <w:tcPr>
            <w:tcW w:w="831" w:type="pct"/>
            <w:tcBorders>
              <w:top w:val="single" w:color="auto" w:sz="12" w:space="0"/>
              <w:left w:val="single" w:color="auto" w:sz="4" w:space="0"/>
              <w:bottom w:val="single" w:color="auto" w:sz="4" w:space="0"/>
              <w:right w:val="single" w:color="auto" w:sz="4" w:space="0"/>
            </w:tcBorders>
            <w:noWrap w:val="0"/>
            <w:vAlign w:val="center"/>
          </w:tcPr>
          <w:p>
            <w:pPr>
              <w:spacing w:line="320" w:lineRule="exact"/>
              <w:jc w:val="center"/>
              <w:rPr>
                <w:szCs w:val="21"/>
              </w:rPr>
            </w:pPr>
            <w:r>
              <w:rPr>
                <w:rFonts w:hint="eastAsia" w:cs="宋体"/>
                <w:szCs w:val="21"/>
                <w:lang w:bidi="ar"/>
              </w:rPr>
              <w:t>环境保护对象名称</w:t>
            </w:r>
          </w:p>
        </w:tc>
        <w:tc>
          <w:tcPr>
            <w:tcW w:w="666" w:type="pct"/>
            <w:tcBorders>
              <w:top w:val="single" w:color="auto" w:sz="12" w:space="0"/>
              <w:left w:val="single" w:color="auto" w:sz="4" w:space="0"/>
              <w:bottom w:val="single" w:color="auto" w:sz="4" w:space="0"/>
              <w:right w:val="single" w:color="auto" w:sz="4" w:space="0"/>
            </w:tcBorders>
            <w:noWrap w:val="0"/>
            <w:vAlign w:val="center"/>
          </w:tcPr>
          <w:p>
            <w:pPr>
              <w:spacing w:line="320" w:lineRule="exact"/>
              <w:jc w:val="center"/>
              <w:rPr>
                <w:szCs w:val="21"/>
              </w:rPr>
            </w:pPr>
            <w:r>
              <w:rPr>
                <w:rFonts w:hint="eastAsia" w:cs="宋体"/>
                <w:szCs w:val="21"/>
                <w:lang w:bidi="ar"/>
              </w:rPr>
              <w:t>与养殖场相对方位</w:t>
            </w:r>
          </w:p>
        </w:tc>
        <w:tc>
          <w:tcPr>
            <w:tcW w:w="505" w:type="pct"/>
            <w:tcBorders>
              <w:top w:val="single" w:color="auto" w:sz="12" w:space="0"/>
              <w:left w:val="single" w:color="auto" w:sz="4" w:space="0"/>
              <w:bottom w:val="single" w:color="auto" w:sz="4" w:space="0"/>
              <w:right w:val="single" w:color="auto" w:sz="4" w:space="0"/>
            </w:tcBorders>
            <w:noWrap w:val="0"/>
            <w:vAlign w:val="center"/>
          </w:tcPr>
          <w:p>
            <w:pPr>
              <w:spacing w:line="320" w:lineRule="exact"/>
              <w:jc w:val="center"/>
              <w:rPr>
                <w:szCs w:val="21"/>
              </w:rPr>
            </w:pPr>
            <w:r>
              <w:rPr>
                <w:rFonts w:hint="eastAsia" w:cs="宋体"/>
                <w:szCs w:val="21"/>
                <w:lang w:bidi="ar"/>
              </w:rPr>
              <w:t>距离（</w:t>
            </w:r>
            <w:r>
              <w:rPr>
                <w:szCs w:val="21"/>
                <w:lang w:bidi="ar"/>
              </w:rPr>
              <w:t>m</w:t>
            </w:r>
            <w:r>
              <w:rPr>
                <w:rFonts w:hint="eastAsia" w:cs="宋体"/>
                <w:szCs w:val="21"/>
                <w:lang w:bidi="ar"/>
              </w:rPr>
              <w:t>）</w:t>
            </w:r>
          </w:p>
        </w:tc>
        <w:tc>
          <w:tcPr>
            <w:tcW w:w="498" w:type="pct"/>
            <w:tcBorders>
              <w:top w:val="single" w:color="auto" w:sz="12" w:space="0"/>
              <w:left w:val="single" w:color="auto" w:sz="4" w:space="0"/>
              <w:bottom w:val="single" w:color="auto" w:sz="4" w:space="0"/>
              <w:right w:val="single" w:color="auto" w:sz="4" w:space="0"/>
            </w:tcBorders>
            <w:noWrap w:val="0"/>
            <w:vAlign w:val="center"/>
          </w:tcPr>
          <w:p>
            <w:pPr>
              <w:spacing w:line="320" w:lineRule="exact"/>
              <w:jc w:val="center"/>
              <w:rPr>
                <w:szCs w:val="21"/>
              </w:rPr>
            </w:pPr>
            <w:r>
              <w:rPr>
                <w:rFonts w:hint="eastAsia" w:cs="宋体"/>
                <w:szCs w:val="21"/>
                <w:lang w:bidi="ar"/>
              </w:rPr>
              <w:t>户数</w:t>
            </w:r>
          </w:p>
        </w:tc>
        <w:tc>
          <w:tcPr>
            <w:tcW w:w="498" w:type="pct"/>
            <w:tcBorders>
              <w:top w:val="single" w:color="auto" w:sz="12" w:space="0"/>
              <w:left w:val="single" w:color="auto" w:sz="4" w:space="0"/>
              <w:bottom w:val="single" w:color="auto" w:sz="4" w:space="0"/>
              <w:right w:val="single" w:color="auto" w:sz="4" w:space="0"/>
            </w:tcBorders>
            <w:noWrap w:val="0"/>
            <w:vAlign w:val="center"/>
          </w:tcPr>
          <w:p>
            <w:pPr>
              <w:spacing w:line="320" w:lineRule="exact"/>
              <w:jc w:val="center"/>
              <w:rPr>
                <w:szCs w:val="21"/>
              </w:rPr>
            </w:pPr>
            <w:r>
              <w:rPr>
                <w:rFonts w:hint="eastAsia" w:cs="宋体"/>
                <w:szCs w:val="21"/>
                <w:lang w:bidi="ar"/>
              </w:rPr>
              <w:t>人口</w:t>
            </w:r>
          </w:p>
        </w:tc>
        <w:tc>
          <w:tcPr>
            <w:tcW w:w="1443" w:type="pct"/>
            <w:tcBorders>
              <w:top w:val="single" w:color="auto" w:sz="12" w:space="0"/>
              <w:left w:val="single" w:color="auto" w:sz="4" w:space="0"/>
              <w:bottom w:val="single" w:color="auto" w:sz="4" w:space="0"/>
              <w:right w:val="single" w:color="auto" w:sz="12" w:space="0"/>
            </w:tcBorders>
            <w:noWrap w:val="0"/>
            <w:vAlign w:val="center"/>
          </w:tcPr>
          <w:p>
            <w:pPr>
              <w:spacing w:line="320" w:lineRule="exact"/>
              <w:jc w:val="center"/>
              <w:rPr>
                <w:szCs w:val="21"/>
              </w:rPr>
            </w:pPr>
            <w:r>
              <w:rPr>
                <w:rFonts w:hint="eastAsia" w:cs="宋体"/>
                <w:szCs w:val="21"/>
                <w:lang w:bidi="ar"/>
              </w:rPr>
              <w:t>环境功能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restart"/>
            <w:tcBorders>
              <w:top w:val="single" w:color="auto" w:sz="4" w:space="0"/>
              <w:left w:val="single" w:color="auto" w:sz="12" w:space="0"/>
              <w:bottom w:val="single" w:color="auto" w:sz="4" w:space="0"/>
              <w:right w:val="single" w:color="auto" w:sz="4" w:space="0"/>
            </w:tcBorders>
            <w:noWrap w:val="0"/>
            <w:vAlign w:val="center"/>
          </w:tcPr>
          <w:p>
            <w:pPr>
              <w:spacing w:line="320" w:lineRule="exact"/>
              <w:jc w:val="center"/>
              <w:rPr>
                <w:szCs w:val="21"/>
              </w:rPr>
            </w:pPr>
            <w:r>
              <w:rPr>
                <w:rFonts w:hint="eastAsia" w:cs="宋体"/>
                <w:szCs w:val="21"/>
                <w:lang w:bidi="ar"/>
              </w:rPr>
              <w:t>空气环境</w:t>
            </w: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olor w:val="000000"/>
                <w:sz w:val="22"/>
                <w:szCs w:val="22"/>
                <w:lang w:eastAsia="zh-CN"/>
              </w:rPr>
            </w:pPr>
            <w:r>
              <w:rPr>
                <w:rFonts w:hint="eastAsia" w:cs="宋体"/>
                <w:color w:val="000000"/>
                <w:sz w:val="22"/>
                <w:szCs w:val="22"/>
                <w:lang w:val="en-US" w:eastAsia="zh-CN" w:bidi="ar"/>
              </w:rPr>
              <w:t>何李庄</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olor w:val="000000"/>
                <w:sz w:val="22"/>
                <w:szCs w:val="22"/>
                <w:lang w:val="en-US" w:eastAsia="zh-CN"/>
              </w:rPr>
            </w:pPr>
            <w:r>
              <w:rPr>
                <w:color w:val="000000"/>
                <w:sz w:val="22"/>
                <w:szCs w:val="22"/>
                <w:lang w:bidi="ar"/>
              </w:rPr>
              <w:t>S</w:t>
            </w:r>
            <w:r>
              <w:rPr>
                <w:rFonts w:hint="eastAsia"/>
                <w:color w:val="000000"/>
                <w:sz w:val="22"/>
                <w:szCs w:val="22"/>
                <w:lang w:val="en-US" w:eastAsia="zh-CN" w:bidi="ar"/>
              </w:rPr>
              <w:t>E</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rPr>
            </w:pPr>
            <w:r>
              <w:rPr>
                <w:rFonts w:hint="eastAsia"/>
                <w:color w:val="000000"/>
                <w:sz w:val="22"/>
                <w:szCs w:val="22"/>
                <w:lang w:val="en-US" w:eastAsia="zh-CN" w:bidi="ar"/>
              </w:rPr>
              <w:t>400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rFonts w:hint="eastAsia"/>
                <w:color w:val="000000"/>
                <w:szCs w:val="21"/>
                <w:lang w:bidi="ar"/>
              </w:rPr>
              <w:t>35</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rFonts w:hint="eastAsia"/>
                <w:color w:val="000000"/>
                <w:szCs w:val="21"/>
                <w:lang w:bidi="ar"/>
              </w:rPr>
              <w:t>110</w:t>
            </w:r>
          </w:p>
        </w:tc>
        <w:tc>
          <w:tcPr>
            <w:tcW w:w="1443" w:type="pct"/>
            <w:vMerge w:val="restart"/>
            <w:tcBorders>
              <w:top w:val="single" w:color="auto" w:sz="4" w:space="0"/>
              <w:left w:val="single" w:color="auto" w:sz="4" w:space="0"/>
              <w:bottom w:val="single" w:color="auto" w:sz="4" w:space="0"/>
              <w:right w:val="single" w:color="auto" w:sz="12" w:space="0"/>
            </w:tcBorders>
            <w:noWrap w:val="0"/>
            <w:vAlign w:val="center"/>
          </w:tcPr>
          <w:p>
            <w:pPr>
              <w:spacing w:line="320" w:lineRule="exact"/>
              <w:jc w:val="center"/>
              <w:rPr>
                <w:szCs w:val="21"/>
              </w:rPr>
            </w:pPr>
            <w:r>
              <w:rPr>
                <w:rFonts w:hint="eastAsia" w:cs="宋体"/>
                <w:szCs w:val="21"/>
                <w:lang w:bidi="ar"/>
              </w:rPr>
              <w:t>《环境空气质量标准》（</w:t>
            </w:r>
            <w:r>
              <w:rPr>
                <w:szCs w:val="21"/>
                <w:lang w:bidi="ar"/>
              </w:rPr>
              <w:t>GB3095-2012</w:t>
            </w:r>
            <w:r>
              <w:rPr>
                <w:rFonts w:hint="eastAsia" w:cs="宋体"/>
                <w:szCs w:val="21"/>
                <w:lang w:bidi="ar"/>
              </w:rPr>
              <w:t>）中二类、《环境影响评价技术导则</w:t>
            </w:r>
            <w:r>
              <w:rPr>
                <w:szCs w:val="21"/>
                <w:lang w:bidi="ar"/>
              </w:rPr>
              <w:t xml:space="preserve"> </w:t>
            </w:r>
            <w:r>
              <w:rPr>
                <w:rFonts w:hint="eastAsia" w:cs="宋体"/>
                <w:szCs w:val="21"/>
                <w:lang w:bidi="ar"/>
              </w:rPr>
              <w:t>大气环境（</w:t>
            </w:r>
            <w:r>
              <w:rPr>
                <w:szCs w:val="21"/>
                <w:lang w:bidi="ar"/>
              </w:rPr>
              <w:t>HJ2.2-2018</w:t>
            </w:r>
            <w:r>
              <w:rPr>
                <w:rFonts w:hint="eastAsia" w:cs="宋体"/>
                <w:szCs w:val="21"/>
                <w:lang w:bidi="ar"/>
              </w:rPr>
              <w:t>）》中附录</w:t>
            </w:r>
            <w:r>
              <w:rPr>
                <w:szCs w:val="21"/>
                <w:lang w:bidi="ar"/>
              </w:rPr>
              <w:t>D</w:t>
            </w:r>
            <w:r>
              <w:rPr>
                <w:rFonts w:hint="eastAsia" w:cs="宋体"/>
                <w:szCs w:val="21"/>
                <w:lang w:bidi="ar"/>
              </w:rPr>
              <w:t>标</w:t>
            </w:r>
            <w:r>
              <w:rPr>
                <w:szCs w:val="21"/>
                <w:lang w:bidi="ar"/>
              </w:rPr>
              <w:t>1</w:t>
            </w:r>
            <w:r>
              <w:rPr>
                <w:rFonts w:hint="eastAsia" w:cs="宋体"/>
                <w:szCs w:val="21"/>
                <w:lang w:bidi="ar"/>
              </w:rPr>
              <w:t>中居住区大气中有害物质的最高容许浓度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olor w:val="000000"/>
                <w:sz w:val="22"/>
                <w:szCs w:val="22"/>
                <w:lang w:eastAsia="zh-CN"/>
              </w:rPr>
            </w:pPr>
            <w:r>
              <w:rPr>
                <w:rFonts w:hint="eastAsia" w:cs="宋体"/>
                <w:color w:val="000000"/>
                <w:sz w:val="22"/>
                <w:szCs w:val="22"/>
                <w:lang w:val="en-US" w:eastAsia="zh-CN" w:bidi="ar"/>
              </w:rPr>
              <w:t>洪山庙村</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color w:val="000000"/>
                <w:sz w:val="22"/>
                <w:szCs w:val="22"/>
                <w:lang w:bidi="ar"/>
              </w:rPr>
              <w:t>S</w:t>
            </w:r>
            <w:r>
              <w:rPr>
                <w:rFonts w:hint="eastAsia"/>
                <w:color w:val="000000"/>
                <w:sz w:val="22"/>
                <w:szCs w:val="22"/>
                <w:lang w:val="en-US" w:eastAsia="zh-CN" w:bidi="ar"/>
              </w:rPr>
              <w:t>E</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rPr>
            </w:pPr>
            <w:r>
              <w:rPr>
                <w:rFonts w:hint="eastAsia"/>
                <w:color w:val="000000"/>
                <w:sz w:val="22"/>
                <w:szCs w:val="22"/>
                <w:lang w:val="en-US" w:eastAsia="zh-CN" w:bidi="ar"/>
              </w:rPr>
              <w:t>680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rFonts w:hint="eastAsia"/>
                <w:color w:val="000000"/>
                <w:szCs w:val="21"/>
                <w:lang w:bidi="ar"/>
              </w:rPr>
              <w:t>10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rFonts w:hint="eastAsia"/>
                <w:color w:val="000000"/>
                <w:szCs w:val="21"/>
              </w:rPr>
              <w:t>32</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olor w:val="000000"/>
                <w:sz w:val="22"/>
                <w:szCs w:val="22"/>
                <w:lang w:eastAsia="zh-CN"/>
              </w:rPr>
            </w:pPr>
            <w:r>
              <w:rPr>
                <w:rFonts w:hint="eastAsia" w:cs="宋体"/>
                <w:color w:val="000000"/>
                <w:sz w:val="22"/>
                <w:szCs w:val="22"/>
                <w:lang w:val="en-US" w:eastAsia="zh-CN" w:bidi="ar"/>
              </w:rPr>
              <w:t>东李庄</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color w:val="000000"/>
                <w:sz w:val="22"/>
                <w:szCs w:val="22"/>
                <w:lang w:bidi="ar"/>
              </w:rPr>
              <w:t>S</w:t>
            </w:r>
            <w:r>
              <w:rPr>
                <w:rFonts w:hint="eastAsia"/>
                <w:color w:val="000000"/>
                <w:sz w:val="22"/>
                <w:szCs w:val="22"/>
                <w:lang w:val="en-US" w:eastAsia="zh-CN" w:bidi="ar"/>
              </w:rPr>
              <w:t>E</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rPr>
            </w:pPr>
            <w:r>
              <w:rPr>
                <w:rFonts w:hint="eastAsia"/>
                <w:color w:val="000000"/>
                <w:sz w:val="22"/>
                <w:szCs w:val="22"/>
                <w:lang w:val="en-US" w:eastAsia="zh-CN" w:bidi="ar"/>
              </w:rPr>
              <w:t>760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color w:val="000000"/>
                <w:szCs w:val="21"/>
                <w:lang w:bidi="ar"/>
              </w:rPr>
              <w:t>3</w:t>
            </w:r>
            <w:r>
              <w:rPr>
                <w:rFonts w:hint="eastAsia"/>
                <w:color w:val="000000"/>
                <w:szCs w:val="21"/>
                <w:lang w:bidi="ar"/>
              </w:rPr>
              <w:t>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color w:val="000000"/>
                <w:sz w:val="22"/>
                <w:szCs w:val="22"/>
                <w:lang w:bidi="ar"/>
              </w:rPr>
              <w:t>120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olor w:val="000000"/>
                <w:sz w:val="22"/>
                <w:szCs w:val="22"/>
                <w:lang w:eastAsia="zh-CN"/>
              </w:rPr>
            </w:pPr>
            <w:r>
              <w:rPr>
                <w:rFonts w:hint="eastAsia" w:cs="宋体"/>
                <w:color w:val="000000"/>
                <w:sz w:val="22"/>
                <w:szCs w:val="22"/>
                <w:lang w:val="en-US" w:eastAsia="zh-CN" w:bidi="ar"/>
              </w:rPr>
              <w:t>中杨寨</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color w:val="000000"/>
                <w:sz w:val="22"/>
                <w:szCs w:val="22"/>
                <w:lang w:bidi="ar"/>
              </w:rPr>
              <w:t>W</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rPr>
            </w:pPr>
            <w:r>
              <w:rPr>
                <w:rFonts w:hint="eastAsia"/>
                <w:color w:val="000000"/>
                <w:sz w:val="22"/>
                <w:szCs w:val="22"/>
                <w:lang w:val="en-US" w:eastAsia="zh-CN" w:bidi="ar"/>
              </w:rPr>
              <w:t>520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color w:val="000000"/>
                <w:szCs w:val="21"/>
                <w:lang w:bidi="ar"/>
              </w:rPr>
              <w:t>40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color w:val="000000"/>
                <w:szCs w:val="21"/>
                <w:lang w:bidi="ar"/>
              </w:rPr>
              <w:t>150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olor w:val="000000"/>
                <w:sz w:val="22"/>
                <w:szCs w:val="22"/>
                <w:lang w:eastAsia="zh-CN"/>
              </w:rPr>
            </w:pPr>
            <w:r>
              <w:rPr>
                <w:rFonts w:hint="eastAsia" w:cs="宋体"/>
                <w:color w:val="000000"/>
                <w:sz w:val="22"/>
                <w:szCs w:val="22"/>
                <w:lang w:val="en-US" w:eastAsia="zh-CN" w:bidi="ar"/>
              </w:rPr>
              <w:t>叶庄</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olor w:val="000000"/>
                <w:sz w:val="22"/>
                <w:szCs w:val="22"/>
                <w:lang w:val="en-US" w:eastAsia="zh-CN" w:bidi="ar"/>
              </w:rPr>
              <w:t>S</w:t>
            </w:r>
            <w:r>
              <w:rPr>
                <w:color w:val="000000"/>
                <w:sz w:val="22"/>
                <w:szCs w:val="22"/>
                <w:lang w:bidi="ar"/>
              </w:rPr>
              <w:t>W</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rPr>
            </w:pPr>
            <w:r>
              <w:rPr>
                <w:rFonts w:hint="eastAsia"/>
                <w:color w:val="000000"/>
                <w:sz w:val="22"/>
                <w:szCs w:val="22"/>
                <w:lang w:val="en-US" w:eastAsia="zh-CN" w:bidi="ar"/>
              </w:rPr>
              <w:t>500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rFonts w:hint="eastAsia"/>
                <w:color w:val="000000"/>
                <w:szCs w:val="21"/>
                <w:lang w:bidi="ar"/>
              </w:rPr>
              <w:t>32</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olor w:val="000000"/>
                <w:sz w:val="22"/>
                <w:szCs w:val="22"/>
                <w:lang w:bidi="ar"/>
              </w:rPr>
              <w:t>123</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olor w:val="000000"/>
                <w:sz w:val="22"/>
                <w:szCs w:val="22"/>
                <w:lang w:eastAsia="zh-CN"/>
              </w:rPr>
            </w:pPr>
            <w:r>
              <w:rPr>
                <w:rFonts w:hint="eastAsia" w:cs="宋体"/>
                <w:color w:val="000000"/>
                <w:sz w:val="22"/>
                <w:szCs w:val="22"/>
                <w:lang w:val="en-US" w:eastAsia="zh-CN" w:bidi="ar"/>
              </w:rPr>
              <w:t>寺王店</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color w:val="000000"/>
                <w:sz w:val="22"/>
                <w:szCs w:val="22"/>
                <w:lang w:bidi="ar"/>
              </w:rPr>
              <w:t>SW</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rPr>
            </w:pPr>
            <w:r>
              <w:rPr>
                <w:rFonts w:hint="eastAsia"/>
                <w:color w:val="000000"/>
                <w:sz w:val="22"/>
                <w:szCs w:val="22"/>
                <w:lang w:val="en-US" w:eastAsia="zh-CN" w:bidi="ar"/>
              </w:rPr>
              <w:t>480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color w:val="000000"/>
                <w:szCs w:val="21"/>
                <w:lang w:bidi="ar"/>
              </w:rPr>
              <w:t>70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color w:val="000000"/>
                <w:szCs w:val="21"/>
                <w:lang w:bidi="ar"/>
              </w:rPr>
              <w:t>290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olor w:val="000000"/>
                <w:sz w:val="22"/>
                <w:szCs w:val="22"/>
                <w:lang w:eastAsia="zh-CN"/>
              </w:rPr>
            </w:pPr>
            <w:r>
              <w:rPr>
                <w:rFonts w:hint="eastAsia" w:cs="宋体"/>
                <w:color w:val="000000"/>
                <w:sz w:val="22"/>
                <w:szCs w:val="22"/>
                <w:lang w:val="en-US" w:eastAsia="zh-CN" w:bidi="ar"/>
              </w:rPr>
              <w:t>庙王庄</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color w:val="000000"/>
                <w:sz w:val="22"/>
                <w:szCs w:val="22"/>
                <w:lang w:bidi="ar"/>
              </w:rPr>
              <w:t>SW</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rPr>
            </w:pPr>
            <w:r>
              <w:rPr>
                <w:rFonts w:hint="eastAsia"/>
                <w:color w:val="000000"/>
                <w:sz w:val="22"/>
                <w:szCs w:val="22"/>
                <w:lang w:val="en-US" w:eastAsia="zh-CN" w:bidi="ar"/>
              </w:rPr>
              <w:t>1150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rFonts w:hint="eastAsia"/>
                <w:color w:val="000000"/>
                <w:szCs w:val="21"/>
                <w:lang w:bidi="ar"/>
              </w:rPr>
              <w:t>65</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color w:val="000000"/>
                <w:szCs w:val="21"/>
                <w:lang w:bidi="ar"/>
              </w:rPr>
              <w:t>2</w:t>
            </w:r>
            <w:r>
              <w:rPr>
                <w:rFonts w:hint="eastAsia"/>
                <w:color w:val="000000"/>
                <w:szCs w:val="21"/>
                <w:lang w:bidi="ar"/>
              </w:rPr>
              <w:t>4</w:t>
            </w:r>
            <w:r>
              <w:rPr>
                <w:color w:val="000000"/>
                <w:szCs w:val="21"/>
                <w:lang w:bidi="ar"/>
              </w:rPr>
              <w:t>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olor w:val="000000"/>
                <w:sz w:val="22"/>
                <w:szCs w:val="22"/>
                <w:lang w:eastAsia="zh-CN"/>
              </w:rPr>
            </w:pPr>
            <w:r>
              <w:rPr>
                <w:rFonts w:hint="eastAsia" w:cs="宋体"/>
                <w:color w:val="000000"/>
                <w:sz w:val="22"/>
                <w:szCs w:val="22"/>
                <w:lang w:val="en-US" w:eastAsia="zh-CN" w:bidi="ar"/>
              </w:rPr>
              <w:t>大邢庄</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olor w:val="000000"/>
                <w:sz w:val="22"/>
                <w:szCs w:val="22"/>
                <w:lang w:bidi="ar"/>
              </w:rPr>
              <w:t>N</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rPr>
            </w:pPr>
            <w:r>
              <w:rPr>
                <w:rFonts w:hint="eastAsia"/>
                <w:color w:val="000000"/>
                <w:sz w:val="22"/>
                <w:szCs w:val="22"/>
                <w:lang w:val="en-US" w:eastAsia="zh-CN" w:bidi="ar"/>
              </w:rPr>
              <w:t>510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rFonts w:hint="eastAsia"/>
                <w:color w:val="000000"/>
                <w:szCs w:val="21"/>
                <w:lang w:bidi="ar"/>
              </w:rPr>
              <w:t>15</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rFonts w:hint="eastAsia"/>
                <w:color w:val="000000"/>
                <w:szCs w:val="21"/>
                <w:lang w:bidi="ar"/>
              </w:rPr>
              <w:t>60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s="宋体"/>
                <w:color w:val="000000"/>
                <w:sz w:val="22"/>
                <w:szCs w:val="22"/>
                <w:lang w:eastAsia="zh-CN" w:bidi="ar"/>
              </w:rPr>
            </w:pPr>
            <w:r>
              <w:rPr>
                <w:rFonts w:hint="eastAsia" w:cs="宋体"/>
                <w:color w:val="000000"/>
                <w:sz w:val="22"/>
                <w:szCs w:val="22"/>
                <w:lang w:val="en-US" w:eastAsia="zh-CN" w:bidi="ar"/>
              </w:rPr>
              <w:t>小吴庄</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bidi="ar"/>
              </w:rPr>
              <w:t>N</w:t>
            </w:r>
            <w:r>
              <w:rPr>
                <w:color w:val="000000"/>
                <w:sz w:val="22"/>
                <w:szCs w:val="22"/>
                <w:lang w:bidi="ar"/>
              </w:rPr>
              <w:t>W</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bidi="ar"/>
              </w:rPr>
            </w:pPr>
            <w:r>
              <w:rPr>
                <w:rFonts w:hint="eastAsia"/>
                <w:color w:val="000000"/>
                <w:sz w:val="22"/>
                <w:szCs w:val="22"/>
                <w:lang w:val="en-US" w:eastAsia="zh-CN" w:bidi="ar"/>
              </w:rPr>
              <w:t>1100</w:t>
            </w:r>
          </w:p>
        </w:tc>
        <w:tc>
          <w:tcPr>
            <w:tcW w:w="498" w:type="pct"/>
            <w:tcBorders>
              <w:top w:val="single" w:color="auto" w:sz="4" w:space="0"/>
              <w:left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15</w:t>
            </w:r>
          </w:p>
        </w:tc>
        <w:tc>
          <w:tcPr>
            <w:tcW w:w="498" w:type="pct"/>
            <w:tcBorders>
              <w:top w:val="single" w:color="auto" w:sz="4" w:space="0"/>
              <w:left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50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cs="宋体"/>
                <w:color w:val="000000"/>
                <w:sz w:val="22"/>
                <w:szCs w:val="22"/>
                <w:lang w:bidi="ar"/>
              </w:rPr>
            </w:pPr>
            <w:r>
              <w:rPr>
                <w:rFonts w:hint="eastAsia" w:cs="宋体"/>
                <w:color w:val="000000"/>
                <w:sz w:val="22"/>
                <w:szCs w:val="22"/>
                <w:lang w:val="en-US" w:eastAsia="zh-CN" w:bidi="ar"/>
              </w:rPr>
              <w:t>孙庄</w:t>
            </w:r>
            <w:r>
              <w:rPr>
                <w:rFonts w:hint="eastAsia" w:cs="宋体"/>
                <w:color w:val="000000"/>
                <w:sz w:val="22"/>
                <w:szCs w:val="22"/>
                <w:lang w:bidi="ar"/>
              </w:rPr>
              <w:t>村</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val="en-US" w:eastAsia="zh-CN" w:bidi="ar"/>
              </w:rPr>
              <w:t>S</w:t>
            </w:r>
            <w:r>
              <w:rPr>
                <w:rFonts w:hint="eastAsia"/>
                <w:color w:val="000000"/>
                <w:sz w:val="22"/>
                <w:szCs w:val="22"/>
                <w:lang w:bidi="ar"/>
              </w:rPr>
              <w:t>E</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bidi="ar"/>
              </w:rPr>
            </w:pPr>
            <w:r>
              <w:rPr>
                <w:rFonts w:hint="eastAsia"/>
                <w:color w:val="000000"/>
                <w:sz w:val="22"/>
                <w:szCs w:val="22"/>
                <w:lang w:val="en-US" w:eastAsia="zh-CN" w:bidi="ar"/>
              </w:rPr>
              <w:t>2100</w:t>
            </w:r>
          </w:p>
        </w:tc>
        <w:tc>
          <w:tcPr>
            <w:tcW w:w="498" w:type="pct"/>
            <w:tcBorders>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olor w:val="000000"/>
                <w:szCs w:val="21"/>
                <w:lang w:val="en-US" w:eastAsia="zh-CN" w:bidi="ar"/>
              </w:rPr>
            </w:pPr>
            <w:r>
              <w:rPr>
                <w:rFonts w:hint="eastAsia"/>
                <w:color w:val="000000"/>
                <w:szCs w:val="21"/>
                <w:lang w:bidi="ar"/>
              </w:rPr>
              <w:t>3</w:t>
            </w:r>
            <w:r>
              <w:rPr>
                <w:rFonts w:hint="eastAsia"/>
                <w:color w:val="000000"/>
                <w:szCs w:val="21"/>
                <w:lang w:val="en-US" w:eastAsia="zh-CN" w:bidi="ar"/>
              </w:rPr>
              <w:t>0</w:t>
            </w:r>
          </w:p>
        </w:tc>
        <w:tc>
          <w:tcPr>
            <w:tcW w:w="498" w:type="pct"/>
            <w:tcBorders>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Cs w:val="21"/>
                <w:lang w:val="en-US" w:eastAsia="zh-CN" w:bidi="ar"/>
              </w:rPr>
            </w:pPr>
            <w:r>
              <w:rPr>
                <w:rFonts w:hint="eastAsia"/>
                <w:color w:val="000000"/>
                <w:szCs w:val="21"/>
                <w:lang w:val="en-US" w:eastAsia="zh-CN" w:bidi="ar"/>
              </w:rPr>
              <w:t>120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cs="宋体"/>
                <w:color w:val="000000"/>
                <w:sz w:val="22"/>
                <w:szCs w:val="22"/>
                <w:lang w:val="en-US" w:eastAsia="zh-CN" w:bidi="ar"/>
              </w:rPr>
            </w:pPr>
            <w:r>
              <w:rPr>
                <w:rFonts w:hint="eastAsia" w:cs="宋体"/>
                <w:color w:val="000000"/>
                <w:sz w:val="22"/>
                <w:szCs w:val="22"/>
                <w:lang w:val="en-US" w:eastAsia="zh-CN" w:bidi="ar"/>
              </w:rPr>
              <w:t>张庄</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color w:val="000000"/>
                <w:sz w:val="22"/>
                <w:szCs w:val="22"/>
                <w:lang w:val="en-US" w:eastAsia="zh-CN" w:bidi="ar"/>
              </w:rPr>
            </w:pPr>
            <w:r>
              <w:rPr>
                <w:rFonts w:hint="eastAsia"/>
                <w:color w:val="000000"/>
                <w:sz w:val="22"/>
                <w:szCs w:val="22"/>
                <w:lang w:val="en-US" w:eastAsia="zh-CN" w:bidi="ar"/>
              </w:rPr>
              <w:t>NE</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color w:val="000000"/>
                <w:sz w:val="22"/>
                <w:szCs w:val="22"/>
                <w:lang w:val="en-US" w:eastAsia="zh-CN" w:bidi="ar"/>
              </w:rPr>
            </w:pPr>
            <w:r>
              <w:rPr>
                <w:rFonts w:hint="eastAsia"/>
                <w:color w:val="000000"/>
                <w:sz w:val="22"/>
                <w:szCs w:val="22"/>
                <w:lang w:val="en-US" w:eastAsia="zh-CN" w:bidi="ar"/>
              </w:rPr>
              <w:t>1000</w:t>
            </w:r>
          </w:p>
        </w:tc>
        <w:tc>
          <w:tcPr>
            <w:tcW w:w="498" w:type="pct"/>
            <w:tcBorders>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Cs w:val="21"/>
                <w:lang w:bidi="ar"/>
              </w:rPr>
            </w:pPr>
            <w:r>
              <w:rPr>
                <w:rFonts w:hint="eastAsia"/>
                <w:color w:val="000000"/>
                <w:szCs w:val="21"/>
                <w:lang w:bidi="ar"/>
              </w:rPr>
              <w:t>50</w:t>
            </w:r>
          </w:p>
        </w:tc>
        <w:tc>
          <w:tcPr>
            <w:tcW w:w="498" w:type="pct"/>
            <w:tcBorders>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Cs w:val="21"/>
                <w:lang w:val="en-US" w:eastAsia="zh-CN" w:bidi="ar"/>
              </w:rPr>
            </w:pPr>
            <w:r>
              <w:rPr>
                <w:rFonts w:hint="eastAsia"/>
                <w:color w:val="000000"/>
                <w:szCs w:val="21"/>
                <w:lang w:bidi="ar"/>
              </w:rPr>
              <w:t>210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s="宋体"/>
                <w:color w:val="000000"/>
                <w:sz w:val="22"/>
                <w:szCs w:val="22"/>
                <w:lang w:eastAsia="zh-CN" w:bidi="ar"/>
              </w:rPr>
            </w:pPr>
            <w:r>
              <w:rPr>
                <w:rFonts w:hint="eastAsia" w:cs="宋体"/>
                <w:color w:val="000000"/>
                <w:sz w:val="22"/>
                <w:szCs w:val="22"/>
                <w:lang w:val="en-US" w:eastAsia="zh-CN" w:bidi="ar"/>
              </w:rPr>
              <w:t>西周庄</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E</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bidi="ar"/>
              </w:rPr>
            </w:pPr>
            <w:r>
              <w:rPr>
                <w:rFonts w:hint="eastAsia"/>
                <w:color w:val="000000"/>
                <w:sz w:val="22"/>
                <w:szCs w:val="22"/>
                <w:lang w:val="en-US" w:eastAsia="zh-CN" w:bidi="ar"/>
              </w:rPr>
              <w:t>1300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42</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106</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s="宋体"/>
                <w:color w:val="000000"/>
                <w:sz w:val="22"/>
                <w:szCs w:val="22"/>
                <w:lang w:eastAsia="zh-CN" w:bidi="ar"/>
              </w:rPr>
            </w:pPr>
            <w:r>
              <w:rPr>
                <w:rFonts w:hint="eastAsia" w:cs="宋体"/>
                <w:color w:val="000000"/>
                <w:sz w:val="22"/>
                <w:szCs w:val="22"/>
                <w:lang w:val="en-US" w:eastAsia="zh-CN" w:bidi="ar"/>
              </w:rPr>
              <w:t>陶庄</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E</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bidi="ar"/>
              </w:rPr>
            </w:pPr>
            <w:r>
              <w:rPr>
                <w:rFonts w:hint="eastAsia"/>
                <w:color w:val="000000"/>
                <w:sz w:val="22"/>
                <w:szCs w:val="22"/>
                <w:lang w:val="en-US" w:eastAsia="zh-CN" w:bidi="ar"/>
              </w:rPr>
              <w:t>2500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35</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98</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s="宋体"/>
                <w:color w:val="000000"/>
                <w:sz w:val="22"/>
                <w:szCs w:val="22"/>
                <w:lang w:eastAsia="zh-CN" w:bidi="ar"/>
              </w:rPr>
            </w:pPr>
            <w:r>
              <w:rPr>
                <w:rFonts w:hint="eastAsia" w:cs="宋体"/>
                <w:color w:val="000000"/>
                <w:sz w:val="22"/>
                <w:szCs w:val="22"/>
                <w:lang w:val="en-US" w:eastAsia="zh-CN" w:bidi="ar"/>
              </w:rPr>
              <w:t>刘庄</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N</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bidi="ar"/>
              </w:rPr>
            </w:pPr>
            <w:r>
              <w:rPr>
                <w:rFonts w:hint="eastAsia"/>
                <w:color w:val="000000"/>
                <w:sz w:val="22"/>
                <w:szCs w:val="22"/>
                <w:lang w:val="en-US" w:eastAsia="zh-CN" w:bidi="ar"/>
              </w:rPr>
              <w:t>1415</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50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180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s="宋体"/>
                <w:color w:val="000000"/>
                <w:sz w:val="22"/>
                <w:szCs w:val="22"/>
                <w:lang w:val="en-US" w:eastAsia="zh-CN" w:bidi="ar"/>
              </w:rPr>
            </w:pPr>
            <w:r>
              <w:rPr>
                <w:rFonts w:hint="eastAsia" w:cs="宋体"/>
                <w:color w:val="000000"/>
                <w:sz w:val="22"/>
                <w:szCs w:val="22"/>
                <w:lang w:val="en-US" w:eastAsia="zh-CN" w:bidi="ar"/>
              </w:rPr>
              <w:t>张夹道村</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olor w:val="000000"/>
                <w:sz w:val="22"/>
                <w:szCs w:val="22"/>
                <w:lang w:val="en-US" w:eastAsia="zh-CN" w:bidi="ar"/>
              </w:rPr>
            </w:pPr>
            <w:r>
              <w:rPr>
                <w:rFonts w:hint="eastAsia"/>
                <w:color w:val="000000"/>
                <w:sz w:val="22"/>
                <w:szCs w:val="22"/>
                <w:lang w:bidi="ar"/>
              </w:rPr>
              <w:t>N</w:t>
            </w:r>
            <w:r>
              <w:rPr>
                <w:rFonts w:hint="eastAsia"/>
                <w:color w:val="000000"/>
                <w:sz w:val="22"/>
                <w:szCs w:val="22"/>
                <w:lang w:val="en-US" w:eastAsia="zh-CN" w:bidi="ar"/>
              </w:rPr>
              <w:t>W</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bidi="ar"/>
              </w:rPr>
            </w:pPr>
            <w:r>
              <w:rPr>
                <w:rFonts w:hint="eastAsia"/>
                <w:color w:val="000000"/>
                <w:sz w:val="22"/>
                <w:szCs w:val="22"/>
                <w:lang w:val="en-US" w:eastAsia="zh-CN" w:bidi="ar"/>
              </w:rPr>
              <w:t>1524</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70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260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s="宋体"/>
                <w:color w:val="000000"/>
                <w:sz w:val="22"/>
                <w:szCs w:val="22"/>
                <w:lang w:eastAsia="zh-CN" w:bidi="ar"/>
              </w:rPr>
            </w:pPr>
            <w:r>
              <w:rPr>
                <w:rFonts w:hint="eastAsia" w:cs="宋体"/>
                <w:color w:val="000000"/>
                <w:sz w:val="22"/>
                <w:szCs w:val="22"/>
                <w:lang w:val="en-US" w:eastAsia="zh-CN" w:bidi="ar"/>
              </w:rPr>
              <w:t>大陶庄</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olor w:val="000000"/>
                <w:sz w:val="22"/>
                <w:szCs w:val="22"/>
                <w:lang w:val="en-US" w:eastAsia="zh-CN" w:bidi="ar"/>
              </w:rPr>
            </w:pPr>
            <w:r>
              <w:rPr>
                <w:rFonts w:hint="eastAsia"/>
                <w:color w:val="000000"/>
                <w:sz w:val="22"/>
                <w:szCs w:val="22"/>
                <w:lang w:bidi="ar"/>
              </w:rPr>
              <w:t>N</w:t>
            </w:r>
            <w:r>
              <w:rPr>
                <w:rFonts w:hint="eastAsia"/>
                <w:color w:val="000000"/>
                <w:sz w:val="22"/>
                <w:szCs w:val="22"/>
                <w:lang w:val="en-US" w:eastAsia="zh-CN" w:bidi="ar"/>
              </w:rPr>
              <w:t>W</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bidi="ar"/>
              </w:rPr>
              <w:t>1953</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120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480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s="宋体"/>
                <w:color w:val="000000"/>
                <w:sz w:val="22"/>
                <w:szCs w:val="22"/>
                <w:lang w:val="en-US" w:eastAsia="zh-CN" w:bidi="ar"/>
              </w:rPr>
            </w:pPr>
            <w:r>
              <w:rPr>
                <w:rFonts w:hint="eastAsia" w:cs="宋体"/>
                <w:color w:val="000000"/>
                <w:sz w:val="22"/>
                <w:szCs w:val="22"/>
                <w:lang w:val="en-US" w:eastAsia="zh-CN" w:bidi="ar"/>
              </w:rPr>
              <w:t>大温村</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bidi="ar"/>
              </w:rPr>
              <w:t>N</w:t>
            </w:r>
            <w:r>
              <w:rPr>
                <w:rFonts w:hint="eastAsia"/>
                <w:color w:val="000000"/>
                <w:sz w:val="22"/>
                <w:szCs w:val="22"/>
                <w:lang w:val="en-US" w:eastAsia="zh-CN" w:bidi="ar"/>
              </w:rPr>
              <w:t>W</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bidi="ar"/>
              </w:rPr>
            </w:pPr>
            <w:r>
              <w:rPr>
                <w:rFonts w:hint="eastAsia"/>
                <w:color w:val="000000"/>
                <w:sz w:val="22"/>
                <w:szCs w:val="22"/>
                <w:lang w:val="en-US" w:eastAsia="zh-CN" w:bidi="ar"/>
              </w:rPr>
              <w:t>1732</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60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250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s="宋体"/>
                <w:color w:val="000000"/>
                <w:sz w:val="22"/>
                <w:szCs w:val="22"/>
                <w:lang w:val="en-US" w:eastAsia="zh-CN" w:bidi="ar"/>
              </w:rPr>
            </w:pPr>
            <w:r>
              <w:rPr>
                <w:rFonts w:hint="eastAsia" w:cs="宋体"/>
                <w:color w:val="000000"/>
                <w:sz w:val="22"/>
                <w:szCs w:val="22"/>
                <w:lang w:val="en-US" w:eastAsia="zh-CN" w:bidi="ar"/>
              </w:rPr>
              <w:t>薛寺</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N</w:t>
            </w:r>
            <w:r>
              <w:rPr>
                <w:rFonts w:hint="eastAsia"/>
                <w:color w:val="000000"/>
                <w:sz w:val="22"/>
                <w:szCs w:val="22"/>
                <w:lang w:val="en-US" w:eastAsia="zh-CN" w:bidi="ar"/>
              </w:rPr>
              <w:t>W</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bidi="ar"/>
              </w:rPr>
            </w:pPr>
            <w:r>
              <w:rPr>
                <w:rFonts w:hint="eastAsia"/>
                <w:color w:val="000000"/>
                <w:sz w:val="22"/>
                <w:szCs w:val="22"/>
                <w:lang w:val="en-US" w:eastAsia="zh-CN" w:bidi="ar"/>
              </w:rPr>
              <w:t>2142</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30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110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s="宋体"/>
                <w:color w:val="000000"/>
                <w:sz w:val="22"/>
                <w:szCs w:val="22"/>
                <w:lang w:eastAsia="zh-CN" w:bidi="ar"/>
              </w:rPr>
            </w:pPr>
            <w:r>
              <w:rPr>
                <w:rFonts w:hint="eastAsia" w:cs="宋体"/>
                <w:color w:val="000000"/>
                <w:sz w:val="22"/>
                <w:szCs w:val="22"/>
                <w:lang w:val="en-US" w:eastAsia="zh-CN" w:bidi="ar"/>
              </w:rPr>
              <w:t>何楼</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olor w:val="000000"/>
                <w:sz w:val="22"/>
                <w:szCs w:val="22"/>
                <w:lang w:eastAsia="zh-CN" w:bidi="ar"/>
              </w:rPr>
            </w:pPr>
            <w:r>
              <w:rPr>
                <w:rFonts w:hint="eastAsia"/>
                <w:color w:val="000000"/>
                <w:sz w:val="22"/>
                <w:szCs w:val="22"/>
                <w:lang w:val="en-US" w:eastAsia="zh-CN" w:bidi="ar"/>
              </w:rPr>
              <w:t>W</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bidi="ar"/>
              </w:rPr>
            </w:pPr>
            <w:r>
              <w:rPr>
                <w:rFonts w:hint="eastAsia"/>
                <w:color w:val="000000"/>
                <w:sz w:val="22"/>
                <w:szCs w:val="22"/>
                <w:lang w:val="en-US" w:eastAsia="zh-CN" w:bidi="ar"/>
              </w:rPr>
              <w:t>2010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35</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120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s="宋体"/>
                <w:color w:val="000000"/>
                <w:sz w:val="22"/>
                <w:szCs w:val="22"/>
                <w:lang w:eastAsia="zh-CN" w:bidi="ar"/>
              </w:rPr>
            </w:pPr>
            <w:r>
              <w:rPr>
                <w:rFonts w:hint="eastAsia" w:cs="宋体"/>
                <w:color w:val="000000"/>
                <w:sz w:val="22"/>
                <w:szCs w:val="22"/>
                <w:lang w:val="en-US" w:eastAsia="zh-CN" w:bidi="ar"/>
              </w:rPr>
              <w:t>小骆庄</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bidi="ar"/>
              </w:rPr>
              <w:t>SW</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bidi="ar"/>
              </w:rPr>
            </w:pPr>
            <w:r>
              <w:rPr>
                <w:rFonts w:hint="eastAsia"/>
                <w:color w:val="000000"/>
                <w:sz w:val="22"/>
                <w:szCs w:val="22"/>
                <w:lang w:val="en-US" w:eastAsia="zh-CN" w:bidi="ar"/>
              </w:rPr>
              <w:t>2021</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140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560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s="宋体"/>
                <w:color w:val="000000"/>
                <w:sz w:val="22"/>
                <w:szCs w:val="22"/>
                <w:lang w:eastAsia="zh-CN" w:bidi="ar"/>
              </w:rPr>
            </w:pPr>
            <w:r>
              <w:rPr>
                <w:rFonts w:hint="eastAsia" w:cs="宋体"/>
                <w:color w:val="000000"/>
                <w:sz w:val="22"/>
                <w:szCs w:val="22"/>
                <w:lang w:val="en-US" w:eastAsia="zh-CN" w:bidi="ar"/>
              </w:rPr>
              <w:t>谢寨村</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bidi="ar"/>
              </w:rPr>
              <w:t>SW</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bidi="ar"/>
              </w:rPr>
            </w:pPr>
            <w:r>
              <w:rPr>
                <w:rFonts w:hint="eastAsia"/>
                <w:color w:val="000000"/>
                <w:sz w:val="22"/>
                <w:szCs w:val="22"/>
                <w:lang w:val="en-US" w:eastAsia="zh-CN" w:bidi="ar"/>
              </w:rPr>
              <w:t>2269</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85</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340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s="宋体"/>
                <w:color w:val="000000"/>
                <w:sz w:val="22"/>
                <w:szCs w:val="22"/>
                <w:lang w:eastAsia="zh-CN" w:bidi="ar"/>
              </w:rPr>
            </w:pPr>
            <w:r>
              <w:rPr>
                <w:rFonts w:hint="eastAsia" w:cs="宋体"/>
                <w:color w:val="000000"/>
                <w:sz w:val="22"/>
                <w:szCs w:val="22"/>
                <w:lang w:val="en-US" w:eastAsia="zh-CN" w:bidi="ar"/>
              </w:rPr>
              <w:t>中杨寨</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SW</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bidi="ar"/>
              </w:rPr>
            </w:pPr>
            <w:r>
              <w:rPr>
                <w:rFonts w:hint="eastAsia"/>
                <w:color w:val="000000"/>
                <w:sz w:val="22"/>
                <w:szCs w:val="22"/>
                <w:lang w:val="en-US" w:eastAsia="zh-CN" w:bidi="ar"/>
              </w:rPr>
              <w:t>1854</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40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170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s="宋体"/>
                <w:color w:val="000000"/>
                <w:sz w:val="22"/>
                <w:szCs w:val="22"/>
                <w:lang w:eastAsia="zh-CN" w:bidi="ar"/>
              </w:rPr>
            </w:pPr>
            <w:r>
              <w:rPr>
                <w:rFonts w:hint="eastAsia" w:cs="宋体"/>
                <w:color w:val="000000"/>
                <w:sz w:val="22"/>
                <w:szCs w:val="22"/>
                <w:lang w:val="en-US" w:eastAsia="zh-CN" w:bidi="ar"/>
              </w:rPr>
              <w:t>小围子村</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SW</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bidi="ar"/>
              </w:rPr>
            </w:pPr>
            <w:r>
              <w:rPr>
                <w:rFonts w:hint="eastAsia"/>
                <w:color w:val="000000"/>
                <w:sz w:val="22"/>
                <w:szCs w:val="22"/>
                <w:lang w:val="en-US" w:eastAsia="zh-CN" w:bidi="ar"/>
              </w:rPr>
              <w:t>1668</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30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120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s="宋体"/>
                <w:color w:val="000000"/>
                <w:sz w:val="22"/>
                <w:szCs w:val="22"/>
                <w:lang w:eastAsia="zh-CN" w:bidi="ar"/>
              </w:rPr>
            </w:pPr>
            <w:r>
              <w:rPr>
                <w:rFonts w:hint="eastAsia" w:cs="宋体"/>
                <w:color w:val="000000"/>
                <w:sz w:val="22"/>
                <w:szCs w:val="22"/>
                <w:lang w:val="en-US" w:eastAsia="zh-CN" w:bidi="ar"/>
              </w:rPr>
              <w:t>后徐庄</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S</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bidi="ar"/>
              </w:rPr>
            </w:pPr>
            <w:r>
              <w:rPr>
                <w:rFonts w:hint="eastAsia"/>
                <w:color w:val="000000"/>
                <w:sz w:val="22"/>
                <w:szCs w:val="22"/>
                <w:lang w:val="en-US" w:eastAsia="zh-CN" w:bidi="ar"/>
              </w:rPr>
              <w:t>1314</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35</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140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s="宋体"/>
                <w:color w:val="000000"/>
                <w:sz w:val="22"/>
                <w:szCs w:val="22"/>
                <w:lang w:eastAsia="zh-CN" w:bidi="ar"/>
              </w:rPr>
            </w:pPr>
            <w:r>
              <w:rPr>
                <w:rFonts w:hint="eastAsia" w:cs="宋体"/>
                <w:color w:val="000000"/>
                <w:sz w:val="22"/>
                <w:szCs w:val="22"/>
                <w:lang w:val="en-US" w:eastAsia="zh-CN" w:bidi="ar"/>
              </w:rPr>
              <w:t>大田庄</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S</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bidi="ar"/>
              </w:rPr>
            </w:pPr>
            <w:r>
              <w:rPr>
                <w:rFonts w:hint="eastAsia"/>
                <w:color w:val="000000"/>
                <w:sz w:val="22"/>
                <w:szCs w:val="22"/>
                <w:lang w:bidi="ar"/>
              </w:rPr>
              <w:t>1</w:t>
            </w:r>
            <w:r>
              <w:rPr>
                <w:rFonts w:hint="eastAsia"/>
                <w:color w:val="000000"/>
                <w:sz w:val="22"/>
                <w:szCs w:val="22"/>
                <w:lang w:val="en-US" w:eastAsia="zh-CN" w:bidi="ar"/>
              </w:rPr>
              <w:t>234</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50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210</w:t>
            </w:r>
          </w:p>
        </w:tc>
        <w:tc>
          <w:tcPr>
            <w:tcW w:w="1443" w:type="pct"/>
            <w:vMerge w:val="continue"/>
            <w:tcBorders>
              <w:top w:val="single" w:color="auto" w:sz="4" w:space="0"/>
              <w:left w:val="single" w:color="auto" w:sz="4" w:space="0"/>
              <w:bottom w:val="single" w:color="auto" w:sz="4" w:space="0"/>
              <w:right w:val="single" w:color="auto" w:sz="12" w:space="0"/>
            </w:tcBorders>
            <w:noWrap w:val="0"/>
            <w:vAlign w:val="center"/>
          </w:tcPr>
          <w:p>
            <w:pPr>
              <w:rPr>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tcBorders>
              <w:top w:val="single" w:color="auto" w:sz="4" w:space="0"/>
              <w:left w:val="single" w:color="auto" w:sz="12" w:space="0"/>
              <w:bottom w:val="single" w:color="auto" w:sz="4" w:space="0"/>
              <w:right w:val="single" w:color="auto" w:sz="4" w:space="0"/>
            </w:tcBorders>
            <w:noWrap w:val="0"/>
            <w:vAlign w:val="center"/>
          </w:tcPr>
          <w:p>
            <w:pPr>
              <w:spacing w:line="320" w:lineRule="exact"/>
              <w:jc w:val="center"/>
              <w:rPr>
                <w:szCs w:val="21"/>
              </w:rPr>
            </w:pPr>
            <w:r>
              <w:rPr>
                <w:rFonts w:hint="eastAsia" w:cs="宋体"/>
                <w:szCs w:val="21"/>
                <w:lang w:bidi="ar"/>
              </w:rPr>
              <w:t>地表水</w:t>
            </w:r>
          </w:p>
          <w:p>
            <w:pPr>
              <w:spacing w:line="320" w:lineRule="exact"/>
              <w:jc w:val="center"/>
              <w:rPr>
                <w:szCs w:val="21"/>
              </w:rPr>
            </w:pPr>
            <w:r>
              <w:rPr>
                <w:rFonts w:hint="eastAsia" w:cs="宋体"/>
                <w:szCs w:val="21"/>
                <w:lang w:bidi="ar"/>
              </w:rPr>
              <w:t>环境</w:t>
            </w:r>
          </w:p>
        </w:tc>
        <w:tc>
          <w:tcPr>
            <w:tcW w:w="831"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s="宋体"/>
                <w:color w:val="000000"/>
                <w:sz w:val="22"/>
                <w:szCs w:val="22"/>
                <w:lang w:eastAsia="zh-CN" w:bidi="ar"/>
              </w:rPr>
              <w:t>黄大港</w:t>
            </w:r>
            <w:r>
              <w:rPr>
                <w:rFonts w:hint="eastAsia" w:cs="宋体"/>
                <w:color w:val="000000"/>
                <w:sz w:val="22"/>
                <w:szCs w:val="22"/>
                <w:lang w:bidi="ar"/>
              </w:rPr>
              <w:t>（</w:t>
            </w:r>
            <w:r>
              <w:rPr>
                <w:rFonts w:hint="eastAsia" w:cs="宋体"/>
                <w:color w:val="000000"/>
                <w:sz w:val="22"/>
                <w:szCs w:val="22"/>
                <w:lang w:eastAsia="zh-CN" w:bidi="ar"/>
              </w:rPr>
              <w:t>黄大港为汝河支流，汝河为淮河支流</w:t>
            </w:r>
            <w:r>
              <w:rPr>
                <w:rFonts w:hint="eastAsia" w:cs="宋体"/>
                <w:color w:val="000000"/>
                <w:sz w:val="22"/>
                <w:szCs w:val="22"/>
                <w:lang w:bidi="ar"/>
              </w:rPr>
              <w:t>）</w:t>
            </w:r>
          </w:p>
        </w:tc>
        <w:tc>
          <w:tcPr>
            <w:tcW w:w="666"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rPr>
            </w:pPr>
            <w:r>
              <w:rPr>
                <w:rFonts w:hint="eastAsia"/>
                <w:color w:val="000000"/>
                <w:sz w:val="22"/>
                <w:szCs w:val="22"/>
                <w:lang w:val="en-US" w:eastAsia="zh-CN" w:bidi="ar"/>
              </w:rPr>
              <w:t>NW</w:t>
            </w:r>
          </w:p>
        </w:tc>
        <w:tc>
          <w:tcPr>
            <w:tcW w:w="50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olor w:val="000000"/>
                <w:sz w:val="22"/>
                <w:szCs w:val="22"/>
                <w:lang w:eastAsia="zh-CN"/>
              </w:rPr>
            </w:pPr>
            <w:r>
              <w:rPr>
                <w:rFonts w:hint="eastAsia"/>
                <w:color w:val="000000"/>
                <w:sz w:val="22"/>
                <w:szCs w:val="22"/>
                <w:lang w:eastAsia="zh-CN" w:bidi="ar"/>
              </w:rPr>
              <w:t>2800</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color w:val="000000"/>
                <w:szCs w:val="21"/>
                <w:lang w:bidi="ar"/>
              </w:rPr>
              <w:t>/</w:t>
            </w:r>
          </w:p>
        </w:tc>
        <w:tc>
          <w:tcPr>
            <w:tcW w:w="49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color w:val="000000"/>
                <w:szCs w:val="21"/>
                <w:lang w:bidi="ar"/>
              </w:rPr>
              <w:t>/</w:t>
            </w:r>
          </w:p>
        </w:tc>
        <w:tc>
          <w:tcPr>
            <w:tcW w:w="1443" w:type="pct"/>
            <w:tcBorders>
              <w:top w:val="single" w:color="auto" w:sz="4" w:space="0"/>
              <w:left w:val="single" w:color="auto" w:sz="4" w:space="0"/>
              <w:bottom w:val="single" w:color="auto" w:sz="4" w:space="0"/>
              <w:right w:val="single" w:color="auto" w:sz="12" w:space="0"/>
            </w:tcBorders>
            <w:noWrap w:val="0"/>
            <w:vAlign w:val="center"/>
          </w:tcPr>
          <w:p>
            <w:pPr>
              <w:spacing w:line="320" w:lineRule="exact"/>
              <w:jc w:val="center"/>
              <w:rPr>
                <w:szCs w:val="21"/>
              </w:rPr>
            </w:pPr>
            <w:r>
              <w:rPr>
                <w:rFonts w:hint="eastAsia" w:cs="宋体"/>
                <w:szCs w:val="21"/>
                <w:lang w:bidi="ar"/>
              </w:rPr>
              <w:t>《地表水环境质量标准》（</w:t>
            </w:r>
            <w:r>
              <w:rPr>
                <w:szCs w:val="21"/>
                <w:lang w:bidi="ar"/>
              </w:rPr>
              <w:t>GB3838-2002</w:t>
            </w:r>
            <w:r>
              <w:rPr>
                <w:rFonts w:hint="eastAsia" w:cs="宋体"/>
                <w:szCs w:val="21"/>
                <w:lang w:bidi="ar"/>
              </w:rPr>
              <w:t>）</w:t>
            </w:r>
            <w:r>
              <w:rPr>
                <w:rFonts w:hint="eastAsia" w:ascii="宋体" w:hAnsi="宋体" w:cs="宋体"/>
                <w:szCs w:val="21"/>
                <w:lang w:bidi="ar"/>
              </w:rPr>
              <w:t>Ⅲ</w:t>
            </w:r>
            <w:r>
              <w:rPr>
                <w:rFonts w:hint="eastAsia" w:cs="宋体"/>
                <w:szCs w:val="21"/>
                <w:lang w:bidi="ar"/>
              </w:rPr>
              <w:t>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56" w:type="pct"/>
            <w:tcBorders>
              <w:top w:val="single" w:color="auto" w:sz="4" w:space="0"/>
              <w:left w:val="single" w:color="auto" w:sz="12" w:space="0"/>
              <w:bottom w:val="single" w:color="auto" w:sz="4" w:space="0"/>
              <w:right w:val="single" w:color="auto" w:sz="4" w:space="0"/>
            </w:tcBorders>
            <w:noWrap w:val="0"/>
            <w:vAlign w:val="center"/>
          </w:tcPr>
          <w:p>
            <w:pPr>
              <w:spacing w:line="320" w:lineRule="exact"/>
              <w:jc w:val="center"/>
              <w:rPr>
                <w:szCs w:val="21"/>
              </w:rPr>
            </w:pPr>
            <w:r>
              <w:rPr>
                <w:rFonts w:hint="eastAsia" w:cs="宋体"/>
                <w:szCs w:val="21"/>
                <w:lang w:bidi="ar"/>
              </w:rPr>
              <w:t>地下水</w:t>
            </w:r>
          </w:p>
        </w:tc>
        <w:tc>
          <w:tcPr>
            <w:tcW w:w="2003" w:type="pct"/>
            <w:gridSpan w:val="3"/>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szCs w:val="21"/>
              </w:rPr>
            </w:pPr>
            <w:r>
              <w:rPr>
                <w:rFonts w:hint="eastAsia" w:cs="宋体"/>
                <w:szCs w:val="21"/>
                <w:lang w:bidi="ar"/>
              </w:rPr>
              <w:t>场区下游村庄地下水、配套沼液消纳地附近村庄地下水</w:t>
            </w:r>
          </w:p>
        </w:tc>
        <w:tc>
          <w:tcPr>
            <w:tcW w:w="498" w:type="pct"/>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szCs w:val="21"/>
              </w:rPr>
            </w:pPr>
            <w:r>
              <w:rPr>
                <w:szCs w:val="21"/>
                <w:lang w:bidi="ar"/>
              </w:rPr>
              <w:t>/</w:t>
            </w:r>
          </w:p>
        </w:tc>
        <w:tc>
          <w:tcPr>
            <w:tcW w:w="498" w:type="pct"/>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szCs w:val="21"/>
              </w:rPr>
            </w:pPr>
            <w:r>
              <w:rPr>
                <w:szCs w:val="21"/>
                <w:lang w:bidi="ar"/>
              </w:rPr>
              <w:t>/</w:t>
            </w:r>
          </w:p>
        </w:tc>
        <w:tc>
          <w:tcPr>
            <w:tcW w:w="1443" w:type="pct"/>
            <w:tcBorders>
              <w:top w:val="single" w:color="auto" w:sz="4" w:space="0"/>
              <w:left w:val="single" w:color="auto" w:sz="4" w:space="0"/>
              <w:bottom w:val="single" w:color="auto" w:sz="4" w:space="0"/>
              <w:right w:val="single" w:color="auto" w:sz="12" w:space="0"/>
            </w:tcBorders>
            <w:noWrap w:val="0"/>
            <w:vAlign w:val="center"/>
          </w:tcPr>
          <w:p>
            <w:pPr>
              <w:spacing w:line="320" w:lineRule="exact"/>
              <w:jc w:val="center"/>
              <w:rPr>
                <w:szCs w:val="21"/>
              </w:rPr>
            </w:pPr>
            <w:r>
              <w:rPr>
                <w:rFonts w:hint="eastAsia" w:cs="宋体"/>
                <w:szCs w:val="21"/>
                <w:lang w:bidi="ar"/>
              </w:rPr>
              <w:t>《地下水质量标准》（</w:t>
            </w:r>
            <w:r>
              <w:rPr>
                <w:szCs w:val="21"/>
                <w:lang w:bidi="ar"/>
              </w:rPr>
              <w:t>GB/T14848-2017</w:t>
            </w:r>
            <w:r>
              <w:rPr>
                <w:rFonts w:hint="eastAsia" w:cs="宋体"/>
                <w:szCs w:val="21"/>
                <w:lang w:bidi="ar"/>
              </w:rPr>
              <w:t>）</w:t>
            </w:r>
            <w:r>
              <w:rPr>
                <w:rFonts w:hint="eastAsia" w:ascii="宋体" w:hAnsi="宋体" w:cs="宋体"/>
                <w:szCs w:val="21"/>
                <w:lang w:bidi="ar"/>
              </w:rPr>
              <w:t>Ⅲ</w:t>
            </w:r>
            <w:r>
              <w:rPr>
                <w:rFonts w:hint="eastAsia" w:cs="宋体"/>
                <w:szCs w:val="21"/>
                <w:lang w:bidi="ar"/>
              </w:rPr>
              <w:t>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25" w:hRule="atLeast"/>
          <w:jc w:val="center"/>
        </w:trPr>
        <w:tc>
          <w:tcPr>
            <w:tcW w:w="556" w:type="pct"/>
            <w:tcBorders>
              <w:top w:val="single" w:color="auto" w:sz="4" w:space="0"/>
              <w:left w:val="single" w:color="auto" w:sz="12" w:space="0"/>
              <w:bottom w:val="single" w:color="auto" w:sz="4" w:space="0"/>
              <w:right w:val="single" w:color="auto" w:sz="4" w:space="0"/>
            </w:tcBorders>
            <w:noWrap w:val="0"/>
            <w:vAlign w:val="center"/>
          </w:tcPr>
          <w:p>
            <w:pPr>
              <w:spacing w:line="320" w:lineRule="exact"/>
              <w:jc w:val="center"/>
              <w:rPr>
                <w:szCs w:val="21"/>
              </w:rPr>
            </w:pPr>
            <w:r>
              <w:rPr>
                <w:rFonts w:hint="eastAsia" w:cs="宋体"/>
                <w:szCs w:val="21"/>
                <w:lang w:bidi="ar"/>
              </w:rPr>
              <w:t>土壤</w:t>
            </w:r>
          </w:p>
        </w:tc>
        <w:tc>
          <w:tcPr>
            <w:tcW w:w="2003" w:type="pct"/>
            <w:gridSpan w:val="3"/>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szCs w:val="21"/>
              </w:rPr>
            </w:pPr>
            <w:r>
              <w:rPr>
                <w:rFonts w:hint="eastAsia" w:cs="宋体"/>
                <w:szCs w:val="21"/>
                <w:lang w:bidi="ar"/>
              </w:rPr>
              <w:t>配套沼液消纳地附近土壤环境</w:t>
            </w:r>
          </w:p>
        </w:tc>
        <w:tc>
          <w:tcPr>
            <w:tcW w:w="498" w:type="pct"/>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szCs w:val="21"/>
              </w:rPr>
            </w:pPr>
            <w:r>
              <w:rPr>
                <w:szCs w:val="21"/>
                <w:lang w:bidi="ar"/>
              </w:rPr>
              <w:t>/</w:t>
            </w:r>
          </w:p>
        </w:tc>
        <w:tc>
          <w:tcPr>
            <w:tcW w:w="498" w:type="pct"/>
            <w:tcBorders>
              <w:top w:val="single" w:color="auto" w:sz="4" w:space="0"/>
              <w:left w:val="single" w:color="auto" w:sz="4" w:space="0"/>
              <w:bottom w:val="single" w:color="auto" w:sz="4" w:space="0"/>
              <w:right w:val="single" w:color="auto" w:sz="4" w:space="0"/>
            </w:tcBorders>
            <w:noWrap w:val="0"/>
            <w:vAlign w:val="center"/>
          </w:tcPr>
          <w:p>
            <w:pPr>
              <w:spacing w:line="320" w:lineRule="exact"/>
              <w:jc w:val="center"/>
              <w:rPr>
                <w:szCs w:val="21"/>
              </w:rPr>
            </w:pPr>
            <w:r>
              <w:rPr>
                <w:szCs w:val="21"/>
                <w:lang w:bidi="ar"/>
              </w:rPr>
              <w:t>/</w:t>
            </w:r>
          </w:p>
        </w:tc>
        <w:tc>
          <w:tcPr>
            <w:tcW w:w="1443" w:type="pct"/>
            <w:tcBorders>
              <w:top w:val="single" w:color="auto" w:sz="4" w:space="0"/>
              <w:left w:val="single" w:color="auto" w:sz="4" w:space="0"/>
              <w:bottom w:val="single" w:color="auto" w:sz="4" w:space="0"/>
              <w:right w:val="single" w:color="auto" w:sz="12" w:space="0"/>
            </w:tcBorders>
            <w:noWrap w:val="0"/>
            <w:vAlign w:val="center"/>
          </w:tcPr>
          <w:p>
            <w:pPr>
              <w:spacing w:line="320" w:lineRule="exact"/>
              <w:jc w:val="center"/>
              <w:rPr>
                <w:szCs w:val="21"/>
              </w:rPr>
            </w:pPr>
            <w:r>
              <w:rPr>
                <w:rFonts w:hint="eastAsia" w:cs="宋体"/>
                <w:szCs w:val="21"/>
                <w:lang w:bidi="ar"/>
              </w:rPr>
              <w:t>《土壤环境质量农用地土壤污染风险管控标准》（</w:t>
            </w:r>
            <w:r>
              <w:rPr>
                <w:szCs w:val="21"/>
                <w:lang w:bidi="ar"/>
              </w:rPr>
              <w:t>GB15618-2018</w:t>
            </w:r>
            <w:r>
              <w:rPr>
                <w:rFonts w:hint="eastAsia" w:cs="宋体"/>
                <w:szCs w:val="21"/>
                <w:lang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556" w:type="pct"/>
            <w:tcBorders>
              <w:top w:val="single" w:color="auto" w:sz="4" w:space="0"/>
              <w:left w:val="single" w:color="auto" w:sz="12" w:space="0"/>
              <w:bottom w:val="single" w:color="auto" w:sz="12" w:space="0"/>
              <w:right w:val="single" w:color="auto" w:sz="4" w:space="0"/>
            </w:tcBorders>
            <w:noWrap w:val="0"/>
            <w:vAlign w:val="center"/>
          </w:tcPr>
          <w:p>
            <w:pPr>
              <w:spacing w:line="320" w:lineRule="exact"/>
              <w:jc w:val="center"/>
              <w:rPr>
                <w:szCs w:val="21"/>
              </w:rPr>
            </w:pPr>
            <w:r>
              <w:rPr>
                <w:rFonts w:hint="eastAsia" w:cs="宋体"/>
                <w:szCs w:val="21"/>
                <w:lang w:bidi="ar"/>
              </w:rPr>
              <w:t>噪声</w:t>
            </w:r>
          </w:p>
        </w:tc>
        <w:tc>
          <w:tcPr>
            <w:tcW w:w="2003" w:type="pct"/>
            <w:gridSpan w:val="3"/>
            <w:tcBorders>
              <w:top w:val="single" w:color="auto" w:sz="4" w:space="0"/>
              <w:left w:val="single" w:color="auto" w:sz="4" w:space="0"/>
              <w:bottom w:val="single" w:color="auto" w:sz="12" w:space="0"/>
              <w:right w:val="single" w:color="auto" w:sz="4" w:space="0"/>
            </w:tcBorders>
            <w:noWrap w:val="0"/>
            <w:vAlign w:val="center"/>
          </w:tcPr>
          <w:p>
            <w:pPr>
              <w:spacing w:line="320" w:lineRule="exact"/>
              <w:jc w:val="center"/>
              <w:rPr>
                <w:szCs w:val="21"/>
              </w:rPr>
            </w:pPr>
            <w:r>
              <w:rPr>
                <w:rFonts w:hint="eastAsia" w:cs="宋体"/>
                <w:szCs w:val="21"/>
                <w:lang w:bidi="ar"/>
              </w:rPr>
              <w:t>场区四周场界</w:t>
            </w:r>
          </w:p>
        </w:tc>
        <w:tc>
          <w:tcPr>
            <w:tcW w:w="498" w:type="pct"/>
            <w:tcBorders>
              <w:top w:val="single" w:color="auto" w:sz="4" w:space="0"/>
              <w:left w:val="single" w:color="auto" w:sz="4" w:space="0"/>
              <w:bottom w:val="single" w:color="auto" w:sz="12" w:space="0"/>
              <w:right w:val="single" w:color="auto" w:sz="4" w:space="0"/>
            </w:tcBorders>
            <w:noWrap w:val="0"/>
            <w:vAlign w:val="center"/>
          </w:tcPr>
          <w:p>
            <w:pPr>
              <w:spacing w:line="320" w:lineRule="exact"/>
              <w:jc w:val="center"/>
              <w:rPr>
                <w:szCs w:val="21"/>
              </w:rPr>
            </w:pPr>
            <w:r>
              <w:rPr>
                <w:szCs w:val="21"/>
                <w:lang w:bidi="ar"/>
              </w:rPr>
              <w:t>/</w:t>
            </w:r>
          </w:p>
        </w:tc>
        <w:tc>
          <w:tcPr>
            <w:tcW w:w="498" w:type="pct"/>
            <w:tcBorders>
              <w:top w:val="single" w:color="auto" w:sz="4" w:space="0"/>
              <w:left w:val="single" w:color="auto" w:sz="4" w:space="0"/>
              <w:bottom w:val="single" w:color="auto" w:sz="12" w:space="0"/>
              <w:right w:val="single" w:color="auto" w:sz="4" w:space="0"/>
            </w:tcBorders>
            <w:noWrap w:val="0"/>
            <w:vAlign w:val="center"/>
          </w:tcPr>
          <w:p>
            <w:pPr>
              <w:spacing w:line="320" w:lineRule="exact"/>
              <w:jc w:val="center"/>
              <w:rPr>
                <w:szCs w:val="21"/>
              </w:rPr>
            </w:pPr>
            <w:r>
              <w:rPr>
                <w:szCs w:val="21"/>
                <w:lang w:bidi="ar"/>
              </w:rPr>
              <w:t>/</w:t>
            </w:r>
          </w:p>
        </w:tc>
        <w:tc>
          <w:tcPr>
            <w:tcW w:w="1443" w:type="pct"/>
            <w:tcBorders>
              <w:top w:val="single" w:color="auto" w:sz="4" w:space="0"/>
              <w:left w:val="single" w:color="auto" w:sz="4" w:space="0"/>
              <w:bottom w:val="single" w:color="auto" w:sz="12" w:space="0"/>
              <w:right w:val="single" w:color="auto" w:sz="12" w:space="0"/>
            </w:tcBorders>
            <w:noWrap w:val="0"/>
            <w:vAlign w:val="center"/>
          </w:tcPr>
          <w:p>
            <w:pPr>
              <w:spacing w:line="320" w:lineRule="exact"/>
              <w:jc w:val="center"/>
              <w:rPr>
                <w:szCs w:val="21"/>
              </w:rPr>
            </w:pPr>
            <w:r>
              <w:rPr>
                <w:rFonts w:hint="eastAsia" w:cs="宋体"/>
                <w:szCs w:val="21"/>
                <w:lang w:bidi="ar"/>
              </w:rPr>
              <w:t>《声环境质量标准》（</w:t>
            </w:r>
            <w:r>
              <w:rPr>
                <w:szCs w:val="21"/>
                <w:lang w:bidi="ar"/>
              </w:rPr>
              <w:t>GB3096-2008</w:t>
            </w:r>
            <w:r>
              <w:rPr>
                <w:rFonts w:hint="eastAsia" w:cs="宋体"/>
                <w:szCs w:val="21"/>
                <w:lang w:bidi="ar"/>
              </w:rPr>
              <w:t>）</w:t>
            </w:r>
            <w:r>
              <w:rPr>
                <w:szCs w:val="21"/>
                <w:lang w:bidi="ar"/>
              </w:rPr>
              <w:t>2</w:t>
            </w:r>
            <w:r>
              <w:rPr>
                <w:rFonts w:hint="eastAsia" w:cs="宋体"/>
                <w:szCs w:val="21"/>
                <w:lang w:bidi="ar"/>
              </w:rPr>
              <w:t>类</w:t>
            </w:r>
          </w:p>
        </w:tc>
      </w:tr>
    </w:tbl>
    <w:p>
      <w:pPr>
        <w:snapToGrid w:val="0"/>
        <w:spacing w:line="520" w:lineRule="exact"/>
        <w:outlineLvl w:val="1"/>
        <w:rPr>
          <w:rFonts w:eastAsia="黑体"/>
          <w:bCs/>
          <w:sz w:val="28"/>
          <w:szCs w:val="28"/>
        </w:rPr>
      </w:pPr>
      <w:bookmarkStart w:id="315" w:name="_Toc472009598"/>
      <w:bookmarkStart w:id="316" w:name="_Toc7398"/>
      <w:r>
        <w:rPr>
          <w:rFonts w:eastAsia="黑体"/>
          <w:bCs/>
          <w:sz w:val="28"/>
          <w:szCs w:val="28"/>
        </w:rPr>
        <w:t>3.3现状监测</w:t>
      </w:r>
      <w:bookmarkEnd w:id="315"/>
      <w:bookmarkEnd w:id="316"/>
    </w:p>
    <w:p>
      <w:pPr>
        <w:pStyle w:val="2"/>
        <w:spacing w:before="0" w:after="0" w:line="520" w:lineRule="exact"/>
        <w:rPr>
          <w:rFonts w:eastAsia="黑体"/>
          <w:b w:val="0"/>
          <w:sz w:val="24"/>
          <w:szCs w:val="24"/>
        </w:rPr>
      </w:pPr>
      <w:bookmarkStart w:id="317" w:name="_Toc406662995"/>
      <w:bookmarkStart w:id="318" w:name="_Toc468366612"/>
      <w:bookmarkStart w:id="319" w:name="_Toc413829628"/>
      <w:r>
        <w:rPr>
          <w:rFonts w:eastAsia="黑体"/>
          <w:b w:val="0"/>
          <w:sz w:val="24"/>
          <w:szCs w:val="24"/>
        </w:rPr>
        <w:t>3.3.1环境空气质量现状监测与评价</w:t>
      </w:r>
      <w:bookmarkEnd w:id="317"/>
      <w:bookmarkEnd w:id="318"/>
      <w:bookmarkEnd w:id="319"/>
    </w:p>
    <w:p>
      <w:pPr>
        <w:spacing w:line="500" w:lineRule="exact"/>
        <w:rPr>
          <w:rFonts w:hint="eastAsia"/>
          <w:b/>
          <w:sz w:val="24"/>
        </w:rPr>
      </w:pPr>
      <w:bookmarkStart w:id="320" w:name="_Toc413829629"/>
      <w:bookmarkStart w:id="321" w:name="_Toc406662996"/>
      <w:r>
        <w:rPr>
          <w:b/>
          <w:sz w:val="24"/>
        </w:rPr>
        <w:t>3.3.1.1</w:t>
      </w:r>
      <w:bookmarkEnd w:id="320"/>
      <w:bookmarkEnd w:id="321"/>
      <w:r>
        <w:rPr>
          <w:rFonts w:hint="eastAsia"/>
          <w:b/>
          <w:sz w:val="24"/>
        </w:rPr>
        <w:t>空气</w:t>
      </w:r>
      <w:r>
        <w:rPr>
          <w:b/>
          <w:sz w:val="24"/>
        </w:rPr>
        <w:t>质量达标区判定</w:t>
      </w:r>
    </w:p>
    <w:p>
      <w:pPr>
        <w:spacing w:line="520" w:lineRule="exact"/>
        <w:ind w:firstLine="480" w:firstLineChars="200"/>
        <w:rPr>
          <w:rFonts w:hint="eastAsia"/>
          <w:sz w:val="24"/>
        </w:rPr>
      </w:pPr>
      <w:r>
        <w:rPr>
          <w:rFonts w:hint="eastAsia"/>
          <w:sz w:val="24"/>
        </w:rPr>
        <w:t>根据《环境影响评价技术导则 大气环境》（HJ2.2-2018）中有关环境空气质量现状调查原则中“项目所在区域达标判定，优先采用国家或地方生态环境主管部门公开发布的评价基准年环境质量公告或环境质量报告中的数据或结论”，本次环评通过收集现有监测资料和补充监测对本项目所在区域的环境空气质量进行现状评价。</w:t>
      </w:r>
    </w:p>
    <w:p>
      <w:pPr>
        <w:spacing w:line="520" w:lineRule="exact"/>
        <w:ind w:firstLine="480" w:firstLineChars="200"/>
        <w:rPr>
          <w:rFonts w:hint="eastAsia"/>
          <w:sz w:val="24"/>
        </w:rPr>
      </w:pPr>
      <w:r>
        <w:rPr>
          <w:rFonts w:hint="eastAsia"/>
          <w:sz w:val="24"/>
        </w:rPr>
        <w:t>本次评价引用驻马店环境保护局发布的《</w:t>
      </w:r>
      <w:bookmarkStart w:id="322" w:name="_Hlk10558758"/>
      <w:r>
        <w:rPr>
          <w:rFonts w:hint="eastAsia"/>
          <w:sz w:val="24"/>
        </w:rPr>
        <w:t>2018年度驻马店市环境影响概要</w:t>
      </w:r>
      <w:bookmarkEnd w:id="322"/>
      <w:r>
        <w:rPr>
          <w:rFonts w:hint="eastAsia"/>
          <w:sz w:val="24"/>
        </w:rPr>
        <w:t>》中环境空气质量数据进行评价。驻马店市2018年监测数据统计分析见表3.3-1。</w:t>
      </w:r>
    </w:p>
    <w:p>
      <w:pPr>
        <w:spacing w:line="520" w:lineRule="exact"/>
        <w:ind w:firstLine="482" w:firstLineChars="200"/>
        <w:jc w:val="center"/>
        <w:rPr>
          <w:rFonts w:hint="eastAsia"/>
          <w:b/>
          <w:sz w:val="24"/>
        </w:rPr>
      </w:pPr>
      <w:r>
        <w:rPr>
          <w:rFonts w:hint="eastAsia"/>
          <w:b/>
          <w:sz w:val="24"/>
        </w:rPr>
        <w:t>表3.3-1      市控点驻马店市自动监测点监测数据统计表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14"/>
        <w:gridCol w:w="1728"/>
        <w:gridCol w:w="2462"/>
        <w:gridCol w:w="1453"/>
        <w:gridCol w:w="13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1070" w:type="pct"/>
            <w:vMerge w:val="restart"/>
            <w:tcBorders>
              <w:top w:val="single" w:color="auto" w:sz="12" w:space="0"/>
              <w:left w:val="single" w:color="auto" w:sz="12" w:space="0"/>
              <w:bottom w:val="single" w:color="auto" w:sz="4" w:space="0"/>
              <w:right w:val="single" w:color="auto" w:sz="4" w:space="0"/>
              <w:tl2br w:val="single" w:color="auto" w:sz="4" w:space="0"/>
            </w:tcBorders>
            <w:noWrap w:val="0"/>
            <w:vAlign w:val="center"/>
          </w:tcPr>
          <w:p>
            <w:pPr>
              <w:jc w:val="center"/>
              <w:textAlignment w:val="center"/>
              <w:rPr>
                <w:kern w:val="0"/>
                <w:szCs w:val="21"/>
              </w:rPr>
            </w:pPr>
            <w:r>
              <w:rPr>
                <w:rFonts w:hint="eastAsia" w:cs="宋体"/>
                <w:kern w:val="0"/>
                <w:szCs w:val="21"/>
                <w:lang w:bidi="ar"/>
              </w:rPr>
              <w:t>项目</w:t>
            </w:r>
          </w:p>
          <w:p>
            <w:pPr>
              <w:jc w:val="center"/>
              <w:textAlignment w:val="center"/>
              <w:rPr>
                <w:rFonts w:hint="eastAsia" w:cs="宋体"/>
                <w:kern w:val="0"/>
                <w:szCs w:val="21"/>
                <w:lang w:bidi="ar"/>
              </w:rPr>
            </w:pPr>
          </w:p>
          <w:p>
            <w:pPr>
              <w:jc w:val="center"/>
              <w:textAlignment w:val="center"/>
              <w:rPr>
                <w:kern w:val="0"/>
                <w:szCs w:val="21"/>
              </w:rPr>
            </w:pPr>
            <w:r>
              <w:rPr>
                <w:rFonts w:hint="eastAsia" w:cs="宋体"/>
                <w:kern w:val="0"/>
                <w:szCs w:val="21"/>
                <w:lang w:bidi="ar"/>
              </w:rPr>
              <w:t>时间</w:t>
            </w:r>
          </w:p>
        </w:tc>
        <w:tc>
          <w:tcPr>
            <w:tcW w:w="966" w:type="pct"/>
            <w:vMerge w:val="restart"/>
            <w:tcBorders>
              <w:top w:val="single" w:color="auto" w:sz="12" w:space="0"/>
              <w:left w:val="single" w:color="auto" w:sz="4" w:space="0"/>
              <w:bottom w:val="single" w:color="auto" w:sz="4" w:space="0"/>
              <w:right w:val="single" w:color="auto" w:sz="4" w:space="0"/>
            </w:tcBorders>
            <w:noWrap w:val="0"/>
            <w:vAlign w:val="center"/>
          </w:tcPr>
          <w:p>
            <w:pPr>
              <w:jc w:val="center"/>
              <w:textAlignment w:val="center"/>
              <w:rPr>
                <w:kern w:val="0"/>
                <w:szCs w:val="21"/>
              </w:rPr>
            </w:pPr>
            <w:r>
              <w:rPr>
                <w:rFonts w:hint="eastAsia" w:cs="宋体"/>
                <w:kern w:val="0"/>
                <w:szCs w:val="21"/>
                <w:lang w:bidi="ar"/>
              </w:rPr>
              <w:t>污染物</w:t>
            </w:r>
          </w:p>
        </w:tc>
        <w:tc>
          <w:tcPr>
            <w:tcW w:w="1376" w:type="pct"/>
            <w:vMerge w:val="restart"/>
            <w:tcBorders>
              <w:top w:val="single" w:color="auto" w:sz="12" w:space="0"/>
              <w:left w:val="single" w:color="auto" w:sz="2" w:space="0"/>
              <w:bottom w:val="single" w:color="auto" w:sz="4" w:space="0"/>
              <w:right w:val="single" w:color="auto" w:sz="4" w:space="0"/>
            </w:tcBorders>
            <w:noWrap w:val="0"/>
            <w:vAlign w:val="center"/>
          </w:tcPr>
          <w:p>
            <w:pPr>
              <w:jc w:val="center"/>
              <w:textAlignment w:val="center"/>
              <w:rPr>
                <w:kern w:val="0"/>
                <w:szCs w:val="21"/>
              </w:rPr>
            </w:pPr>
            <w:r>
              <w:rPr>
                <w:rFonts w:hint="eastAsia" w:cs="宋体"/>
                <w:kern w:val="0"/>
                <w:szCs w:val="21"/>
                <w:lang w:bidi="ar"/>
              </w:rPr>
              <w:t>年均值</w:t>
            </w:r>
            <w:r>
              <w:rPr>
                <w:kern w:val="0"/>
                <w:szCs w:val="21"/>
                <w:lang w:bidi="ar"/>
              </w:rPr>
              <w:t>(μg/m</w:t>
            </w:r>
            <w:r>
              <w:rPr>
                <w:kern w:val="0"/>
                <w:szCs w:val="21"/>
                <w:vertAlign w:val="superscript"/>
                <w:lang w:bidi="ar"/>
              </w:rPr>
              <w:t>3</w:t>
            </w:r>
            <w:r>
              <w:rPr>
                <w:kern w:val="0"/>
                <w:szCs w:val="21"/>
                <w:lang w:bidi="ar"/>
              </w:rPr>
              <w:t>)</w:t>
            </w:r>
          </w:p>
        </w:tc>
        <w:tc>
          <w:tcPr>
            <w:tcW w:w="812" w:type="pct"/>
            <w:vMerge w:val="restart"/>
            <w:tcBorders>
              <w:top w:val="single" w:color="auto" w:sz="12" w:space="0"/>
              <w:left w:val="single" w:color="auto" w:sz="4" w:space="0"/>
              <w:bottom w:val="single" w:color="auto" w:sz="4" w:space="0"/>
              <w:right w:val="single" w:color="auto" w:sz="4" w:space="0"/>
            </w:tcBorders>
            <w:noWrap w:val="0"/>
            <w:vAlign w:val="center"/>
          </w:tcPr>
          <w:p>
            <w:pPr>
              <w:jc w:val="center"/>
              <w:textAlignment w:val="center"/>
              <w:rPr>
                <w:kern w:val="0"/>
                <w:szCs w:val="21"/>
              </w:rPr>
            </w:pPr>
            <w:r>
              <w:rPr>
                <w:rFonts w:hint="eastAsia" w:cs="宋体"/>
                <w:kern w:val="0"/>
                <w:szCs w:val="21"/>
                <w:lang w:bidi="ar"/>
              </w:rPr>
              <w:t>标准值</w:t>
            </w:r>
            <w:r>
              <w:rPr>
                <w:kern w:val="0"/>
                <w:szCs w:val="21"/>
                <w:lang w:bidi="ar"/>
              </w:rPr>
              <w:t xml:space="preserve"> (μg/m</w:t>
            </w:r>
            <w:r>
              <w:rPr>
                <w:kern w:val="0"/>
                <w:szCs w:val="21"/>
                <w:vertAlign w:val="superscript"/>
                <w:lang w:bidi="ar"/>
              </w:rPr>
              <w:t>3</w:t>
            </w:r>
            <w:r>
              <w:rPr>
                <w:kern w:val="0"/>
                <w:szCs w:val="21"/>
                <w:lang w:bidi="ar"/>
              </w:rPr>
              <w:t>)</w:t>
            </w:r>
          </w:p>
        </w:tc>
        <w:tc>
          <w:tcPr>
            <w:tcW w:w="774" w:type="pct"/>
            <w:vMerge w:val="restart"/>
            <w:tcBorders>
              <w:top w:val="single" w:color="auto" w:sz="12" w:space="0"/>
              <w:left w:val="single" w:color="auto" w:sz="4" w:space="0"/>
              <w:bottom w:val="single" w:color="auto" w:sz="4" w:space="0"/>
              <w:right w:val="single" w:color="auto" w:sz="12" w:space="0"/>
            </w:tcBorders>
            <w:noWrap w:val="0"/>
            <w:vAlign w:val="center"/>
          </w:tcPr>
          <w:p>
            <w:pPr>
              <w:jc w:val="center"/>
              <w:textAlignment w:val="center"/>
              <w:rPr>
                <w:kern w:val="0"/>
                <w:szCs w:val="21"/>
              </w:rPr>
            </w:pPr>
            <w:r>
              <w:rPr>
                <w:rFonts w:hint="eastAsia" w:cs="宋体"/>
                <w:kern w:val="0"/>
                <w:szCs w:val="21"/>
                <w:lang w:bidi="ar"/>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420" w:hRule="atLeast"/>
          <w:jc w:val="center"/>
        </w:trPr>
        <w:tc>
          <w:tcPr>
            <w:tcW w:w="1070" w:type="pct"/>
            <w:vMerge w:val="continue"/>
            <w:tcBorders>
              <w:top w:val="single" w:color="auto" w:sz="12" w:space="0"/>
              <w:left w:val="single" w:color="auto" w:sz="12" w:space="0"/>
              <w:bottom w:val="single" w:color="auto" w:sz="4" w:space="0"/>
              <w:right w:val="single" w:color="auto" w:sz="4" w:space="0"/>
              <w:tl2br w:val="single" w:color="auto" w:sz="4" w:space="0"/>
            </w:tcBorders>
            <w:noWrap w:val="0"/>
            <w:vAlign w:val="center"/>
          </w:tcPr>
          <w:p>
            <w:pPr>
              <w:jc w:val="center"/>
              <w:rPr>
                <w:sz w:val="20"/>
                <w:szCs w:val="20"/>
              </w:rPr>
            </w:pPr>
          </w:p>
        </w:tc>
        <w:tc>
          <w:tcPr>
            <w:tcW w:w="966" w:type="pct"/>
            <w:vMerge w:val="continue"/>
            <w:tcBorders>
              <w:top w:val="single" w:color="auto" w:sz="12" w:space="0"/>
              <w:left w:val="single" w:color="auto" w:sz="4" w:space="0"/>
              <w:bottom w:val="single" w:color="auto" w:sz="4" w:space="0"/>
              <w:right w:val="single" w:color="auto" w:sz="4" w:space="0"/>
            </w:tcBorders>
            <w:noWrap w:val="0"/>
            <w:vAlign w:val="center"/>
          </w:tcPr>
          <w:p>
            <w:pPr>
              <w:jc w:val="center"/>
              <w:rPr>
                <w:sz w:val="20"/>
                <w:szCs w:val="20"/>
              </w:rPr>
            </w:pPr>
          </w:p>
        </w:tc>
        <w:tc>
          <w:tcPr>
            <w:tcW w:w="1376" w:type="pct"/>
            <w:vMerge w:val="continue"/>
            <w:tcBorders>
              <w:top w:val="single" w:color="auto" w:sz="12" w:space="0"/>
              <w:left w:val="single" w:color="auto" w:sz="2" w:space="0"/>
              <w:bottom w:val="single" w:color="auto" w:sz="4" w:space="0"/>
              <w:right w:val="single" w:color="auto" w:sz="4" w:space="0"/>
            </w:tcBorders>
            <w:noWrap w:val="0"/>
            <w:vAlign w:val="center"/>
          </w:tcPr>
          <w:p>
            <w:pPr>
              <w:jc w:val="center"/>
              <w:rPr>
                <w:sz w:val="20"/>
                <w:szCs w:val="20"/>
              </w:rPr>
            </w:pPr>
          </w:p>
        </w:tc>
        <w:tc>
          <w:tcPr>
            <w:tcW w:w="812" w:type="pct"/>
            <w:vMerge w:val="continue"/>
            <w:tcBorders>
              <w:top w:val="single" w:color="auto" w:sz="12" w:space="0"/>
              <w:left w:val="single" w:color="auto" w:sz="4" w:space="0"/>
              <w:bottom w:val="single" w:color="auto" w:sz="4" w:space="0"/>
              <w:right w:val="single" w:color="auto" w:sz="4" w:space="0"/>
            </w:tcBorders>
            <w:noWrap w:val="0"/>
            <w:vAlign w:val="center"/>
          </w:tcPr>
          <w:p>
            <w:pPr>
              <w:jc w:val="center"/>
              <w:rPr>
                <w:sz w:val="20"/>
                <w:szCs w:val="20"/>
              </w:rPr>
            </w:pPr>
          </w:p>
        </w:tc>
        <w:tc>
          <w:tcPr>
            <w:tcW w:w="774" w:type="pct"/>
            <w:vMerge w:val="continue"/>
            <w:tcBorders>
              <w:top w:val="single" w:color="auto" w:sz="12" w:space="0"/>
              <w:left w:val="single" w:color="auto" w:sz="4" w:space="0"/>
              <w:bottom w:val="single" w:color="auto" w:sz="4" w:space="0"/>
              <w:right w:val="single" w:color="auto" w:sz="12" w:space="0"/>
            </w:tcBorders>
            <w:noWrap w:val="0"/>
            <w:vAlign w:val="center"/>
          </w:tcPr>
          <w:p>
            <w:pPr>
              <w:jc w:val="center"/>
              <w:rPr>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1070" w:type="pct"/>
            <w:vMerge w:val="restart"/>
            <w:tcBorders>
              <w:top w:val="single" w:color="auto" w:sz="4" w:space="0"/>
              <w:left w:val="single" w:color="auto" w:sz="12" w:space="0"/>
              <w:bottom w:val="single" w:color="auto" w:sz="12" w:space="0"/>
              <w:right w:val="single" w:color="auto" w:sz="4" w:space="0"/>
            </w:tcBorders>
            <w:noWrap w:val="0"/>
            <w:vAlign w:val="center"/>
          </w:tcPr>
          <w:p>
            <w:pPr>
              <w:jc w:val="center"/>
              <w:textAlignment w:val="center"/>
              <w:rPr>
                <w:kern w:val="0"/>
                <w:szCs w:val="21"/>
              </w:rPr>
            </w:pPr>
            <w:bookmarkStart w:id="323" w:name="_Hlk261512383"/>
            <w:r>
              <w:rPr>
                <w:kern w:val="0"/>
                <w:szCs w:val="21"/>
              </w:rPr>
              <w:t>2018</w:t>
            </w:r>
            <w:r>
              <w:rPr>
                <w:rFonts w:hint="eastAsia" w:cs="宋体"/>
                <w:kern w:val="0"/>
                <w:szCs w:val="21"/>
              </w:rPr>
              <w:t>年</w:t>
            </w:r>
          </w:p>
        </w:tc>
        <w:tc>
          <w:tcPr>
            <w:tcW w:w="966" w:type="pct"/>
            <w:tcBorders>
              <w:top w:val="single" w:color="auto" w:sz="4" w:space="0"/>
              <w:left w:val="single" w:color="auto" w:sz="4" w:space="0"/>
              <w:bottom w:val="single" w:color="auto" w:sz="4" w:space="0"/>
              <w:right w:val="single" w:color="auto" w:sz="4" w:space="0"/>
            </w:tcBorders>
            <w:noWrap w:val="0"/>
            <w:vAlign w:val="center"/>
          </w:tcPr>
          <w:p>
            <w:pPr>
              <w:jc w:val="center"/>
              <w:textAlignment w:val="center"/>
              <w:rPr>
                <w:kern w:val="0"/>
                <w:szCs w:val="21"/>
              </w:rPr>
            </w:pPr>
            <w:r>
              <w:rPr>
                <w:kern w:val="0"/>
                <w:szCs w:val="21"/>
              </w:rPr>
              <w:t>SO</w:t>
            </w:r>
            <w:r>
              <w:rPr>
                <w:kern w:val="0"/>
                <w:szCs w:val="21"/>
                <w:vertAlign w:val="subscript"/>
              </w:rPr>
              <w:t>2</w:t>
            </w:r>
          </w:p>
        </w:tc>
        <w:tc>
          <w:tcPr>
            <w:tcW w:w="1376" w:type="pct"/>
            <w:tcBorders>
              <w:top w:val="single" w:color="auto" w:sz="4" w:space="0"/>
              <w:left w:val="single" w:color="auto" w:sz="4" w:space="0"/>
              <w:bottom w:val="single" w:color="auto" w:sz="4" w:space="0"/>
              <w:right w:val="single" w:color="auto" w:sz="4" w:space="0"/>
            </w:tcBorders>
            <w:noWrap w:val="0"/>
            <w:vAlign w:val="center"/>
          </w:tcPr>
          <w:p>
            <w:pPr>
              <w:jc w:val="center"/>
              <w:rPr>
                <w:kern w:val="0"/>
                <w:szCs w:val="21"/>
              </w:rPr>
            </w:pPr>
            <w:r>
              <w:rPr>
                <w:szCs w:val="21"/>
              </w:rPr>
              <w:t>13</w:t>
            </w:r>
          </w:p>
        </w:tc>
        <w:tc>
          <w:tcPr>
            <w:tcW w:w="812" w:type="pct"/>
            <w:tcBorders>
              <w:top w:val="single" w:color="auto" w:sz="4" w:space="0"/>
              <w:left w:val="single" w:color="auto" w:sz="4" w:space="0"/>
              <w:bottom w:val="single" w:color="auto" w:sz="4" w:space="0"/>
              <w:right w:val="single" w:color="auto" w:sz="4" w:space="0"/>
            </w:tcBorders>
            <w:noWrap w:val="0"/>
            <w:vAlign w:val="center"/>
          </w:tcPr>
          <w:p>
            <w:pPr>
              <w:jc w:val="center"/>
              <w:textAlignment w:val="center"/>
              <w:rPr>
                <w:kern w:val="0"/>
                <w:szCs w:val="21"/>
              </w:rPr>
            </w:pPr>
            <w:r>
              <w:rPr>
                <w:kern w:val="0"/>
                <w:szCs w:val="21"/>
              </w:rPr>
              <w:t>60</w:t>
            </w:r>
          </w:p>
        </w:tc>
        <w:tc>
          <w:tcPr>
            <w:tcW w:w="774" w:type="pct"/>
            <w:tcBorders>
              <w:top w:val="single" w:color="auto" w:sz="4" w:space="0"/>
              <w:left w:val="single" w:color="auto" w:sz="4" w:space="0"/>
              <w:bottom w:val="single" w:color="auto" w:sz="4" w:space="0"/>
              <w:right w:val="single" w:color="auto" w:sz="12" w:space="0"/>
            </w:tcBorders>
            <w:noWrap w:val="0"/>
            <w:vAlign w:val="center"/>
          </w:tcPr>
          <w:p>
            <w:pPr>
              <w:jc w:val="center"/>
              <w:textAlignment w:val="center"/>
              <w:rPr>
                <w:kern w:val="0"/>
                <w:szCs w:val="21"/>
              </w:rPr>
            </w:pPr>
            <w:r>
              <w:rPr>
                <w:rFonts w:hint="eastAsia" w:cs="宋体"/>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1070" w:type="pct"/>
            <w:vMerge w:val="continue"/>
            <w:tcBorders>
              <w:top w:val="single" w:color="auto" w:sz="4" w:space="0"/>
              <w:left w:val="single" w:color="auto" w:sz="12" w:space="0"/>
              <w:bottom w:val="single" w:color="auto" w:sz="12" w:space="0"/>
              <w:right w:val="single" w:color="auto" w:sz="4" w:space="0"/>
            </w:tcBorders>
            <w:noWrap w:val="0"/>
            <w:vAlign w:val="center"/>
          </w:tcPr>
          <w:p>
            <w:pPr>
              <w:jc w:val="center"/>
              <w:rPr>
                <w:sz w:val="20"/>
                <w:szCs w:val="20"/>
              </w:rPr>
            </w:pPr>
          </w:p>
        </w:tc>
        <w:tc>
          <w:tcPr>
            <w:tcW w:w="966" w:type="pct"/>
            <w:tcBorders>
              <w:top w:val="single" w:color="auto" w:sz="4" w:space="0"/>
              <w:left w:val="single" w:color="auto" w:sz="4" w:space="0"/>
              <w:bottom w:val="single" w:color="auto" w:sz="4" w:space="0"/>
              <w:right w:val="single" w:color="auto" w:sz="4" w:space="0"/>
            </w:tcBorders>
            <w:noWrap w:val="0"/>
            <w:vAlign w:val="center"/>
          </w:tcPr>
          <w:p>
            <w:pPr>
              <w:jc w:val="center"/>
              <w:textAlignment w:val="center"/>
              <w:rPr>
                <w:kern w:val="0"/>
                <w:szCs w:val="21"/>
              </w:rPr>
            </w:pPr>
            <w:r>
              <w:rPr>
                <w:kern w:val="0"/>
                <w:szCs w:val="21"/>
              </w:rPr>
              <w:t>NO</w:t>
            </w:r>
            <w:r>
              <w:rPr>
                <w:kern w:val="0"/>
                <w:szCs w:val="21"/>
                <w:vertAlign w:val="subscript"/>
              </w:rPr>
              <w:t>2</w:t>
            </w:r>
          </w:p>
        </w:tc>
        <w:tc>
          <w:tcPr>
            <w:tcW w:w="1376" w:type="pct"/>
            <w:tcBorders>
              <w:top w:val="single" w:color="auto" w:sz="4" w:space="0"/>
              <w:left w:val="single" w:color="auto" w:sz="4" w:space="0"/>
              <w:bottom w:val="single" w:color="auto" w:sz="4" w:space="0"/>
              <w:right w:val="single" w:color="auto" w:sz="4" w:space="0"/>
            </w:tcBorders>
            <w:noWrap w:val="0"/>
            <w:vAlign w:val="center"/>
          </w:tcPr>
          <w:p>
            <w:pPr>
              <w:jc w:val="center"/>
              <w:rPr>
                <w:kern w:val="0"/>
                <w:szCs w:val="21"/>
              </w:rPr>
            </w:pPr>
            <w:r>
              <w:rPr>
                <w:szCs w:val="21"/>
              </w:rPr>
              <w:t>35</w:t>
            </w:r>
          </w:p>
        </w:tc>
        <w:tc>
          <w:tcPr>
            <w:tcW w:w="812" w:type="pct"/>
            <w:tcBorders>
              <w:top w:val="single" w:color="auto" w:sz="4" w:space="0"/>
              <w:left w:val="single" w:color="auto" w:sz="4" w:space="0"/>
              <w:bottom w:val="single" w:color="auto" w:sz="4" w:space="0"/>
              <w:right w:val="single" w:color="auto" w:sz="4" w:space="0"/>
            </w:tcBorders>
            <w:noWrap w:val="0"/>
            <w:vAlign w:val="center"/>
          </w:tcPr>
          <w:p>
            <w:pPr>
              <w:jc w:val="center"/>
              <w:textAlignment w:val="center"/>
              <w:rPr>
                <w:kern w:val="0"/>
                <w:szCs w:val="21"/>
              </w:rPr>
            </w:pPr>
            <w:r>
              <w:rPr>
                <w:kern w:val="0"/>
                <w:szCs w:val="21"/>
              </w:rPr>
              <w:t>40</w:t>
            </w:r>
          </w:p>
        </w:tc>
        <w:tc>
          <w:tcPr>
            <w:tcW w:w="774" w:type="pct"/>
            <w:tcBorders>
              <w:top w:val="single" w:color="auto" w:sz="4" w:space="0"/>
              <w:left w:val="single" w:color="auto" w:sz="4" w:space="0"/>
              <w:bottom w:val="single" w:color="auto" w:sz="4" w:space="0"/>
              <w:right w:val="single" w:color="auto" w:sz="12" w:space="0"/>
            </w:tcBorders>
            <w:noWrap w:val="0"/>
            <w:vAlign w:val="center"/>
          </w:tcPr>
          <w:p>
            <w:pPr>
              <w:jc w:val="center"/>
              <w:textAlignment w:val="center"/>
              <w:rPr>
                <w:kern w:val="0"/>
                <w:szCs w:val="21"/>
              </w:rPr>
            </w:pPr>
            <w:r>
              <w:rPr>
                <w:rFonts w:hint="eastAsia" w:cs="宋体"/>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1070" w:type="pct"/>
            <w:vMerge w:val="continue"/>
            <w:tcBorders>
              <w:top w:val="single" w:color="auto" w:sz="4" w:space="0"/>
              <w:left w:val="single" w:color="auto" w:sz="12" w:space="0"/>
              <w:bottom w:val="single" w:color="auto" w:sz="12" w:space="0"/>
              <w:right w:val="single" w:color="auto" w:sz="4" w:space="0"/>
            </w:tcBorders>
            <w:noWrap w:val="0"/>
            <w:vAlign w:val="center"/>
          </w:tcPr>
          <w:p>
            <w:pPr>
              <w:jc w:val="center"/>
              <w:rPr>
                <w:sz w:val="20"/>
                <w:szCs w:val="20"/>
              </w:rPr>
            </w:pPr>
          </w:p>
        </w:tc>
        <w:tc>
          <w:tcPr>
            <w:tcW w:w="966" w:type="pct"/>
            <w:tcBorders>
              <w:top w:val="single" w:color="auto" w:sz="4" w:space="0"/>
              <w:left w:val="single" w:color="auto" w:sz="4" w:space="0"/>
              <w:bottom w:val="single" w:color="auto" w:sz="4" w:space="0"/>
              <w:right w:val="single" w:color="auto" w:sz="4" w:space="0"/>
            </w:tcBorders>
            <w:noWrap w:val="0"/>
            <w:vAlign w:val="center"/>
          </w:tcPr>
          <w:p>
            <w:pPr>
              <w:jc w:val="center"/>
              <w:textAlignment w:val="center"/>
              <w:rPr>
                <w:kern w:val="0"/>
                <w:szCs w:val="21"/>
              </w:rPr>
            </w:pPr>
            <w:r>
              <w:rPr>
                <w:kern w:val="0"/>
                <w:szCs w:val="21"/>
              </w:rPr>
              <w:t>PM</w:t>
            </w:r>
            <w:r>
              <w:rPr>
                <w:kern w:val="0"/>
                <w:szCs w:val="21"/>
                <w:vertAlign w:val="subscript"/>
              </w:rPr>
              <w:t>10</w:t>
            </w:r>
          </w:p>
        </w:tc>
        <w:tc>
          <w:tcPr>
            <w:tcW w:w="1376" w:type="pct"/>
            <w:tcBorders>
              <w:top w:val="single" w:color="auto" w:sz="4" w:space="0"/>
              <w:left w:val="single" w:color="auto" w:sz="4" w:space="0"/>
              <w:bottom w:val="single" w:color="auto" w:sz="4" w:space="0"/>
              <w:right w:val="single" w:color="auto" w:sz="4" w:space="0"/>
            </w:tcBorders>
            <w:noWrap w:val="0"/>
            <w:vAlign w:val="center"/>
          </w:tcPr>
          <w:p>
            <w:pPr>
              <w:jc w:val="center"/>
              <w:rPr>
                <w:kern w:val="0"/>
                <w:szCs w:val="21"/>
              </w:rPr>
            </w:pPr>
            <w:r>
              <w:rPr>
                <w:szCs w:val="21"/>
              </w:rPr>
              <w:t>110</w:t>
            </w:r>
          </w:p>
        </w:tc>
        <w:tc>
          <w:tcPr>
            <w:tcW w:w="812" w:type="pct"/>
            <w:tcBorders>
              <w:top w:val="single" w:color="auto" w:sz="4" w:space="0"/>
              <w:left w:val="single" w:color="auto" w:sz="4" w:space="0"/>
              <w:bottom w:val="single" w:color="auto" w:sz="4" w:space="0"/>
              <w:right w:val="single" w:color="auto" w:sz="4" w:space="0"/>
            </w:tcBorders>
            <w:noWrap w:val="0"/>
            <w:vAlign w:val="center"/>
          </w:tcPr>
          <w:p>
            <w:pPr>
              <w:jc w:val="center"/>
              <w:textAlignment w:val="center"/>
              <w:rPr>
                <w:kern w:val="0"/>
                <w:szCs w:val="21"/>
              </w:rPr>
            </w:pPr>
            <w:r>
              <w:rPr>
                <w:kern w:val="0"/>
                <w:szCs w:val="21"/>
              </w:rPr>
              <w:t>70</w:t>
            </w:r>
          </w:p>
        </w:tc>
        <w:tc>
          <w:tcPr>
            <w:tcW w:w="774" w:type="pct"/>
            <w:tcBorders>
              <w:top w:val="single" w:color="auto" w:sz="4" w:space="0"/>
              <w:left w:val="single" w:color="auto" w:sz="4" w:space="0"/>
              <w:bottom w:val="single" w:color="auto" w:sz="4" w:space="0"/>
              <w:right w:val="single" w:color="auto" w:sz="12" w:space="0"/>
            </w:tcBorders>
            <w:noWrap w:val="0"/>
            <w:vAlign w:val="center"/>
          </w:tcPr>
          <w:p>
            <w:pPr>
              <w:jc w:val="center"/>
              <w:textAlignment w:val="center"/>
              <w:rPr>
                <w:kern w:val="0"/>
                <w:szCs w:val="21"/>
              </w:rPr>
            </w:pPr>
            <w:r>
              <w:rPr>
                <w:rFonts w:hint="eastAsia" w:cs="宋体"/>
                <w:kern w:val="0"/>
                <w:szCs w:val="21"/>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1070" w:type="pct"/>
            <w:vMerge w:val="continue"/>
            <w:tcBorders>
              <w:top w:val="single" w:color="auto" w:sz="4" w:space="0"/>
              <w:left w:val="single" w:color="auto" w:sz="12" w:space="0"/>
              <w:bottom w:val="single" w:color="auto" w:sz="12" w:space="0"/>
              <w:right w:val="single" w:color="auto" w:sz="4" w:space="0"/>
            </w:tcBorders>
            <w:noWrap w:val="0"/>
            <w:vAlign w:val="center"/>
          </w:tcPr>
          <w:p>
            <w:pPr>
              <w:jc w:val="center"/>
              <w:rPr>
                <w:sz w:val="20"/>
                <w:szCs w:val="20"/>
              </w:rPr>
            </w:pPr>
          </w:p>
        </w:tc>
        <w:tc>
          <w:tcPr>
            <w:tcW w:w="966" w:type="pct"/>
            <w:tcBorders>
              <w:top w:val="single" w:color="auto" w:sz="4" w:space="0"/>
              <w:left w:val="single" w:color="auto" w:sz="4" w:space="0"/>
              <w:bottom w:val="single" w:color="auto" w:sz="4" w:space="0"/>
              <w:right w:val="single" w:color="auto" w:sz="4" w:space="0"/>
            </w:tcBorders>
            <w:noWrap w:val="0"/>
            <w:vAlign w:val="center"/>
          </w:tcPr>
          <w:p>
            <w:pPr>
              <w:jc w:val="center"/>
              <w:textAlignment w:val="center"/>
              <w:rPr>
                <w:kern w:val="0"/>
                <w:szCs w:val="21"/>
              </w:rPr>
            </w:pPr>
            <w:r>
              <w:rPr>
                <w:kern w:val="0"/>
                <w:szCs w:val="21"/>
              </w:rPr>
              <w:t>PM</w:t>
            </w:r>
            <w:r>
              <w:rPr>
                <w:kern w:val="0"/>
                <w:szCs w:val="21"/>
                <w:vertAlign w:val="subscript"/>
              </w:rPr>
              <w:t>2.5</w:t>
            </w:r>
          </w:p>
        </w:tc>
        <w:tc>
          <w:tcPr>
            <w:tcW w:w="1376" w:type="pct"/>
            <w:tcBorders>
              <w:top w:val="single" w:color="auto" w:sz="4" w:space="0"/>
              <w:left w:val="single" w:color="auto" w:sz="4" w:space="0"/>
              <w:bottom w:val="single" w:color="auto" w:sz="4" w:space="0"/>
              <w:right w:val="single" w:color="auto" w:sz="4" w:space="0"/>
            </w:tcBorders>
            <w:noWrap w:val="0"/>
            <w:vAlign w:val="center"/>
          </w:tcPr>
          <w:p>
            <w:pPr>
              <w:jc w:val="center"/>
              <w:rPr>
                <w:kern w:val="0"/>
                <w:szCs w:val="21"/>
              </w:rPr>
            </w:pPr>
            <w:r>
              <w:rPr>
                <w:szCs w:val="21"/>
              </w:rPr>
              <w:t>62</w:t>
            </w:r>
          </w:p>
        </w:tc>
        <w:tc>
          <w:tcPr>
            <w:tcW w:w="812" w:type="pct"/>
            <w:tcBorders>
              <w:top w:val="single" w:color="auto" w:sz="4" w:space="0"/>
              <w:left w:val="single" w:color="auto" w:sz="4" w:space="0"/>
              <w:bottom w:val="single" w:color="auto" w:sz="4" w:space="0"/>
              <w:right w:val="single" w:color="auto" w:sz="4" w:space="0"/>
            </w:tcBorders>
            <w:noWrap w:val="0"/>
            <w:vAlign w:val="center"/>
          </w:tcPr>
          <w:p>
            <w:pPr>
              <w:jc w:val="center"/>
              <w:textAlignment w:val="center"/>
              <w:rPr>
                <w:kern w:val="0"/>
                <w:szCs w:val="21"/>
              </w:rPr>
            </w:pPr>
            <w:r>
              <w:rPr>
                <w:kern w:val="0"/>
                <w:szCs w:val="21"/>
              </w:rPr>
              <w:t>35</w:t>
            </w:r>
          </w:p>
        </w:tc>
        <w:tc>
          <w:tcPr>
            <w:tcW w:w="774" w:type="pct"/>
            <w:tcBorders>
              <w:top w:val="single" w:color="auto" w:sz="4" w:space="0"/>
              <w:left w:val="single" w:color="auto" w:sz="4" w:space="0"/>
              <w:bottom w:val="single" w:color="auto" w:sz="4" w:space="0"/>
              <w:right w:val="single" w:color="auto" w:sz="12" w:space="0"/>
            </w:tcBorders>
            <w:noWrap w:val="0"/>
            <w:vAlign w:val="center"/>
          </w:tcPr>
          <w:p>
            <w:pPr>
              <w:jc w:val="center"/>
              <w:textAlignment w:val="center"/>
              <w:rPr>
                <w:kern w:val="0"/>
                <w:szCs w:val="21"/>
              </w:rPr>
            </w:pPr>
            <w:r>
              <w:rPr>
                <w:rFonts w:hint="eastAsia" w:cs="宋体"/>
                <w:kern w:val="0"/>
                <w:szCs w:val="21"/>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1070" w:type="pct"/>
            <w:vMerge w:val="continue"/>
            <w:tcBorders>
              <w:top w:val="single" w:color="auto" w:sz="4" w:space="0"/>
              <w:left w:val="single" w:color="auto" w:sz="12" w:space="0"/>
              <w:bottom w:val="single" w:color="auto" w:sz="12" w:space="0"/>
              <w:right w:val="single" w:color="auto" w:sz="4" w:space="0"/>
            </w:tcBorders>
            <w:noWrap w:val="0"/>
            <w:vAlign w:val="center"/>
          </w:tcPr>
          <w:p>
            <w:pPr>
              <w:jc w:val="center"/>
              <w:rPr>
                <w:sz w:val="20"/>
                <w:szCs w:val="20"/>
              </w:rPr>
            </w:pPr>
          </w:p>
        </w:tc>
        <w:tc>
          <w:tcPr>
            <w:tcW w:w="966" w:type="pct"/>
            <w:tcBorders>
              <w:top w:val="single" w:color="auto" w:sz="4" w:space="0"/>
              <w:left w:val="single" w:color="auto" w:sz="4" w:space="0"/>
              <w:bottom w:val="single" w:color="auto" w:sz="4" w:space="0"/>
              <w:right w:val="single" w:color="auto" w:sz="4" w:space="0"/>
            </w:tcBorders>
            <w:noWrap w:val="0"/>
            <w:vAlign w:val="center"/>
          </w:tcPr>
          <w:p>
            <w:pPr>
              <w:jc w:val="center"/>
              <w:textAlignment w:val="center"/>
              <w:rPr>
                <w:kern w:val="0"/>
                <w:szCs w:val="21"/>
              </w:rPr>
            </w:pPr>
            <w:r>
              <w:rPr>
                <w:kern w:val="0"/>
                <w:szCs w:val="21"/>
              </w:rPr>
              <w:t>CO</w:t>
            </w:r>
          </w:p>
        </w:tc>
        <w:tc>
          <w:tcPr>
            <w:tcW w:w="1376" w:type="pct"/>
            <w:tcBorders>
              <w:top w:val="single" w:color="auto" w:sz="4" w:space="0"/>
              <w:left w:val="single" w:color="auto" w:sz="4" w:space="0"/>
              <w:bottom w:val="single" w:color="auto" w:sz="4" w:space="0"/>
              <w:right w:val="single" w:color="auto" w:sz="4" w:space="0"/>
            </w:tcBorders>
            <w:noWrap w:val="0"/>
            <w:vAlign w:val="center"/>
          </w:tcPr>
          <w:p>
            <w:pPr>
              <w:jc w:val="center"/>
              <w:rPr>
                <w:kern w:val="0"/>
                <w:szCs w:val="21"/>
              </w:rPr>
            </w:pPr>
            <w:r>
              <w:rPr>
                <w:szCs w:val="21"/>
              </w:rPr>
              <w:t>180</w:t>
            </w:r>
          </w:p>
        </w:tc>
        <w:tc>
          <w:tcPr>
            <w:tcW w:w="812" w:type="pct"/>
            <w:tcBorders>
              <w:top w:val="single" w:color="auto" w:sz="4" w:space="0"/>
              <w:left w:val="single" w:color="auto" w:sz="4" w:space="0"/>
              <w:bottom w:val="single" w:color="auto" w:sz="4" w:space="0"/>
              <w:right w:val="single" w:color="auto" w:sz="4" w:space="0"/>
            </w:tcBorders>
            <w:noWrap w:val="0"/>
            <w:vAlign w:val="center"/>
          </w:tcPr>
          <w:p>
            <w:pPr>
              <w:jc w:val="center"/>
              <w:textAlignment w:val="center"/>
              <w:rPr>
                <w:kern w:val="0"/>
                <w:szCs w:val="21"/>
              </w:rPr>
            </w:pPr>
            <w:r>
              <w:rPr>
                <w:kern w:val="0"/>
                <w:szCs w:val="21"/>
              </w:rPr>
              <w:t>4000</w:t>
            </w:r>
          </w:p>
        </w:tc>
        <w:tc>
          <w:tcPr>
            <w:tcW w:w="774" w:type="pct"/>
            <w:tcBorders>
              <w:top w:val="single" w:color="auto" w:sz="4" w:space="0"/>
              <w:left w:val="single" w:color="auto" w:sz="4" w:space="0"/>
              <w:bottom w:val="single" w:color="auto" w:sz="4" w:space="0"/>
              <w:right w:val="single" w:color="auto" w:sz="12" w:space="0"/>
            </w:tcBorders>
            <w:noWrap w:val="0"/>
            <w:vAlign w:val="center"/>
          </w:tcPr>
          <w:p>
            <w:pPr>
              <w:jc w:val="center"/>
              <w:textAlignment w:val="center"/>
              <w:rPr>
                <w:kern w:val="0"/>
                <w:szCs w:val="21"/>
              </w:rPr>
            </w:pPr>
            <w:r>
              <w:rPr>
                <w:rFonts w:hint="eastAsia" w:cs="宋体"/>
                <w:kern w:val="0"/>
                <w:szCs w:val="21"/>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jc w:val="center"/>
        </w:trPr>
        <w:tc>
          <w:tcPr>
            <w:tcW w:w="1070" w:type="pct"/>
            <w:vMerge w:val="continue"/>
            <w:tcBorders>
              <w:top w:val="single" w:color="auto" w:sz="4" w:space="0"/>
              <w:left w:val="single" w:color="auto" w:sz="12" w:space="0"/>
              <w:bottom w:val="single" w:color="auto" w:sz="12" w:space="0"/>
              <w:right w:val="single" w:color="auto" w:sz="4" w:space="0"/>
            </w:tcBorders>
            <w:noWrap w:val="0"/>
            <w:vAlign w:val="center"/>
          </w:tcPr>
          <w:p>
            <w:pPr>
              <w:jc w:val="center"/>
              <w:rPr>
                <w:sz w:val="20"/>
                <w:szCs w:val="20"/>
              </w:rPr>
            </w:pPr>
          </w:p>
        </w:tc>
        <w:tc>
          <w:tcPr>
            <w:tcW w:w="966" w:type="pct"/>
            <w:tcBorders>
              <w:top w:val="single" w:color="auto" w:sz="4" w:space="0"/>
              <w:left w:val="single" w:color="auto" w:sz="4" w:space="0"/>
              <w:bottom w:val="single" w:color="auto" w:sz="12" w:space="0"/>
              <w:right w:val="single" w:color="auto" w:sz="4" w:space="0"/>
            </w:tcBorders>
            <w:noWrap w:val="0"/>
            <w:vAlign w:val="center"/>
          </w:tcPr>
          <w:p>
            <w:pPr>
              <w:jc w:val="center"/>
              <w:textAlignment w:val="center"/>
              <w:rPr>
                <w:kern w:val="0"/>
                <w:szCs w:val="21"/>
              </w:rPr>
            </w:pPr>
            <w:r>
              <w:rPr>
                <w:kern w:val="0"/>
                <w:szCs w:val="21"/>
              </w:rPr>
              <w:t>O</w:t>
            </w:r>
            <w:r>
              <w:rPr>
                <w:kern w:val="0"/>
                <w:szCs w:val="21"/>
                <w:vertAlign w:val="subscript"/>
              </w:rPr>
              <w:t>3</w:t>
            </w:r>
          </w:p>
        </w:tc>
        <w:tc>
          <w:tcPr>
            <w:tcW w:w="1376" w:type="pct"/>
            <w:tcBorders>
              <w:top w:val="single" w:color="auto" w:sz="4" w:space="0"/>
              <w:left w:val="single" w:color="auto" w:sz="4" w:space="0"/>
              <w:bottom w:val="single" w:color="auto" w:sz="12" w:space="0"/>
              <w:right w:val="single" w:color="auto" w:sz="4" w:space="0"/>
            </w:tcBorders>
            <w:noWrap w:val="0"/>
            <w:vAlign w:val="center"/>
          </w:tcPr>
          <w:p>
            <w:pPr>
              <w:jc w:val="center"/>
              <w:rPr>
                <w:kern w:val="0"/>
                <w:szCs w:val="21"/>
              </w:rPr>
            </w:pPr>
            <w:r>
              <w:rPr>
                <w:szCs w:val="21"/>
              </w:rPr>
              <w:t>1.6</w:t>
            </w:r>
          </w:p>
        </w:tc>
        <w:tc>
          <w:tcPr>
            <w:tcW w:w="812" w:type="pct"/>
            <w:tcBorders>
              <w:top w:val="single" w:color="auto" w:sz="4" w:space="0"/>
              <w:left w:val="single" w:color="auto" w:sz="4" w:space="0"/>
              <w:bottom w:val="single" w:color="auto" w:sz="12" w:space="0"/>
              <w:right w:val="single" w:color="auto" w:sz="4" w:space="0"/>
            </w:tcBorders>
            <w:noWrap w:val="0"/>
            <w:vAlign w:val="center"/>
          </w:tcPr>
          <w:p>
            <w:pPr>
              <w:jc w:val="center"/>
              <w:textAlignment w:val="center"/>
              <w:rPr>
                <w:kern w:val="0"/>
                <w:szCs w:val="21"/>
              </w:rPr>
            </w:pPr>
            <w:r>
              <w:rPr>
                <w:kern w:val="0"/>
                <w:szCs w:val="21"/>
              </w:rPr>
              <w:t>160</w:t>
            </w:r>
          </w:p>
        </w:tc>
        <w:tc>
          <w:tcPr>
            <w:tcW w:w="774" w:type="pct"/>
            <w:tcBorders>
              <w:top w:val="single" w:color="auto" w:sz="4" w:space="0"/>
              <w:left w:val="single" w:color="auto" w:sz="4" w:space="0"/>
              <w:bottom w:val="single" w:color="auto" w:sz="12" w:space="0"/>
              <w:right w:val="single" w:color="auto" w:sz="12" w:space="0"/>
            </w:tcBorders>
            <w:noWrap w:val="0"/>
            <w:vAlign w:val="center"/>
          </w:tcPr>
          <w:p>
            <w:pPr>
              <w:jc w:val="center"/>
              <w:textAlignment w:val="center"/>
              <w:rPr>
                <w:kern w:val="0"/>
                <w:szCs w:val="21"/>
              </w:rPr>
            </w:pPr>
            <w:r>
              <w:rPr>
                <w:rFonts w:hint="eastAsia" w:cs="宋体"/>
                <w:kern w:val="0"/>
                <w:szCs w:val="21"/>
              </w:rPr>
              <w:t>达标</w:t>
            </w:r>
          </w:p>
        </w:tc>
      </w:tr>
      <w:bookmarkEnd w:id="323"/>
    </w:tbl>
    <w:p>
      <w:pPr>
        <w:spacing w:line="520" w:lineRule="exact"/>
        <w:ind w:firstLine="480" w:firstLineChars="200"/>
        <w:rPr>
          <w:rFonts w:hint="eastAsia"/>
          <w:sz w:val="24"/>
        </w:rPr>
      </w:pPr>
      <w:r>
        <w:rPr>
          <w:rFonts w:hint="eastAsia"/>
          <w:sz w:val="24"/>
        </w:rPr>
        <w:t>由表3.3-1可知，项目所在区域基本污染物SO</w:t>
      </w:r>
      <w:r>
        <w:rPr>
          <w:rFonts w:hint="eastAsia"/>
          <w:sz w:val="24"/>
          <w:vertAlign w:val="subscript"/>
        </w:rPr>
        <w:t>2</w:t>
      </w:r>
      <w:r>
        <w:rPr>
          <w:rFonts w:hint="eastAsia"/>
          <w:sz w:val="24"/>
        </w:rPr>
        <w:t>、NO</w:t>
      </w:r>
      <w:r>
        <w:rPr>
          <w:rFonts w:hint="eastAsia"/>
          <w:sz w:val="24"/>
          <w:vertAlign w:val="subscript"/>
        </w:rPr>
        <w:t>2</w:t>
      </w:r>
      <w:r>
        <w:rPr>
          <w:rFonts w:hint="eastAsia"/>
          <w:sz w:val="24"/>
        </w:rPr>
        <w:t>、CO、O</w:t>
      </w:r>
      <w:r>
        <w:rPr>
          <w:rFonts w:hint="eastAsia"/>
          <w:sz w:val="24"/>
          <w:vertAlign w:val="subscript"/>
        </w:rPr>
        <w:t>3</w:t>
      </w:r>
      <w:r>
        <w:rPr>
          <w:rFonts w:hint="eastAsia"/>
          <w:sz w:val="24"/>
        </w:rPr>
        <w:t>2018年全年度可满足《环境空气质量标准》（GB3095-2012）中的二级标准要求，PM</w:t>
      </w:r>
      <w:r>
        <w:rPr>
          <w:rFonts w:hint="eastAsia"/>
          <w:sz w:val="24"/>
          <w:vertAlign w:val="subscript"/>
        </w:rPr>
        <w:t>10</w:t>
      </w:r>
      <w:r>
        <w:rPr>
          <w:rFonts w:hint="eastAsia"/>
          <w:sz w:val="24"/>
        </w:rPr>
        <w:t>、PM</w:t>
      </w:r>
      <w:r>
        <w:rPr>
          <w:rFonts w:hint="eastAsia"/>
          <w:sz w:val="24"/>
          <w:vertAlign w:val="subscript"/>
        </w:rPr>
        <w:t>2.5</w:t>
      </w:r>
      <w:r>
        <w:rPr>
          <w:rFonts w:hint="eastAsia"/>
          <w:sz w:val="24"/>
        </w:rPr>
        <w:t>2018年度年均值均超过《环境空气质量标准》（GB3095-2012）中的二级标准要求，由此判断项目所在区域为不达标区域。</w:t>
      </w:r>
    </w:p>
    <w:p>
      <w:pPr>
        <w:spacing w:line="520" w:lineRule="exact"/>
        <w:ind w:firstLine="482" w:firstLineChars="200"/>
        <w:rPr>
          <w:rFonts w:hint="eastAsia"/>
          <w:sz w:val="24"/>
        </w:rPr>
      </w:pPr>
      <w:r>
        <w:rPr>
          <w:b/>
          <w:sz w:val="24"/>
        </w:rPr>
        <w:t>3.3.1.2</w:t>
      </w:r>
      <w:r>
        <w:rPr>
          <w:rFonts w:hint="eastAsia"/>
          <w:b/>
          <w:sz w:val="24"/>
        </w:rPr>
        <w:t>其他污染物</w:t>
      </w:r>
      <w:r>
        <w:rPr>
          <w:b/>
          <w:sz w:val="24"/>
        </w:rPr>
        <w:t>的环境</w:t>
      </w:r>
      <w:r>
        <w:rPr>
          <w:rFonts w:hint="eastAsia"/>
          <w:b/>
          <w:sz w:val="24"/>
        </w:rPr>
        <w:t>质量</w:t>
      </w:r>
      <w:r>
        <w:rPr>
          <w:b/>
          <w:sz w:val="24"/>
        </w:rPr>
        <w:t>现状评价</w:t>
      </w:r>
    </w:p>
    <w:p>
      <w:pPr>
        <w:spacing w:line="520" w:lineRule="exact"/>
        <w:ind w:firstLine="480" w:firstLineChars="200"/>
        <w:rPr>
          <w:color w:val="FF0000"/>
          <w:sz w:val="24"/>
          <w:highlight w:val="yellow"/>
          <w:u w:val="single"/>
        </w:rPr>
      </w:pPr>
      <w:r>
        <w:rPr>
          <w:sz w:val="24"/>
        </w:rPr>
        <w:t>评价区位于</w:t>
      </w:r>
      <w:r>
        <w:rPr>
          <w:rFonts w:hint="eastAsia"/>
          <w:sz w:val="24"/>
        </w:rPr>
        <w:t>正阳县</w:t>
      </w:r>
      <w:r>
        <w:rPr>
          <w:rFonts w:hint="eastAsia"/>
          <w:sz w:val="24"/>
          <w:lang w:eastAsia="zh-CN"/>
        </w:rPr>
        <w:t>汝南埠镇</w:t>
      </w:r>
      <w:r>
        <w:rPr>
          <w:sz w:val="24"/>
        </w:rPr>
        <w:t>，</w:t>
      </w:r>
      <w:r>
        <w:rPr>
          <w:rFonts w:ascii="宋体" w:hAnsi="宋体"/>
          <w:kern w:val="0"/>
          <w:sz w:val="24"/>
        </w:rPr>
        <w:t>根据当地气象条件、评价级别及区域环境特征，</w:t>
      </w:r>
      <w:r>
        <w:rPr>
          <w:rFonts w:ascii="宋体" w:hAnsi="宋体"/>
          <w:kern w:val="0"/>
          <w:sz w:val="24"/>
          <w:highlight w:val="none"/>
        </w:rPr>
        <w:t>环境空气现状监测点位共布设</w:t>
      </w:r>
      <w:r>
        <w:rPr>
          <w:rFonts w:hint="eastAsia"/>
          <w:kern w:val="0"/>
          <w:sz w:val="24"/>
          <w:highlight w:val="none"/>
        </w:rPr>
        <w:t>2</w:t>
      </w:r>
      <w:r>
        <w:rPr>
          <w:rFonts w:ascii="宋体" w:hAnsi="宋体"/>
          <w:kern w:val="0"/>
          <w:sz w:val="24"/>
          <w:highlight w:val="none"/>
        </w:rPr>
        <w:t>个</w:t>
      </w:r>
      <w:r>
        <w:rPr>
          <w:rFonts w:hint="eastAsia" w:ascii="宋体" w:hAnsi="宋体"/>
          <w:kern w:val="0"/>
          <w:sz w:val="24"/>
          <w:highlight w:val="none"/>
        </w:rPr>
        <w:t>，</w:t>
      </w:r>
      <w:r>
        <w:rPr>
          <w:sz w:val="24"/>
          <w:highlight w:val="none"/>
        </w:rPr>
        <w:t>对该项目</w:t>
      </w:r>
      <w:r>
        <w:rPr>
          <w:rFonts w:hint="eastAsia"/>
          <w:sz w:val="24"/>
          <w:highlight w:val="none"/>
        </w:rPr>
        <w:t>区域内其他污染物进行</w:t>
      </w:r>
      <w:r>
        <w:rPr>
          <w:sz w:val="24"/>
          <w:highlight w:val="none"/>
        </w:rPr>
        <w:t>监测</w:t>
      </w:r>
      <w:r>
        <w:rPr>
          <w:rFonts w:hint="eastAsia"/>
          <w:sz w:val="24"/>
          <w:highlight w:val="none"/>
        </w:rPr>
        <w:t>。</w:t>
      </w:r>
      <w:r>
        <w:rPr>
          <w:sz w:val="24"/>
          <w:highlight w:val="none"/>
        </w:rPr>
        <w:t>建设单</w:t>
      </w:r>
      <w:r>
        <w:rPr>
          <w:color w:val="auto"/>
          <w:sz w:val="24"/>
          <w:highlight w:val="none"/>
        </w:rPr>
        <w:t>位委托</w:t>
      </w:r>
      <w:r>
        <w:rPr>
          <w:rFonts w:hint="eastAsia"/>
          <w:color w:val="auto"/>
          <w:sz w:val="24"/>
          <w:highlight w:val="none"/>
          <w:lang w:eastAsia="zh-CN"/>
        </w:rPr>
        <w:t>河南金诺源环境检测有限公司</w:t>
      </w:r>
      <w:r>
        <w:rPr>
          <w:color w:val="auto"/>
          <w:sz w:val="24"/>
          <w:highlight w:val="none"/>
        </w:rPr>
        <w:t>于</w:t>
      </w:r>
      <w:r>
        <w:rPr>
          <w:rFonts w:hint="eastAsia"/>
          <w:color w:val="auto"/>
          <w:sz w:val="24"/>
          <w:highlight w:val="none"/>
          <w:lang w:eastAsia="zh-CN"/>
        </w:rPr>
        <w:t>2021年03月8日-03月14日</w:t>
      </w:r>
      <w:r>
        <w:rPr>
          <w:color w:val="auto"/>
          <w:sz w:val="24"/>
          <w:highlight w:val="none"/>
        </w:rPr>
        <w:t>对区域空气质量现状进行了监测</w:t>
      </w:r>
      <w:r>
        <w:rPr>
          <w:rFonts w:hint="eastAsia"/>
          <w:color w:val="auto"/>
          <w:sz w:val="24"/>
          <w:highlight w:val="none"/>
        </w:rPr>
        <w:t>（</w:t>
      </w:r>
      <w:r>
        <w:rPr>
          <w:color w:val="auto"/>
          <w:sz w:val="24"/>
          <w:highlight w:val="none"/>
        </w:rPr>
        <w:t>监测点位见附图</w:t>
      </w:r>
      <w:r>
        <w:rPr>
          <w:rFonts w:hint="eastAsia"/>
          <w:color w:val="auto"/>
          <w:sz w:val="24"/>
          <w:highlight w:val="none"/>
        </w:rPr>
        <w:t>六、报告</w:t>
      </w:r>
      <w:r>
        <w:rPr>
          <w:color w:val="auto"/>
          <w:sz w:val="24"/>
          <w:highlight w:val="none"/>
        </w:rPr>
        <w:t>见附件</w:t>
      </w:r>
      <w:r>
        <w:rPr>
          <w:rFonts w:hint="eastAsia"/>
          <w:color w:val="auto"/>
          <w:sz w:val="24"/>
          <w:highlight w:val="none"/>
        </w:rPr>
        <w:t>四）</w:t>
      </w:r>
      <w:r>
        <w:rPr>
          <w:color w:val="auto"/>
          <w:sz w:val="24"/>
          <w:highlight w:val="none"/>
        </w:rPr>
        <w:t>。</w:t>
      </w:r>
    </w:p>
    <w:p>
      <w:pPr>
        <w:numPr>
          <w:ilvl w:val="0"/>
          <w:numId w:val="5"/>
        </w:numPr>
        <w:spacing w:line="520" w:lineRule="exact"/>
        <w:ind w:firstLine="480" w:firstLineChars="200"/>
        <w:jc w:val="left"/>
        <w:rPr>
          <w:rFonts w:hint="eastAsia"/>
          <w:bCs/>
          <w:sz w:val="24"/>
        </w:rPr>
      </w:pPr>
      <w:r>
        <w:rPr>
          <w:rFonts w:hint="eastAsia"/>
          <w:bCs/>
          <w:sz w:val="24"/>
        </w:rPr>
        <w:t>监测点布设</w:t>
      </w:r>
    </w:p>
    <w:p>
      <w:pPr>
        <w:spacing w:line="500" w:lineRule="exact"/>
        <w:jc w:val="center"/>
        <w:rPr>
          <w:b/>
          <w:sz w:val="24"/>
        </w:rPr>
      </w:pPr>
      <w:r>
        <w:rPr>
          <w:b/>
          <w:sz w:val="24"/>
        </w:rPr>
        <w:t>表3.3-2      环境空气现状监测点位布设一览表</w:t>
      </w:r>
    </w:p>
    <w:tbl>
      <w:tblPr>
        <w:tblStyle w:val="1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62"/>
        <w:gridCol w:w="3000"/>
        <w:gridCol w:w="1559"/>
        <w:gridCol w:w="30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blHeader/>
        </w:trPr>
        <w:tc>
          <w:tcPr>
            <w:tcW w:w="761" w:type="pct"/>
            <w:noWrap w:val="0"/>
            <w:tcMar>
              <w:top w:w="57" w:type="dxa"/>
              <w:bottom w:w="57" w:type="dxa"/>
            </w:tcMar>
            <w:vAlign w:val="center"/>
          </w:tcPr>
          <w:p>
            <w:pPr>
              <w:jc w:val="center"/>
              <w:rPr>
                <w:b/>
                <w:szCs w:val="21"/>
              </w:rPr>
            </w:pPr>
            <w:r>
              <w:rPr>
                <w:b/>
                <w:szCs w:val="21"/>
              </w:rPr>
              <w:t>编号</w:t>
            </w:r>
          </w:p>
        </w:tc>
        <w:tc>
          <w:tcPr>
            <w:tcW w:w="1676" w:type="pct"/>
            <w:noWrap w:val="0"/>
            <w:tcMar>
              <w:top w:w="57" w:type="dxa"/>
              <w:bottom w:w="57" w:type="dxa"/>
            </w:tcMar>
            <w:vAlign w:val="center"/>
          </w:tcPr>
          <w:p>
            <w:pPr>
              <w:jc w:val="center"/>
              <w:rPr>
                <w:b/>
                <w:szCs w:val="21"/>
              </w:rPr>
            </w:pPr>
            <w:r>
              <w:rPr>
                <w:b/>
                <w:szCs w:val="21"/>
              </w:rPr>
              <w:t>监测点名称</w:t>
            </w:r>
          </w:p>
        </w:tc>
        <w:tc>
          <w:tcPr>
            <w:tcW w:w="871" w:type="pct"/>
            <w:noWrap w:val="0"/>
            <w:tcMar>
              <w:top w:w="57" w:type="dxa"/>
              <w:bottom w:w="57" w:type="dxa"/>
            </w:tcMar>
            <w:vAlign w:val="center"/>
          </w:tcPr>
          <w:p>
            <w:pPr>
              <w:jc w:val="center"/>
              <w:rPr>
                <w:b/>
                <w:szCs w:val="21"/>
              </w:rPr>
            </w:pPr>
            <w:r>
              <w:rPr>
                <w:b/>
                <w:szCs w:val="21"/>
              </w:rPr>
              <w:t>方位</w:t>
            </w:r>
          </w:p>
        </w:tc>
        <w:tc>
          <w:tcPr>
            <w:tcW w:w="1690" w:type="pct"/>
            <w:noWrap w:val="0"/>
            <w:tcMar>
              <w:top w:w="57" w:type="dxa"/>
              <w:bottom w:w="57" w:type="dxa"/>
            </w:tcMar>
            <w:vAlign w:val="center"/>
          </w:tcPr>
          <w:p>
            <w:pPr>
              <w:jc w:val="center"/>
              <w:rPr>
                <w:b/>
                <w:szCs w:val="21"/>
              </w:rPr>
            </w:pPr>
            <w:r>
              <w:rPr>
                <w:b/>
                <w:szCs w:val="21"/>
              </w:rPr>
              <w:t>监测项目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761" w:type="pct"/>
            <w:noWrap w:val="0"/>
            <w:tcMar>
              <w:top w:w="57" w:type="dxa"/>
              <w:bottom w:w="57" w:type="dxa"/>
            </w:tcMar>
            <w:vAlign w:val="center"/>
          </w:tcPr>
          <w:p>
            <w:pPr>
              <w:jc w:val="center"/>
              <w:rPr>
                <w:szCs w:val="21"/>
              </w:rPr>
            </w:pPr>
            <w:r>
              <w:rPr>
                <w:szCs w:val="21"/>
              </w:rPr>
              <w:t>1#</w:t>
            </w:r>
          </w:p>
        </w:tc>
        <w:tc>
          <w:tcPr>
            <w:tcW w:w="1676" w:type="pct"/>
            <w:noWrap w:val="0"/>
            <w:tcMar>
              <w:top w:w="57" w:type="dxa"/>
              <w:bottom w:w="57" w:type="dxa"/>
            </w:tcMar>
            <w:vAlign w:val="center"/>
          </w:tcPr>
          <w:p>
            <w:pPr>
              <w:jc w:val="center"/>
              <w:rPr>
                <w:rFonts w:hint="eastAsia"/>
                <w:szCs w:val="21"/>
              </w:rPr>
            </w:pPr>
            <w:r>
              <w:rPr>
                <w:rFonts w:hint="eastAsia"/>
                <w:szCs w:val="21"/>
              </w:rPr>
              <w:t>项目区</w:t>
            </w:r>
          </w:p>
        </w:tc>
        <w:tc>
          <w:tcPr>
            <w:tcW w:w="871" w:type="pct"/>
            <w:noWrap w:val="0"/>
            <w:tcMar>
              <w:top w:w="57" w:type="dxa"/>
              <w:bottom w:w="57" w:type="dxa"/>
            </w:tcMar>
            <w:vAlign w:val="center"/>
          </w:tcPr>
          <w:p>
            <w:pPr>
              <w:jc w:val="center"/>
              <w:rPr>
                <w:rFonts w:hint="eastAsia"/>
                <w:szCs w:val="21"/>
              </w:rPr>
            </w:pPr>
            <w:r>
              <w:rPr>
                <w:rFonts w:hint="eastAsia"/>
                <w:szCs w:val="21"/>
              </w:rPr>
              <w:t>/</w:t>
            </w:r>
          </w:p>
        </w:tc>
        <w:tc>
          <w:tcPr>
            <w:tcW w:w="1690" w:type="pct"/>
            <w:vMerge w:val="restart"/>
            <w:noWrap w:val="0"/>
            <w:tcMar>
              <w:top w:w="57" w:type="dxa"/>
              <w:bottom w:w="57" w:type="dxa"/>
            </w:tcMar>
            <w:vAlign w:val="center"/>
          </w:tcPr>
          <w:p>
            <w:pPr>
              <w:jc w:val="center"/>
              <w:rPr>
                <w:szCs w:val="21"/>
              </w:rPr>
            </w:pPr>
            <w:r>
              <w:rPr>
                <w:szCs w:val="21"/>
              </w:rPr>
              <w:t>NH</w:t>
            </w:r>
            <w:r>
              <w:rPr>
                <w:szCs w:val="21"/>
                <w:vertAlign w:val="subscript"/>
              </w:rPr>
              <w:t>3</w:t>
            </w:r>
            <w:r>
              <w:rPr>
                <w:szCs w:val="21"/>
              </w:rPr>
              <w:t>、H</w:t>
            </w:r>
            <w:r>
              <w:rPr>
                <w:szCs w:val="21"/>
                <w:vertAlign w:val="subscript"/>
              </w:rPr>
              <w:t>2</w:t>
            </w:r>
            <w:r>
              <w:rPr>
                <w:szCs w:val="21"/>
              </w:rPr>
              <w:t>S</w:t>
            </w:r>
            <w:r>
              <w:rPr>
                <w:rFonts w:hint="eastAsia"/>
                <w:szCs w:val="21"/>
              </w:rPr>
              <w:t>、臭气浓度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61" w:type="pct"/>
            <w:noWrap w:val="0"/>
            <w:tcMar>
              <w:top w:w="57" w:type="dxa"/>
              <w:bottom w:w="57" w:type="dxa"/>
            </w:tcMar>
            <w:vAlign w:val="center"/>
          </w:tcPr>
          <w:p>
            <w:pPr>
              <w:jc w:val="center"/>
              <w:rPr>
                <w:szCs w:val="21"/>
              </w:rPr>
            </w:pPr>
            <w:r>
              <w:rPr>
                <w:rFonts w:hint="eastAsia"/>
                <w:szCs w:val="21"/>
              </w:rPr>
              <w:t>2</w:t>
            </w:r>
            <w:r>
              <w:rPr>
                <w:szCs w:val="21"/>
              </w:rPr>
              <w:t>#</w:t>
            </w:r>
          </w:p>
        </w:tc>
        <w:tc>
          <w:tcPr>
            <w:tcW w:w="1676" w:type="pct"/>
            <w:noWrap w:val="0"/>
            <w:tcMar>
              <w:top w:w="57" w:type="dxa"/>
              <w:bottom w:w="57" w:type="dxa"/>
            </w:tcMar>
            <w:vAlign w:val="center"/>
          </w:tcPr>
          <w:p>
            <w:pPr>
              <w:adjustRightInd w:val="0"/>
              <w:snapToGrid w:val="0"/>
              <w:jc w:val="center"/>
              <w:textAlignment w:val="center"/>
              <w:rPr>
                <w:kern w:val="0"/>
                <w:szCs w:val="21"/>
              </w:rPr>
            </w:pPr>
            <w:r>
              <w:rPr>
                <w:rFonts w:hint="eastAsia"/>
                <w:lang w:val="en-US" w:eastAsia="zh-CN"/>
              </w:rPr>
              <w:t>大邢庄</w:t>
            </w:r>
          </w:p>
        </w:tc>
        <w:tc>
          <w:tcPr>
            <w:tcW w:w="871" w:type="pct"/>
            <w:noWrap w:val="0"/>
            <w:tcMar>
              <w:top w:w="57" w:type="dxa"/>
              <w:bottom w:w="57" w:type="dxa"/>
            </w:tcMar>
            <w:vAlign w:val="center"/>
          </w:tcPr>
          <w:p>
            <w:pPr>
              <w:widowControl/>
              <w:jc w:val="center"/>
              <w:rPr>
                <w:rFonts w:hint="eastAsia"/>
                <w:kern w:val="0"/>
                <w:szCs w:val="21"/>
              </w:rPr>
            </w:pPr>
            <w:r>
              <w:rPr>
                <w:rFonts w:hint="eastAsia"/>
                <w:kern w:val="0"/>
                <w:szCs w:val="21"/>
              </w:rPr>
              <w:t>北</w:t>
            </w:r>
          </w:p>
        </w:tc>
        <w:tc>
          <w:tcPr>
            <w:tcW w:w="1690" w:type="pct"/>
            <w:vMerge w:val="continue"/>
            <w:noWrap w:val="0"/>
            <w:tcMar>
              <w:top w:w="57" w:type="dxa"/>
              <w:bottom w:w="57" w:type="dxa"/>
            </w:tcMar>
            <w:vAlign w:val="center"/>
          </w:tcPr>
          <w:p>
            <w:pPr>
              <w:jc w:val="center"/>
              <w:rPr>
                <w:bCs/>
                <w:szCs w:val="21"/>
              </w:rPr>
            </w:pPr>
          </w:p>
        </w:tc>
      </w:tr>
    </w:tbl>
    <w:p>
      <w:pPr>
        <w:spacing w:line="500" w:lineRule="exact"/>
        <w:ind w:firstLine="480" w:firstLineChars="200"/>
        <w:rPr>
          <w:sz w:val="24"/>
        </w:rPr>
      </w:pPr>
      <w:bookmarkStart w:id="324" w:name="_Toc406662997"/>
      <w:bookmarkStart w:id="325" w:name="_Toc413829630"/>
      <w:r>
        <w:rPr>
          <w:rFonts w:hint="eastAsia" w:cs="宋体"/>
          <w:sz w:val="24"/>
          <w:lang w:bidi="ar"/>
        </w:rPr>
        <w:t>（</w:t>
      </w:r>
      <w:r>
        <w:rPr>
          <w:sz w:val="24"/>
          <w:lang w:bidi="ar"/>
        </w:rPr>
        <w:t>2</w:t>
      </w:r>
      <w:r>
        <w:rPr>
          <w:rFonts w:hint="eastAsia" w:cs="宋体"/>
          <w:sz w:val="24"/>
          <w:lang w:bidi="ar"/>
        </w:rPr>
        <w:t>）监测因子及监测分析方法</w:t>
      </w:r>
      <w:bookmarkEnd w:id="324"/>
      <w:bookmarkEnd w:id="325"/>
    </w:p>
    <w:p>
      <w:pPr>
        <w:widowControl/>
        <w:snapToGrid w:val="0"/>
        <w:spacing w:line="500" w:lineRule="exact"/>
        <w:ind w:firstLine="480" w:firstLineChars="200"/>
        <w:rPr>
          <w:sz w:val="24"/>
          <w:szCs w:val="28"/>
        </w:rPr>
      </w:pPr>
      <w:r>
        <w:rPr>
          <w:rFonts w:hint="eastAsia" w:cs="宋体"/>
          <w:sz w:val="24"/>
          <w:szCs w:val="28"/>
          <w:lang w:bidi="ar"/>
        </w:rPr>
        <w:t>根据本项目废气污染物产生情况，确定本次环境空气质量现状监测因子为</w:t>
      </w:r>
      <w:r>
        <w:rPr>
          <w:sz w:val="24"/>
          <w:lang w:bidi="ar"/>
        </w:rPr>
        <w:t>H</w:t>
      </w:r>
      <w:r>
        <w:rPr>
          <w:sz w:val="24"/>
          <w:vertAlign w:val="subscript"/>
          <w:lang w:bidi="ar"/>
        </w:rPr>
        <w:t>2</w:t>
      </w:r>
      <w:r>
        <w:rPr>
          <w:sz w:val="24"/>
          <w:lang w:bidi="ar"/>
        </w:rPr>
        <w:t>S</w:t>
      </w:r>
      <w:r>
        <w:rPr>
          <w:rFonts w:hint="eastAsia" w:cs="宋体"/>
          <w:sz w:val="24"/>
          <w:lang w:bidi="ar"/>
        </w:rPr>
        <w:t>、</w:t>
      </w:r>
      <w:r>
        <w:rPr>
          <w:sz w:val="24"/>
          <w:lang w:bidi="ar"/>
        </w:rPr>
        <w:t>NH</w:t>
      </w:r>
      <w:r>
        <w:rPr>
          <w:sz w:val="24"/>
          <w:vertAlign w:val="subscript"/>
          <w:lang w:bidi="ar"/>
        </w:rPr>
        <w:t>3</w:t>
      </w:r>
      <w:r>
        <w:rPr>
          <w:rFonts w:hint="eastAsia" w:cs="宋体"/>
          <w:sz w:val="24"/>
          <w:lang w:bidi="ar"/>
        </w:rPr>
        <w:t>同步监测风速、风向、气温、气压、总云、低云及天气状况</w:t>
      </w:r>
      <w:r>
        <w:rPr>
          <w:rFonts w:hint="eastAsia" w:cs="宋体"/>
          <w:sz w:val="24"/>
          <w:szCs w:val="28"/>
          <w:lang w:bidi="ar"/>
        </w:rPr>
        <w:t>。监测方法见表</w:t>
      </w:r>
      <w:r>
        <w:rPr>
          <w:sz w:val="24"/>
          <w:szCs w:val="28"/>
          <w:lang w:bidi="ar"/>
        </w:rPr>
        <w:t>3.3-3</w:t>
      </w:r>
      <w:r>
        <w:rPr>
          <w:rFonts w:hint="eastAsia" w:cs="宋体"/>
          <w:sz w:val="24"/>
          <w:szCs w:val="28"/>
          <w:lang w:bidi="ar"/>
        </w:rPr>
        <w:t>。</w:t>
      </w:r>
    </w:p>
    <w:p>
      <w:pPr>
        <w:spacing w:line="500" w:lineRule="exact"/>
        <w:jc w:val="center"/>
        <w:rPr>
          <w:rFonts w:hint="eastAsia" w:cs="宋体"/>
          <w:b/>
          <w:sz w:val="24"/>
          <w:lang w:bidi="ar"/>
        </w:rPr>
      </w:pPr>
      <w:r>
        <w:rPr>
          <w:rFonts w:hint="eastAsia" w:cs="宋体"/>
          <w:b/>
          <w:sz w:val="24"/>
          <w:lang w:bidi="ar"/>
        </w:rPr>
        <w:t>表</w:t>
      </w:r>
      <w:r>
        <w:rPr>
          <w:b/>
          <w:sz w:val="24"/>
          <w:lang w:bidi="ar"/>
        </w:rPr>
        <w:t xml:space="preserve">3.3-3   </w:t>
      </w:r>
      <w:r>
        <w:rPr>
          <w:rFonts w:hint="eastAsia" w:cs="宋体"/>
          <w:b/>
          <w:sz w:val="24"/>
          <w:lang w:bidi="ar"/>
        </w:rPr>
        <w:t>环境空气检测分析方法及使用仪器</w:t>
      </w:r>
    </w:p>
    <w:tbl>
      <w:tblPr>
        <w:tblStyle w:val="1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4416"/>
        <w:gridCol w:w="2319"/>
        <w:gridCol w:w="15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pct"/>
            <w:noWrap w:val="0"/>
            <w:vAlign w:val="center"/>
          </w:tcPr>
          <w:p>
            <w:pPr>
              <w:jc w:val="center"/>
            </w:pPr>
            <w:r>
              <w:rPr>
                <w:rFonts w:hint="eastAsia"/>
              </w:rPr>
              <w:t>检测项目</w:t>
            </w:r>
          </w:p>
        </w:tc>
        <w:tc>
          <w:tcPr>
            <w:tcW w:w="2507" w:type="pct"/>
            <w:noWrap w:val="0"/>
            <w:vAlign w:val="center"/>
          </w:tcPr>
          <w:p>
            <w:pPr>
              <w:jc w:val="center"/>
            </w:pPr>
            <w:r>
              <w:rPr>
                <w:rFonts w:hint="eastAsia"/>
              </w:rPr>
              <w:t>检测方法</w:t>
            </w:r>
          </w:p>
        </w:tc>
        <w:tc>
          <w:tcPr>
            <w:tcW w:w="1336" w:type="pct"/>
            <w:noWrap w:val="0"/>
            <w:vAlign w:val="center"/>
          </w:tcPr>
          <w:p>
            <w:pPr>
              <w:jc w:val="center"/>
            </w:pPr>
            <w:r>
              <w:rPr>
                <w:rFonts w:hint="eastAsia"/>
              </w:rPr>
              <w:t>使用仪器</w:t>
            </w:r>
          </w:p>
        </w:tc>
        <w:tc>
          <w:tcPr>
            <w:tcW w:w="717" w:type="pct"/>
            <w:noWrap w:val="0"/>
            <w:vAlign w:val="center"/>
          </w:tcPr>
          <w:p>
            <w:pPr>
              <w:jc w:val="center"/>
            </w:pPr>
            <w:r>
              <w:rPr>
                <w:rFonts w:hint="eastAsia"/>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38" w:type="pct"/>
            <w:noWrap w:val="0"/>
            <w:vAlign w:val="center"/>
          </w:tcPr>
          <w:p>
            <w:pPr>
              <w:jc w:val="center"/>
              <w:rPr>
                <w:rFonts w:hint="eastAsia"/>
              </w:rPr>
            </w:pPr>
            <w:r>
              <w:t>H</w:t>
            </w:r>
            <w:r>
              <w:rPr>
                <w:vertAlign w:val="subscript"/>
              </w:rPr>
              <w:t>2</w:t>
            </w:r>
            <w:r>
              <w:t>S</w:t>
            </w:r>
          </w:p>
        </w:tc>
        <w:tc>
          <w:tcPr>
            <w:tcW w:w="2507" w:type="pct"/>
            <w:noWrap w:val="0"/>
            <w:vAlign w:val="center"/>
          </w:tcPr>
          <w:p>
            <w:pPr>
              <w:jc w:val="center"/>
              <w:rPr>
                <w:rFonts w:hint="eastAsia"/>
              </w:rPr>
            </w:pPr>
            <w:r>
              <w:rPr>
                <w:rFonts w:hint="eastAsia"/>
              </w:rPr>
              <w:t>环境空气</w:t>
            </w:r>
            <w:r>
              <w:t xml:space="preserve"> </w:t>
            </w:r>
            <w:r>
              <w:rPr>
                <w:rFonts w:hint="eastAsia"/>
              </w:rPr>
              <w:t>硫化氢</w:t>
            </w:r>
            <w:r>
              <w:t xml:space="preserve"> </w:t>
            </w:r>
            <w:r>
              <w:rPr>
                <w:rFonts w:hint="eastAsia"/>
              </w:rPr>
              <w:t>亚甲基蓝分光光度法</w:t>
            </w:r>
            <w:r>
              <w:t xml:space="preserve">  </w:t>
            </w:r>
            <w:r>
              <w:rPr>
                <w:rFonts w:hint="eastAsia"/>
              </w:rPr>
              <w:t>《空气和废气检测分析方法》</w:t>
            </w:r>
            <w:r>
              <w:t>(</w:t>
            </w:r>
            <w:r>
              <w:rPr>
                <w:rFonts w:hint="eastAsia"/>
              </w:rPr>
              <w:t>第四版增补版</w:t>
            </w:r>
            <w:r>
              <w:t xml:space="preserve">) </w:t>
            </w:r>
            <w:r>
              <w:rPr>
                <w:rFonts w:hint="eastAsia"/>
              </w:rPr>
              <w:t>国家环境保护总局</w:t>
            </w:r>
            <w:r>
              <w:t>(2003</w:t>
            </w:r>
            <w:r>
              <w:rPr>
                <w:rFonts w:hint="eastAsia"/>
              </w:rPr>
              <w:t>年</w:t>
            </w:r>
            <w:r>
              <w:t>)</w:t>
            </w:r>
            <w:r>
              <w:rPr>
                <w:rFonts w:hint="eastAsia"/>
              </w:rPr>
              <w:t>第三篇第一章十一</w:t>
            </w:r>
            <w:r>
              <w:t xml:space="preserve"> </w:t>
            </w:r>
            <w:r>
              <w:rPr>
                <w:rFonts w:hint="eastAsia"/>
              </w:rPr>
              <w:t>（二）</w:t>
            </w:r>
          </w:p>
        </w:tc>
        <w:tc>
          <w:tcPr>
            <w:tcW w:w="1336" w:type="pct"/>
            <w:noWrap w:val="0"/>
            <w:vAlign w:val="center"/>
          </w:tcPr>
          <w:p>
            <w:pPr>
              <w:jc w:val="center"/>
            </w:pPr>
            <w:r>
              <w:rPr>
                <w:rFonts w:hint="eastAsia"/>
              </w:rPr>
              <w:t>综合气体采样器</w:t>
            </w:r>
            <w:r>
              <w:t>/2050</w:t>
            </w:r>
          </w:p>
          <w:p>
            <w:pPr>
              <w:jc w:val="center"/>
              <w:rPr>
                <w:rFonts w:hint="eastAsia"/>
              </w:rPr>
            </w:pPr>
            <w:r>
              <w:rPr>
                <w:rFonts w:hint="eastAsia"/>
              </w:rPr>
              <w:t>分光光度计</w:t>
            </w:r>
            <w:r>
              <w:t>/T6</w:t>
            </w:r>
            <w:r>
              <w:rPr>
                <w:rFonts w:hint="eastAsia"/>
              </w:rPr>
              <w:t>新悦</w:t>
            </w:r>
          </w:p>
        </w:tc>
        <w:tc>
          <w:tcPr>
            <w:tcW w:w="717" w:type="pct"/>
            <w:noWrap w:val="0"/>
            <w:vAlign w:val="center"/>
          </w:tcPr>
          <w:p>
            <w:pPr>
              <w:jc w:val="center"/>
              <w:rPr>
                <w:rFonts w:hint="eastAsia"/>
              </w:rPr>
            </w:pPr>
            <w:r>
              <w:rPr>
                <w:rFonts w:hint="eastAsia"/>
                <w:lang w:eastAsia="zh-CN"/>
              </w:rPr>
              <w:t>0.00089</w:t>
            </w:r>
            <w:r>
              <w:t>mg/m</w:t>
            </w:r>
            <w:r>
              <w:rPr>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8" w:type="pct"/>
            <w:noWrap w:val="0"/>
            <w:vAlign w:val="center"/>
          </w:tcPr>
          <w:p>
            <w:pPr>
              <w:jc w:val="center"/>
              <w:rPr>
                <w:rFonts w:hint="eastAsia"/>
              </w:rPr>
            </w:pPr>
            <w:r>
              <w:t>NH</w:t>
            </w:r>
            <w:r>
              <w:rPr>
                <w:vertAlign w:val="subscript"/>
              </w:rPr>
              <w:t>3</w:t>
            </w:r>
          </w:p>
        </w:tc>
        <w:tc>
          <w:tcPr>
            <w:tcW w:w="2507" w:type="pct"/>
            <w:noWrap w:val="0"/>
            <w:vAlign w:val="center"/>
          </w:tcPr>
          <w:p>
            <w:pPr>
              <w:jc w:val="center"/>
              <w:rPr>
                <w:rFonts w:hint="eastAsia"/>
              </w:rPr>
            </w:pPr>
            <w:r>
              <w:rPr>
                <w:rFonts w:hint="eastAsia"/>
              </w:rPr>
              <w:t>环境空气和废气</w:t>
            </w:r>
            <w:r>
              <w:t xml:space="preserve"> </w:t>
            </w:r>
            <w:r>
              <w:rPr>
                <w:rFonts w:hint="eastAsia"/>
              </w:rPr>
              <w:t>氨的测定</w:t>
            </w:r>
            <w:r>
              <w:t xml:space="preserve"> </w:t>
            </w:r>
            <w:r>
              <w:rPr>
                <w:rFonts w:hint="eastAsia"/>
              </w:rPr>
              <w:t>纳氏试剂分光光度法</w:t>
            </w:r>
            <w:r>
              <w:t xml:space="preserve">  HJ 533-2009</w:t>
            </w:r>
          </w:p>
        </w:tc>
        <w:tc>
          <w:tcPr>
            <w:tcW w:w="1336" w:type="pct"/>
            <w:noWrap w:val="0"/>
            <w:vAlign w:val="center"/>
          </w:tcPr>
          <w:p>
            <w:pPr>
              <w:jc w:val="center"/>
            </w:pPr>
            <w:r>
              <w:rPr>
                <w:rFonts w:hint="eastAsia"/>
              </w:rPr>
              <w:t>综合气体采样器</w:t>
            </w:r>
            <w:r>
              <w:t>/2050</w:t>
            </w:r>
          </w:p>
          <w:p>
            <w:pPr>
              <w:jc w:val="center"/>
              <w:rPr>
                <w:rFonts w:hint="eastAsia"/>
              </w:rPr>
            </w:pPr>
            <w:r>
              <w:rPr>
                <w:rFonts w:hint="eastAsia"/>
              </w:rPr>
              <w:t>分光光度计</w:t>
            </w:r>
            <w:r>
              <w:t>/T6</w:t>
            </w:r>
            <w:r>
              <w:rPr>
                <w:rFonts w:hint="eastAsia"/>
              </w:rPr>
              <w:t>新悦</w:t>
            </w:r>
          </w:p>
        </w:tc>
        <w:tc>
          <w:tcPr>
            <w:tcW w:w="717" w:type="pct"/>
            <w:noWrap w:val="0"/>
            <w:vAlign w:val="center"/>
          </w:tcPr>
          <w:p>
            <w:pPr>
              <w:jc w:val="center"/>
              <w:rPr>
                <w:rFonts w:hint="eastAsia"/>
              </w:rPr>
            </w:pPr>
            <w:r>
              <w:t>0.01mg/m</w:t>
            </w:r>
            <w:r>
              <w:rPr>
                <w:vertAlign w:val="superscript"/>
              </w:rPr>
              <w:t>3</w:t>
            </w:r>
          </w:p>
        </w:tc>
      </w:tr>
    </w:tbl>
    <w:p>
      <w:pPr>
        <w:spacing w:line="500" w:lineRule="exact"/>
        <w:ind w:firstLine="480" w:firstLineChars="200"/>
        <w:rPr>
          <w:sz w:val="24"/>
        </w:rPr>
      </w:pPr>
      <w:r>
        <w:rPr>
          <w:rFonts w:hint="eastAsia" w:cs="宋体"/>
          <w:sz w:val="24"/>
          <w:lang w:bidi="ar"/>
        </w:rPr>
        <w:t>（</w:t>
      </w:r>
      <w:r>
        <w:rPr>
          <w:sz w:val="24"/>
          <w:lang w:bidi="ar"/>
        </w:rPr>
        <w:t>3</w:t>
      </w:r>
      <w:r>
        <w:rPr>
          <w:rFonts w:hint="eastAsia" w:cs="宋体"/>
          <w:sz w:val="24"/>
          <w:lang w:bidi="ar"/>
        </w:rPr>
        <w:t>）监测时间及监测频率</w:t>
      </w:r>
    </w:p>
    <w:p>
      <w:pPr>
        <w:adjustRightInd w:val="0"/>
        <w:snapToGrid w:val="0"/>
        <w:spacing w:line="500" w:lineRule="exact"/>
        <w:ind w:firstLine="480" w:firstLineChars="200"/>
        <w:rPr>
          <w:rFonts w:hint="eastAsia" w:cs="宋体"/>
          <w:sz w:val="24"/>
          <w:szCs w:val="28"/>
          <w:lang w:bidi="ar"/>
        </w:rPr>
      </w:pPr>
      <w:r>
        <w:rPr>
          <w:rFonts w:hint="eastAsia" w:cs="宋体"/>
          <w:sz w:val="24"/>
          <w:lang w:eastAsia="zh-CN" w:bidi="ar"/>
        </w:rPr>
        <w:t>河南金诺源环境检测有限公司</w:t>
      </w:r>
      <w:r>
        <w:rPr>
          <w:rFonts w:hint="eastAsia" w:cs="宋体"/>
          <w:sz w:val="24"/>
          <w:lang w:bidi="ar"/>
        </w:rPr>
        <w:t>于</w:t>
      </w:r>
      <w:r>
        <w:rPr>
          <w:rFonts w:hint="eastAsia" w:cs="宋体"/>
          <w:sz w:val="24"/>
          <w:lang w:eastAsia="zh-CN" w:bidi="ar"/>
        </w:rPr>
        <w:t>2021年03月8日-03月14日</w:t>
      </w:r>
      <w:r>
        <w:rPr>
          <w:rFonts w:hint="eastAsia" w:cs="宋体"/>
          <w:sz w:val="24"/>
          <w:lang w:bidi="ar"/>
        </w:rPr>
        <w:t>对区域空气质量现状进行了监测</w:t>
      </w:r>
      <w:r>
        <w:rPr>
          <w:rFonts w:hint="eastAsia" w:cs="宋体"/>
          <w:sz w:val="24"/>
          <w:szCs w:val="28"/>
          <w:lang w:bidi="ar"/>
        </w:rPr>
        <w:t>，具体监测频率见表</w:t>
      </w:r>
      <w:r>
        <w:rPr>
          <w:sz w:val="24"/>
          <w:szCs w:val="28"/>
          <w:lang w:bidi="ar"/>
        </w:rPr>
        <w:t>3.3-4</w:t>
      </w:r>
      <w:r>
        <w:rPr>
          <w:rFonts w:hint="eastAsia" w:cs="宋体"/>
          <w:sz w:val="24"/>
          <w:szCs w:val="28"/>
          <w:lang w:bidi="ar"/>
        </w:rPr>
        <w:t>。</w:t>
      </w:r>
    </w:p>
    <w:p>
      <w:pPr>
        <w:spacing w:line="500" w:lineRule="exact"/>
        <w:jc w:val="center"/>
        <w:rPr>
          <w:b/>
          <w:sz w:val="24"/>
        </w:rPr>
      </w:pPr>
      <w:r>
        <w:rPr>
          <w:rFonts w:hint="eastAsia" w:cs="宋体"/>
          <w:b/>
          <w:sz w:val="24"/>
          <w:lang w:bidi="ar"/>
        </w:rPr>
        <w:t>表</w:t>
      </w:r>
      <w:r>
        <w:rPr>
          <w:b/>
          <w:sz w:val="24"/>
          <w:lang w:bidi="ar"/>
        </w:rPr>
        <w:t xml:space="preserve">3.3-4     </w:t>
      </w:r>
      <w:r>
        <w:rPr>
          <w:rFonts w:hint="eastAsia" w:cs="宋体"/>
          <w:b/>
          <w:sz w:val="24"/>
          <w:lang w:bidi="ar"/>
        </w:rPr>
        <w:t>环境空气监测频率一览表</w:t>
      </w:r>
    </w:p>
    <w:tbl>
      <w:tblPr>
        <w:tblStyle w:val="1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28" w:type="dxa"/>
          <w:left w:w="108" w:type="dxa"/>
          <w:bottom w:w="28" w:type="dxa"/>
          <w:right w:w="108" w:type="dxa"/>
        </w:tblCellMar>
      </w:tblPr>
      <w:tblGrid>
        <w:gridCol w:w="790"/>
        <w:gridCol w:w="1018"/>
        <w:gridCol w:w="5801"/>
        <w:gridCol w:w="13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28" w:hRule="atLeast"/>
          <w:jc w:val="center"/>
        </w:trPr>
        <w:tc>
          <w:tcPr>
            <w:tcW w:w="44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szCs w:val="21"/>
              </w:rPr>
            </w:pPr>
            <w:r>
              <w:rPr>
                <w:rFonts w:hint="eastAsia" w:cs="宋体"/>
                <w:szCs w:val="21"/>
                <w:lang w:bidi="ar"/>
              </w:rPr>
              <w:t>检测项目</w:t>
            </w:r>
          </w:p>
        </w:tc>
        <w:tc>
          <w:tcPr>
            <w:tcW w:w="569"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szCs w:val="21"/>
              </w:rPr>
            </w:pPr>
            <w:r>
              <w:rPr>
                <w:rFonts w:hint="eastAsia" w:cs="宋体"/>
                <w:szCs w:val="21"/>
                <w:lang w:bidi="ar"/>
              </w:rPr>
              <w:t>取值时间</w:t>
            </w:r>
          </w:p>
        </w:tc>
        <w:tc>
          <w:tcPr>
            <w:tcW w:w="324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szCs w:val="21"/>
              </w:rPr>
            </w:pPr>
            <w:r>
              <w:rPr>
                <w:rFonts w:hint="eastAsia" w:cs="宋体"/>
                <w:szCs w:val="21"/>
                <w:lang w:bidi="ar"/>
              </w:rPr>
              <w:t>检测频率</w:t>
            </w:r>
          </w:p>
        </w:tc>
        <w:tc>
          <w:tcPr>
            <w:tcW w:w="745"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szCs w:val="21"/>
              </w:rPr>
            </w:pPr>
            <w:r>
              <w:rPr>
                <w:rFonts w:hint="eastAsia" w:cs="宋体"/>
                <w:szCs w:val="21"/>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29" w:hRule="atLeast"/>
          <w:jc w:val="center"/>
        </w:trPr>
        <w:tc>
          <w:tcPr>
            <w:tcW w:w="44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szCs w:val="21"/>
              </w:rPr>
            </w:pPr>
            <w:r>
              <w:rPr>
                <w:szCs w:val="21"/>
                <w:lang w:bidi="ar"/>
              </w:rPr>
              <w:t>H</w:t>
            </w:r>
            <w:r>
              <w:rPr>
                <w:szCs w:val="21"/>
                <w:vertAlign w:val="subscript"/>
                <w:lang w:bidi="ar"/>
              </w:rPr>
              <w:t>2</w:t>
            </w:r>
            <w:r>
              <w:rPr>
                <w:szCs w:val="21"/>
                <w:lang w:bidi="ar"/>
              </w:rPr>
              <w:t>S</w:t>
            </w:r>
          </w:p>
        </w:tc>
        <w:tc>
          <w:tcPr>
            <w:tcW w:w="569"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szCs w:val="21"/>
              </w:rPr>
            </w:pPr>
            <w:r>
              <w:rPr>
                <w:szCs w:val="21"/>
                <w:lang w:bidi="ar"/>
              </w:rPr>
              <w:t>1</w:t>
            </w:r>
            <w:r>
              <w:rPr>
                <w:rFonts w:hint="eastAsia" w:cs="宋体"/>
                <w:szCs w:val="21"/>
                <w:lang w:bidi="ar"/>
              </w:rPr>
              <w:t>小时平均</w:t>
            </w:r>
          </w:p>
        </w:tc>
        <w:tc>
          <w:tcPr>
            <w:tcW w:w="324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szCs w:val="21"/>
              </w:rPr>
            </w:pPr>
            <w:r>
              <w:rPr>
                <w:rFonts w:hint="eastAsia" w:cs="宋体"/>
                <w:szCs w:val="21"/>
                <w:lang w:bidi="ar"/>
              </w:rPr>
              <w:t>连续检测</w:t>
            </w:r>
            <w:r>
              <w:rPr>
                <w:szCs w:val="21"/>
                <w:lang w:bidi="ar"/>
              </w:rPr>
              <w:t>7</w:t>
            </w:r>
            <w:r>
              <w:rPr>
                <w:rFonts w:hint="eastAsia" w:cs="宋体"/>
                <w:szCs w:val="21"/>
                <w:lang w:bidi="ar"/>
              </w:rPr>
              <w:t>天，每日检测</w:t>
            </w:r>
            <w:r>
              <w:rPr>
                <w:rFonts w:hint="eastAsia"/>
                <w:szCs w:val="21"/>
                <w:lang w:bidi="ar"/>
              </w:rPr>
              <w:t>1</w:t>
            </w:r>
            <w:r>
              <w:rPr>
                <w:rFonts w:hint="eastAsia" w:cs="宋体"/>
                <w:szCs w:val="21"/>
                <w:lang w:bidi="ar"/>
              </w:rPr>
              <w:t>次，</w:t>
            </w:r>
            <w:r>
              <w:rPr>
                <w:szCs w:val="21"/>
                <w:lang w:bidi="ar"/>
              </w:rPr>
              <w:t>08</w:t>
            </w:r>
            <w:r>
              <w:rPr>
                <w:rFonts w:hint="eastAsia" w:cs="宋体"/>
                <w:szCs w:val="21"/>
                <w:lang w:bidi="ar"/>
              </w:rPr>
              <w:t>时检测一次，每小时至少有</w:t>
            </w:r>
            <w:r>
              <w:rPr>
                <w:szCs w:val="21"/>
                <w:lang w:bidi="ar"/>
              </w:rPr>
              <w:t>45min</w:t>
            </w:r>
            <w:r>
              <w:rPr>
                <w:rFonts w:hint="eastAsia" w:cs="宋体"/>
                <w:szCs w:val="21"/>
                <w:lang w:bidi="ar"/>
              </w:rPr>
              <w:t>的采样时间</w:t>
            </w:r>
          </w:p>
        </w:tc>
        <w:tc>
          <w:tcPr>
            <w:tcW w:w="745" w:type="pct"/>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szCs w:val="21"/>
              </w:rPr>
            </w:pPr>
            <w:r>
              <w:rPr>
                <w:szCs w:val="21"/>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108" w:type="dxa"/>
            <w:bottom w:w="28" w:type="dxa"/>
            <w:right w:w="108" w:type="dxa"/>
          </w:tblCellMar>
        </w:tblPrEx>
        <w:trPr>
          <w:trHeight w:val="129" w:hRule="atLeast"/>
          <w:jc w:val="center"/>
        </w:trPr>
        <w:tc>
          <w:tcPr>
            <w:tcW w:w="44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szCs w:val="21"/>
              </w:rPr>
            </w:pPr>
            <w:r>
              <w:rPr>
                <w:szCs w:val="21"/>
                <w:lang w:bidi="ar"/>
              </w:rPr>
              <w:t>NH</w:t>
            </w:r>
            <w:r>
              <w:rPr>
                <w:szCs w:val="21"/>
                <w:vertAlign w:val="subscript"/>
                <w:lang w:bidi="ar"/>
              </w:rPr>
              <w:t>3</w:t>
            </w:r>
          </w:p>
        </w:tc>
        <w:tc>
          <w:tcPr>
            <w:tcW w:w="569"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szCs w:val="21"/>
              </w:rPr>
            </w:pPr>
            <w:r>
              <w:rPr>
                <w:szCs w:val="21"/>
                <w:lang w:bidi="ar"/>
              </w:rPr>
              <w:t>1</w:t>
            </w:r>
            <w:r>
              <w:rPr>
                <w:rFonts w:hint="eastAsia" w:cs="宋体"/>
                <w:szCs w:val="21"/>
                <w:lang w:bidi="ar"/>
              </w:rPr>
              <w:t>小时平均</w:t>
            </w:r>
          </w:p>
        </w:tc>
        <w:tc>
          <w:tcPr>
            <w:tcW w:w="3242"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line="240" w:lineRule="exact"/>
              <w:jc w:val="center"/>
              <w:rPr>
                <w:szCs w:val="21"/>
              </w:rPr>
            </w:pPr>
            <w:r>
              <w:rPr>
                <w:rFonts w:hint="eastAsia" w:cs="宋体"/>
                <w:szCs w:val="21"/>
                <w:lang w:bidi="ar"/>
              </w:rPr>
              <w:t>连续检测</w:t>
            </w:r>
            <w:r>
              <w:rPr>
                <w:szCs w:val="21"/>
                <w:lang w:bidi="ar"/>
              </w:rPr>
              <w:t>7</w:t>
            </w:r>
            <w:r>
              <w:rPr>
                <w:rFonts w:hint="eastAsia" w:cs="宋体"/>
                <w:szCs w:val="21"/>
                <w:lang w:bidi="ar"/>
              </w:rPr>
              <w:t>天，每日检测</w:t>
            </w:r>
            <w:r>
              <w:rPr>
                <w:rFonts w:hint="eastAsia"/>
                <w:szCs w:val="21"/>
                <w:lang w:bidi="ar"/>
              </w:rPr>
              <w:t>1</w:t>
            </w:r>
            <w:r>
              <w:rPr>
                <w:rFonts w:hint="eastAsia" w:cs="宋体"/>
                <w:szCs w:val="21"/>
                <w:lang w:bidi="ar"/>
              </w:rPr>
              <w:t>次，</w:t>
            </w:r>
            <w:r>
              <w:rPr>
                <w:szCs w:val="21"/>
                <w:lang w:bidi="ar"/>
              </w:rPr>
              <w:t>08</w:t>
            </w:r>
            <w:r>
              <w:rPr>
                <w:rFonts w:hint="eastAsia" w:cs="宋体"/>
                <w:szCs w:val="21"/>
                <w:lang w:bidi="ar"/>
              </w:rPr>
              <w:t>时检测一次，每小时至少有</w:t>
            </w:r>
            <w:r>
              <w:rPr>
                <w:szCs w:val="21"/>
                <w:lang w:bidi="ar"/>
              </w:rPr>
              <w:t>45min</w:t>
            </w:r>
            <w:r>
              <w:rPr>
                <w:rFonts w:hint="eastAsia" w:cs="宋体"/>
                <w:szCs w:val="21"/>
                <w:lang w:bidi="ar"/>
              </w:rPr>
              <w:t>的采样时间</w:t>
            </w:r>
          </w:p>
        </w:tc>
        <w:tc>
          <w:tcPr>
            <w:tcW w:w="745" w:type="pct"/>
            <w:vMerge w:val="continue"/>
            <w:tcBorders>
              <w:top w:val="single" w:color="auto" w:sz="4" w:space="0"/>
              <w:left w:val="single" w:color="auto" w:sz="4" w:space="0"/>
              <w:bottom w:val="single" w:color="auto" w:sz="4" w:space="0"/>
              <w:right w:val="single" w:color="auto" w:sz="4" w:space="0"/>
            </w:tcBorders>
            <w:noWrap w:val="0"/>
            <w:vAlign w:val="center"/>
          </w:tcPr>
          <w:p>
            <w:pPr>
              <w:rPr>
                <w:sz w:val="20"/>
                <w:szCs w:val="20"/>
              </w:rPr>
            </w:pPr>
          </w:p>
        </w:tc>
      </w:tr>
    </w:tbl>
    <w:p>
      <w:pPr>
        <w:spacing w:line="500" w:lineRule="exact"/>
        <w:ind w:firstLine="480" w:firstLineChars="200"/>
        <w:rPr>
          <w:sz w:val="24"/>
        </w:rPr>
      </w:pPr>
      <w:bookmarkStart w:id="326" w:name="_Toc413829632"/>
      <w:bookmarkStart w:id="327" w:name="_Toc406662999"/>
      <w:r>
        <w:rPr>
          <w:rFonts w:hint="eastAsia" w:cs="宋体"/>
          <w:sz w:val="24"/>
          <w:lang w:bidi="ar"/>
        </w:rPr>
        <w:t>（</w:t>
      </w:r>
      <w:r>
        <w:rPr>
          <w:sz w:val="24"/>
          <w:lang w:bidi="ar"/>
        </w:rPr>
        <w:t>4</w:t>
      </w:r>
      <w:r>
        <w:rPr>
          <w:rFonts w:hint="eastAsia" w:cs="宋体"/>
          <w:sz w:val="24"/>
          <w:lang w:bidi="ar"/>
        </w:rPr>
        <w:t>）评价因子和评价方法</w:t>
      </w:r>
      <w:bookmarkEnd w:id="326"/>
      <w:bookmarkEnd w:id="327"/>
    </w:p>
    <w:p>
      <w:pPr>
        <w:spacing w:line="500" w:lineRule="exact"/>
        <w:ind w:firstLine="480" w:firstLineChars="200"/>
        <w:rPr>
          <w:sz w:val="24"/>
        </w:rPr>
      </w:pPr>
      <w:r>
        <w:rPr>
          <w:rFonts w:hint="eastAsia" w:cs="宋体"/>
          <w:sz w:val="24"/>
          <w:lang w:bidi="ar"/>
        </w:rPr>
        <w:t>评价因子采用单因子污染指数法进行评价。具体公式为：</w:t>
      </w:r>
    </w:p>
    <w:p>
      <w:pPr>
        <w:spacing w:line="520" w:lineRule="exact"/>
        <w:ind w:firstLine="570"/>
        <w:jc w:val="center"/>
        <w:rPr>
          <w:sz w:val="24"/>
        </w:rPr>
      </w:pPr>
      <w:r>
        <w:rPr>
          <w:sz w:val="24"/>
          <w:lang w:bidi="ar"/>
        </w:rPr>
        <w:t>Pi = Ci / Coi</w:t>
      </w:r>
    </w:p>
    <w:p>
      <w:pPr>
        <w:spacing w:line="520" w:lineRule="exact"/>
        <w:ind w:firstLine="480" w:firstLineChars="200"/>
        <w:rPr>
          <w:sz w:val="24"/>
        </w:rPr>
      </w:pPr>
      <w:r>
        <w:rPr>
          <w:rFonts w:hint="eastAsia" w:cs="宋体"/>
          <w:sz w:val="24"/>
          <w:lang w:bidi="ar"/>
        </w:rPr>
        <w:t>式中：</w:t>
      </w:r>
      <w:r>
        <w:rPr>
          <w:sz w:val="24"/>
          <w:lang w:bidi="ar"/>
        </w:rPr>
        <w:t>Pi—i</w:t>
      </w:r>
      <w:r>
        <w:rPr>
          <w:rFonts w:hint="eastAsia" w:cs="宋体"/>
          <w:sz w:val="24"/>
          <w:lang w:bidi="ar"/>
        </w:rPr>
        <w:t>种污染物的污染指数，无量纲；</w:t>
      </w:r>
    </w:p>
    <w:p>
      <w:pPr>
        <w:spacing w:line="520" w:lineRule="exact"/>
        <w:ind w:firstLine="480" w:firstLineChars="200"/>
        <w:rPr>
          <w:sz w:val="24"/>
        </w:rPr>
      </w:pPr>
      <w:r>
        <w:rPr>
          <w:sz w:val="24"/>
          <w:lang w:bidi="ar"/>
        </w:rPr>
        <w:t xml:space="preserve">          Ci—i</w:t>
      </w:r>
      <w:r>
        <w:rPr>
          <w:rFonts w:hint="eastAsia" w:cs="宋体"/>
          <w:sz w:val="24"/>
          <w:lang w:bidi="ar"/>
        </w:rPr>
        <w:t>种污染物的实测浓度，</w:t>
      </w:r>
      <w:r>
        <w:rPr>
          <w:sz w:val="24"/>
          <w:lang w:bidi="ar"/>
        </w:rPr>
        <w:t>mg/m</w:t>
      </w:r>
      <w:r>
        <w:rPr>
          <w:sz w:val="24"/>
          <w:vertAlign w:val="superscript"/>
          <w:lang w:bidi="ar"/>
        </w:rPr>
        <w:t>3</w:t>
      </w:r>
      <w:r>
        <w:rPr>
          <w:rFonts w:hint="eastAsia" w:cs="宋体"/>
          <w:sz w:val="24"/>
          <w:lang w:bidi="ar"/>
        </w:rPr>
        <w:t>；</w:t>
      </w:r>
    </w:p>
    <w:p>
      <w:pPr>
        <w:spacing w:line="520" w:lineRule="exact"/>
        <w:ind w:firstLine="480" w:firstLineChars="200"/>
        <w:rPr>
          <w:sz w:val="24"/>
        </w:rPr>
      </w:pPr>
      <w:r>
        <w:rPr>
          <w:sz w:val="24"/>
          <w:lang w:bidi="ar"/>
        </w:rPr>
        <w:t xml:space="preserve">          Coi—i</w:t>
      </w:r>
      <w:r>
        <w:rPr>
          <w:rFonts w:hint="eastAsia" w:cs="宋体"/>
          <w:sz w:val="24"/>
          <w:lang w:bidi="ar"/>
        </w:rPr>
        <w:t>种污染物的评价标准值，</w:t>
      </w:r>
      <w:r>
        <w:rPr>
          <w:sz w:val="24"/>
          <w:lang w:bidi="ar"/>
        </w:rPr>
        <w:t>mg/m</w:t>
      </w:r>
      <w:r>
        <w:rPr>
          <w:sz w:val="24"/>
          <w:vertAlign w:val="superscript"/>
          <w:lang w:bidi="ar"/>
        </w:rPr>
        <w:t>3</w:t>
      </w:r>
      <w:r>
        <w:rPr>
          <w:rFonts w:hint="eastAsia" w:cs="宋体"/>
          <w:sz w:val="24"/>
          <w:lang w:bidi="ar"/>
        </w:rPr>
        <w:t>。</w:t>
      </w:r>
    </w:p>
    <w:p>
      <w:pPr>
        <w:spacing w:line="520" w:lineRule="exact"/>
        <w:ind w:firstLine="480" w:firstLineChars="200"/>
        <w:rPr>
          <w:sz w:val="24"/>
        </w:rPr>
      </w:pPr>
      <w:bookmarkStart w:id="328" w:name="_Toc406663000"/>
      <w:bookmarkStart w:id="329" w:name="_Toc413829633"/>
      <w:r>
        <w:rPr>
          <w:rFonts w:hint="eastAsia" w:cs="宋体"/>
          <w:sz w:val="24"/>
          <w:lang w:bidi="ar"/>
        </w:rPr>
        <w:t>（</w:t>
      </w:r>
      <w:r>
        <w:rPr>
          <w:sz w:val="24"/>
          <w:lang w:bidi="ar"/>
        </w:rPr>
        <w:t>5</w:t>
      </w:r>
      <w:r>
        <w:rPr>
          <w:rFonts w:hint="eastAsia" w:cs="宋体"/>
          <w:sz w:val="24"/>
          <w:lang w:bidi="ar"/>
        </w:rPr>
        <w:t>）评价标准</w:t>
      </w:r>
      <w:bookmarkEnd w:id="328"/>
      <w:bookmarkEnd w:id="329"/>
    </w:p>
    <w:p>
      <w:pPr>
        <w:spacing w:line="520" w:lineRule="exact"/>
        <w:ind w:firstLine="480" w:firstLineChars="200"/>
        <w:rPr>
          <w:sz w:val="24"/>
        </w:rPr>
      </w:pPr>
      <w:r>
        <w:rPr>
          <w:rFonts w:hint="eastAsia" w:cs="宋体"/>
          <w:sz w:val="24"/>
          <w:lang w:bidi="ar"/>
        </w:rPr>
        <w:t>根据《环境影响评价技术导则</w:t>
      </w:r>
      <w:r>
        <w:rPr>
          <w:sz w:val="24"/>
          <w:lang w:bidi="ar"/>
        </w:rPr>
        <w:t xml:space="preserve"> </w:t>
      </w:r>
      <w:r>
        <w:rPr>
          <w:rFonts w:hint="eastAsia" w:cs="宋体"/>
          <w:sz w:val="24"/>
          <w:lang w:bidi="ar"/>
        </w:rPr>
        <w:t>大气环境（</w:t>
      </w:r>
      <w:r>
        <w:rPr>
          <w:sz w:val="24"/>
          <w:lang w:bidi="ar"/>
        </w:rPr>
        <w:t>HJ2.2-2018</w:t>
      </w:r>
      <w:r>
        <w:rPr>
          <w:rFonts w:hint="eastAsia" w:cs="宋体"/>
          <w:sz w:val="24"/>
          <w:lang w:bidi="ar"/>
        </w:rPr>
        <w:t>）》中附录</w:t>
      </w:r>
      <w:r>
        <w:rPr>
          <w:sz w:val="24"/>
          <w:lang w:bidi="ar"/>
        </w:rPr>
        <w:t>D</w:t>
      </w:r>
      <w:r>
        <w:rPr>
          <w:rFonts w:hint="eastAsia" w:cs="宋体"/>
          <w:sz w:val="24"/>
          <w:lang w:bidi="ar"/>
        </w:rPr>
        <w:t>的最高允许浓度限值，评价执行标准具体见表</w:t>
      </w:r>
      <w:r>
        <w:rPr>
          <w:sz w:val="24"/>
          <w:lang w:bidi="ar"/>
        </w:rPr>
        <w:t>3.3-5</w:t>
      </w:r>
      <w:r>
        <w:rPr>
          <w:rFonts w:hint="eastAsia" w:cs="宋体"/>
          <w:sz w:val="24"/>
          <w:lang w:bidi="ar"/>
        </w:rPr>
        <w:t>。</w:t>
      </w:r>
    </w:p>
    <w:p>
      <w:pPr>
        <w:spacing w:line="500" w:lineRule="exact"/>
        <w:jc w:val="center"/>
        <w:rPr>
          <w:b/>
          <w:sz w:val="24"/>
        </w:rPr>
      </w:pPr>
      <w:r>
        <w:rPr>
          <w:rFonts w:hint="eastAsia" w:cs="宋体"/>
          <w:b/>
          <w:sz w:val="24"/>
          <w:lang w:bidi="ar"/>
        </w:rPr>
        <w:t>表</w:t>
      </w:r>
      <w:r>
        <w:rPr>
          <w:b/>
          <w:sz w:val="24"/>
          <w:lang w:bidi="ar"/>
        </w:rPr>
        <w:t xml:space="preserve">3.3-5    </w:t>
      </w:r>
      <w:r>
        <w:rPr>
          <w:rFonts w:hint="eastAsia" w:cs="宋体"/>
          <w:b/>
          <w:sz w:val="24"/>
          <w:lang w:bidi="ar"/>
        </w:rPr>
        <w:t>环境空气质量标准</w:t>
      </w:r>
    </w:p>
    <w:tbl>
      <w:tblPr>
        <w:tblStyle w:val="17"/>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984"/>
        <w:gridCol w:w="1950"/>
        <w:gridCol w:w="1700"/>
        <w:gridCol w:w="33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109" w:type="pct"/>
            <w:tcBorders>
              <w:top w:val="single" w:color="auto" w:sz="12" w:space="0"/>
              <w:left w:val="single" w:color="auto" w:sz="12" w:space="0"/>
              <w:bottom w:val="single" w:color="auto" w:sz="4" w:space="0"/>
              <w:right w:val="single" w:color="auto" w:sz="4" w:space="0"/>
            </w:tcBorders>
            <w:noWrap/>
            <w:vAlign w:val="center"/>
          </w:tcPr>
          <w:p>
            <w:pPr>
              <w:adjustRightInd w:val="0"/>
              <w:snapToGrid w:val="0"/>
              <w:jc w:val="center"/>
              <w:rPr>
                <w:b/>
                <w:szCs w:val="21"/>
              </w:rPr>
            </w:pPr>
            <w:r>
              <w:rPr>
                <w:rFonts w:hint="eastAsia" w:cs="宋体"/>
                <w:b/>
                <w:szCs w:val="21"/>
              </w:rPr>
              <w:t>污染物名称</w:t>
            </w:r>
          </w:p>
        </w:tc>
        <w:tc>
          <w:tcPr>
            <w:tcW w:w="1090" w:type="pct"/>
            <w:tcBorders>
              <w:top w:val="single" w:color="auto" w:sz="12" w:space="0"/>
              <w:left w:val="single" w:color="auto" w:sz="4" w:space="0"/>
              <w:bottom w:val="single" w:color="auto" w:sz="4" w:space="0"/>
              <w:right w:val="single" w:color="auto" w:sz="4" w:space="0"/>
            </w:tcBorders>
            <w:noWrap/>
            <w:vAlign w:val="center"/>
          </w:tcPr>
          <w:p>
            <w:pPr>
              <w:adjustRightInd w:val="0"/>
              <w:snapToGrid w:val="0"/>
              <w:jc w:val="center"/>
              <w:rPr>
                <w:b/>
                <w:szCs w:val="21"/>
              </w:rPr>
            </w:pPr>
            <w:r>
              <w:rPr>
                <w:rFonts w:hint="eastAsia" w:cs="宋体"/>
                <w:b/>
                <w:szCs w:val="21"/>
              </w:rPr>
              <w:t>取值时间</w:t>
            </w:r>
          </w:p>
        </w:tc>
        <w:tc>
          <w:tcPr>
            <w:tcW w:w="950" w:type="pct"/>
            <w:tcBorders>
              <w:top w:val="single" w:color="auto" w:sz="12" w:space="0"/>
              <w:left w:val="single" w:color="auto" w:sz="4" w:space="0"/>
              <w:bottom w:val="single" w:color="auto" w:sz="4" w:space="0"/>
              <w:right w:val="single" w:color="auto" w:sz="4" w:space="0"/>
            </w:tcBorders>
            <w:noWrap/>
            <w:vAlign w:val="center"/>
          </w:tcPr>
          <w:p>
            <w:pPr>
              <w:adjustRightInd w:val="0"/>
              <w:snapToGrid w:val="0"/>
              <w:jc w:val="center"/>
              <w:rPr>
                <w:b/>
                <w:szCs w:val="21"/>
              </w:rPr>
            </w:pPr>
            <w:r>
              <w:rPr>
                <w:rFonts w:hint="eastAsia" w:cs="宋体"/>
                <w:b/>
                <w:szCs w:val="21"/>
              </w:rPr>
              <w:t>单位</w:t>
            </w:r>
          </w:p>
        </w:tc>
        <w:tc>
          <w:tcPr>
            <w:tcW w:w="1849" w:type="pct"/>
            <w:tcBorders>
              <w:top w:val="single" w:color="auto" w:sz="12" w:space="0"/>
              <w:left w:val="single" w:color="auto" w:sz="4" w:space="0"/>
              <w:bottom w:val="single" w:color="auto" w:sz="4" w:space="0"/>
              <w:right w:val="single" w:color="auto" w:sz="12" w:space="0"/>
            </w:tcBorders>
            <w:noWrap/>
            <w:vAlign w:val="center"/>
          </w:tcPr>
          <w:p>
            <w:pPr>
              <w:adjustRightInd w:val="0"/>
              <w:snapToGrid w:val="0"/>
              <w:jc w:val="center"/>
              <w:rPr>
                <w:b/>
                <w:szCs w:val="21"/>
              </w:rPr>
            </w:pPr>
            <w:r>
              <w:rPr>
                <w:rFonts w:hint="eastAsia" w:cs="宋体"/>
                <w:b/>
                <w:szCs w:val="21"/>
              </w:rPr>
              <w:t>浓度限值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1109" w:type="pct"/>
            <w:tcBorders>
              <w:top w:val="single" w:color="auto" w:sz="4" w:space="0"/>
              <w:left w:val="single" w:color="auto" w:sz="12" w:space="0"/>
              <w:bottom w:val="single" w:color="auto" w:sz="4" w:space="0"/>
              <w:right w:val="single" w:color="auto" w:sz="4" w:space="0"/>
            </w:tcBorders>
            <w:noWrap/>
            <w:vAlign w:val="center"/>
          </w:tcPr>
          <w:p>
            <w:pPr>
              <w:adjustRightInd w:val="0"/>
              <w:snapToGrid w:val="0"/>
              <w:jc w:val="center"/>
              <w:rPr>
                <w:szCs w:val="21"/>
              </w:rPr>
            </w:pPr>
            <w:r>
              <w:rPr>
                <w:szCs w:val="21"/>
              </w:rPr>
              <w:t>H</w:t>
            </w:r>
            <w:r>
              <w:rPr>
                <w:szCs w:val="21"/>
                <w:vertAlign w:val="subscript"/>
              </w:rPr>
              <w:t>2</w:t>
            </w:r>
            <w:r>
              <w:rPr>
                <w:szCs w:val="21"/>
              </w:rPr>
              <w:t>S</w:t>
            </w:r>
          </w:p>
        </w:tc>
        <w:tc>
          <w:tcPr>
            <w:tcW w:w="1090"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szCs w:val="21"/>
              </w:rPr>
            </w:pPr>
            <w:r>
              <w:rPr>
                <w:rFonts w:hint="eastAsia" w:cs="宋体"/>
                <w:szCs w:val="21"/>
              </w:rPr>
              <w:t>一次值</w:t>
            </w:r>
          </w:p>
        </w:tc>
        <w:tc>
          <w:tcPr>
            <w:tcW w:w="950" w:type="pct"/>
            <w:tcBorders>
              <w:top w:val="single" w:color="auto" w:sz="4" w:space="0"/>
              <w:left w:val="single" w:color="auto" w:sz="4" w:space="0"/>
              <w:bottom w:val="single" w:color="auto" w:sz="4" w:space="0"/>
              <w:right w:val="single" w:color="auto" w:sz="4" w:space="0"/>
            </w:tcBorders>
            <w:noWrap/>
            <w:vAlign w:val="center"/>
          </w:tcPr>
          <w:p>
            <w:pPr>
              <w:adjustRightInd w:val="0"/>
              <w:snapToGrid w:val="0"/>
              <w:jc w:val="center"/>
              <w:rPr>
                <w:szCs w:val="21"/>
              </w:rPr>
            </w:pPr>
            <w:r>
              <w:rPr>
                <w:szCs w:val="21"/>
              </w:rPr>
              <w:t>mg/m</w:t>
            </w:r>
            <w:r>
              <w:rPr>
                <w:szCs w:val="21"/>
                <w:vertAlign w:val="superscript"/>
              </w:rPr>
              <w:t>3</w:t>
            </w:r>
          </w:p>
        </w:tc>
        <w:tc>
          <w:tcPr>
            <w:tcW w:w="1849" w:type="pct"/>
            <w:tcBorders>
              <w:top w:val="single" w:color="auto" w:sz="4" w:space="0"/>
              <w:left w:val="single" w:color="auto" w:sz="4" w:space="0"/>
              <w:bottom w:val="single" w:color="auto" w:sz="4" w:space="0"/>
              <w:right w:val="single" w:color="auto" w:sz="12" w:space="0"/>
            </w:tcBorders>
            <w:noWrap/>
            <w:vAlign w:val="center"/>
          </w:tcPr>
          <w:p>
            <w:pPr>
              <w:adjustRightInd w:val="0"/>
              <w:snapToGrid w:val="0"/>
              <w:jc w:val="center"/>
              <w:rPr>
                <w:szCs w:val="21"/>
              </w:rPr>
            </w:pPr>
            <w:r>
              <w:rPr>
                <w:szCs w:val="21"/>
              </w:rPr>
              <w:t>0.01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1109" w:type="pct"/>
            <w:tcBorders>
              <w:top w:val="single" w:color="auto" w:sz="4" w:space="0"/>
              <w:left w:val="single" w:color="auto" w:sz="12" w:space="0"/>
              <w:bottom w:val="single" w:color="auto" w:sz="12" w:space="0"/>
              <w:right w:val="single" w:color="auto" w:sz="4" w:space="0"/>
            </w:tcBorders>
            <w:noWrap/>
            <w:vAlign w:val="center"/>
          </w:tcPr>
          <w:p>
            <w:pPr>
              <w:adjustRightInd w:val="0"/>
              <w:snapToGrid w:val="0"/>
              <w:jc w:val="center"/>
              <w:rPr>
                <w:szCs w:val="21"/>
              </w:rPr>
            </w:pPr>
            <w:r>
              <w:rPr>
                <w:szCs w:val="21"/>
              </w:rPr>
              <w:t>NH</w:t>
            </w:r>
            <w:r>
              <w:rPr>
                <w:szCs w:val="21"/>
                <w:vertAlign w:val="subscript"/>
              </w:rPr>
              <w:t>3</w:t>
            </w:r>
          </w:p>
        </w:tc>
        <w:tc>
          <w:tcPr>
            <w:tcW w:w="1090" w:type="pct"/>
            <w:tcBorders>
              <w:top w:val="single" w:color="auto" w:sz="4" w:space="0"/>
              <w:left w:val="single" w:color="auto" w:sz="4" w:space="0"/>
              <w:bottom w:val="single" w:color="auto" w:sz="12" w:space="0"/>
              <w:right w:val="single" w:color="auto" w:sz="4" w:space="0"/>
            </w:tcBorders>
            <w:noWrap/>
            <w:vAlign w:val="center"/>
          </w:tcPr>
          <w:p>
            <w:pPr>
              <w:adjustRightInd w:val="0"/>
              <w:snapToGrid w:val="0"/>
              <w:jc w:val="center"/>
              <w:rPr>
                <w:szCs w:val="21"/>
              </w:rPr>
            </w:pPr>
            <w:r>
              <w:rPr>
                <w:rFonts w:hint="eastAsia" w:cs="宋体"/>
                <w:szCs w:val="21"/>
              </w:rPr>
              <w:t>一次值</w:t>
            </w:r>
          </w:p>
        </w:tc>
        <w:tc>
          <w:tcPr>
            <w:tcW w:w="950" w:type="pct"/>
            <w:tcBorders>
              <w:top w:val="single" w:color="auto" w:sz="4" w:space="0"/>
              <w:left w:val="single" w:color="auto" w:sz="4" w:space="0"/>
              <w:bottom w:val="single" w:color="auto" w:sz="12" w:space="0"/>
              <w:right w:val="single" w:color="auto" w:sz="4" w:space="0"/>
            </w:tcBorders>
            <w:noWrap/>
            <w:vAlign w:val="center"/>
          </w:tcPr>
          <w:p>
            <w:pPr>
              <w:jc w:val="center"/>
              <w:rPr>
                <w:szCs w:val="21"/>
              </w:rPr>
            </w:pPr>
            <w:r>
              <w:rPr>
                <w:szCs w:val="21"/>
              </w:rPr>
              <w:t>mg/m</w:t>
            </w:r>
            <w:r>
              <w:rPr>
                <w:szCs w:val="21"/>
                <w:vertAlign w:val="superscript"/>
              </w:rPr>
              <w:t>3</w:t>
            </w:r>
          </w:p>
        </w:tc>
        <w:tc>
          <w:tcPr>
            <w:tcW w:w="1849" w:type="pct"/>
            <w:tcBorders>
              <w:top w:val="single" w:color="auto" w:sz="4" w:space="0"/>
              <w:left w:val="single" w:color="auto" w:sz="4" w:space="0"/>
              <w:bottom w:val="single" w:color="auto" w:sz="12" w:space="0"/>
              <w:right w:val="single" w:color="auto" w:sz="12" w:space="0"/>
            </w:tcBorders>
            <w:noWrap/>
            <w:vAlign w:val="center"/>
          </w:tcPr>
          <w:p>
            <w:pPr>
              <w:adjustRightInd w:val="0"/>
              <w:snapToGrid w:val="0"/>
              <w:jc w:val="center"/>
              <w:rPr>
                <w:szCs w:val="21"/>
              </w:rPr>
            </w:pPr>
            <w:r>
              <w:rPr>
                <w:szCs w:val="21"/>
              </w:rPr>
              <w:t>0.20</w:t>
            </w:r>
          </w:p>
        </w:tc>
      </w:tr>
    </w:tbl>
    <w:p>
      <w:pPr>
        <w:spacing w:line="500" w:lineRule="exact"/>
        <w:ind w:firstLine="480" w:firstLineChars="200"/>
        <w:rPr>
          <w:sz w:val="24"/>
        </w:rPr>
      </w:pPr>
      <w:r>
        <w:rPr>
          <w:rFonts w:hint="eastAsia" w:cs="宋体"/>
          <w:sz w:val="24"/>
          <w:lang w:bidi="ar"/>
        </w:rPr>
        <w:t>（</w:t>
      </w:r>
      <w:r>
        <w:rPr>
          <w:sz w:val="24"/>
          <w:lang w:bidi="ar"/>
        </w:rPr>
        <w:t>6</w:t>
      </w:r>
      <w:r>
        <w:rPr>
          <w:rFonts w:hint="eastAsia" w:cs="宋体"/>
          <w:sz w:val="24"/>
          <w:lang w:bidi="ar"/>
        </w:rPr>
        <w:t>）监测结果与分析</w:t>
      </w:r>
    </w:p>
    <w:p>
      <w:pPr>
        <w:spacing w:line="520" w:lineRule="exact"/>
        <w:ind w:firstLine="480" w:firstLineChars="200"/>
        <w:rPr>
          <w:sz w:val="24"/>
        </w:rPr>
      </w:pPr>
      <w:r>
        <w:rPr>
          <w:rFonts w:hint="eastAsia" w:cs="宋体"/>
          <w:sz w:val="24"/>
          <w:lang w:bidi="ar"/>
        </w:rPr>
        <w:t>本评价环境空气质量监测统计结果列于表</w:t>
      </w:r>
      <w:r>
        <w:rPr>
          <w:sz w:val="24"/>
          <w:lang w:bidi="ar"/>
        </w:rPr>
        <w:t>3.3-6</w:t>
      </w:r>
      <w:r>
        <w:rPr>
          <w:rFonts w:hint="eastAsia" w:cs="宋体"/>
          <w:sz w:val="24"/>
          <w:lang w:bidi="ar"/>
        </w:rPr>
        <w:t>。</w:t>
      </w:r>
    </w:p>
    <w:p>
      <w:pPr>
        <w:topLinePunct/>
        <w:spacing w:before="120" w:beforeLines="50"/>
        <w:jc w:val="center"/>
        <w:rPr>
          <w:szCs w:val="21"/>
        </w:rPr>
      </w:pPr>
      <w:r>
        <w:rPr>
          <w:rFonts w:hint="eastAsia" w:cs="宋体"/>
          <w:spacing w:val="-8"/>
          <w:sz w:val="24"/>
          <w:lang w:bidi="ar"/>
        </w:rPr>
        <w:t>表</w:t>
      </w:r>
      <w:r>
        <w:rPr>
          <w:spacing w:val="-8"/>
          <w:sz w:val="24"/>
          <w:lang w:bidi="ar"/>
        </w:rPr>
        <w:t xml:space="preserve">3.3-6     </w:t>
      </w:r>
      <w:r>
        <w:rPr>
          <w:rFonts w:hint="eastAsia" w:cs="宋体"/>
          <w:szCs w:val="21"/>
          <w:lang w:bidi="ar"/>
        </w:rPr>
        <w:t>环境空气质量现状评价结果</w:t>
      </w:r>
    </w:p>
    <w:tbl>
      <w:tblPr>
        <w:tblStyle w:val="1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43"/>
        <w:gridCol w:w="989"/>
        <w:gridCol w:w="1573"/>
        <w:gridCol w:w="1573"/>
        <w:gridCol w:w="686"/>
        <w:gridCol w:w="529"/>
        <w:gridCol w:w="1156"/>
        <w:gridCol w:w="20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tblHeader/>
        </w:trPr>
        <w:tc>
          <w:tcPr>
            <w:tcW w:w="843" w:type="dxa"/>
            <w:tcBorders>
              <w:top w:val="single" w:color="auto" w:sz="12" w:space="0"/>
              <w:left w:val="single" w:color="auto" w:sz="12" w:space="0"/>
              <w:bottom w:val="single" w:color="auto" w:sz="4" w:space="0"/>
              <w:right w:val="single" w:color="auto" w:sz="4" w:space="0"/>
            </w:tcBorders>
            <w:noWrap/>
            <w:vAlign w:val="center"/>
          </w:tcPr>
          <w:p>
            <w:pPr>
              <w:spacing w:line="260" w:lineRule="atLeast"/>
              <w:jc w:val="center"/>
              <w:rPr>
                <w:szCs w:val="21"/>
              </w:rPr>
            </w:pPr>
            <w:r>
              <w:rPr>
                <w:rFonts w:hint="eastAsia" w:cs="宋体"/>
                <w:szCs w:val="21"/>
                <w:lang w:bidi="ar"/>
              </w:rPr>
              <w:t>监测点位</w:t>
            </w:r>
          </w:p>
        </w:tc>
        <w:tc>
          <w:tcPr>
            <w:tcW w:w="989" w:type="dxa"/>
            <w:tcBorders>
              <w:top w:val="single" w:color="auto" w:sz="12" w:space="0"/>
              <w:left w:val="single" w:color="auto" w:sz="4" w:space="0"/>
              <w:bottom w:val="single" w:color="auto" w:sz="4" w:space="0"/>
              <w:right w:val="single" w:color="auto" w:sz="4" w:space="0"/>
            </w:tcBorders>
            <w:noWrap/>
            <w:vAlign w:val="center"/>
          </w:tcPr>
          <w:p>
            <w:pPr>
              <w:spacing w:line="260" w:lineRule="atLeast"/>
              <w:jc w:val="center"/>
              <w:rPr>
                <w:szCs w:val="21"/>
              </w:rPr>
            </w:pPr>
            <w:r>
              <w:rPr>
                <w:rFonts w:hint="eastAsia" w:cs="宋体"/>
                <w:szCs w:val="21"/>
                <w:lang w:bidi="ar"/>
              </w:rPr>
              <w:t>监测项目</w:t>
            </w:r>
          </w:p>
        </w:tc>
        <w:tc>
          <w:tcPr>
            <w:tcW w:w="1573" w:type="dxa"/>
            <w:tcBorders>
              <w:top w:val="single" w:color="auto" w:sz="12" w:space="0"/>
              <w:left w:val="single" w:color="auto" w:sz="4" w:space="0"/>
              <w:bottom w:val="single" w:color="auto" w:sz="4" w:space="0"/>
              <w:right w:val="single" w:color="auto" w:sz="4" w:space="0"/>
            </w:tcBorders>
            <w:noWrap/>
            <w:vAlign w:val="center"/>
          </w:tcPr>
          <w:p>
            <w:pPr>
              <w:spacing w:line="260" w:lineRule="atLeast"/>
              <w:jc w:val="center"/>
              <w:rPr>
                <w:szCs w:val="21"/>
              </w:rPr>
            </w:pPr>
            <w:r>
              <w:rPr>
                <w:rFonts w:hint="eastAsia" w:cs="宋体"/>
                <w:szCs w:val="21"/>
                <w:lang w:bidi="ar"/>
              </w:rPr>
              <w:t>测值范围（</w:t>
            </w:r>
            <w:r>
              <w:rPr>
                <w:szCs w:val="21"/>
                <w:lang w:bidi="ar"/>
              </w:rPr>
              <w:t>mg/m</w:t>
            </w:r>
            <w:r>
              <w:rPr>
                <w:szCs w:val="21"/>
                <w:vertAlign w:val="superscript"/>
                <w:lang w:bidi="ar"/>
              </w:rPr>
              <w:t>3</w:t>
            </w:r>
            <w:r>
              <w:rPr>
                <w:rFonts w:hint="eastAsia" w:cs="宋体"/>
                <w:szCs w:val="21"/>
                <w:lang w:bidi="ar"/>
              </w:rPr>
              <w:t>）</w:t>
            </w:r>
          </w:p>
        </w:tc>
        <w:tc>
          <w:tcPr>
            <w:tcW w:w="1573" w:type="dxa"/>
            <w:tcBorders>
              <w:top w:val="single" w:color="auto" w:sz="12" w:space="0"/>
              <w:left w:val="single" w:color="auto" w:sz="4" w:space="0"/>
              <w:bottom w:val="single" w:color="auto" w:sz="4" w:space="0"/>
              <w:right w:val="single" w:color="auto" w:sz="4" w:space="0"/>
            </w:tcBorders>
            <w:noWrap/>
            <w:vAlign w:val="center"/>
          </w:tcPr>
          <w:p>
            <w:pPr>
              <w:spacing w:line="260" w:lineRule="atLeast"/>
              <w:jc w:val="center"/>
              <w:rPr>
                <w:szCs w:val="21"/>
              </w:rPr>
            </w:pPr>
            <w:r>
              <w:rPr>
                <w:rFonts w:hint="eastAsia" w:cs="宋体"/>
                <w:szCs w:val="21"/>
                <w:lang w:bidi="ar"/>
              </w:rPr>
              <w:t>评价标准（</w:t>
            </w:r>
            <w:r>
              <w:rPr>
                <w:szCs w:val="21"/>
                <w:lang w:bidi="ar"/>
              </w:rPr>
              <w:t>mg/m</w:t>
            </w:r>
            <w:r>
              <w:rPr>
                <w:szCs w:val="21"/>
                <w:vertAlign w:val="superscript"/>
                <w:lang w:bidi="ar"/>
              </w:rPr>
              <w:t>3</w:t>
            </w:r>
            <w:r>
              <w:rPr>
                <w:rFonts w:hint="eastAsia" w:cs="宋体"/>
                <w:szCs w:val="21"/>
                <w:lang w:bidi="ar"/>
              </w:rPr>
              <w:t>）</w:t>
            </w:r>
          </w:p>
        </w:tc>
        <w:tc>
          <w:tcPr>
            <w:tcW w:w="686" w:type="dxa"/>
            <w:tcBorders>
              <w:top w:val="single" w:color="auto" w:sz="12" w:space="0"/>
              <w:left w:val="single" w:color="auto" w:sz="4" w:space="0"/>
              <w:bottom w:val="single" w:color="auto" w:sz="4" w:space="0"/>
              <w:right w:val="single" w:color="auto" w:sz="4" w:space="0"/>
            </w:tcBorders>
            <w:noWrap/>
            <w:vAlign w:val="center"/>
          </w:tcPr>
          <w:p>
            <w:pPr>
              <w:spacing w:line="260" w:lineRule="atLeast"/>
              <w:jc w:val="center"/>
              <w:rPr>
                <w:szCs w:val="21"/>
              </w:rPr>
            </w:pPr>
            <w:r>
              <w:rPr>
                <w:rFonts w:hint="eastAsia" w:cs="宋体"/>
                <w:szCs w:val="21"/>
                <w:lang w:bidi="ar"/>
              </w:rPr>
              <w:t>超标率</w:t>
            </w:r>
          </w:p>
          <w:p>
            <w:pPr>
              <w:spacing w:line="260" w:lineRule="atLeast"/>
              <w:jc w:val="center"/>
              <w:rPr>
                <w:szCs w:val="21"/>
              </w:rPr>
            </w:pPr>
            <w:r>
              <w:rPr>
                <w:rFonts w:hint="eastAsia" w:cs="宋体"/>
                <w:szCs w:val="21"/>
                <w:lang w:bidi="ar"/>
              </w:rPr>
              <w:t>（</w:t>
            </w:r>
            <w:r>
              <w:rPr>
                <w:szCs w:val="21"/>
                <w:lang w:bidi="ar"/>
              </w:rPr>
              <w:t>%</w:t>
            </w:r>
            <w:r>
              <w:rPr>
                <w:rFonts w:hint="eastAsia" w:cs="宋体"/>
                <w:szCs w:val="21"/>
                <w:lang w:bidi="ar"/>
              </w:rPr>
              <w:t>）</w:t>
            </w:r>
          </w:p>
        </w:tc>
        <w:tc>
          <w:tcPr>
            <w:tcW w:w="529" w:type="dxa"/>
            <w:tcBorders>
              <w:top w:val="single" w:color="auto" w:sz="12" w:space="0"/>
              <w:left w:val="single" w:color="auto" w:sz="4" w:space="0"/>
              <w:bottom w:val="single" w:color="auto" w:sz="4" w:space="0"/>
              <w:right w:val="single" w:color="auto" w:sz="4" w:space="0"/>
            </w:tcBorders>
            <w:noWrap/>
            <w:vAlign w:val="center"/>
          </w:tcPr>
          <w:p>
            <w:pPr>
              <w:spacing w:line="260" w:lineRule="atLeast"/>
              <w:jc w:val="center"/>
              <w:rPr>
                <w:szCs w:val="21"/>
              </w:rPr>
            </w:pPr>
            <w:r>
              <w:rPr>
                <w:rFonts w:hint="eastAsia" w:cs="宋体"/>
                <w:szCs w:val="21"/>
                <w:lang w:bidi="ar"/>
              </w:rPr>
              <w:t>达标</w:t>
            </w:r>
          </w:p>
          <w:p>
            <w:pPr>
              <w:spacing w:line="260" w:lineRule="atLeast"/>
              <w:jc w:val="center"/>
              <w:rPr>
                <w:szCs w:val="21"/>
              </w:rPr>
            </w:pPr>
            <w:r>
              <w:rPr>
                <w:rFonts w:hint="eastAsia" w:cs="宋体"/>
                <w:szCs w:val="21"/>
                <w:lang w:bidi="ar"/>
              </w:rPr>
              <w:t>情况</w:t>
            </w:r>
          </w:p>
        </w:tc>
        <w:tc>
          <w:tcPr>
            <w:tcW w:w="1156" w:type="dxa"/>
            <w:tcBorders>
              <w:top w:val="single" w:color="auto" w:sz="12" w:space="0"/>
              <w:left w:val="single" w:color="auto" w:sz="4" w:space="0"/>
              <w:bottom w:val="single" w:color="auto" w:sz="4" w:space="0"/>
              <w:right w:val="single" w:color="auto" w:sz="4" w:space="0"/>
            </w:tcBorders>
            <w:noWrap/>
            <w:vAlign w:val="center"/>
          </w:tcPr>
          <w:p>
            <w:pPr>
              <w:spacing w:line="260" w:lineRule="atLeast"/>
              <w:jc w:val="center"/>
              <w:rPr>
                <w:szCs w:val="21"/>
              </w:rPr>
            </w:pPr>
            <w:r>
              <w:rPr>
                <w:rFonts w:hint="eastAsia" w:cs="宋体"/>
                <w:szCs w:val="21"/>
                <w:lang w:bidi="ar"/>
              </w:rPr>
              <w:t>标准指数范围</w:t>
            </w:r>
          </w:p>
        </w:tc>
        <w:tc>
          <w:tcPr>
            <w:tcW w:w="2066" w:type="dxa"/>
            <w:tcBorders>
              <w:top w:val="single" w:color="auto" w:sz="12" w:space="0"/>
              <w:left w:val="single" w:color="auto" w:sz="4" w:space="0"/>
              <w:bottom w:val="single" w:color="auto" w:sz="4" w:space="0"/>
              <w:right w:val="single" w:color="auto" w:sz="12" w:space="0"/>
            </w:tcBorders>
            <w:noWrap/>
            <w:vAlign w:val="center"/>
          </w:tcPr>
          <w:p>
            <w:pPr>
              <w:spacing w:line="260" w:lineRule="atLeast"/>
              <w:jc w:val="center"/>
              <w:rPr>
                <w:szCs w:val="21"/>
              </w:rPr>
            </w:pPr>
            <w:r>
              <w:rPr>
                <w:rFonts w:hint="eastAsia" w:cs="宋体"/>
                <w:szCs w:val="21"/>
                <w:lang w:bidi="ar"/>
              </w:rPr>
              <w:t>最大质量浓度值占标率（</w:t>
            </w:r>
            <w:r>
              <w:rPr>
                <w:szCs w:val="21"/>
                <w:lang w:bidi="ar"/>
              </w:rPr>
              <w:t>%</w:t>
            </w:r>
            <w:r>
              <w:rPr>
                <w:rFonts w:hint="eastAsia" w:cs="宋体"/>
                <w:szCs w:val="21"/>
                <w:lang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843" w:type="dxa"/>
            <w:vMerge w:val="restart"/>
            <w:tcBorders>
              <w:top w:val="single" w:color="auto" w:sz="4" w:space="0"/>
              <w:left w:val="single" w:color="auto" w:sz="12" w:space="0"/>
              <w:bottom w:val="single" w:color="auto" w:sz="4" w:space="0"/>
              <w:right w:val="single" w:color="auto" w:sz="4" w:space="0"/>
            </w:tcBorders>
            <w:noWrap/>
            <w:vAlign w:val="center"/>
          </w:tcPr>
          <w:p>
            <w:pPr>
              <w:spacing w:line="260" w:lineRule="atLeast"/>
              <w:jc w:val="center"/>
              <w:rPr>
                <w:szCs w:val="21"/>
              </w:rPr>
            </w:pPr>
            <w:r>
              <w:rPr>
                <w:rFonts w:hint="eastAsia" w:cs="宋体"/>
                <w:szCs w:val="21"/>
                <w:lang w:bidi="ar"/>
              </w:rPr>
              <w:t>项目区</w:t>
            </w:r>
          </w:p>
        </w:tc>
        <w:tc>
          <w:tcPr>
            <w:tcW w:w="989" w:type="dxa"/>
            <w:tcBorders>
              <w:top w:val="single" w:color="auto" w:sz="4" w:space="0"/>
              <w:left w:val="single" w:color="auto" w:sz="4" w:space="0"/>
              <w:bottom w:val="single" w:color="auto" w:sz="4" w:space="0"/>
              <w:right w:val="single" w:color="auto" w:sz="4" w:space="0"/>
            </w:tcBorders>
            <w:noWrap/>
            <w:vAlign w:val="center"/>
          </w:tcPr>
          <w:p>
            <w:pPr>
              <w:spacing w:line="260" w:lineRule="atLeast"/>
              <w:jc w:val="center"/>
              <w:rPr>
                <w:szCs w:val="21"/>
              </w:rPr>
            </w:pPr>
            <w:r>
              <w:rPr>
                <w:szCs w:val="21"/>
                <w:lang w:bidi="ar"/>
              </w:rPr>
              <w:t>H</w:t>
            </w:r>
            <w:r>
              <w:rPr>
                <w:szCs w:val="21"/>
                <w:vertAlign w:val="subscript"/>
                <w:lang w:bidi="ar"/>
              </w:rPr>
              <w:t>2</w:t>
            </w:r>
            <w:r>
              <w:rPr>
                <w:szCs w:val="21"/>
                <w:lang w:bidi="ar"/>
              </w:rPr>
              <w:t>S</w:t>
            </w:r>
            <w:r>
              <w:rPr>
                <w:rFonts w:hint="eastAsia" w:cs="宋体"/>
                <w:szCs w:val="21"/>
                <w:lang w:bidi="ar"/>
              </w:rPr>
              <w:t>一次值</w:t>
            </w:r>
          </w:p>
        </w:tc>
        <w:tc>
          <w:tcPr>
            <w:tcW w:w="1573" w:type="dxa"/>
            <w:tcBorders>
              <w:top w:val="single" w:color="auto" w:sz="4" w:space="0"/>
              <w:left w:val="single" w:color="auto" w:sz="4" w:space="0"/>
              <w:bottom w:val="single" w:color="auto" w:sz="4" w:space="0"/>
              <w:right w:val="single" w:color="auto" w:sz="4" w:space="0"/>
            </w:tcBorders>
            <w:noWrap/>
            <w:vAlign w:val="center"/>
          </w:tcPr>
          <w:p>
            <w:pPr>
              <w:spacing w:line="260" w:lineRule="atLeast"/>
              <w:jc w:val="center"/>
              <w:rPr>
                <w:rFonts w:hint="eastAsia" w:eastAsia="宋体"/>
                <w:szCs w:val="21"/>
                <w:lang w:eastAsia="zh-CN"/>
              </w:rPr>
            </w:pPr>
            <w:r>
              <w:rPr>
                <w:szCs w:val="21"/>
                <w:lang w:bidi="ar"/>
              </w:rPr>
              <w:t>0.00</w:t>
            </w:r>
            <w:r>
              <w:rPr>
                <w:rFonts w:hint="eastAsia"/>
                <w:szCs w:val="21"/>
                <w:lang w:val="en-US" w:eastAsia="zh-CN" w:bidi="ar"/>
              </w:rPr>
              <w:t>1</w:t>
            </w:r>
            <w:r>
              <w:rPr>
                <w:szCs w:val="21"/>
                <w:lang w:bidi="ar"/>
              </w:rPr>
              <w:t>~0.00</w:t>
            </w:r>
            <w:r>
              <w:rPr>
                <w:rFonts w:hint="eastAsia"/>
                <w:szCs w:val="21"/>
                <w:lang w:val="en-US" w:eastAsia="zh-CN" w:bidi="ar"/>
              </w:rPr>
              <w:t>2</w:t>
            </w:r>
          </w:p>
        </w:tc>
        <w:tc>
          <w:tcPr>
            <w:tcW w:w="1573" w:type="dxa"/>
            <w:tcBorders>
              <w:top w:val="single" w:color="auto" w:sz="4" w:space="0"/>
              <w:left w:val="single" w:color="auto" w:sz="4" w:space="0"/>
              <w:bottom w:val="single" w:color="auto" w:sz="4" w:space="0"/>
              <w:right w:val="single" w:color="auto" w:sz="4" w:space="0"/>
            </w:tcBorders>
            <w:noWrap/>
            <w:vAlign w:val="center"/>
          </w:tcPr>
          <w:p>
            <w:pPr>
              <w:spacing w:line="260" w:lineRule="atLeast"/>
              <w:jc w:val="center"/>
              <w:rPr>
                <w:szCs w:val="21"/>
              </w:rPr>
            </w:pPr>
            <w:r>
              <w:rPr>
                <w:szCs w:val="21"/>
                <w:lang w:bidi="ar"/>
              </w:rPr>
              <w:t>0.01</w:t>
            </w:r>
          </w:p>
        </w:tc>
        <w:tc>
          <w:tcPr>
            <w:tcW w:w="686" w:type="dxa"/>
            <w:tcBorders>
              <w:top w:val="single" w:color="auto" w:sz="4" w:space="0"/>
              <w:left w:val="single" w:color="auto" w:sz="4" w:space="0"/>
              <w:bottom w:val="single" w:color="auto" w:sz="4" w:space="0"/>
              <w:right w:val="single" w:color="auto" w:sz="4" w:space="0"/>
            </w:tcBorders>
            <w:noWrap/>
            <w:vAlign w:val="center"/>
          </w:tcPr>
          <w:p>
            <w:pPr>
              <w:spacing w:line="260" w:lineRule="atLeast"/>
              <w:jc w:val="center"/>
              <w:rPr>
                <w:szCs w:val="21"/>
              </w:rPr>
            </w:pPr>
            <w:r>
              <w:rPr>
                <w:szCs w:val="21"/>
                <w:lang w:bidi="ar"/>
              </w:rPr>
              <w:t>0</w:t>
            </w:r>
          </w:p>
        </w:tc>
        <w:tc>
          <w:tcPr>
            <w:tcW w:w="529" w:type="dxa"/>
            <w:tcBorders>
              <w:top w:val="single" w:color="auto" w:sz="4" w:space="0"/>
              <w:left w:val="single" w:color="auto" w:sz="4" w:space="0"/>
              <w:bottom w:val="single" w:color="auto" w:sz="4" w:space="0"/>
              <w:right w:val="single" w:color="auto" w:sz="4" w:space="0"/>
            </w:tcBorders>
            <w:noWrap/>
            <w:vAlign w:val="center"/>
          </w:tcPr>
          <w:p>
            <w:pPr>
              <w:spacing w:line="260" w:lineRule="atLeast"/>
              <w:jc w:val="center"/>
              <w:rPr>
                <w:szCs w:val="21"/>
              </w:rPr>
            </w:pPr>
            <w:r>
              <w:rPr>
                <w:rFonts w:hint="eastAsia" w:cs="宋体"/>
                <w:szCs w:val="21"/>
                <w:lang w:bidi="ar"/>
              </w:rPr>
              <w:t>达标</w:t>
            </w:r>
          </w:p>
        </w:tc>
        <w:tc>
          <w:tcPr>
            <w:tcW w:w="1156" w:type="dxa"/>
            <w:tcBorders>
              <w:top w:val="single" w:color="auto" w:sz="4" w:space="0"/>
              <w:left w:val="single" w:color="auto" w:sz="4" w:space="0"/>
              <w:bottom w:val="single" w:color="auto" w:sz="4" w:space="0"/>
              <w:right w:val="single" w:color="auto" w:sz="4" w:space="0"/>
            </w:tcBorders>
            <w:noWrap/>
            <w:vAlign w:val="center"/>
          </w:tcPr>
          <w:p>
            <w:pPr>
              <w:spacing w:line="260" w:lineRule="atLeast"/>
              <w:jc w:val="center"/>
              <w:rPr>
                <w:rFonts w:hint="eastAsia"/>
                <w:szCs w:val="21"/>
              </w:rPr>
            </w:pPr>
            <w:r>
              <w:rPr>
                <w:szCs w:val="21"/>
                <w:lang w:bidi="ar"/>
              </w:rPr>
              <w:t>0.3~0.</w:t>
            </w:r>
            <w:r>
              <w:rPr>
                <w:rFonts w:hint="eastAsia"/>
                <w:szCs w:val="21"/>
                <w:lang w:bidi="ar"/>
              </w:rPr>
              <w:t>7</w:t>
            </w:r>
          </w:p>
        </w:tc>
        <w:tc>
          <w:tcPr>
            <w:tcW w:w="2066" w:type="dxa"/>
            <w:tcBorders>
              <w:top w:val="single" w:color="auto" w:sz="4" w:space="0"/>
              <w:left w:val="single" w:color="auto" w:sz="4" w:space="0"/>
              <w:bottom w:val="single" w:color="auto" w:sz="4" w:space="0"/>
              <w:right w:val="single" w:color="auto" w:sz="12" w:space="0"/>
            </w:tcBorders>
            <w:noWrap/>
            <w:vAlign w:val="center"/>
          </w:tcPr>
          <w:p>
            <w:pPr>
              <w:spacing w:line="260" w:lineRule="atLeast"/>
              <w:jc w:val="center"/>
              <w:rPr>
                <w:color w:val="auto"/>
                <w:szCs w:val="21"/>
                <w:highlight w:val="none"/>
              </w:rPr>
            </w:pPr>
            <w:r>
              <w:rPr>
                <w:rFonts w:hint="eastAsia"/>
                <w:bCs/>
                <w:color w:val="auto"/>
                <w:szCs w:val="21"/>
                <w:highlight w:val="none"/>
                <w:lang w:bidi="ar"/>
              </w:rPr>
              <w:t>70</w:t>
            </w:r>
            <w:r>
              <w:rPr>
                <w:bCs/>
                <w:color w:val="auto"/>
                <w:szCs w:val="21"/>
                <w:highlight w:val="none"/>
                <w:lang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843" w:type="dxa"/>
            <w:vMerge w:val="continue"/>
            <w:tcBorders>
              <w:top w:val="single" w:color="auto" w:sz="4" w:space="0"/>
              <w:left w:val="single" w:color="auto" w:sz="12" w:space="0"/>
              <w:bottom w:val="single" w:color="auto" w:sz="4" w:space="0"/>
              <w:right w:val="single" w:color="auto" w:sz="4" w:space="0"/>
            </w:tcBorders>
            <w:noWrap/>
            <w:vAlign w:val="center"/>
          </w:tcPr>
          <w:p>
            <w:pPr>
              <w:spacing w:line="260" w:lineRule="atLeast"/>
              <w:jc w:val="center"/>
              <w:rPr>
                <w:sz w:val="20"/>
                <w:szCs w:val="20"/>
              </w:rPr>
            </w:pPr>
          </w:p>
        </w:tc>
        <w:tc>
          <w:tcPr>
            <w:tcW w:w="989" w:type="dxa"/>
            <w:tcBorders>
              <w:top w:val="single" w:color="auto" w:sz="4" w:space="0"/>
              <w:left w:val="single" w:color="auto" w:sz="4" w:space="0"/>
              <w:bottom w:val="single" w:color="auto" w:sz="4" w:space="0"/>
              <w:right w:val="single" w:color="auto" w:sz="4" w:space="0"/>
            </w:tcBorders>
            <w:noWrap/>
            <w:vAlign w:val="center"/>
          </w:tcPr>
          <w:p>
            <w:pPr>
              <w:spacing w:line="260" w:lineRule="atLeast"/>
              <w:jc w:val="center"/>
              <w:rPr>
                <w:szCs w:val="21"/>
              </w:rPr>
            </w:pPr>
            <w:r>
              <w:rPr>
                <w:szCs w:val="21"/>
                <w:lang w:bidi="ar"/>
              </w:rPr>
              <w:t>NH</w:t>
            </w:r>
            <w:r>
              <w:rPr>
                <w:szCs w:val="21"/>
                <w:vertAlign w:val="subscript"/>
                <w:lang w:bidi="ar"/>
              </w:rPr>
              <w:t>3</w:t>
            </w:r>
            <w:r>
              <w:rPr>
                <w:rFonts w:hint="eastAsia" w:cs="宋体"/>
                <w:szCs w:val="21"/>
                <w:lang w:bidi="ar"/>
              </w:rPr>
              <w:t>一次值</w:t>
            </w:r>
          </w:p>
        </w:tc>
        <w:tc>
          <w:tcPr>
            <w:tcW w:w="1573" w:type="dxa"/>
            <w:tcBorders>
              <w:top w:val="single" w:color="auto" w:sz="4" w:space="0"/>
              <w:left w:val="single" w:color="auto" w:sz="4" w:space="0"/>
              <w:bottom w:val="single" w:color="auto" w:sz="4" w:space="0"/>
              <w:right w:val="single" w:color="auto" w:sz="4" w:space="0"/>
            </w:tcBorders>
            <w:noWrap/>
            <w:vAlign w:val="center"/>
          </w:tcPr>
          <w:p>
            <w:pPr>
              <w:spacing w:line="260" w:lineRule="atLeast"/>
              <w:jc w:val="center"/>
              <w:rPr>
                <w:szCs w:val="21"/>
              </w:rPr>
            </w:pPr>
            <w:r>
              <w:rPr>
                <w:bCs/>
                <w:szCs w:val="21"/>
                <w:lang w:bidi="ar"/>
              </w:rPr>
              <w:t>0.0</w:t>
            </w:r>
            <w:r>
              <w:rPr>
                <w:rFonts w:hint="eastAsia"/>
                <w:bCs/>
                <w:szCs w:val="21"/>
                <w:lang w:val="en-US" w:eastAsia="zh-CN" w:bidi="ar"/>
              </w:rPr>
              <w:t>1</w:t>
            </w:r>
            <w:r>
              <w:rPr>
                <w:bCs/>
                <w:szCs w:val="21"/>
                <w:lang w:bidi="ar"/>
              </w:rPr>
              <w:t>~0.</w:t>
            </w:r>
            <w:r>
              <w:rPr>
                <w:rFonts w:hint="eastAsia"/>
                <w:bCs/>
                <w:szCs w:val="21"/>
                <w:lang w:bidi="ar"/>
              </w:rPr>
              <w:t>02</w:t>
            </w:r>
          </w:p>
        </w:tc>
        <w:tc>
          <w:tcPr>
            <w:tcW w:w="1573" w:type="dxa"/>
            <w:tcBorders>
              <w:top w:val="single" w:color="auto" w:sz="4" w:space="0"/>
              <w:left w:val="single" w:color="auto" w:sz="4" w:space="0"/>
              <w:bottom w:val="single" w:color="auto" w:sz="4" w:space="0"/>
              <w:right w:val="single" w:color="auto" w:sz="4" w:space="0"/>
            </w:tcBorders>
            <w:noWrap/>
            <w:vAlign w:val="center"/>
          </w:tcPr>
          <w:p>
            <w:pPr>
              <w:spacing w:line="260" w:lineRule="atLeast"/>
              <w:jc w:val="center"/>
              <w:rPr>
                <w:szCs w:val="21"/>
              </w:rPr>
            </w:pPr>
            <w:r>
              <w:rPr>
                <w:szCs w:val="21"/>
                <w:lang w:bidi="ar"/>
              </w:rPr>
              <w:t>0.2</w:t>
            </w:r>
          </w:p>
        </w:tc>
        <w:tc>
          <w:tcPr>
            <w:tcW w:w="686" w:type="dxa"/>
            <w:tcBorders>
              <w:top w:val="single" w:color="auto" w:sz="4" w:space="0"/>
              <w:left w:val="single" w:color="auto" w:sz="4" w:space="0"/>
              <w:bottom w:val="single" w:color="auto" w:sz="4" w:space="0"/>
              <w:right w:val="single" w:color="auto" w:sz="4" w:space="0"/>
            </w:tcBorders>
            <w:noWrap/>
            <w:vAlign w:val="center"/>
          </w:tcPr>
          <w:p>
            <w:pPr>
              <w:spacing w:line="260" w:lineRule="atLeast"/>
              <w:jc w:val="center"/>
              <w:rPr>
                <w:szCs w:val="21"/>
              </w:rPr>
            </w:pPr>
            <w:r>
              <w:rPr>
                <w:szCs w:val="21"/>
                <w:lang w:bidi="ar"/>
              </w:rPr>
              <w:t>0</w:t>
            </w:r>
          </w:p>
        </w:tc>
        <w:tc>
          <w:tcPr>
            <w:tcW w:w="529" w:type="dxa"/>
            <w:tcBorders>
              <w:top w:val="single" w:color="auto" w:sz="4" w:space="0"/>
              <w:left w:val="single" w:color="auto" w:sz="4" w:space="0"/>
              <w:bottom w:val="single" w:color="auto" w:sz="4" w:space="0"/>
              <w:right w:val="single" w:color="auto" w:sz="4" w:space="0"/>
            </w:tcBorders>
            <w:noWrap/>
            <w:vAlign w:val="center"/>
          </w:tcPr>
          <w:p>
            <w:pPr>
              <w:spacing w:line="260" w:lineRule="atLeast"/>
              <w:jc w:val="center"/>
              <w:rPr>
                <w:szCs w:val="21"/>
              </w:rPr>
            </w:pPr>
            <w:r>
              <w:rPr>
                <w:rFonts w:hint="eastAsia" w:cs="宋体"/>
                <w:szCs w:val="21"/>
                <w:lang w:bidi="ar"/>
              </w:rPr>
              <w:t>达标</w:t>
            </w:r>
          </w:p>
        </w:tc>
        <w:tc>
          <w:tcPr>
            <w:tcW w:w="1156" w:type="dxa"/>
            <w:tcBorders>
              <w:top w:val="single" w:color="auto" w:sz="4" w:space="0"/>
              <w:left w:val="single" w:color="auto" w:sz="4" w:space="0"/>
              <w:bottom w:val="single" w:color="auto" w:sz="4" w:space="0"/>
              <w:right w:val="single" w:color="auto" w:sz="4" w:space="0"/>
            </w:tcBorders>
            <w:noWrap/>
            <w:vAlign w:val="center"/>
          </w:tcPr>
          <w:p>
            <w:pPr>
              <w:spacing w:line="260" w:lineRule="atLeast"/>
              <w:jc w:val="center"/>
              <w:rPr>
                <w:rFonts w:hint="eastAsia"/>
                <w:szCs w:val="21"/>
              </w:rPr>
            </w:pPr>
            <w:r>
              <w:rPr>
                <w:bCs/>
                <w:szCs w:val="21"/>
                <w:lang w:bidi="ar"/>
              </w:rPr>
              <w:t>0.</w:t>
            </w:r>
            <w:r>
              <w:rPr>
                <w:rFonts w:hint="eastAsia"/>
                <w:bCs/>
                <w:szCs w:val="21"/>
                <w:lang w:bidi="ar"/>
              </w:rPr>
              <w:t>1</w:t>
            </w:r>
            <w:r>
              <w:rPr>
                <w:bCs/>
                <w:szCs w:val="21"/>
                <w:lang w:bidi="ar"/>
              </w:rPr>
              <w:t>5~0.</w:t>
            </w:r>
            <w:r>
              <w:rPr>
                <w:rFonts w:hint="eastAsia"/>
                <w:bCs/>
                <w:szCs w:val="21"/>
                <w:lang w:bidi="ar"/>
              </w:rPr>
              <w:t>1</w:t>
            </w:r>
          </w:p>
        </w:tc>
        <w:tc>
          <w:tcPr>
            <w:tcW w:w="2066" w:type="dxa"/>
            <w:tcBorders>
              <w:top w:val="single" w:color="auto" w:sz="4" w:space="0"/>
              <w:left w:val="single" w:color="auto" w:sz="4" w:space="0"/>
              <w:bottom w:val="single" w:color="auto" w:sz="4" w:space="0"/>
              <w:right w:val="single" w:color="auto" w:sz="12" w:space="0"/>
            </w:tcBorders>
            <w:noWrap/>
            <w:vAlign w:val="center"/>
          </w:tcPr>
          <w:p>
            <w:pPr>
              <w:spacing w:line="260" w:lineRule="atLeast"/>
              <w:jc w:val="center"/>
              <w:rPr>
                <w:color w:val="auto"/>
                <w:szCs w:val="21"/>
                <w:highlight w:val="none"/>
              </w:rPr>
            </w:pPr>
            <w:r>
              <w:rPr>
                <w:rFonts w:hint="eastAsia"/>
                <w:bCs/>
                <w:color w:val="auto"/>
                <w:szCs w:val="21"/>
                <w:highlight w:val="none"/>
                <w:lang w:bidi="ar"/>
              </w:rPr>
              <w:t>15</w:t>
            </w:r>
            <w:r>
              <w:rPr>
                <w:bCs/>
                <w:color w:val="auto"/>
                <w:szCs w:val="21"/>
                <w:highlight w:val="none"/>
                <w:lang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843" w:type="dxa"/>
            <w:vMerge w:val="restart"/>
            <w:tcBorders>
              <w:top w:val="single" w:color="auto" w:sz="4" w:space="0"/>
              <w:left w:val="single" w:color="auto" w:sz="12" w:space="0"/>
              <w:bottom w:val="single" w:color="auto" w:sz="12" w:space="0"/>
              <w:right w:val="single" w:color="auto" w:sz="4" w:space="0"/>
            </w:tcBorders>
            <w:noWrap/>
            <w:vAlign w:val="center"/>
          </w:tcPr>
          <w:p>
            <w:pPr>
              <w:spacing w:line="260" w:lineRule="atLeast"/>
              <w:jc w:val="center"/>
              <w:rPr>
                <w:rFonts w:hint="eastAsia" w:eastAsia="宋体"/>
                <w:szCs w:val="21"/>
                <w:lang w:eastAsia="zh-CN"/>
              </w:rPr>
            </w:pPr>
            <w:r>
              <w:rPr>
                <w:rFonts w:hint="eastAsia"/>
                <w:szCs w:val="21"/>
                <w:lang w:eastAsia="zh-CN"/>
              </w:rPr>
              <w:t>大邢庄</w:t>
            </w:r>
          </w:p>
        </w:tc>
        <w:tc>
          <w:tcPr>
            <w:tcW w:w="989" w:type="dxa"/>
            <w:tcBorders>
              <w:top w:val="single" w:color="auto" w:sz="4" w:space="0"/>
              <w:left w:val="single" w:color="auto" w:sz="4" w:space="0"/>
              <w:bottom w:val="single" w:color="auto" w:sz="4" w:space="0"/>
              <w:right w:val="single" w:color="auto" w:sz="4" w:space="0"/>
            </w:tcBorders>
            <w:noWrap/>
            <w:vAlign w:val="center"/>
          </w:tcPr>
          <w:p>
            <w:pPr>
              <w:spacing w:line="260" w:lineRule="atLeast"/>
              <w:jc w:val="center"/>
              <w:rPr>
                <w:szCs w:val="21"/>
              </w:rPr>
            </w:pPr>
            <w:r>
              <w:rPr>
                <w:szCs w:val="21"/>
                <w:lang w:bidi="ar"/>
              </w:rPr>
              <w:t>H</w:t>
            </w:r>
            <w:r>
              <w:rPr>
                <w:szCs w:val="21"/>
                <w:vertAlign w:val="subscript"/>
                <w:lang w:bidi="ar"/>
              </w:rPr>
              <w:t>2</w:t>
            </w:r>
            <w:r>
              <w:rPr>
                <w:szCs w:val="21"/>
                <w:lang w:bidi="ar"/>
              </w:rPr>
              <w:t>S</w:t>
            </w:r>
            <w:r>
              <w:rPr>
                <w:rFonts w:hint="eastAsia" w:cs="宋体"/>
                <w:szCs w:val="21"/>
                <w:lang w:bidi="ar"/>
              </w:rPr>
              <w:t>一次值</w:t>
            </w:r>
          </w:p>
        </w:tc>
        <w:tc>
          <w:tcPr>
            <w:tcW w:w="1573" w:type="dxa"/>
            <w:tcBorders>
              <w:top w:val="single" w:color="auto" w:sz="4" w:space="0"/>
              <w:left w:val="single" w:color="auto" w:sz="4" w:space="0"/>
              <w:bottom w:val="single" w:color="auto" w:sz="4" w:space="0"/>
              <w:right w:val="single" w:color="auto" w:sz="4" w:space="0"/>
            </w:tcBorders>
            <w:noWrap/>
            <w:vAlign w:val="center"/>
          </w:tcPr>
          <w:p>
            <w:pPr>
              <w:spacing w:line="260" w:lineRule="atLeast"/>
              <w:jc w:val="center"/>
              <w:rPr>
                <w:rFonts w:hint="eastAsia"/>
                <w:szCs w:val="21"/>
              </w:rPr>
            </w:pPr>
            <w:r>
              <w:rPr>
                <w:szCs w:val="21"/>
                <w:lang w:bidi="ar"/>
              </w:rPr>
              <w:t>0.00</w:t>
            </w:r>
            <w:r>
              <w:rPr>
                <w:rFonts w:hint="eastAsia"/>
                <w:szCs w:val="21"/>
                <w:lang w:val="en-US" w:eastAsia="zh-CN" w:bidi="ar"/>
              </w:rPr>
              <w:t>1</w:t>
            </w:r>
            <w:r>
              <w:rPr>
                <w:szCs w:val="21"/>
                <w:lang w:bidi="ar"/>
              </w:rPr>
              <w:t>~0.00</w:t>
            </w:r>
            <w:r>
              <w:rPr>
                <w:rFonts w:hint="eastAsia"/>
                <w:szCs w:val="21"/>
                <w:lang w:bidi="ar"/>
              </w:rPr>
              <w:t>3</w:t>
            </w:r>
          </w:p>
        </w:tc>
        <w:tc>
          <w:tcPr>
            <w:tcW w:w="1573" w:type="dxa"/>
            <w:tcBorders>
              <w:top w:val="single" w:color="auto" w:sz="4" w:space="0"/>
              <w:left w:val="single" w:color="auto" w:sz="4" w:space="0"/>
              <w:bottom w:val="single" w:color="auto" w:sz="4" w:space="0"/>
              <w:right w:val="single" w:color="auto" w:sz="4" w:space="0"/>
            </w:tcBorders>
            <w:noWrap/>
            <w:vAlign w:val="center"/>
          </w:tcPr>
          <w:p>
            <w:pPr>
              <w:spacing w:line="260" w:lineRule="atLeast"/>
              <w:jc w:val="center"/>
              <w:rPr>
                <w:szCs w:val="21"/>
              </w:rPr>
            </w:pPr>
            <w:r>
              <w:rPr>
                <w:szCs w:val="21"/>
                <w:lang w:bidi="ar"/>
              </w:rPr>
              <w:t>0.01</w:t>
            </w:r>
          </w:p>
        </w:tc>
        <w:tc>
          <w:tcPr>
            <w:tcW w:w="686" w:type="dxa"/>
            <w:tcBorders>
              <w:top w:val="single" w:color="auto" w:sz="4" w:space="0"/>
              <w:left w:val="single" w:color="auto" w:sz="4" w:space="0"/>
              <w:bottom w:val="single" w:color="auto" w:sz="4" w:space="0"/>
              <w:right w:val="single" w:color="auto" w:sz="4" w:space="0"/>
            </w:tcBorders>
            <w:noWrap/>
            <w:vAlign w:val="center"/>
          </w:tcPr>
          <w:p>
            <w:pPr>
              <w:spacing w:line="260" w:lineRule="atLeast"/>
              <w:jc w:val="center"/>
              <w:rPr>
                <w:szCs w:val="21"/>
              </w:rPr>
            </w:pPr>
            <w:r>
              <w:rPr>
                <w:szCs w:val="21"/>
                <w:lang w:bidi="ar"/>
              </w:rPr>
              <w:t>0</w:t>
            </w:r>
          </w:p>
        </w:tc>
        <w:tc>
          <w:tcPr>
            <w:tcW w:w="529" w:type="dxa"/>
            <w:tcBorders>
              <w:top w:val="single" w:color="auto" w:sz="4" w:space="0"/>
              <w:left w:val="single" w:color="auto" w:sz="4" w:space="0"/>
              <w:bottom w:val="single" w:color="auto" w:sz="4" w:space="0"/>
              <w:right w:val="single" w:color="auto" w:sz="4" w:space="0"/>
            </w:tcBorders>
            <w:noWrap/>
            <w:vAlign w:val="center"/>
          </w:tcPr>
          <w:p>
            <w:pPr>
              <w:spacing w:line="260" w:lineRule="atLeast"/>
              <w:jc w:val="center"/>
              <w:rPr>
                <w:szCs w:val="21"/>
              </w:rPr>
            </w:pPr>
            <w:r>
              <w:rPr>
                <w:rFonts w:hint="eastAsia" w:cs="宋体"/>
                <w:szCs w:val="21"/>
                <w:lang w:bidi="ar"/>
              </w:rPr>
              <w:t>达标</w:t>
            </w:r>
          </w:p>
        </w:tc>
        <w:tc>
          <w:tcPr>
            <w:tcW w:w="1156" w:type="dxa"/>
            <w:tcBorders>
              <w:top w:val="single" w:color="auto" w:sz="4" w:space="0"/>
              <w:left w:val="single" w:color="auto" w:sz="4" w:space="0"/>
              <w:bottom w:val="single" w:color="auto" w:sz="4" w:space="0"/>
              <w:right w:val="single" w:color="auto" w:sz="4" w:space="0"/>
            </w:tcBorders>
            <w:noWrap/>
            <w:vAlign w:val="center"/>
          </w:tcPr>
          <w:p>
            <w:pPr>
              <w:spacing w:line="260" w:lineRule="atLeast"/>
              <w:jc w:val="center"/>
              <w:rPr>
                <w:rFonts w:hint="eastAsia"/>
                <w:szCs w:val="21"/>
              </w:rPr>
            </w:pPr>
            <w:r>
              <w:rPr>
                <w:bCs/>
                <w:szCs w:val="21"/>
                <w:lang w:bidi="ar"/>
              </w:rPr>
              <w:t>0.</w:t>
            </w:r>
            <w:r>
              <w:rPr>
                <w:rFonts w:hint="eastAsia"/>
                <w:bCs/>
                <w:szCs w:val="21"/>
                <w:lang w:bidi="ar"/>
              </w:rPr>
              <w:t>2</w:t>
            </w:r>
            <w:r>
              <w:rPr>
                <w:bCs/>
                <w:szCs w:val="21"/>
                <w:lang w:bidi="ar"/>
              </w:rPr>
              <w:t>~0.</w:t>
            </w:r>
            <w:r>
              <w:rPr>
                <w:rFonts w:hint="eastAsia"/>
                <w:bCs/>
                <w:szCs w:val="21"/>
                <w:lang w:bidi="ar"/>
              </w:rPr>
              <w:t>3</w:t>
            </w:r>
          </w:p>
        </w:tc>
        <w:tc>
          <w:tcPr>
            <w:tcW w:w="2066" w:type="dxa"/>
            <w:tcBorders>
              <w:top w:val="single" w:color="auto" w:sz="4" w:space="0"/>
              <w:left w:val="single" w:color="auto" w:sz="4" w:space="0"/>
              <w:bottom w:val="single" w:color="auto" w:sz="4" w:space="0"/>
              <w:right w:val="single" w:color="auto" w:sz="12" w:space="0"/>
            </w:tcBorders>
            <w:noWrap/>
            <w:vAlign w:val="center"/>
          </w:tcPr>
          <w:p>
            <w:pPr>
              <w:spacing w:line="260" w:lineRule="atLeast"/>
              <w:jc w:val="center"/>
              <w:rPr>
                <w:color w:val="auto"/>
                <w:szCs w:val="21"/>
                <w:highlight w:val="none"/>
              </w:rPr>
            </w:pPr>
            <w:r>
              <w:rPr>
                <w:rFonts w:hint="eastAsia"/>
                <w:bCs/>
                <w:color w:val="auto"/>
                <w:szCs w:val="21"/>
                <w:highlight w:val="none"/>
                <w:lang w:bidi="ar"/>
              </w:rPr>
              <w:t>30</w:t>
            </w:r>
            <w:r>
              <w:rPr>
                <w:bCs/>
                <w:color w:val="auto"/>
                <w:szCs w:val="21"/>
                <w:highlight w:val="none"/>
                <w:lang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843" w:type="dxa"/>
            <w:vMerge w:val="continue"/>
            <w:tcBorders>
              <w:top w:val="single" w:color="auto" w:sz="4" w:space="0"/>
              <w:left w:val="single" w:color="auto" w:sz="12" w:space="0"/>
              <w:bottom w:val="single" w:color="auto" w:sz="12" w:space="0"/>
              <w:right w:val="single" w:color="auto" w:sz="4" w:space="0"/>
            </w:tcBorders>
            <w:noWrap/>
            <w:vAlign w:val="center"/>
          </w:tcPr>
          <w:p>
            <w:pPr>
              <w:spacing w:line="260" w:lineRule="atLeast"/>
              <w:jc w:val="center"/>
              <w:rPr>
                <w:sz w:val="20"/>
                <w:szCs w:val="20"/>
              </w:rPr>
            </w:pPr>
          </w:p>
        </w:tc>
        <w:tc>
          <w:tcPr>
            <w:tcW w:w="989" w:type="dxa"/>
            <w:tcBorders>
              <w:top w:val="single" w:color="auto" w:sz="4" w:space="0"/>
              <w:left w:val="single" w:color="auto" w:sz="4" w:space="0"/>
              <w:bottom w:val="single" w:color="auto" w:sz="12" w:space="0"/>
              <w:right w:val="single" w:color="auto" w:sz="4" w:space="0"/>
            </w:tcBorders>
            <w:noWrap/>
            <w:vAlign w:val="center"/>
          </w:tcPr>
          <w:p>
            <w:pPr>
              <w:spacing w:line="260" w:lineRule="atLeast"/>
              <w:jc w:val="center"/>
              <w:rPr>
                <w:szCs w:val="21"/>
              </w:rPr>
            </w:pPr>
            <w:r>
              <w:rPr>
                <w:szCs w:val="21"/>
                <w:lang w:bidi="ar"/>
              </w:rPr>
              <w:t>NH</w:t>
            </w:r>
            <w:r>
              <w:rPr>
                <w:szCs w:val="21"/>
                <w:vertAlign w:val="subscript"/>
                <w:lang w:bidi="ar"/>
              </w:rPr>
              <w:t>3</w:t>
            </w:r>
            <w:r>
              <w:rPr>
                <w:rFonts w:hint="eastAsia" w:cs="宋体"/>
                <w:szCs w:val="21"/>
                <w:lang w:bidi="ar"/>
              </w:rPr>
              <w:t>一次值</w:t>
            </w:r>
          </w:p>
        </w:tc>
        <w:tc>
          <w:tcPr>
            <w:tcW w:w="1573" w:type="dxa"/>
            <w:tcBorders>
              <w:top w:val="single" w:color="auto" w:sz="4" w:space="0"/>
              <w:left w:val="single" w:color="auto" w:sz="4" w:space="0"/>
              <w:bottom w:val="single" w:color="auto" w:sz="12" w:space="0"/>
              <w:right w:val="single" w:color="auto" w:sz="4" w:space="0"/>
            </w:tcBorders>
            <w:noWrap/>
            <w:vAlign w:val="center"/>
          </w:tcPr>
          <w:p>
            <w:pPr>
              <w:spacing w:line="260" w:lineRule="atLeast"/>
              <w:jc w:val="center"/>
              <w:rPr>
                <w:rFonts w:hint="eastAsia" w:eastAsia="宋体"/>
                <w:szCs w:val="21"/>
                <w:lang w:eastAsia="zh-CN"/>
              </w:rPr>
            </w:pPr>
            <w:r>
              <w:rPr>
                <w:bCs/>
                <w:szCs w:val="21"/>
                <w:lang w:bidi="ar"/>
              </w:rPr>
              <w:t>0.0</w:t>
            </w:r>
            <w:r>
              <w:rPr>
                <w:rFonts w:hint="eastAsia"/>
                <w:bCs/>
                <w:szCs w:val="21"/>
                <w:lang w:val="en-US" w:eastAsia="zh-CN" w:bidi="ar"/>
              </w:rPr>
              <w:t>1</w:t>
            </w:r>
            <w:r>
              <w:rPr>
                <w:bCs/>
                <w:szCs w:val="21"/>
                <w:lang w:bidi="ar"/>
              </w:rPr>
              <w:t>~0.</w:t>
            </w:r>
            <w:r>
              <w:rPr>
                <w:rFonts w:hint="eastAsia"/>
                <w:bCs/>
                <w:szCs w:val="21"/>
                <w:lang w:bidi="ar"/>
              </w:rPr>
              <w:t>0</w:t>
            </w:r>
            <w:r>
              <w:rPr>
                <w:rFonts w:hint="eastAsia"/>
                <w:bCs/>
                <w:szCs w:val="21"/>
                <w:lang w:val="en-US" w:eastAsia="zh-CN" w:bidi="ar"/>
              </w:rPr>
              <w:t>2</w:t>
            </w:r>
          </w:p>
        </w:tc>
        <w:tc>
          <w:tcPr>
            <w:tcW w:w="1573" w:type="dxa"/>
            <w:tcBorders>
              <w:top w:val="single" w:color="auto" w:sz="4" w:space="0"/>
              <w:left w:val="single" w:color="auto" w:sz="4" w:space="0"/>
              <w:bottom w:val="single" w:color="auto" w:sz="12" w:space="0"/>
              <w:right w:val="single" w:color="auto" w:sz="4" w:space="0"/>
            </w:tcBorders>
            <w:noWrap/>
            <w:vAlign w:val="center"/>
          </w:tcPr>
          <w:p>
            <w:pPr>
              <w:spacing w:line="260" w:lineRule="atLeast"/>
              <w:jc w:val="center"/>
              <w:rPr>
                <w:szCs w:val="21"/>
              </w:rPr>
            </w:pPr>
            <w:r>
              <w:rPr>
                <w:szCs w:val="21"/>
                <w:lang w:bidi="ar"/>
              </w:rPr>
              <w:t>0.2</w:t>
            </w:r>
          </w:p>
        </w:tc>
        <w:tc>
          <w:tcPr>
            <w:tcW w:w="686" w:type="dxa"/>
            <w:tcBorders>
              <w:top w:val="single" w:color="auto" w:sz="4" w:space="0"/>
              <w:left w:val="single" w:color="auto" w:sz="4" w:space="0"/>
              <w:bottom w:val="single" w:color="auto" w:sz="12" w:space="0"/>
              <w:right w:val="single" w:color="auto" w:sz="4" w:space="0"/>
            </w:tcBorders>
            <w:noWrap/>
            <w:vAlign w:val="center"/>
          </w:tcPr>
          <w:p>
            <w:pPr>
              <w:spacing w:line="260" w:lineRule="atLeast"/>
              <w:jc w:val="center"/>
              <w:rPr>
                <w:szCs w:val="21"/>
              </w:rPr>
            </w:pPr>
            <w:r>
              <w:rPr>
                <w:szCs w:val="21"/>
                <w:lang w:bidi="ar"/>
              </w:rPr>
              <w:t>0</w:t>
            </w:r>
          </w:p>
        </w:tc>
        <w:tc>
          <w:tcPr>
            <w:tcW w:w="529" w:type="dxa"/>
            <w:tcBorders>
              <w:top w:val="single" w:color="auto" w:sz="4" w:space="0"/>
              <w:left w:val="single" w:color="auto" w:sz="4" w:space="0"/>
              <w:bottom w:val="single" w:color="auto" w:sz="12" w:space="0"/>
              <w:right w:val="single" w:color="auto" w:sz="4" w:space="0"/>
            </w:tcBorders>
            <w:noWrap/>
            <w:vAlign w:val="center"/>
          </w:tcPr>
          <w:p>
            <w:pPr>
              <w:spacing w:line="260" w:lineRule="atLeast"/>
              <w:jc w:val="center"/>
              <w:rPr>
                <w:szCs w:val="21"/>
              </w:rPr>
            </w:pPr>
            <w:r>
              <w:rPr>
                <w:rFonts w:hint="eastAsia" w:cs="宋体"/>
                <w:szCs w:val="21"/>
                <w:lang w:bidi="ar"/>
              </w:rPr>
              <w:t>达标</w:t>
            </w:r>
          </w:p>
        </w:tc>
        <w:tc>
          <w:tcPr>
            <w:tcW w:w="1156" w:type="dxa"/>
            <w:tcBorders>
              <w:top w:val="single" w:color="auto" w:sz="4" w:space="0"/>
              <w:left w:val="single" w:color="auto" w:sz="4" w:space="0"/>
              <w:bottom w:val="single" w:color="auto" w:sz="12" w:space="0"/>
              <w:right w:val="single" w:color="auto" w:sz="4" w:space="0"/>
            </w:tcBorders>
            <w:noWrap/>
            <w:vAlign w:val="center"/>
          </w:tcPr>
          <w:p>
            <w:pPr>
              <w:spacing w:line="260" w:lineRule="atLeast"/>
              <w:jc w:val="center"/>
              <w:rPr>
                <w:szCs w:val="21"/>
              </w:rPr>
            </w:pPr>
            <w:r>
              <w:rPr>
                <w:bCs/>
                <w:szCs w:val="21"/>
                <w:lang w:bidi="ar"/>
              </w:rPr>
              <w:t>0.</w:t>
            </w:r>
            <w:r>
              <w:rPr>
                <w:rFonts w:hint="eastAsia"/>
                <w:bCs/>
                <w:szCs w:val="21"/>
                <w:lang w:bidi="ar"/>
              </w:rPr>
              <w:t>1</w:t>
            </w:r>
            <w:r>
              <w:rPr>
                <w:bCs/>
                <w:szCs w:val="21"/>
                <w:lang w:bidi="ar"/>
              </w:rPr>
              <w:t>~0.</w:t>
            </w:r>
            <w:r>
              <w:rPr>
                <w:rFonts w:hint="eastAsia"/>
                <w:bCs/>
                <w:szCs w:val="21"/>
                <w:lang w:bidi="ar"/>
              </w:rPr>
              <w:t>2</w:t>
            </w:r>
          </w:p>
        </w:tc>
        <w:tc>
          <w:tcPr>
            <w:tcW w:w="2066" w:type="dxa"/>
            <w:tcBorders>
              <w:top w:val="single" w:color="auto" w:sz="4" w:space="0"/>
              <w:left w:val="single" w:color="auto" w:sz="4" w:space="0"/>
              <w:bottom w:val="single" w:color="auto" w:sz="12" w:space="0"/>
              <w:right w:val="single" w:color="auto" w:sz="12" w:space="0"/>
            </w:tcBorders>
            <w:noWrap/>
            <w:vAlign w:val="center"/>
          </w:tcPr>
          <w:p>
            <w:pPr>
              <w:spacing w:line="260" w:lineRule="atLeast"/>
              <w:jc w:val="center"/>
              <w:rPr>
                <w:color w:val="auto"/>
                <w:szCs w:val="21"/>
                <w:highlight w:val="none"/>
              </w:rPr>
            </w:pPr>
            <w:r>
              <w:rPr>
                <w:rFonts w:hint="eastAsia"/>
                <w:bCs/>
                <w:color w:val="auto"/>
                <w:szCs w:val="21"/>
                <w:highlight w:val="none"/>
                <w:lang w:bidi="ar"/>
              </w:rPr>
              <w:t>20</w:t>
            </w:r>
            <w:r>
              <w:rPr>
                <w:bCs/>
                <w:color w:val="auto"/>
                <w:szCs w:val="21"/>
                <w:highlight w:val="none"/>
                <w:lang w:bidi="ar"/>
              </w:rPr>
              <w:t>%</w:t>
            </w:r>
          </w:p>
        </w:tc>
      </w:tr>
    </w:tbl>
    <w:p>
      <w:pPr>
        <w:widowControl/>
        <w:spacing w:line="360" w:lineRule="auto"/>
        <w:ind w:firstLine="480" w:firstLineChars="200"/>
        <w:rPr>
          <w:sz w:val="24"/>
        </w:rPr>
      </w:pPr>
      <w:r>
        <w:rPr>
          <w:rFonts w:hint="eastAsia"/>
          <w:sz w:val="24"/>
          <w:lang w:bidi="ar"/>
        </w:rPr>
        <w:t>由表</w:t>
      </w:r>
      <w:r>
        <w:rPr>
          <w:sz w:val="24"/>
          <w:lang w:bidi="ar"/>
        </w:rPr>
        <w:t>3.3-5</w:t>
      </w:r>
      <w:r>
        <w:rPr>
          <w:rFonts w:hint="eastAsia"/>
          <w:sz w:val="24"/>
          <w:lang w:bidi="ar"/>
        </w:rPr>
        <w:t>可以看出，评价区域各监测点</w:t>
      </w:r>
      <w:r>
        <w:rPr>
          <w:sz w:val="24"/>
          <w:lang w:bidi="ar"/>
        </w:rPr>
        <w:t>NH</w:t>
      </w:r>
      <w:r>
        <w:rPr>
          <w:sz w:val="24"/>
          <w:vertAlign w:val="subscript"/>
          <w:lang w:bidi="ar"/>
        </w:rPr>
        <w:t>3</w:t>
      </w:r>
      <w:r>
        <w:rPr>
          <w:rFonts w:hint="eastAsia"/>
          <w:sz w:val="24"/>
          <w:lang w:bidi="ar"/>
        </w:rPr>
        <w:t>一次浓度值范围为</w:t>
      </w:r>
      <w:r>
        <w:rPr>
          <w:sz w:val="24"/>
          <w:lang w:bidi="ar"/>
        </w:rPr>
        <w:t>0.0</w:t>
      </w:r>
      <w:r>
        <w:rPr>
          <w:rFonts w:hint="eastAsia"/>
          <w:sz w:val="24"/>
          <w:lang w:val="en-US" w:eastAsia="zh-CN" w:bidi="ar"/>
        </w:rPr>
        <w:t>1</w:t>
      </w:r>
      <w:r>
        <w:rPr>
          <w:sz w:val="24"/>
          <w:lang w:bidi="ar"/>
        </w:rPr>
        <w:t>~0.</w:t>
      </w:r>
      <w:r>
        <w:rPr>
          <w:rFonts w:hint="eastAsia"/>
          <w:sz w:val="24"/>
          <w:lang w:bidi="ar"/>
        </w:rPr>
        <w:t>0</w:t>
      </w:r>
      <w:r>
        <w:rPr>
          <w:rFonts w:hint="eastAsia"/>
          <w:sz w:val="24"/>
          <w:lang w:val="en-US" w:eastAsia="zh-CN" w:bidi="ar"/>
        </w:rPr>
        <w:t>2</w:t>
      </w:r>
      <w:r>
        <w:rPr>
          <w:sz w:val="24"/>
          <w:lang w:bidi="ar"/>
        </w:rPr>
        <w:t>mg/m</w:t>
      </w:r>
      <w:r>
        <w:rPr>
          <w:sz w:val="24"/>
          <w:vertAlign w:val="superscript"/>
          <w:lang w:bidi="ar"/>
        </w:rPr>
        <w:t>3</w:t>
      </w:r>
      <w:r>
        <w:rPr>
          <w:rFonts w:hint="eastAsia"/>
          <w:sz w:val="24"/>
          <w:lang w:bidi="ar"/>
        </w:rPr>
        <w:t>、</w:t>
      </w:r>
      <w:r>
        <w:rPr>
          <w:sz w:val="24"/>
          <w:lang w:bidi="ar"/>
        </w:rPr>
        <w:t>H</w:t>
      </w:r>
      <w:r>
        <w:rPr>
          <w:sz w:val="24"/>
          <w:vertAlign w:val="subscript"/>
          <w:lang w:bidi="ar"/>
        </w:rPr>
        <w:t>2</w:t>
      </w:r>
      <w:r>
        <w:rPr>
          <w:sz w:val="24"/>
          <w:lang w:bidi="ar"/>
        </w:rPr>
        <w:t>S0.00</w:t>
      </w:r>
      <w:r>
        <w:rPr>
          <w:rFonts w:hint="eastAsia"/>
          <w:sz w:val="24"/>
          <w:lang w:val="en-US" w:eastAsia="zh-CN" w:bidi="ar"/>
        </w:rPr>
        <w:t>1</w:t>
      </w:r>
      <w:r>
        <w:rPr>
          <w:sz w:val="24"/>
          <w:lang w:bidi="ar"/>
        </w:rPr>
        <w:t>~0.00</w:t>
      </w:r>
      <w:r>
        <w:rPr>
          <w:rFonts w:hint="eastAsia"/>
          <w:sz w:val="24"/>
          <w:lang w:val="en-US" w:eastAsia="zh-CN" w:bidi="ar"/>
        </w:rPr>
        <w:t>3</w:t>
      </w:r>
      <w:r>
        <w:rPr>
          <w:sz w:val="24"/>
          <w:lang w:bidi="ar"/>
        </w:rPr>
        <w:t>mg/m</w:t>
      </w:r>
      <w:r>
        <w:rPr>
          <w:sz w:val="24"/>
          <w:vertAlign w:val="superscript"/>
          <w:lang w:bidi="ar"/>
        </w:rPr>
        <w:t>3</w:t>
      </w:r>
      <w:r>
        <w:rPr>
          <w:rFonts w:hint="eastAsia"/>
          <w:sz w:val="24"/>
          <w:lang w:bidi="ar"/>
        </w:rPr>
        <w:t>，均能满足《环境影响评价技术导则</w:t>
      </w:r>
      <w:r>
        <w:rPr>
          <w:sz w:val="24"/>
          <w:lang w:bidi="ar"/>
        </w:rPr>
        <w:t xml:space="preserve"> </w:t>
      </w:r>
      <w:r>
        <w:rPr>
          <w:rFonts w:hint="eastAsia"/>
          <w:sz w:val="24"/>
          <w:lang w:bidi="ar"/>
        </w:rPr>
        <w:t>大气环境（</w:t>
      </w:r>
      <w:r>
        <w:rPr>
          <w:sz w:val="24"/>
          <w:lang w:bidi="ar"/>
        </w:rPr>
        <w:t>HJ2.2-2018</w:t>
      </w:r>
      <w:r>
        <w:rPr>
          <w:rFonts w:hint="eastAsia"/>
          <w:sz w:val="24"/>
          <w:lang w:bidi="ar"/>
        </w:rPr>
        <w:t>）》中附录</w:t>
      </w:r>
      <w:r>
        <w:rPr>
          <w:sz w:val="24"/>
          <w:lang w:bidi="ar"/>
        </w:rPr>
        <w:t>D</w:t>
      </w:r>
      <w:r>
        <w:rPr>
          <w:rFonts w:hint="eastAsia"/>
          <w:sz w:val="24"/>
          <w:lang w:bidi="ar"/>
        </w:rPr>
        <w:t>的最高允许浓度限值</w:t>
      </w:r>
      <w:r>
        <w:rPr>
          <w:rFonts w:hint="eastAsia"/>
          <w:spacing w:val="-4"/>
          <w:sz w:val="24"/>
          <w:lang w:bidi="ar"/>
        </w:rPr>
        <w:t>要求。</w:t>
      </w:r>
    </w:p>
    <w:p>
      <w:pPr>
        <w:pStyle w:val="2"/>
        <w:spacing w:before="0" w:after="0" w:line="520" w:lineRule="exact"/>
        <w:rPr>
          <w:rFonts w:eastAsia="黑体"/>
          <w:b w:val="0"/>
          <w:sz w:val="24"/>
          <w:szCs w:val="24"/>
        </w:rPr>
      </w:pPr>
      <w:bookmarkStart w:id="330" w:name="_Toc468366613"/>
      <w:bookmarkStart w:id="331" w:name="_Toc413829635"/>
      <w:bookmarkStart w:id="332" w:name="_Toc406663002"/>
      <w:r>
        <w:rPr>
          <w:rFonts w:eastAsia="黑体"/>
          <w:b w:val="0"/>
          <w:sz w:val="24"/>
          <w:szCs w:val="24"/>
        </w:rPr>
        <w:t>3.3.2地表水环境质量现状监测与评价</w:t>
      </w:r>
      <w:bookmarkEnd w:id="330"/>
      <w:bookmarkEnd w:id="331"/>
      <w:bookmarkEnd w:id="332"/>
    </w:p>
    <w:p>
      <w:pPr>
        <w:spacing w:line="520" w:lineRule="exact"/>
        <w:rPr>
          <w:b/>
          <w:sz w:val="24"/>
        </w:rPr>
      </w:pPr>
      <w:bookmarkStart w:id="333" w:name="_Toc413829636"/>
      <w:bookmarkStart w:id="334" w:name="_Toc406663003"/>
      <w:r>
        <w:rPr>
          <w:b/>
          <w:sz w:val="24"/>
        </w:rPr>
        <w:t>3.3.2.1 区域地表水</w:t>
      </w:r>
      <w:bookmarkEnd w:id="333"/>
      <w:bookmarkEnd w:id="334"/>
      <w:r>
        <w:rPr>
          <w:b/>
          <w:sz w:val="24"/>
        </w:rPr>
        <w:t>概况</w:t>
      </w:r>
    </w:p>
    <w:p>
      <w:pPr>
        <w:pStyle w:val="25"/>
        <w:spacing w:line="520" w:lineRule="exact"/>
        <w:ind w:firstLine="480"/>
        <w:rPr>
          <w:color w:val="auto"/>
          <w:kern w:val="0"/>
          <w:szCs w:val="20"/>
          <w:highlight w:val="none"/>
        </w:rPr>
      </w:pPr>
      <w:bookmarkStart w:id="335" w:name="_Toc413829637"/>
      <w:bookmarkStart w:id="336" w:name="_Toc406663004"/>
      <w:r>
        <w:rPr>
          <w:kern w:val="0"/>
          <w:szCs w:val="20"/>
        </w:rPr>
        <w:t>本项目运行过程中产生的生产和生活废水用于生产沼气，无废水外排。场区区域地表水体为</w:t>
      </w:r>
      <w:r>
        <w:rPr>
          <w:rFonts w:hint="eastAsia"/>
          <w:kern w:val="0"/>
          <w:szCs w:val="20"/>
          <w:lang w:eastAsia="zh-CN"/>
        </w:rPr>
        <w:t>项目西北侧2800m的黄大港</w:t>
      </w:r>
      <w:r>
        <w:rPr>
          <w:rFonts w:hint="eastAsia" w:hAnsi="宋体"/>
          <w:snapToGrid w:val="0"/>
        </w:rPr>
        <w:t>（</w:t>
      </w:r>
      <w:r>
        <w:rPr>
          <w:rFonts w:hint="eastAsia" w:hAnsi="宋体"/>
          <w:snapToGrid w:val="0"/>
          <w:lang w:eastAsia="zh-CN"/>
        </w:rPr>
        <w:t>黄大港为汝河支流，汝河为淮河支流</w:t>
      </w:r>
      <w:r>
        <w:rPr>
          <w:rFonts w:hint="eastAsia" w:hAnsi="宋体"/>
          <w:snapToGrid w:val="0"/>
        </w:rPr>
        <w:t>）</w:t>
      </w:r>
      <w:r>
        <w:t>，</w:t>
      </w:r>
      <w:r>
        <w:rPr>
          <w:kern w:val="0"/>
          <w:szCs w:val="20"/>
        </w:rPr>
        <w:t>根据项目附近水域特点，为了反</w:t>
      </w:r>
      <w:r>
        <w:rPr>
          <w:color w:val="auto"/>
          <w:kern w:val="0"/>
          <w:szCs w:val="20"/>
          <w:highlight w:val="none"/>
        </w:rPr>
        <w:t>映项目区的地表水体现状，</w:t>
      </w:r>
      <w:r>
        <w:rPr>
          <w:rFonts w:hint="eastAsia"/>
          <w:color w:val="auto"/>
          <w:kern w:val="0"/>
          <w:szCs w:val="20"/>
          <w:highlight w:val="none"/>
          <w:lang w:val="en-US" w:eastAsia="zh-CN"/>
        </w:rPr>
        <w:t>正阳县鑫鑫向荣大型种猪养殖有限责任公司</w:t>
      </w:r>
      <w:r>
        <w:rPr>
          <w:color w:val="auto"/>
          <w:kern w:val="0"/>
          <w:szCs w:val="20"/>
          <w:highlight w:val="none"/>
        </w:rPr>
        <w:t>有限公司委托</w:t>
      </w:r>
      <w:r>
        <w:rPr>
          <w:rFonts w:hint="eastAsia"/>
          <w:color w:val="auto"/>
          <w:kern w:val="0"/>
          <w:szCs w:val="20"/>
          <w:highlight w:val="none"/>
          <w:lang w:eastAsia="zh-CN"/>
        </w:rPr>
        <w:t>河南金诺源环境检测有限公司</w:t>
      </w:r>
      <w:r>
        <w:rPr>
          <w:color w:val="auto"/>
          <w:kern w:val="0"/>
          <w:szCs w:val="20"/>
          <w:highlight w:val="none"/>
        </w:rPr>
        <w:t>于20</w:t>
      </w:r>
      <w:r>
        <w:rPr>
          <w:rFonts w:hint="eastAsia"/>
          <w:color w:val="auto"/>
          <w:kern w:val="0"/>
          <w:szCs w:val="20"/>
          <w:highlight w:val="none"/>
          <w:lang w:val="en-US" w:eastAsia="zh-CN"/>
        </w:rPr>
        <w:t>21</w:t>
      </w:r>
      <w:r>
        <w:rPr>
          <w:color w:val="auto"/>
          <w:kern w:val="0"/>
          <w:szCs w:val="20"/>
          <w:highlight w:val="none"/>
        </w:rPr>
        <w:t>年</w:t>
      </w:r>
      <w:r>
        <w:rPr>
          <w:rFonts w:hint="eastAsia"/>
          <w:color w:val="auto"/>
          <w:kern w:val="0"/>
          <w:szCs w:val="20"/>
          <w:highlight w:val="none"/>
          <w:lang w:val="en-US" w:eastAsia="zh-CN"/>
        </w:rPr>
        <w:t>03</w:t>
      </w:r>
      <w:r>
        <w:rPr>
          <w:color w:val="auto"/>
          <w:kern w:val="0"/>
          <w:szCs w:val="20"/>
          <w:highlight w:val="none"/>
        </w:rPr>
        <w:t>月</w:t>
      </w:r>
      <w:r>
        <w:rPr>
          <w:rFonts w:hint="eastAsia"/>
          <w:color w:val="auto"/>
          <w:kern w:val="0"/>
          <w:szCs w:val="20"/>
          <w:highlight w:val="none"/>
        </w:rPr>
        <w:t>0</w:t>
      </w:r>
      <w:r>
        <w:rPr>
          <w:rFonts w:hint="eastAsia"/>
          <w:color w:val="auto"/>
          <w:kern w:val="0"/>
          <w:szCs w:val="20"/>
          <w:highlight w:val="none"/>
          <w:lang w:val="en-US" w:eastAsia="zh-CN"/>
        </w:rPr>
        <w:t>8-10</w:t>
      </w:r>
      <w:r>
        <w:rPr>
          <w:color w:val="auto"/>
          <w:kern w:val="0"/>
          <w:szCs w:val="20"/>
          <w:highlight w:val="none"/>
        </w:rPr>
        <w:t>日对项目区域附近地表水体</w:t>
      </w:r>
      <w:r>
        <w:rPr>
          <w:rFonts w:hint="eastAsia"/>
          <w:color w:val="auto"/>
          <w:highlight w:val="none"/>
          <w:lang w:val="en-US" w:eastAsia="zh-CN"/>
        </w:rPr>
        <w:t>黄大港</w:t>
      </w:r>
      <w:r>
        <w:rPr>
          <w:color w:val="auto"/>
          <w:kern w:val="0"/>
          <w:szCs w:val="20"/>
          <w:highlight w:val="none"/>
        </w:rPr>
        <w:t>进行了现状监测。</w:t>
      </w:r>
    </w:p>
    <w:p>
      <w:pPr>
        <w:spacing w:line="520" w:lineRule="exact"/>
        <w:rPr>
          <w:b/>
          <w:color w:val="auto"/>
          <w:sz w:val="24"/>
          <w:highlight w:val="none"/>
        </w:rPr>
      </w:pPr>
      <w:r>
        <w:rPr>
          <w:b/>
          <w:color w:val="auto"/>
          <w:sz w:val="24"/>
          <w:highlight w:val="none"/>
        </w:rPr>
        <w:t>3.3.2.2监测断面</w:t>
      </w:r>
    </w:p>
    <w:p>
      <w:pPr>
        <w:spacing w:after="72" w:afterLines="30" w:line="500" w:lineRule="exact"/>
        <w:ind w:firstLine="480" w:firstLineChars="200"/>
        <w:jc w:val="left"/>
        <w:rPr>
          <w:rFonts w:hint="eastAsia"/>
          <w:bCs/>
          <w:sz w:val="24"/>
        </w:rPr>
      </w:pPr>
      <w:r>
        <w:rPr>
          <w:rFonts w:hint="eastAsia"/>
          <w:bCs/>
          <w:color w:val="auto"/>
          <w:sz w:val="24"/>
          <w:highlight w:val="none"/>
        </w:rPr>
        <w:t>项目监测断面详见</w:t>
      </w:r>
      <w:r>
        <w:rPr>
          <w:rFonts w:hint="eastAsia"/>
          <w:bCs/>
          <w:sz w:val="24"/>
        </w:rPr>
        <w:t>下表。</w:t>
      </w:r>
    </w:p>
    <w:p>
      <w:pPr>
        <w:spacing w:after="72" w:afterLines="30" w:line="500" w:lineRule="exact"/>
        <w:jc w:val="center"/>
        <w:rPr>
          <w:b/>
          <w:sz w:val="24"/>
        </w:rPr>
      </w:pPr>
      <w:r>
        <w:rPr>
          <w:b/>
          <w:sz w:val="24"/>
        </w:rPr>
        <w:t>表3.3-7     地表水环境现状监测断面布设一览表</w:t>
      </w:r>
    </w:p>
    <w:tbl>
      <w:tblPr>
        <w:tblStyle w:val="1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8"/>
        <w:gridCol w:w="2471"/>
        <w:gridCol w:w="3625"/>
        <w:gridCol w:w="15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tcBorders>
              <w:top w:val="single" w:color="auto" w:sz="8" w:space="0"/>
              <w:left w:val="single" w:color="auto" w:sz="8" w:space="0"/>
              <w:bottom w:val="single" w:color="auto" w:sz="8" w:space="0"/>
              <w:right w:val="single" w:color="auto" w:sz="8" w:space="0"/>
            </w:tcBorders>
            <w:noWrap w:val="0"/>
            <w:vAlign w:val="center"/>
          </w:tcPr>
          <w:p>
            <w:pPr>
              <w:jc w:val="center"/>
              <w:rPr>
                <w:rFonts w:ascii="宋体" w:hAnsi="宋体" w:cs="宋体"/>
                <w:bCs/>
                <w:szCs w:val="21"/>
              </w:rPr>
            </w:pPr>
            <w:r>
              <w:rPr>
                <w:rFonts w:hint="eastAsia" w:ascii="宋体" w:hAnsi="宋体" w:cs="宋体"/>
                <w:bCs/>
                <w:szCs w:val="21"/>
              </w:rPr>
              <w:t>场区</w:t>
            </w:r>
          </w:p>
        </w:tc>
        <w:tc>
          <w:tcPr>
            <w:tcW w:w="1381" w:type="pct"/>
            <w:tcBorders>
              <w:top w:val="single" w:color="auto" w:sz="8" w:space="0"/>
              <w:left w:val="single" w:color="auto" w:sz="8" w:space="0"/>
              <w:bottom w:val="single" w:color="auto" w:sz="8" w:space="0"/>
              <w:right w:val="single" w:color="auto" w:sz="8" w:space="0"/>
            </w:tcBorders>
            <w:noWrap w:val="0"/>
            <w:vAlign w:val="center"/>
          </w:tcPr>
          <w:p>
            <w:pPr>
              <w:jc w:val="center"/>
              <w:rPr>
                <w:rFonts w:ascii="宋体" w:hAnsi="宋体" w:cs="宋体"/>
                <w:bCs/>
                <w:szCs w:val="21"/>
              </w:rPr>
            </w:pPr>
            <w:r>
              <w:rPr>
                <w:rFonts w:hint="eastAsia" w:ascii="宋体" w:hAnsi="宋体" w:cs="宋体"/>
                <w:bCs/>
                <w:szCs w:val="21"/>
              </w:rPr>
              <w:t>监测点位序号</w:t>
            </w:r>
          </w:p>
        </w:tc>
        <w:tc>
          <w:tcPr>
            <w:tcW w:w="2026" w:type="pct"/>
            <w:tcBorders>
              <w:top w:val="single" w:color="auto" w:sz="8" w:space="0"/>
              <w:left w:val="single" w:color="auto" w:sz="8" w:space="0"/>
              <w:bottom w:val="single" w:color="auto" w:sz="8" w:space="0"/>
              <w:right w:val="single" w:color="auto" w:sz="8" w:space="0"/>
            </w:tcBorders>
            <w:noWrap w:val="0"/>
            <w:vAlign w:val="center"/>
          </w:tcPr>
          <w:p>
            <w:pPr>
              <w:jc w:val="center"/>
              <w:rPr>
                <w:rFonts w:ascii="宋体" w:hAnsi="宋体" w:cs="宋体"/>
                <w:bCs/>
                <w:szCs w:val="21"/>
              </w:rPr>
            </w:pPr>
            <w:r>
              <w:rPr>
                <w:rFonts w:hint="eastAsia" w:ascii="宋体" w:hAnsi="宋体" w:cs="宋体"/>
                <w:bCs/>
                <w:szCs w:val="21"/>
              </w:rPr>
              <w:t>位置</w:t>
            </w:r>
          </w:p>
        </w:tc>
        <w:tc>
          <w:tcPr>
            <w:tcW w:w="876" w:type="pct"/>
            <w:tcBorders>
              <w:top w:val="single" w:color="auto" w:sz="8" w:space="0"/>
              <w:left w:val="single" w:color="auto" w:sz="8" w:space="0"/>
              <w:bottom w:val="single" w:color="auto" w:sz="8" w:space="0"/>
              <w:right w:val="single" w:color="auto" w:sz="8" w:space="0"/>
            </w:tcBorders>
            <w:noWrap w:val="0"/>
            <w:vAlign w:val="center"/>
          </w:tcPr>
          <w:p>
            <w:pPr>
              <w:jc w:val="center"/>
              <w:rPr>
                <w:rFonts w:ascii="宋体" w:hAnsi="宋体" w:cs="宋体"/>
                <w:bCs/>
                <w:szCs w:val="21"/>
              </w:rPr>
            </w:pPr>
            <w:r>
              <w:rPr>
                <w:rFonts w:hint="eastAsia" w:ascii="宋体" w:hAnsi="宋体" w:cs="宋体"/>
                <w:bCs/>
                <w:szCs w:val="21"/>
              </w:rPr>
              <w:t>功能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4" w:type="pct"/>
            <w:vMerge w:val="restart"/>
            <w:tcBorders>
              <w:top w:val="single" w:color="auto" w:sz="8" w:space="0"/>
              <w:left w:val="single" w:color="auto" w:sz="8" w:space="0"/>
              <w:bottom w:val="single" w:color="auto" w:sz="8" w:space="0"/>
              <w:right w:val="single" w:color="auto" w:sz="8" w:space="0"/>
            </w:tcBorders>
            <w:noWrap w:val="0"/>
            <w:vAlign w:val="center"/>
          </w:tcPr>
          <w:p>
            <w:pPr>
              <w:ind w:firstLine="210" w:firstLineChars="100"/>
              <w:jc w:val="center"/>
              <w:rPr>
                <w:rFonts w:ascii="宋体" w:hAnsi="宋体" w:cs="宋体"/>
                <w:bCs/>
                <w:szCs w:val="21"/>
              </w:rPr>
            </w:pPr>
            <w:r>
              <w:rPr>
                <w:rFonts w:hint="eastAsia" w:ascii="宋体" w:hAnsi="宋体" w:cs="宋体"/>
                <w:bCs/>
                <w:szCs w:val="21"/>
              </w:rPr>
              <w:t>本项目</w:t>
            </w:r>
          </w:p>
        </w:tc>
        <w:tc>
          <w:tcPr>
            <w:tcW w:w="1381" w:type="pct"/>
            <w:tcBorders>
              <w:top w:val="single" w:color="auto" w:sz="8" w:space="0"/>
              <w:left w:val="single" w:color="auto" w:sz="8" w:space="0"/>
              <w:bottom w:val="single" w:color="auto" w:sz="8" w:space="0"/>
              <w:right w:val="single" w:color="auto" w:sz="8" w:space="0"/>
            </w:tcBorders>
            <w:noWrap w:val="0"/>
            <w:vAlign w:val="center"/>
          </w:tcPr>
          <w:p>
            <w:pPr>
              <w:jc w:val="center"/>
              <w:rPr>
                <w:rFonts w:ascii="宋体" w:hAnsi="宋体" w:cs="宋体"/>
                <w:bCs/>
                <w:szCs w:val="21"/>
              </w:rPr>
            </w:pPr>
            <w:r>
              <w:rPr>
                <w:bCs/>
                <w:szCs w:val="21"/>
              </w:rPr>
              <w:t>1#</w:t>
            </w:r>
          </w:p>
        </w:tc>
        <w:tc>
          <w:tcPr>
            <w:tcW w:w="2026" w:type="pct"/>
            <w:tcBorders>
              <w:top w:val="single" w:color="auto" w:sz="8" w:space="0"/>
              <w:left w:val="single" w:color="auto" w:sz="8" w:space="0"/>
              <w:bottom w:val="single" w:color="auto" w:sz="8" w:space="0"/>
              <w:right w:val="single" w:color="auto" w:sz="8" w:space="0"/>
            </w:tcBorders>
            <w:noWrap w:val="0"/>
            <w:vAlign w:val="center"/>
          </w:tcPr>
          <w:p>
            <w:pPr>
              <w:jc w:val="center"/>
              <w:rPr>
                <w:rFonts w:hint="eastAsia"/>
                <w:bCs/>
                <w:szCs w:val="21"/>
              </w:rPr>
            </w:pPr>
            <w:r>
              <w:rPr>
                <w:rFonts w:hint="eastAsia"/>
                <w:bCs/>
                <w:szCs w:val="21"/>
                <w:lang w:eastAsia="zh-CN"/>
              </w:rPr>
              <w:t>1#黄大港-李岗断面</w:t>
            </w:r>
          </w:p>
        </w:tc>
        <w:tc>
          <w:tcPr>
            <w:tcW w:w="876" w:type="pct"/>
            <w:tcBorders>
              <w:top w:val="single" w:color="auto" w:sz="8" w:space="0"/>
              <w:left w:val="single" w:color="auto" w:sz="8" w:space="0"/>
              <w:bottom w:val="single" w:color="auto" w:sz="8" w:space="0"/>
              <w:right w:val="single" w:color="auto" w:sz="8" w:space="0"/>
            </w:tcBorders>
            <w:noWrap w:val="0"/>
            <w:vAlign w:val="center"/>
          </w:tcPr>
          <w:p>
            <w:pPr>
              <w:jc w:val="center"/>
              <w:rPr>
                <w:rFonts w:ascii="宋体" w:hAnsi="宋体" w:cs="宋体"/>
                <w:bCs/>
                <w:szCs w:val="21"/>
              </w:rPr>
            </w:pPr>
            <w:r>
              <w:rPr>
                <w:rFonts w:hint="eastAsia" w:ascii="宋体" w:hAnsi="宋体" w:cs="宋体"/>
                <w:bCs/>
                <w:szCs w:val="21"/>
              </w:rPr>
              <w:t>背景断面</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714" w:type="pct"/>
            <w:vMerge w:val="continue"/>
            <w:tcBorders>
              <w:top w:val="single" w:color="auto" w:sz="8" w:space="0"/>
              <w:left w:val="single" w:color="auto" w:sz="8" w:space="0"/>
              <w:bottom w:val="single" w:color="auto" w:sz="8" w:space="0"/>
              <w:right w:val="single" w:color="auto" w:sz="8" w:space="0"/>
            </w:tcBorders>
            <w:noWrap w:val="0"/>
            <w:vAlign w:val="center"/>
          </w:tcPr>
          <w:p>
            <w:pPr>
              <w:jc w:val="center"/>
              <w:rPr>
                <w:rFonts w:hint="eastAsia" w:ascii="宋体" w:hAnsi="宋体" w:cs="宋体"/>
                <w:bCs/>
                <w:szCs w:val="21"/>
              </w:rPr>
            </w:pPr>
          </w:p>
        </w:tc>
        <w:tc>
          <w:tcPr>
            <w:tcW w:w="1381" w:type="pct"/>
            <w:tcBorders>
              <w:top w:val="single" w:color="auto" w:sz="8" w:space="0"/>
              <w:left w:val="single" w:color="auto" w:sz="8" w:space="0"/>
              <w:bottom w:val="single" w:color="auto" w:sz="8" w:space="0"/>
              <w:right w:val="single" w:color="auto" w:sz="8" w:space="0"/>
            </w:tcBorders>
            <w:noWrap w:val="0"/>
            <w:vAlign w:val="center"/>
          </w:tcPr>
          <w:p>
            <w:pPr>
              <w:jc w:val="center"/>
              <w:rPr>
                <w:rFonts w:hint="eastAsia"/>
                <w:bCs/>
                <w:szCs w:val="21"/>
              </w:rPr>
            </w:pPr>
            <w:r>
              <w:rPr>
                <w:rFonts w:hint="eastAsia"/>
                <w:bCs/>
                <w:szCs w:val="21"/>
              </w:rPr>
              <w:t>2#</w:t>
            </w:r>
          </w:p>
        </w:tc>
        <w:tc>
          <w:tcPr>
            <w:tcW w:w="2026" w:type="pct"/>
            <w:tcBorders>
              <w:top w:val="single" w:color="auto" w:sz="8" w:space="0"/>
              <w:left w:val="single" w:color="auto" w:sz="8" w:space="0"/>
              <w:bottom w:val="single" w:color="auto" w:sz="8" w:space="0"/>
              <w:right w:val="single" w:color="auto" w:sz="8" w:space="0"/>
            </w:tcBorders>
            <w:noWrap w:val="0"/>
            <w:vAlign w:val="center"/>
          </w:tcPr>
          <w:p>
            <w:pPr>
              <w:jc w:val="center"/>
              <w:rPr>
                <w:rFonts w:hint="eastAsia"/>
                <w:bCs/>
                <w:szCs w:val="21"/>
              </w:rPr>
            </w:pPr>
            <w:r>
              <w:rPr>
                <w:rFonts w:hint="eastAsia"/>
                <w:bCs/>
                <w:szCs w:val="21"/>
                <w:lang w:eastAsia="zh-CN"/>
              </w:rPr>
              <w:t>2#黄大港-朱楼断面</w:t>
            </w:r>
          </w:p>
        </w:tc>
        <w:tc>
          <w:tcPr>
            <w:tcW w:w="876" w:type="pct"/>
            <w:tcBorders>
              <w:top w:val="single" w:color="auto" w:sz="8" w:space="0"/>
              <w:left w:val="single" w:color="auto" w:sz="8" w:space="0"/>
              <w:bottom w:val="single" w:color="auto" w:sz="8" w:space="0"/>
              <w:right w:val="single" w:color="auto" w:sz="8" w:space="0"/>
            </w:tcBorders>
            <w:noWrap w:val="0"/>
            <w:vAlign w:val="center"/>
          </w:tcPr>
          <w:p>
            <w:pPr>
              <w:jc w:val="center"/>
              <w:rPr>
                <w:rFonts w:hint="eastAsia" w:ascii="宋体" w:hAnsi="宋体" w:cs="宋体"/>
                <w:bCs/>
                <w:szCs w:val="21"/>
              </w:rPr>
            </w:pPr>
            <w:r>
              <w:rPr>
                <w:rFonts w:hint="eastAsia" w:ascii="宋体" w:hAnsi="宋体" w:cs="宋体"/>
                <w:bCs/>
                <w:szCs w:val="21"/>
              </w:rPr>
              <w:t>背景断面</w:t>
            </w:r>
          </w:p>
        </w:tc>
      </w:tr>
    </w:tbl>
    <w:p>
      <w:pPr>
        <w:spacing w:line="520" w:lineRule="exact"/>
        <w:rPr>
          <w:b/>
          <w:sz w:val="24"/>
        </w:rPr>
      </w:pPr>
      <w:r>
        <w:rPr>
          <w:b/>
          <w:sz w:val="24"/>
        </w:rPr>
        <w:t>3.3.2.3监测因子</w:t>
      </w:r>
    </w:p>
    <w:p>
      <w:pPr>
        <w:pStyle w:val="32"/>
        <w:spacing w:line="520" w:lineRule="exact"/>
        <w:ind w:firstLine="480"/>
        <w:rPr>
          <w:rFonts w:hint="eastAsia" w:eastAsia="宋体"/>
          <w:lang w:eastAsia="zh-CN"/>
        </w:rPr>
      </w:pPr>
      <w:r>
        <w:rPr>
          <w:rFonts w:hint="eastAsia"/>
        </w:rPr>
        <w:t>监测项目为pH，CODcr，BOD</w:t>
      </w:r>
      <w:r>
        <w:rPr>
          <w:rFonts w:hint="eastAsia"/>
          <w:vertAlign w:val="subscript"/>
        </w:rPr>
        <w:t>5</w:t>
      </w:r>
      <w:r>
        <w:rPr>
          <w:rFonts w:hint="eastAsia"/>
        </w:rPr>
        <w:t>，氨氮，总磷， SS、粪大肠菌群</w:t>
      </w:r>
      <w:r>
        <w:rPr>
          <w:rFonts w:hint="eastAsia"/>
          <w:lang w:eastAsia="zh-CN"/>
        </w:rPr>
        <w:t>。</w:t>
      </w:r>
    </w:p>
    <w:p>
      <w:pPr>
        <w:spacing w:line="520" w:lineRule="exact"/>
        <w:rPr>
          <w:b/>
          <w:sz w:val="24"/>
        </w:rPr>
      </w:pPr>
      <w:r>
        <w:rPr>
          <w:b/>
          <w:sz w:val="24"/>
        </w:rPr>
        <w:t>3.3.2.4监测频次</w:t>
      </w:r>
    </w:p>
    <w:p>
      <w:pPr>
        <w:spacing w:line="520" w:lineRule="exact"/>
        <w:ind w:firstLine="480" w:firstLineChars="200"/>
        <w:rPr>
          <w:sz w:val="24"/>
        </w:rPr>
      </w:pPr>
      <w:r>
        <w:rPr>
          <w:sz w:val="24"/>
        </w:rPr>
        <w:t>连续监测3天，每天采样2次。</w:t>
      </w:r>
    </w:p>
    <w:p>
      <w:pPr>
        <w:spacing w:line="520" w:lineRule="exact"/>
        <w:rPr>
          <w:b/>
          <w:sz w:val="24"/>
        </w:rPr>
      </w:pPr>
      <w:r>
        <w:rPr>
          <w:b/>
          <w:sz w:val="24"/>
        </w:rPr>
        <w:t>3.3.2.5监测方法</w:t>
      </w:r>
    </w:p>
    <w:p>
      <w:pPr>
        <w:spacing w:line="520" w:lineRule="exact"/>
        <w:ind w:firstLine="480" w:firstLineChars="200"/>
        <w:rPr>
          <w:sz w:val="24"/>
        </w:rPr>
      </w:pPr>
      <w:r>
        <w:rPr>
          <w:sz w:val="24"/>
        </w:rPr>
        <w:t>监测方法按《环境监测技术规范》及《水和废水监测分析方法》（第四版）的要求进行。地表水各监测因子监测分析方法见表3.3-8。</w:t>
      </w:r>
    </w:p>
    <w:p>
      <w:pPr>
        <w:spacing w:after="72" w:afterLines="30" w:line="500" w:lineRule="exact"/>
        <w:jc w:val="center"/>
        <w:rPr>
          <w:b/>
          <w:sz w:val="24"/>
        </w:rPr>
      </w:pPr>
      <w:r>
        <w:rPr>
          <w:b/>
          <w:sz w:val="24"/>
        </w:rPr>
        <w:t>表3.3-8    地表水监测分析方法</w:t>
      </w:r>
    </w:p>
    <w:tbl>
      <w:tblPr>
        <w:tblStyle w:val="17"/>
        <w:tblW w:w="890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57" w:type="dxa"/>
          <w:left w:w="28" w:type="dxa"/>
          <w:bottom w:w="57" w:type="dxa"/>
          <w:right w:w="28" w:type="dxa"/>
        </w:tblCellMar>
      </w:tblPr>
      <w:tblGrid>
        <w:gridCol w:w="987"/>
        <w:gridCol w:w="1528"/>
        <w:gridCol w:w="3690"/>
        <w:gridCol w:w="26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28" w:type="dxa"/>
            <w:bottom w:w="57" w:type="dxa"/>
            <w:right w:w="28" w:type="dxa"/>
          </w:tblCellMar>
        </w:tblPrEx>
        <w:trPr>
          <w:trHeight w:val="44" w:hRule="atLeast"/>
          <w:tblHeader/>
          <w:jc w:val="center"/>
        </w:trPr>
        <w:tc>
          <w:tcPr>
            <w:tcW w:w="987" w:type="dxa"/>
            <w:noWrap w:val="0"/>
            <w:vAlign w:val="center"/>
          </w:tcPr>
          <w:p>
            <w:pPr>
              <w:spacing w:line="360" w:lineRule="exact"/>
              <w:jc w:val="center"/>
              <w:rPr>
                <w:b/>
                <w:szCs w:val="21"/>
              </w:rPr>
            </w:pPr>
            <w:r>
              <w:rPr>
                <w:b/>
                <w:szCs w:val="21"/>
              </w:rPr>
              <w:t>序号</w:t>
            </w:r>
          </w:p>
        </w:tc>
        <w:tc>
          <w:tcPr>
            <w:tcW w:w="1528" w:type="dxa"/>
            <w:noWrap w:val="0"/>
            <w:vAlign w:val="center"/>
          </w:tcPr>
          <w:p>
            <w:pPr>
              <w:spacing w:line="360" w:lineRule="exact"/>
              <w:jc w:val="center"/>
              <w:rPr>
                <w:b/>
                <w:szCs w:val="21"/>
              </w:rPr>
            </w:pPr>
            <w:r>
              <w:rPr>
                <w:b/>
                <w:szCs w:val="21"/>
              </w:rPr>
              <w:t>监测项目</w:t>
            </w:r>
          </w:p>
        </w:tc>
        <w:tc>
          <w:tcPr>
            <w:tcW w:w="3690" w:type="dxa"/>
            <w:noWrap w:val="0"/>
            <w:vAlign w:val="center"/>
          </w:tcPr>
          <w:p>
            <w:pPr>
              <w:spacing w:line="360" w:lineRule="exact"/>
              <w:jc w:val="center"/>
              <w:rPr>
                <w:b/>
                <w:szCs w:val="21"/>
              </w:rPr>
            </w:pPr>
            <w:r>
              <w:rPr>
                <w:b/>
                <w:szCs w:val="21"/>
              </w:rPr>
              <w:t>监测分析方法</w:t>
            </w:r>
          </w:p>
        </w:tc>
        <w:tc>
          <w:tcPr>
            <w:tcW w:w="2695" w:type="dxa"/>
            <w:noWrap w:val="0"/>
            <w:vAlign w:val="center"/>
          </w:tcPr>
          <w:p>
            <w:pPr>
              <w:spacing w:line="360" w:lineRule="exact"/>
              <w:jc w:val="center"/>
              <w:rPr>
                <w:b/>
                <w:szCs w:val="21"/>
              </w:rPr>
            </w:pPr>
            <w:r>
              <w:rPr>
                <w:b/>
                <w:szCs w:val="21"/>
              </w:rPr>
              <w:t>分析方法标准号或来源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9" w:hRule="atLeast"/>
          <w:jc w:val="center"/>
        </w:trPr>
        <w:tc>
          <w:tcPr>
            <w:tcW w:w="987" w:type="dxa"/>
            <w:noWrap w:val="0"/>
            <w:vAlign w:val="center"/>
          </w:tcPr>
          <w:p>
            <w:pPr>
              <w:pStyle w:val="28"/>
              <w:spacing w:line="360" w:lineRule="exact"/>
              <w:rPr>
                <w:lang w:val="en-US" w:eastAsia="zh-CN"/>
              </w:rPr>
            </w:pPr>
            <w:r>
              <w:rPr>
                <w:lang w:val="en-US" w:eastAsia="zh-CN"/>
              </w:rPr>
              <w:t>1</w:t>
            </w:r>
          </w:p>
        </w:tc>
        <w:tc>
          <w:tcPr>
            <w:tcW w:w="1528" w:type="dxa"/>
            <w:noWrap w:val="0"/>
            <w:vAlign w:val="center"/>
          </w:tcPr>
          <w:p>
            <w:pPr>
              <w:pStyle w:val="28"/>
              <w:spacing w:line="360" w:lineRule="exact"/>
              <w:rPr>
                <w:lang w:val="en-US" w:eastAsia="zh-CN"/>
              </w:rPr>
            </w:pPr>
            <w:r>
              <w:rPr>
                <w:lang w:val="en-US" w:eastAsia="zh-CN"/>
              </w:rPr>
              <w:t>pH</w:t>
            </w:r>
          </w:p>
        </w:tc>
        <w:tc>
          <w:tcPr>
            <w:tcW w:w="3690" w:type="dxa"/>
            <w:noWrap w:val="0"/>
            <w:vAlign w:val="center"/>
          </w:tcPr>
          <w:p>
            <w:pPr>
              <w:pStyle w:val="28"/>
              <w:spacing w:line="360" w:lineRule="exact"/>
              <w:rPr>
                <w:lang w:val="en-US" w:eastAsia="zh-CN"/>
              </w:rPr>
            </w:pPr>
            <w:r>
              <w:rPr>
                <w:lang w:val="en-US" w:eastAsia="zh-CN"/>
              </w:rPr>
              <w:t>玻璃电极法</w:t>
            </w:r>
          </w:p>
        </w:tc>
        <w:tc>
          <w:tcPr>
            <w:tcW w:w="2695" w:type="dxa"/>
            <w:noWrap w:val="0"/>
            <w:vAlign w:val="center"/>
          </w:tcPr>
          <w:p>
            <w:pPr>
              <w:pStyle w:val="28"/>
              <w:spacing w:line="360" w:lineRule="exact"/>
              <w:rPr>
                <w:lang w:val="en-US" w:eastAsia="zh-CN"/>
              </w:rPr>
            </w:pPr>
            <w:r>
              <w:rPr>
                <w:lang w:val="en-US" w:eastAsia="zh-CN"/>
              </w:rPr>
              <w:t>GB/T6920-1986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28" w:type="dxa"/>
            <w:bottom w:w="57" w:type="dxa"/>
            <w:right w:w="28" w:type="dxa"/>
          </w:tblCellMar>
        </w:tblPrEx>
        <w:trPr>
          <w:trHeight w:val="59" w:hRule="atLeast"/>
          <w:jc w:val="center"/>
        </w:trPr>
        <w:tc>
          <w:tcPr>
            <w:tcW w:w="987" w:type="dxa"/>
            <w:noWrap w:val="0"/>
            <w:vAlign w:val="center"/>
          </w:tcPr>
          <w:p>
            <w:pPr>
              <w:pStyle w:val="28"/>
              <w:spacing w:line="360" w:lineRule="exact"/>
              <w:rPr>
                <w:lang w:val="en-US" w:eastAsia="zh-CN"/>
              </w:rPr>
            </w:pPr>
            <w:r>
              <w:rPr>
                <w:lang w:val="en-US" w:eastAsia="zh-CN"/>
              </w:rPr>
              <w:t>2</w:t>
            </w:r>
          </w:p>
        </w:tc>
        <w:tc>
          <w:tcPr>
            <w:tcW w:w="1528" w:type="dxa"/>
            <w:noWrap w:val="0"/>
            <w:vAlign w:val="center"/>
          </w:tcPr>
          <w:p>
            <w:pPr>
              <w:pStyle w:val="28"/>
              <w:spacing w:line="360" w:lineRule="exact"/>
              <w:rPr>
                <w:lang w:val="en-US" w:eastAsia="zh-CN"/>
              </w:rPr>
            </w:pPr>
            <w:r>
              <w:rPr>
                <w:lang w:val="en-US" w:eastAsia="zh-CN"/>
              </w:rPr>
              <w:t>COD</w:t>
            </w:r>
          </w:p>
        </w:tc>
        <w:tc>
          <w:tcPr>
            <w:tcW w:w="3690" w:type="dxa"/>
            <w:noWrap w:val="0"/>
            <w:vAlign w:val="center"/>
          </w:tcPr>
          <w:p>
            <w:pPr>
              <w:pStyle w:val="28"/>
              <w:spacing w:line="360" w:lineRule="exact"/>
              <w:rPr>
                <w:lang w:val="en-US" w:eastAsia="zh-CN"/>
              </w:rPr>
            </w:pPr>
            <w:r>
              <w:rPr>
                <w:lang w:val="en-US" w:eastAsia="zh-CN"/>
              </w:rPr>
              <w:t>重铬酸盐法</w:t>
            </w:r>
          </w:p>
        </w:tc>
        <w:tc>
          <w:tcPr>
            <w:tcW w:w="2695" w:type="dxa"/>
            <w:noWrap w:val="0"/>
            <w:vAlign w:val="center"/>
          </w:tcPr>
          <w:p>
            <w:pPr>
              <w:pStyle w:val="28"/>
              <w:spacing w:line="360" w:lineRule="exact"/>
              <w:rPr>
                <w:lang w:val="en-US" w:eastAsia="zh-CN"/>
              </w:rPr>
            </w:pPr>
            <w:r>
              <w:rPr>
                <w:lang w:val="en-US" w:eastAsia="zh-CN"/>
              </w:rPr>
              <w:t>GB/T</w:t>
            </w:r>
            <w:r>
              <w:rPr>
                <w:rFonts w:hint="eastAsia"/>
                <w:lang w:val="en-US" w:eastAsia="zh-CN"/>
              </w:rPr>
              <w:t xml:space="preserve"> </w:t>
            </w:r>
            <w:r>
              <w:rPr>
                <w:lang w:val="en-US" w:eastAsia="zh-CN"/>
              </w:rPr>
              <w:t>11914-1989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59" w:hRule="atLeast"/>
          <w:jc w:val="center"/>
        </w:trPr>
        <w:tc>
          <w:tcPr>
            <w:tcW w:w="987" w:type="dxa"/>
            <w:noWrap w:val="0"/>
            <w:vAlign w:val="center"/>
          </w:tcPr>
          <w:p>
            <w:pPr>
              <w:pStyle w:val="28"/>
              <w:spacing w:line="360" w:lineRule="exact"/>
              <w:rPr>
                <w:lang w:val="en-US" w:eastAsia="zh-CN"/>
              </w:rPr>
            </w:pPr>
            <w:r>
              <w:rPr>
                <w:lang w:val="en-US" w:eastAsia="zh-CN"/>
              </w:rPr>
              <w:t>3</w:t>
            </w:r>
          </w:p>
        </w:tc>
        <w:tc>
          <w:tcPr>
            <w:tcW w:w="1528" w:type="dxa"/>
            <w:noWrap w:val="0"/>
            <w:vAlign w:val="center"/>
          </w:tcPr>
          <w:p>
            <w:pPr>
              <w:pStyle w:val="28"/>
              <w:spacing w:line="360" w:lineRule="exact"/>
              <w:rPr>
                <w:lang w:val="en-US" w:eastAsia="zh-CN"/>
              </w:rPr>
            </w:pPr>
            <w:r>
              <w:rPr>
                <w:lang w:val="en-US" w:eastAsia="zh-CN"/>
              </w:rPr>
              <w:t>BOD</w:t>
            </w:r>
            <w:r>
              <w:rPr>
                <w:vertAlign w:val="subscript"/>
                <w:lang w:val="en-US" w:eastAsia="zh-CN"/>
              </w:rPr>
              <w:t>5</w:t>
            </w:r>
          </w:p>
        </w:tc>
        <w:tc>
          <w:tcPr>
            <w:tcW w:w="3690" w:type="dxa"/>
            <w:noWrap w:val="0"/>
            <w:vAlign w:val="center"/>
          </w:tcPr>
          <w:p>
            <w:pPr>
              <w:pStyle w:val="28"/>
              <w:spacing w:line="360" w:lineRule="exact"/>
              <w:rPr>
                <w:lang w:val="en-US" w:eastAsia="zh-CN"/>
              </w:rPr>
            </w:pPr>
            <w:r>
              <w:rPr>
                <w:lang w:val="en-US" w:eastAsia="zh-CN"/>
              </w:rPr>
              <w:t>稀释与接种法</w:t>
            </w:r>
          </w:p>
        </w:tc>
        <w:tc>
          <w:tcPr>
            <w:tcW w:w="2695" w:type="dxa"/>
            <w:noWrap w:val="0"/>
            <w:vAlign w:val="center"/>
          </w:tcPr>
          <w:p>
            <w:pPr>
              <w:pStyle w:val="28"/>
              <w:spacing w:line="360" w:lineRule="exact"/>
              <w:rPr>
                <w:lang w:val="en-US" w:eastAsia="zh-CN"/>
              </w:rPr>
            </w:pPr>
            <w:r>
              <w:rPr>
                <w:lang w:val="en-US" w:eastAsia="zh-CN"/>
              </w:rPr>
              <w:t>HJ505-2009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28" w:type="dxa"/>
            <w:bottom w:w="57" w:type="dxa"/>
            <w:right w:w="28" w:type="dxa"/>
          </w:tblCellMar>
        </w:tblPrEx>
        <w:trPr>
          <w:trHeight w:val="59" w:hRule="atLeast"/>
          <w:jc w:val="center"/>
        </w:trPr>
        <w:tc>
          <w:tcPr>
            <w:tcW w:w="987" w:type="dxa"/>
            <w:noWrap w:val="0"/>
            <w:vAlign w:val="center"/>
          </w:tcPr>
          <w:p>
            <w:pPr>
              <w:pStyle w:val="28"/>
              <w:spacing w:line="360" w:lineRule="exact"/>
              <w:rPr>
                <w:lang w:val="en-US" w:eastAsia="zh-CN"/>
              </w:rPr>
            </w:pPr>
            <w:r>
              <w:rPr>
                <w:lang w:val="en-US" w:eastAsia="zh-CN"/>
              </w:rPr>
              <w:t>4</w:t>
            </w:r>
          </w:p>
        </w:tc>
        <w:tc>
          <w:tcPr>
            <w:tcW w:w="1528" w:type="dxa"/>
            <w:noWrap w:val="0"/>
            <w:vAlign w:val="center"/>
          </w:tcPr>
          <w:p>
            <w:pPr>
              <w:pStyle w:val="28"/>
              <w:spacing w:line="360" w:lineRule="exact"/>
              <w:rPr>
                <w:lang w:val="en-US" w:eastAsia="zh-CN"/>
              </w:rPr>
            </w:pPr>
            <w:r>
              <w:rPr>
                <w:lang w:val="en-US" w:eastAsia="zh-CN"/>
              </w:rPr>
              <w:t>NH</w:t>
            </w:r>
            <w:r>
              <w:rPr>
                <w:vertAlign w:val="subscript"/>
                <w:lang w:val="en-US" w:eastAsia="zh-CN"/>
              </w:rPr>
              <w:t>3</w:t>
            </w:r>
            <w:r>
              <w:rPr>
                <w:lang w:val="en-US" w:eastAsia="zh-CN"/>
              </w:rPr>
              <w:t>-N</w:t>
            </w:r>
          </w:p>
        </w:tc>
        <w:tc>
          <w:tcPr>
            <w:tcW w:w="3690" w:type="dxa"/>
            <w:noWrap w:val="0"/>
            <w:vAlign w:val="center"/>
          </w:tcPr>
          <w:p>
            <w:pPr>
              <w:pStyle w:val="28"/>
              <w:spacing w:line="360" w:lineRule="exact"/>
              <w:rPr>
                <w:rFonts w:hint="eastAsia"/>
                <w:lang w:val="en-US" w:eastAsia="zh-CN"/>
              </w:rPr>
            </w:pPr>
            <w:r>
              <w:rPr>
                <w:lang w:val="en-US" w:eastAsia="zh-CN"/>
              </w:rPr>
              <w:t>纳氏试</w:t>
            </w:r>
            <w:r>
              <w:rPr>
                <w:rFonts w:hint="eastAsia"/>
                <w:lang w:val="en-US" w:eastAsia="zh-CN"/>
              </w:rPr>
              <w:t>剂</w:t>
            </w:r>
            <w:r>
              <w:rPr>
                <w:lang w:val="en-US" w:eastAsia="zh-CN"/>
              </w:rPr>
              <w:t>分光光度</w:t>
            </w:r>
            <w:r>
              <w:rPr>
                <w:rFonts w:hint="eastAsia"/>
                <w:lang w:val="en-US" w:eastAsia="zh-CN"/>
              </w:rPr>
              <w:t>法</w:t>
            </w:r>
          </w:p>
        </w:tc>
        <w:tc>
          <w:tcPr>
            <w:tcW w:w="2695" w:type="dxa"/>
            <w:noWrap w:val="0"/>
            <w:vAlign w:val="center"/>
          </w:tcPr>
          <w:p>
            <w:pPr>
              <w:pStyle w:val="28"/>
              <w:spacing w:line="360" w:lineRule="exact"/>
              <w:rPr>
                <w:lang w:val="en-US" w:eastAsia="zh-CN"/>
              </w:rPr>
            </w:pPr>
            <w:r>
              <w:rPr>
                <w:lang w:val="en-US" w:eastAsia="zh-CN"/>
              </w:rPr>
              <w:t>HJ535-2009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28" w:type="dxa"/>
            <w:bottom w:w="57" w:type="dxa"/>
            <w:right w:w="28" w:type="dxa"/>
          </w:tblCellMar>
        </w:tblPrEx>
        <w:trPr>
          <w:trHeight w:val="16" w:hRule="atLeast"/>
          <w:jc w:val="center"/>
        </w:trPr>
        <w:tc>
          <w:tcPr>
            <w:tcW w:w="987" w:type="dxa"/>
            <w:noWrap w:val="0"/>
            <w:vAlign w:val="center"/>
          </w:tcPr>
          <w:p>
            <w:pPr>
              <w:pStyle w:val="28"/>
              <w:spacing w:line="360" w:lineRule="exact"/>
              <w:rPr>
                <w:lang w:val="en-US" w:eastAsia="zh-CN"/>
              </w:rPr>
            </w:pPr>
            <w:r>
              <w:rPr>
                <w:lang w:val="en-US" w:eastAsia="zh-CN"/>
              </w:rPr>
              <w:t>5</w:t>
            </w:r>
          </w:p>
        </w:tc>
        <w:tc>
          <w:tcPr>
            <w:tcW w:w="1528" w:type="dxa"/>
            <w:noWrap w:val="0"/>
            <w:vAlign w:val="center"/>
          </w:tcPr>
          <w:p>
            <w:pPr>
              <w:pStyle w:val="28"/>
              <w:spacing w:line="360" w:lineRule="exact"/>
              <w:rPr>
                <w:lang w:val="en-US" w:eastAsia="zh-CN"/>
              </w:rPr>
            </w:pPr>
            <w:r>
              <w:rPr>
                <w:lang w:val="en-US" w:eastAsia="zh-CN"/>
              </w:rPr>
              <w:t>TP</w:t>
            </w:r>
          </w:p>
        </w:tc>
        <w:tc>
          <w:tcPr>
            <w:tcW w:w="3690" w:type="dxa"/>
            <w:noWrap w:val="0"/>
            <w:vAlign w:val="center"/>
          </w:tcPr>
          <w:p>
            <w:pPr>
              <w:pStyle w:val="28"/>
              <w:spacing w:line="360" w:lineRule="exact"/>
              <w:rPr>
                <w:lang w:val="en-US" w:eastAsia="zh-CN"/>
              </w:rPr>
            </w:pPr>
            <w:r>
              <w:rPr>
                <w:lang w:val="en-US" w:eastAsia="zh-CN"/>
              </w:rPr>
              <w:t>钼酸铵分光光度法</w:t>
            </w:r>
          </w:p>
        </w:tc>
        <w:tc>
          <w:tcPr>
            <w:tcW w:w="2695" w:type="dxa"/>
            <w:noWrap w:val="0"/>
            <w:vAlign w:val="center"/>
          </w:tcPr>
          <w:p>
            <w:pPr>
              <w:pStyle w:val="28"/>
              <w:spacing w:line="360" w:lineRule="exact"/>
              <w:rPr>
                <w:lang w:val="en-US" w:eastAsia="zh-CN"/>
              </w:rPr>
            </w:pPr>
            <w:r>
              <w:rPr>
                <w:lang w:val="en-US" w:eastAsia="zh-CN"/>
              </w:rPr>
              <w:t>GB/T 11893-1989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28" w:type="dxa"/>
            <w:bottom w:w="57" w:type="dxa"/>
            <w:right w:w="28" w:type="dxa"/>
          </w:tblCellMar>
        </w:tblPrEx>
        <w:trPr>
          <w:trHeight w:val="16" w:hRule="atLeast"/>
          <w:jc w:val="center"/>
        </w:trPr>
        <w:tc>
          <w:tcPr>
            <w:tcW w:w="987" w:type="dxa"/>
            <w:noWrap w:val="0"/>
            <w:vAlign w:val="center"/>
          </w:tcPr>
          <w:p>
            <w:pPr>
              <w:pStyle w:val="28"/>
              <w:spacing w:line="360" w:lineRule="exact"/>
              <w:rPr>
                <w:lang w:val="en-US" w:eastAsia="zh-CN"/>
              </w:rPr>
            </w:pPr>
            <w:r>
              <w:rPr>
                <w:lang w:val="en-US" w:eastAsia="zh-CN"/>
              </w:rPr>
              <w:t>6</w:t>
            </w:r>
          </w:p>
        </w:tc>
        <w:tc>
          <w:tcPr>
            <w:tcW w:w="1528" w:type="dxa"/>
            <w:noWrap w:val="0"/>
            <w:vAlign w:val="center"/>
          </w:tcPr>
          <w:p>
            <w:pPr>
              <w:pStyle w:val="28"/>
              <w:spacing w:line="360" w:lineRule="exact"/>
              <w:rPr>
                <w:lang w:val="en-US" w:eastAsia="zh-CN"/>
              </w:rPr>
            </w:pPr>
            <w:r>
              <w:rPr>
                <w:lang w:val="en-US" w:eastAsia="zh-CN"/>
              </w:rPr>
              <w:t>TN</w:t>
            </w:r>
          </w:p>
        </w:tc>
        <w:tc>
          <w:tcPr>
            <w:tcW w:w="3690" w:type="dxa"/>
            <w:noWrap w:val="0"/>
            <w:vAlign w:val="center"/>
          </w:tcPr>
          <w:p>
            <w:pPr>
              <w:pStyle w:val="28"/>
              <w:spacing w:line="360" w:lineRule="exact"/>
              <w:rPr>
                <w:lang w:val="en-US" w:eastAsia="zh-CN"/>
              </w:rPr>
            </w:pPr>
            <w:r>
              <w:rPr>
                <w:rFonts w:hint="eastAsia" w:ascii="宋体" w:hAnsi="宋体" w:cs="宋体"/>
                <w:sz w:val="22"/>
                <w:szCs w:val="22"/>
                <w:lang w:val="en-US" w:eastAsia="zh-CN" w:bidi="ar"/>
              </w:rPr>
              <w:t>碱性过硫酸钾消解紫外分光光度法</w:t>
            </w:r>
          </w:p>
        </w:tc>
        <w:tc>
          <w:tcPr>
            <w:tcW w:w="2695" w:type="dxa"/>
            <w:noWrap w:val="0"/>
            <w:vAlign w:val="center"/>
          </w:tcPr>
          <w:p>
            <w:pPr>
              <w:pStyle w:val="28"/>
              <w:spacing w:line="360" w:lineRule="exact"/>
              <w:rPr>
                <w:lang w:val="en-US" w:eastAsia="zh-CN"/>
              </w:rPr>
            </w:pPr>
            <w:r>
              <w:rPr>
                <w:lang w:val="en-US" w:eastAsia="zh-CN"/>
              </w:rPr>
              <w:t>GB/T</w:t>
            </w:r>
            <w:r>
              <w:rPr>
                <w:sz w:val="22"/>
                <w:szCs w:val="22"/>
                <w:lang w:val="en-US" w:eastAsia="zh-CN" w:bidi="ar"/>
              </w:rPr>
              <w:t>11894-1989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28" w:type="dxa"/>
            <w:bottom w:w="57" w:type="dxa"/>
            <w:right w:w="28" w:type="dxa"/>
          </w:tblCellMar>
        </w:tblPrEx>
        <w:trPr>
          <w:trHeight w:val="16" w:hRule="atLeast"/>
          <w:jc w:val="center"/>
        </w:trPr>
        <w:tc>
          <w:tcPr>
            <w:tcW w:w="987" w:type="dxa"/>
            <w:noWrap w:val="0"/>
            <w:vAlign w:val="center"/>
          </w:tcPr>
          <w:p>
            <w:pPr>
              <w:pStyle w:val="28"/>
              <w:spacing w:line="360" w:lineRule="exact"/>
              <w:rPr>
                <w:rFonts w:hint="eastAsia"/>
                <w:lang w:val="en-US" w:eastAsia="zh-CN"/>
              </w:rPr>
            </w:pPr>
            <w:r>
              <w:rPr>
                <w:rFonts w:hint="eastAsia"/>
                <w:lang w:val="en-US" w:eastAsia="zh-CN"/>
              </w:rPr>
              <w:t>7</w:t>
            </w:r>
          </w:p>
        </w:tc>
        <w:tc>
          <w:tcPr>
            <w:tcW w:w="1528" w:type="dxa"/>
            <w:noWrap w:val="0"/>
            <w:vAlign w:val="center"/>
          </w:tcPr>
          <w:p>
            <w:pPr>
              <w:pStyle w:val="28"/>
              <w:spacing w:line="360" w:lineRule="exact"/>
              <w:rPr>
                <w:lang w:val="en-US" w:eastAsia="zh-CN"/>
              </w:rPr>
            </w:pPr>
            <w:r>
              <w:rPr>
                <w:lang w:val="en-US" w:eastAsia="zh-CN"/>
              </w:rPr>
              <w:t>悬浮物</w:t>
            </w:r>
          </w:p>
        </w:tc>
        <w:tc>
          <w:tcPr>
            <w:tcW w:w="3690" w:type="dxa"/>
            <w:noWrap w:val="0"/>
            <w:vAlign w:val="center"/>
          </w:tcPr>
          <w:p>
            <w:pPr>
              <w:pStyle w:val="28"/>
              <w:spacing w:line="360" w:lineRule="exact"/>
              <w:rPr>
                <w:lang w:val="en-US" w:eastAsia="zh-CN"/>
              </w:rPr>
            </w:pPr>
            <w:r>
              <w:rPr>
                <w:lang w:val="en-US" w:eastAsia="zh-CN"/>
              </w:rPr>
              <w:t>重量法</w:t>
            </w:r>
          </w:p>
        </w:tc>
        <w:tc>
          <w:tcPr>
            <w:tcW w:w="2695" w:type="dxa"/>
            <w:noWrap w:val="0"/>
            <w:vAlign w:val="center"/>
          </w:tcPr>
          <w:p>
            <w:pPr>
              <w:pStyle w:val="28"/>
              <w:spacing w:line="360" w:lineRule="exact"/>
              <w:rPr>
                <w:lang w:val="en-US" w:eastAsia="zh-CN"/>
              </w:rPr>
            </w:pPr>
            <w:r>
              <w:rPr>
                <w:lang w:val="en-US" w:eastAsia="zh-CN"/>
              </w:rPr>
              <w:t>GB/T 11901-1989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28" w:type="dxa"/>
            <w:bottom w:w="57" w:type="dxa"/>
            <w:right w:w="28" w:type="dxa"/>
          </w:tblCellMar>
        </w:tblPrEx>
        <w:trPr>
          <w:trHeight w:val="59" w:hRule="atLeast"/>
          <w:jc w:val="center"/>
        </w:trPr>
        <w:tc>
          <w:tcPr>
            <w:tcW w:w="987" w:type="dxa"/>
            <w:noWrap w:val="0"/>
            <w:vAlign w:val="center"/>
          </w:tcPr>
          <w:p>
            <w:pPr>
              <w:pStyle w:val="28"/>
              <w:spacing w:line="360" w:lineRule="exact"/>
              <w:rPr>
                <w:rFonts w:hint="eastAsia"/>
                <w:lang w:val="en-US" w:eastAsia="zh-CN"/>
              </w:rPr>
            </w:pPr>
            <w:r>
              <w:rPr>
                <w:rFonts w:hint="eastAsia"/>
                <w:lang w:val="en-US" w:eastAsia="zh-CN"/>
              </w:rPr>
              <w:t>8</w:t>
            </w:r>
          </w:p>
        </w:tc>
        <w:tc>
          <w:tcPr>
            <w:tcW w:w="1528" w:type="dxa"/>
            <w:noWrap w:val="0"/>
            <w:vAlign w:val="center"/>
          </w:tcPr>
          <w:p>
            <w:pPr>
              <w:pStyle w:val="28"/>
              <w:spacing w:line="360" w:lineRule="exact"/>
              <w:rPr>
                <w:lang w:val="en-US" w:eastAsia="zh-CN"/>
              </w:rPr>
            </w:pPr>
            <w:r>
              <w:rPr>
                <w:lang w:val="en-US" w:eastAsia="zh-CN"/>
              </w:rPr>
              <w:t>粪大肠菌群</w:t>
            </w:r>
          </w:p>
        </w:tc>
        <w:tc>
          <w:tcPr>
            <w:tcW w:w="3690" w:type="dxa"/>
            <w:noWrap w:val="0"/>
            <w:vAlign w:val="center"/>
          </w:tcPr>
          <w:p>
            <w:pPr>
              <w:pStyle w:val="28"/>
              <w:spacing w:line="360" w:lineRule="exact"/>
              <w:rPr>
                <w:lang w:val="en-US" w:eastAsia="zh-CN"/>
              </w:rPr>
            </w:pPr>
            <w:r>
              <w:rPr>
                <w:spacing w:val="2"/>
                <w:lang w:val="en-US" w:eastAsia="zh-CN"/>
              </w:rPr>
              <w:t>滤膜法</w:t>
            </w:r>
          </w:p>
        </w:tc>
        <w:tc>
          <w:tcPr>
            <w:tcW w:w="2695" w:type="dxa"/>
            <w:noWrap w:val="0"/>
            <w:vAlign w:val="center"/>
          </w:tcPr>
          <w:p>
            <w:pPr>
              <w:pStyle w:val="28"/>
              <w:spacing w:line="360" w:lineRule="exact"/>
              <w:rPr>
                <w:lang w:val="en-US" w:eastAsia="zh-CN"/>
              </w:rPr>
            </w:pPr>
            <w:r>
              <w:rPr>
                <w:lang w:val="en-US" w:eastAsia="zh-CN"/>
              </w:rPr>
              <w:t>HJ/T 347-2007</w:t>
            </w:r>
          </w:p>
        </w:tc>
      </w:tr>
    </w:tbl>
    <w:p>
      <w:pPr>
        <w:spacing w:line="520" w:lineRule="exact"/>
        <w:rPr>
          <w:b/>
          <w:sz w:val="24"/>
        </w:rPr>
      </w:pPr>
      <w:r>
        <w:rPr>
          <w:b/>
          <w:sz w:val="24"/>
        </w:rPr>
        <w:t>3.3.2.6评价方法</w:t>
      </w:r>
    </w:p>
    <w:p>
      <w:pPr>
        <w:spacing w:line="500" w:lineRule="exact"/>
        <w:ind w:firstLine="480" w:firstLineChars="200"/>
        <w:rPr>
          <w:sz w:val="24"/>
        </w:rPr>
      </w:pPr>
      <w:r>
        <w:rPr>
          <w:sz w:val="24"/>
        </w:rPr>
        <w:t>采用标准指数法，一般公式如下：</w:t>
      </w:r>
    </w:p>
    <w:p>
      <w:pPr>
        <w:tabs>
          <w:tab w:val="left" w:pos="2716"/>
        </w:tabs>
        <w:spacing w:line="360" w:lineRule="auto"/>
        <w:ind w:firstLine="480"/>
        <w:jc w:val="center"/>
        <w:rPr>
          <w:sz w:val="24"/>
        </w:rPr>
      </w:pPr>
      <w:r>
        <w:rPr>
          <w:position w:val="-32"/>
          <w:sz w:val="24"/>
        </w:rPr>
        <w:object>
          <v:shape id="_x0000_i1025" o:spt="75" type="#_x0000_t75" style="height:37pt;width:53pt;" o:ole="t" filled="f" o:preferrelative="t" stroked="f" coordsize="21600,21600">
            <v:path/>
            <v:fill on="f" focussize="0,0"/>
            <v:stroke on="f"/>
            <v:imagedata r:id="rId43" o:title=""/>
            <o:lock v:ext="edit" grouping="f" rotation="f" text="f" aspectratio="t"/>
            <w10:wrap type="none"/>
            <w10:anchorlock/>
          </v:shape>
          <o:OLEObject Type="Embed" ProgID="Equation.3" ShapeID="_x0000_i1025" DrawAspect="Content" ObjectID="_1468075725" r:id="rId42">
            <o:LockedField>false</o:LockedField>
          </o:OLEObject>
        </w:object>
      </w:r>
    </w:p>
    <w:p>
      <w:pPr>
        <w:tabs>
          <w:tab w:val="left" w:pos="2716"/>
        </w:tabs>
        <w:spacing w:line="360" w:lineRule="auto"/>
        <w:ind w:firstLine="480"/>
        <w:rPr>
          <w:sz w:val="24"/>
        </w:rPr>
      </w:pPr>
      <w:r>
        <w:rPr>
          <w:sz w:val="24"/>
        </w:rPr>
        <w:t>对于pH标准指数采用如下公式计算。</w:t>
      </w:r>
    </w:p>
    <w:p>
      <w:pPr>
        <w:tabs>
          <w:tab w:val="left" w:pos="2716"/>
        </w:tabs>
        <w:spacing w:line="360" w:lineRule="auto"/>
        <w:ind w:firstLine="480"/>
        <w:rPr>
          <w:sz w:val="24"/>
        </w:rPr>
      </w:pPr>
      <w:r>
        <w:rPr>
          <w:sz w:val="24"/>
        </w:rPr>
        <w:t>pH标准指数计算公式：</w:t>
      </w:r>
    </w:p>
    <w:p>
      <w:pPr>
        <w:tabs>
          <w:tab w:val="left" w:pos="2716"/>
        </w:tabs>
        <w:spacing w:line="360" w:lineRule="auto"/>
        <w:ind w:firstLine="480"/>
        <w:jc w:val="center"/>
        <w:rPr>
          <w:sz w:val="24"/>
        </w:rPr>
      </w:pPr>
      <w:r>
        <w:rPr>
          <w:position w:val="-30"/>
          <w:sz w:val="24"/>
        </w:rPr>
        <w:object>
          <v:shape id="_x0000_i1026" o:spt="75" type="#_x0000_t75" style="height:36pt;width:152pt;" o:ole="t" filled="f" o:preferrelative="t" stroked="f" coordsize="21600,21600">
            <v:path/>
            <v:fill on="f" focussize="0,0"/>
            <v:stroke on="f"/>
            <v:imagedata r:id="rId45" o:title=""/>
            <o:lock v:ext="edit" grouping="f" rotation="f" text="f" aspectratio="t"/>
            <w10:wrap type="none"/>
            <w10:anchorlock/>
          </v:shape>
          <o:OLEObject Type="Embed" ProgID="Equation.3" ShapeID="_x0000_i1026" DrawAspect="Content" ObjectID="_1468075726" r:id="rId44">
            <o:LockedField>false</o:LockedField>
          </o:OLEObject>
        </w:object>
      </w:r>
    </w:p>
    <w:p>
      <w:pPr>
        <w:tabs>
          <w:tab w:val="left" w:pos="2716"/>
        </w:tabs>
        <w:spacing w:line="360" w:lineRule="auto"/>
        <w:ind w:firstLine="480"/>
        <w:jc w:val="center"/>
        <w:rPr>
          <w:sz w:val="24"/>
        </w:rPr>
      </w:pPr>
      <w:r>
        <w:rPr>
          <w:position w:val="-30"/>
          <w:sz w:val="24"/>
        </w:rPr>
        <w:object>
          <v:shape id="_x0000_i1027" o:spt="75" type="#_x0000_t75" style="height:36pt;width:152pt;" o:ole="t" filled="f" o:preferrelative="t" stroked="f" coordsize="21600,21600">
            <v:path/>
            <v:fill on="f" focussize="0,0"/>
            <v:stroke on="f"/>
            <v:imagedata r:id="rId47" o:title=""/>
            <o:lock v:ext="edit" grouping="f" rotation="f" text="f" aspectratio="t"/>
            <w10:wrap type="none"/>
            <w10:anchorlock/>
          </v:shape>
          <o:OLEObject Type="Embed" ProgID="Equation.3" ShapeID="_x0000_i1027" DrawAspect="Content" ObjectID="_1468075727" r:id="rId46">
            <o:LockedField>false</o:LockedField>
          </o:OLEObject>
        </w:object>
      </w:r>
    </w:p>
    <w:p>
      <w:pPr>
        <w:tabs>
          <w:tab w:val="left" w:pos="2716"/>
        </w:tabs>
        <w:spacing w:line="360" w:lineRule="auto"/>
        <w:ind w:firstLine="480"/>
        <w:rPr>
          <w:sz w:val="24"/>
        </w:rPr>
      </w:pPr>
      <w:r>
        <w:rPr>
          <w:sz w:val="24"/>
        </w:rPr>
        <w:t>式中：S</w:t>
      </w:r>
      <w:r>
        <w:rPr>
          <w:sz w:val="24"/>
          <w:vertAlign w:val="subscript"/>
        </w:rPr>
        <w:t>i,j</w:t>
      </w:r>
      <w:r>
        <w:rPr>
          <w:sz w:val="24"/>
        </w:rPr>
        <w:t>——单项目水质参数i在j点的标准指数；</w:t>
      </w:r>
    </w:p>
    <w:p>
      <w:pPr>
        <w:tabs>
          <w:tab w:val="left" w:pos="2716"/>
        </w:tabs>
        <w:spacing w:line="360" w:lineRule="auto"/>
        <w:ind w:firstLine="1200" w:firstLineChars="500"/>
        <w:rPr>
          <w:sz w:val="24"/>
        </w:rPr>
      </w:pPr>
      <w:r>
        <w:rPr>
          <w:sz w:val="24"/>
        </w:rPr>
        <w:t>C</w:t>
      </w:r>
      <w:r>
        <w:rPr>
          <w:sz w:val="24"/>
          <w:vertAlign w:val="subscript"/>
        </w:rPr>
        <w:t>i,j</w:t>
      </w:r>
      <w:r>
        <w:rPr>
          <w:sz w:val="24"/>
        </w:rPr>
        <w:t>——单项目水质参数i在j点的实际浓度；</w:t>
      </w:r>
    </w:p>
    <w:p>
      <w:pPr>
        <w:tabs>
          <w:tab w:val="left" w:pos="2716"/>
        </w:tabs>
        <w:spacing w:line="360" w:lineRule="auto"/>
        <w:ind w:firstLine="1200" w:firstLineChars="500"/>
        <w:rPr>
          <w:sz w:val="24"/>
        </w:rPr>
      </w:pPr>
      <w:r>
        <w:rPr>
          <w:sz w:val="24"/>
        </w:rPr>
        <w:t>C</w:t>
      </w:r>
      <w:r>
        <w:rPr>
          <w:sz w:val="24"/>
          <w:vertAlign w:val="subscript"/>
        </w:rPr>
        <w:t>si</w:t>
      </w:r>
      <w:r>
        <w:rPr>
          <w:sz w:val="24"/>
        </w:rPr>
        <w:t>——项目水质参数i在j点的评价标准；</w:t>
      </w:r>
    </w:p>
    <w:p>
      <w:pPr>
        <w:tabs>
          <w:tab w:val="left" w:pos="2716"/>
        </w:tabs>
        <w:spacing w:line="360" w:lineRule="auto"/>
        <w:ind w:firstLine="1200" w:firstLineChars="500"/>
        <w:rPr>
          <w:sz w:val="24"/>
        </w:rPr>
      </w:pPr>
      <w:r>
        <w:rPr>
          <w:sz w:val="24"/>
        </w:rPr>
        <w:t>pH</w:t>
      </w:r>
      <w:r>
        <w:rPr>
          <w:sz w:val="24"/>
          <w:vertAlign w:val="subscript"/>
        </w:rPr>
        <w:t>sd</w:t>
      </w:r>
      <w:r>
        <w:rPr>
          <w:sz w:val="24"/>
        </w:rPr>
        <w:t>——pH标准规定的下限值；</w:t>
      </w:r>
    </w:p>
    <w:p>
      <w:pPr>
        <w:tabs>
          <w:tab w:val="left" w:pos="2716"/>
        </w:tabs>
        <w:spacing w:line="360" w:lineRule="auto"/>
        <w:ind w:firstLine="1200" w:firstLineChars="500"/>
        <w:rPr>
          <w:sz w:val="24"/>
        </w:rPr>
      </w:pPr>
      <w:r>
        <w:rPr>
          <w:sz w:val="24"/>
        </w:rPr>
        <w:t>pH</w:t>
      </w:r>
      <w:r>
        <w:rPr>
          <w:sz w:val="24"/>
          <w:vertAlign w:val="subscript"/>
        </w:rPr>
        <w:t>su</w:t>
      </w:r>
      <w:r>
        <w:rPr>
          <w:sz w:val="24"/>
        </w:rPr>
        <w:t>——pH标准规定的上限值；</w:t>
      </w:r>
    </w:p>
    <w:p>
      <w:pPr>
        <w:tabs>
          <w:tab w:val="left" w:pos="2716"/>
        </w:tabs>
        <w:spacing w:line="360" w:lineRule="auto"/>
        <w:ind w:left="120" w:leftChars="57" w:firstLine="480" w:firstLineChars="200"/>
        <w:rPr>
          <w:sz w:val="24"/>
        </w:rPr>
      </w:pPr>
      <w:r>
        <w:rPr>
          <w:sz w:val="24"/>
        </w:rPr>
        <w:t>水质参数的标准指数＞1，表明该水质超过了规定水质标准，已不能满足使用要求。</w:t>
      </w:r>
      <w:bookmarkStart w:id="337" w:name="_Toc302825594"/>
      <w:bookmarkStart w:id="338" w:name="_Toc271484924"/>
    </w:p>
    <w:p>
      <w:pPr>
        <w:spacing w:line="520" w:lineRule="exact"/>
        <w:rPr>
          <w:b/>
          <w:sz w:val="24"/>
        </w:rPr>
      </w:pPr>
      <w:r>
        <w:rPr>
          <w:b/>
          <w:sz w:val="24"/>
        </w:rPr>
        <w:t>3.3.2.7 监测结果及分析</w:t>
      </w:r>
    </w:p>
    <w:bookmarkEnd w:id="337"/>
    <w:bookmarkEnd w:id="338"/>
    <w:p>
      <w:pPr>
        <w:spacing w:line="500" w:lineRule="exact"/>
        <w:ind w:firstLine="480" w:firstLineChars="200"/>
        <w:rPr>
          <w:sz w:val="24"/>
        </w:rPr>
        <w:sectPr>
          <w:headerReference r:id="rId11" w:type="default"/>
          <w:footerReference r:id="rId12" w:type="default"/>
          <w:type w:val="continuous"/>
          <w:pgSz w:w="11906" w:h="16838"/>
          <w:pgMar w:top="1588" w:right="1588" w:bottom="1588" w:left="1588" w:header="851" w:footer="992" w:gutter="0"/>
          <w:pgNumType w:fmt="numberInDash" w:start="83"/>
          <w:cols w:space="720" w:num="1"/>
          <w:docGrid w:linePitch="312" w:charSpace="0"/>
        </w:sectPr>
      </w:pPr>
      <w:r>
        <w:rPr>
          <w:sz w:val="24"/>
        </w:rPr>
        <w:t>项目地表水现状监测与评价结果见下表3.3-9。</w:t>
      </w:r>
    </w:p>
    <w:p>
      <w:pPr>
        <w:jc w:val="center"/>
        <w:rPr>
          <w:b/>
          <w:sz w:val="24"/>
        </w:rPr>
      </w:pPr>
      <w:r>
        <w:rPr>
          <w:rFonts w:hAnsi="宋体"/>
          <w:b/>
          <w:sz w:val="24"/>
        </w:rPr>
        <w:t>表</w:t>
      </w:r>
      <w:r>
        <w:rPr>
          <w:b/>
          <w:sz w:val="24"/>
        </w:rPr>
        <w:t xml:space="preserve">3.3-9   </w:t>
      </w:r>
      <w:r>
        <w:rPr>
          <w:rFonts w:hint="eastAsia"/>
          <w:b/>
          <w:sz w:val="24"/>
        </w:rPr>
        <w:t xml:space="preserve">   </w:t>
      </w:r>
      <w:r>
        <w:rPr>
          <w:rFonts w:hAnsi="宋体"/>
          <w:b/>
          <w:sz w:val="24"/>
        </w:rPr>
        <w:t>监测结果分析</w:t>
      </w:r>
    </w:p>
    <w:tbl>
      <w:tblPr>
        <w:tblStyle w:val="17"/>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57" w:type="dxa"/>
          <w:left w:w="28" w:type="dxa"/>
          <w:bottom w:w="57" w:type="dxa"/>
          <w:right w:w="28" w:type="dxa"/>
        </w:tblCellMar>
      </w:tblPr>
      <w:tblGrid>
        <w:gridCol w:w="1817"/>
        <w:gridCol w:w="1725"/>
        <w:gridCol w:w="1316"/>
        <w:gridCol w:w="972"/>
        <w:gridCol w:w="1141"/>
        <w:gridCol w:w="1198"/>
        <w:gridCol w:w="1185"/>
        <w:gridCol w:w="972"/>
        <w:gridCol w:w="841"/>
        <w:gridCol w:w="163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585" w:hRule="atLeast"/>
        </w:trPr>
        <w:tc>
          <w:tcPr>
            <w:tcW w:w="1817" w:type="dxa"/>
            <w:vMerge w:val="restart"/>
            <w:noWrap w:val="0"/>
            <w:vAlign w:val="center"/>
          </w:tcPr>
          <w:p>
            <w:pPr>
              <w:autoSpaceDE w:val="0"/>
              <w:autoSpaceDN w:val="0"/>
              <w:adjustRightInd w:val="0"/>
              <w:spacing w:line="360" w:lineRule="exact"/>
              <w:jc w:val="center"/>
              <w:rPr>
                <w:rFonts w:hAnsi="宋体"/>
                <w:b/>
                <w:szCs w:val="21"/>
              </w:rPr>
            </w:pPr>
            <w:r>
              <w:rPr>
                <w:rFonts w:hAnsi="宋体"/>
                <w:b/>
                <w:szCs w:val="21"/>
              </w:rPr>
              <w:t>水体名称</w:t>
            </w:r>
          </w:p>
        </w:tc>
        <w:tc>
          <w:tcPr>
            <w:tcW w:w="1725" w:type="dxa"/>
            <w:vMerge w:val="restart"/>
            <w:noWrap w:val="0"/>
            <w:vAlign w:val="center"/>
          </w:tcPr>
          <w:p>
            <w:pPr>
              <w:autoSpaceDE w:val="0"/>
              <w:autoSpaceDN w:val="0"/>
              <w:adjustRightInd w:val="0"/>
              <w:spacing w:line="360" w:lineRule="exact"/>
              <w:jc w:val="center"/>
              <w:rPr>
                <w:rFonts w:hAnsi="宋体"/>
                <w:b/>
                <w:szCs w:val="21"/>
              </w:rPr>
            </w:pPr>
            <w:r>
              <w:rPr>
                <w:rFonts w:hAnsi="宋体"/>
                <w:b/>
                <w:szCs w:val="21"/>
              </w:rPr>
              <w:t>断面位置</w:t>
            </w:r>
          </w:p>
        </w:tc>
        <w:tc>
          <w:tcPr>
            <w:tcW w:w="0" w:type="auto"/>
            <w:noWrap w:val="0"/>
            <w:vAlign w:val="center"/>
          </w:tcPr>
          <w:p>
            <w:pPr>
              <w:autoSpaceDE w:val="0"/>
              <w:autoSpaceDN w:val="0"/>
              <w:adjustRightInd w:val="0"/>
              <w:spacing w:line="360" w:lineRule="exact"/>
              <w:jc w:val="center"/>
              <w:rPr>
                <w:rFonts w:hAnsi="宋体"/>
                <w:b/>
                <w:szCs w:val="21"/>
              </w:rPr>
            </w:pPr>
            <w:r>
              <w:rPr>
                <w:rFonts w:hAnsi="宋体"/>
                <w:b/>
                <w:szCs w:val="21"/>
              </w:rPr>
              <w:t>监测结果</w:t>
            </w:r>
          </w:p>
        </w:tc>
        <w:tc>
          <w:tcPr>
            <w:tcW w:w="0" w:type="auto"/>
            <w:noWrap w:val="0"/>
            <w:vAlign w:val="center"/>
          </w:tcPr>
          <w:p>
            <w:pPr>
              <w:autoSpaceDE w:val="0"/>
              <w:autoSpaceDN w:val="0"/>
              <w:adjustRightInd w:val="0"/>
              <w:spacing w:line="360" w:lineRule="exact"/>
              <w:jc w:val="center"/>
              <w:rPr>
                <w:rFonts w:hAnsi="宋体"/>
                <w:b/>
                <w:szCs w:val="21"/>
              </w:rPr>
            </w:pPr>
            <w:r>
              <w:rPr>
                <w:rFonts w:hAnsi="宋体"/>
                <w:b/>
                <w:szCs w:val="21"/>
              </w:rPr>
              <w:t>pH</w:t>
            </w:r>
          </w:p>
        </w:tc>
        <w:tc>
          <w:tcPr>
            <w:tcW w:w="1141" w:type="dxa"/>
            <w:noWrap w:val="0"/>
            <w:vAlign w:val="center"/>
          </w:tcPr>
          <w:p>
            <w:pPr>
              <w:autoSpaceDE w:val="0"/>
              <w:autoSpaceDN w:val="0"/>
              <w:adjustRightInd w:val="0"/>
              <w:spacing w:line="360" w:lineRule="exact"/>
              <w:jc w:val="center"/>
              <w:rPr>
                <w:rFonts w:hAnsi="宋体"/>
                <w:b/>
                <w:szCs w:val="21"/>
              </w:rPr>
            </w:pPr>
            <w:r>
              <w:rPr>
                <w:rFonts w:hAnsi="宋体"/>
                <w:b/>
                <w:szCs w:val="21"/>
              </w:rPr>
              <w:t>COD(mg/L)</w:t>
            </w:r>
          </w:p>
        </w:tc>
        <w:tc>
          <w:tcPr>
            <w:tcW w:w="1198" w:type="dxa"/>
            <w:noWrap w:val="0"/>
            <w:vAlign w:val="center"/>
          </w:tcPr>
          <w:p>
            <w:pPr>
              <w:autoSpaceDE w:val="0"/>
              <w:autoSpaceDN w:val="0"/>
              <w:adjustRightInd w:val="0"/>
              <w:spacing w:line="360" w:lineRule="exact"/>
              <w:jc w:val="center"/>
              <w:rPr>
                <w:rFonts w:hAnsi="宋体"/>
                <w:b/>
                <w:szCs w:val="21"/>
              </w:rPr>
            </w:pPr>
            <w:r>
              <w:rPr>
                <w:rFonts w:hAnsi="宋体"/>
                <w:b/>
                <w:szCs w:val="21"/>
              </w:rPr>
              <w:t>BOD</w:t>
            </w:r>
            <w:r>
              <w:rPr>
                <w:rFonts w:hAnsi="宋体"/>
                <w:b/>
                <w:szCs w:val="21"/>
                <w:vertAlign w:val="subscript"/>
              </w:rPr>
              <w:t>5</w:t>
            </w:r>
            <w:r>
              <w:rPr>
                <w:rFonts w:hAnsi="宋体"/>
                <w:b/>
                <w:szCs w:val="21"/>
              </w:rPr>
              <w:t>(mg/L)</w:t>
            </w:r>
          </w:p>
        </w:tc>
        <w:tc>
          <w:tcPr>
            <w:tcW w:w="0" w:type="auto"/>
            <w:noWrap w:val="0"/>
            <w:vAlign w:val="center"/>
          </w:tcPr>
          <w:p>
            <w:pPr>
              <w:autoSpaceDE w:val="0"/>
              <w:autoSpaceDN w:val="0"/>
              <w:adjustRightInd w:val="0"/>
              <w:spacing w:line="360" w:lineRule="exact"/>
              <w:jc w:val="center"/>
              <w:rPr>
                <w:rFonts w:hAnsi="宋体"/>
                <w:b/>
                <w:szCs w:val="21"/>
              </w:rPr>
            </w:pPr>
            <w:r>
              <w:rPr>
                <w:rFonts w:hAnsi="宋体"/>
                <w:b/>
                <w:szCs w:val="21"/>
              </w:rPr>
              <w:t>NH</w:t>
            </w:r>
            <w:r>
              <w:rPr>
                <w:rFonts w:hAnsi="宋体"/>
                <w:b/>
                <w:szCs w:val="21"/>
                <w:vertAlign w:val="subscript"/>
              </w:rPr>
              <w:t>3</w:t>
            </w:r>
            <w:r>
              <w:rPr>
                <w:rFonts w:hAnsi="宋体"/>
                <w:b/>
                <w:szCs w:val="21"/>
              </w:rPr>
              <w:t>-N(mg/L)</w:t>
            </w:r>
          </w:p>
        </w:tc>
        <w:tc>
          <w:tcPr>
            <w:tcW w:w="0" w:type="auto"/>
            <w:noWrap w:val="0"/>
            <w:vAlign w:val="center"/>
          </w:tcPr>
          <w:p>
            <w:pPr>
              <w:autoSpaceDE w:val="0"/>
              <w:autoSpaceDN w:val="0"/>
              <w:adjustRightInd w:val="0"/>
              <w:spacing w:line="360" w:lineRule="exact"/>
              <w:jc w:val="center"/>
              <w:rPr>
                <w:rFonts w:hAnsi="宋体"/>
                <w:b/>
                <w:szCs w:val="21"/>
              </w:rPr>
            </w:pPr>
            <w:r>
              <w:rPr>
                <w:rFonts w:hAnsi="宋体"/>
                <w:b/>
                <w:szCs w:val="21"/>
              </w:rPr>
              <w:t>TP(mg/L)</w:t>
            </w:r>
          </w:p>
        </w:tc>
        <w:tc>
          <w:tcPr>
            <w:tcW w:w="0" w:type="auto"/>
            <w:noWrap w:val="0"/>
            <w:vAlign w:val="center"/>
          </w:tcPr>
          <w:p>
            <w:pPr>
              <w:autoSpaceDE w:val="0"/>
              <w:autoSpaceDN w:val="0"/>
              <w:adjustRightInd w:val="0"/>
              <w:spacing w:line="360" w:lineRule="exact"/>
              <w:jc w:val="center"/>
              <w:rPr>
                <w:rFonts w:hint="eastAsia" w:hAnsi="宋体"/>
                <w:b/>
                <w:szCs w:val="21"/>
              </w:rPr>
            </w:pPr>
            <w:r>
              <w:rPr>
                <w:rFonts w:hint="eastAsia" w:hAnsi="宋体"/>
                <w:b/>
                <w:szCs w:val="21"/>
              </w:rPr>
              <w:t>SS</w:t>
            </w:r>
            <w:r>
              <w:rPr>
                <w:rFonts w:hAnsi="宋体"/>
                <w:b/>
                <w:szCs w:val="21"/>
              </w:rPr>
              <w:t>(mg/L)</w:t>
            </w:r>
          </w:p>
        </w:tc>
        <w:tc>
          <w:tcPr>
            <w:tcW w:w="0" w:type="auto"/>
            <w:noWrap w:val="0"/>
            <w:vAlign w:val="center"/>
          </w:tcPr>
          <w:p>
            <w:pPr>
              <w:autoSpaceDE w:val="0"/>
              <w:autoSpaceDN w:val="0"/>
              <w:adjustRightInd w:val="0"/>
              <w:spacing w:line="360" w:lineRule="exact"/>
              <w:jc w:val="center"/>
              <w:rPr>
                <w:rFonts w:hAnsi="宋体"/>
                <w:b/>
                <w:szCs w:val="21"/>
              </w:rPr>
            </w:pPr>
            <w:r>
              <w:rPr>
                <w:rFonts w:hAnsi="宋体"/>
                <w:b/>
                <w:szCs w:val="21"/>
              </w:rPr>
              <w:t>粪大肠</w:t>
            </w:r>
            <w:r>
              <w:rPr>
                <w:rFonts w:hint="eastAsia" w:hAnsi="宋体"/>
                <w:b/>
                <w:szCs w:val="21"/>
              </w:rPr>
              <w:t>菌群</w:t>
            </w:r>
            <w:r>
              <w:rPr>
                <w:rFonts w:hAnsi="宋体"/>
                <w:b/>
                <w:szCs w:val="21"/>
              </w:rPr>
              <w:t>(个/L)</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285" w:hRule="atLeast"/>
        </w:trPr>
        <w:tc>
          <w:tcPr>
            <w:tcW w:w="1817" w:type="dxa"/>
            <w:vMerge w:val="continue"/>
            <w:noWrap w:val="0"/>
            <w:vAlign w:val="center"/>
          </w:tcPr>
          <w:p>
            <w:pPr>
              <w:autoSpaceDE w:val="0"/>
              <w:autoSpaceDN w:val="0"/>
              <w:adjustRightInd w:val="0"/>
              <w:spacing w:line="360" w:lineRule="exact"/>
              <w:jc w:val="center"/>
              <w:rPr>
                <w:rFonts w:hAnsi="宋体"/>
                <w:b/>
                <w:szCs w:val="21"/>
              </w:rPr>
            </w:pPr>
          </w:p>
        </w:tc>
        <w:tc>
          <w:tcPr>
            <w:tcW w:w="1725" w:type="dxa"/>
            <w:vMerge w:val="continue"/>
            <w:noWrap w:val="0"/>
            <w:vAlign w:val="center"/>
          </w:tcPr>
          <w:p>
            <w:pPr>
              <w:autoSpaceDE w:val="0"/>
              <w:autoSpaceDN w:val="0"/>
              <w:adjustRightInd w:val="0"/>
              <w:spacing w:line="360" w:lineRule="exact"/>
              <w:jc w:val="center"/>
              <w:rPr>
                <w:rFonts w:hAnsi="宋体"/>
                <w:b/>
                <w:szCs w:val="21"/>
              </w:rPr>
            </w:pPr>
          </w:p>
        </w:tc>
        <w:tc>
          <w:tcPr>
            <w:tcW w:w="0" w:type="auto"/>
            <w:noWrap w:val="0"/>
            <w:vAlign w:val="center"/>
          </w:tcPr>
          <w:p>
            <w:pPr>
              <w:autoSpaceDE w:val="0"/>
              <w:autoSpaceDN w:val="0"/>
              <w:adjustRightInd w:val="0"/>
              <w:spacing w:line="360" w:lineRule="exact"/>
              <w:jc w:val="center"/>
              <w:rPr>
                <w:rFonts w:hAnsi="宋体"/>
                <w:b/>
                <w:szCs w:val="21"/>
              </w:rPr>
            </w:pPr>
            <w:r>
              <w:rPr>
                <w:rFonts w:hAnsi="宋体"/>
                <w:b/>
                <w:szCs w:val="21"/>
              </w:rPr>
              <w:t>标准</w:t>
            </w:r>
          </w:p>
        </w:tc>
        <w:tc>
          <w:tcPr>
            <w:tcW w:w="0" w:type="auto"/>
            <w:noWrap w:val="0"/>
            <w:vAlign w:val="center"/>
          </w:tcPr>
          <w:p>
            <w:pPr>
              <w:autoSpaceDE w:val="0"/>
              <w:autoSpaceDN w:val="0"/>
              <w:adjustRightInd w:val="0"/>
              <w:spacing w:line="360" w:lineRule="exact"/>
              <w:jc w:val="center"/>
              <w:rPr>
                <w:rFonts w:hAnsi="宋体"/>
                <w:b/>
                <w:szCs w:val="21"/>
              </w:rPr>
            </w:pPr>
            <w:r>
              <w:rPr>
                <w:rFonts w:hAnsi="宋体"/>
                <w:b/>
                <w:szCs w:val="21"/>
              </w:rPr>
              <w:t>6-9</w:t>
            </w:r>
          </w:p>
        </w:tc>
        <w:tc>
          <w:tcPr>
            <w:tcW w:w="1141" w:type="dxa"/>
            <w:noWrap w:val="0"/>
            <w:vAlign w:val="center"/>
          </w:tcPr>
          <w:p>
            <w:pPr>
              <w:autoSpaceDE w:val="0"/>
              <w:autoSpaceDN w:val="0"/>
              <w:adjustRightInd w:val="0"/>
              <w:spacing w:line="360" w:lineRule="exact"/>
              <w:jc w:val="center"/>
              <w:rPr>
                <w:rFonts w:hint="eastAsia" w:hAnsi="宋体"/>
                <w:b/>
                <w:szCs w:val="21"/>
              </w:rPr>
            </w:pPr>
            <w:r>
              <w:rPr>
                <w:rFonts w:hint="eastAsia" w:hAnsi="宋体"/>
                <w:b/>
                <w:szCs w:val="21"/>
              </w:rPr>
              <w:t>≤</w:t>
            </w:r>
            <w:r>
              <w:rPr>
                <w:rFonts w:hAnsi="宋体"/>
                <w:b/>
                <w:szCs w:val="21"/>
              </w:rPr>
              <w:t>20</w:t>
            </w:r>
          </w:p>
        </w:tc>
        <w:tc>
          <w:tcPr>
            <w:tcW w:w="1198" w:type="dxa"/>
            <w:noWrap w:val="0"/>
            <w:vAlign w:val="center"/>
          </w:tcPr>
          <w:p>
            <w:pPr>
              <w:autoSpaceDE w:val="0"/>
              <w:autoSpaceDN w:val="0"/>
              <w:adjustRightInd w:val="0"/>
              <w:spacing w:line="360" w:lineRule="exact"/>
              <w:jc w:val="center"/>
              <w:rPr>
                <w:rFonts w:hint="eastAsia" w:hAnsi="宋体"/>
                <w:b/>
                <w:szCs w:val="21"/>
              </w:rPr>
            </w:pPr>
            <w:r>
              <w:rPr>
                <w:rFonts w:hint="eastAsia" w:hAnsi="宋体"/>
                <w:b/>
                <w:szCs w:val="21"/>
              </w:rPr>
              <w:t>≤</w:t>
            </w:r>
            <w:r>
              <w:rPr>
                <w:rFonts w:hAnsi="宋体"/>
                <w:b/>
                <w:szCs w:val="21"/>
              </w:rPr>
              <w:t>4</w:t>
            </w:r>
          </w:p>
        </w:tc>
        <w:tc>
          <w:tcPr>
            <w:tcW w:w="0" w:type="auto"/>
            <w:noWrap w:val="0"/>
            <w:vAlign w:val="center"/>
          </w:tcPr>
          <w:p>
            <w:pPr>
              <w:autoSpaceDE w:val="0"/>
              <w:autoSpaceDN w:val="0"/>
              <w:adjustRightInd w:val="0"/>
              <w:spacing w:line="360" w:lineRule="exact"/>
              <w:jc w:val="center"/>
              <w:rPr>
                <w:rFonts w:hint="eastAsia" w:hAnsi="宋体"/>
                <w:b/>
                <w:szCs w:val="21"/>
              </w:rPr>
            </w:pPr>
            <w:r>
              <w:rPr>
                <w:rFonts w:hint="eastAsia" w:hAnsi="宋体"/>
                <w:b/>
                <w:szCs w:val="21"/>
              </w:rPr>
              <w:t>≤</w:t>
            </w:r>
            <w:r>
              <w:rPr>
                <w:rFonts w:hAnsi="宋体"/>
                <w:b/>
                <w:szCs w:val="21"/>
              </w:rPr>
              <w:t>1.0</w:t>
            </w:r>
          </w:p>
        </w:tc>
        <w:tc>
          <w:tcPr>
            <w:tcW w:w="0" w:type="auto"/>
            <w:noWrap w:val="0"/>
            <w:vAlign w:val="center"/>
          </w:tcPr>
          <w:p>
            <w:pPr>
              <w:autoSpaceDE w:val="0"/>
              <w:autoSpaceDN w:val="0"/>
              <w:adjustRightInd w:val="0"/>
              <w:spacing w:line="360" w:lineRule="exact"/>
              <w:jc w:val="center"/>
              <w:rPr>
                <w:rFonts w:hint="eastAsia" w:hAnsi="宋体"/>
                <w:b/>
                <w:szCs w:val="21"/>
              </w:rPr>
            </w:pPr>
            <w:r>
              <w:rPr>
                <w:rFonts w:hint="eastAsia" w:hAnsi="宋体"/>
                <w:b/>
                <w:szCs w:val="21"/>
              </w:rPr>
              <w:t>≤0.</w:t>
            </w:r>
            <w:r>
              <w:rPr>
                <w:rFonts w:hAnsi="宋体"/>
                <w:b/>
                <w:szCs w:val="21"/>
              </w:rPr>
              <w:t>2</w:t>
            </w:r>
          </w:p>
        </w:tc>
        <w:tc>
          <w:tcPr>
            <w:tcW w:w="0" w:type="auto"/>
            <w:noWrap w:val="0"/>
            <w:vAlign w:val="center"/>
          </w:tcPr>
          <w:p>
            <w:pPr>
              <w:autoSpaceDE w:val="0"/>
              <w:autoSpaceDN w:val="0"/>
              <w:adjustRightInd w:val="0"/>
              <w:spacing w:line="360" w:lineRule="exact"/>
              <w:jc w:val="center"/>
              <w:rPr>
                <w:rFonts w:hint="eastAsia" w:hAnsi="宋体"/>
                <w:b/>
                <w:szCs w:val="21"/>
              </w:rPr>
            </w:pPr>
            <w:r>
              <w:rPr>
                <w:rFonts w:hint="eastAsia" w:hAnsi="宋体"/>
                <w:b/>
                <w:szCs w:val="21"/>
              </w:rPr>
              <w:t>/</w:t>
            </w:r>
          </w:p>
        </w:tc>
        <w:tc>
          <w:tcPr>
            <w:tcW w:w="0" w:type="auto"/>
            <w:noWrap w:val="0"/>
            <w:vAlign w:val="center"/>
          </w:tcPr>
          <w:p>
            <w:pPr>
              <w:autoSpaceDE w:val="0"/>
              <w:autoSpaceDN w:val="0"/>
              <w:adjustRightInd w:val="0"/>
              <w:spacing w:line="360" w:lineRule="exact"/>
              <w:jc w:val="center"/>
              <w:rPr>
                <w:rFonts w:hint="eastAsia" w:hAnsi="宋体"/>
                <w:b/>
                <w:szCs w:val="21"/>
              </w:rPr>
            </w:pPr>
            <w:r>
              <w:rPr>
                <w:rFonts w:hAnsi="宋体"/>
                <w:b/>
                <w:szCs w:val="21"/>
              </w:rPr>
              <w:t>10000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300" w:hRule="atLeast"/>
        </w:trPr>
        <w:tc>
          <w:tcPr>
            <w:tcW w:w="1817" w:type="dxa"/>
            <w:vMerge w:val="restart"/>
            <w:noWrap w:val="0"/>
            <w:vAlign w:val="center"/>
          </w:tcPr>
          <w:p>
            <w:pPr>
              <w:autoSpaceDE w:val="0"/>
              <w:autoSpaceDN w:val="0"/>
              <w:adjustRightInd w:val="0"/>
              <w:spacing w:line="360" w:lineRule="exact"/>
              <w:jc w:val="center"/>
              <w:rPr>
                <w:rFonts w:hint="eastAsia" w:hAnsi="宋体"/>
                <w:szCs w:val="21"/>
              </w:rPr>
            </w:pPr>
            <w:r>
              <w:rPr>
                <w:rFonts w:hint="eastAsia" w:hAnsi="宋体"/>
                <w:szCs w:val="21"/>
              </w:rPr>
              <w:t>淮河支流（</w:t>
            </w:r>
            <w:r>
              <w:rPr>
                <w:rFonts w:hint="eastAsia" w:hAnsi="宋体"/>
                <w:szCs w:val="21"/>
                <w:lang w:eastAsia="zh-CN"/>
              </w:rPr>
              <w:t>黄大港</w:t>
            </w:r>
            <w:r>
              <w:rPr>
                <w:rFonts w:hint="eastAsia" w:hAnsi="宋体"/>
                <w:szCs w:val="21"/>
              </w:rPr>
              <w:t>）</w:t>
            </w:r>
          </w:p>
        </w:tc>
        <w:tc>
          <w:tcPr>
            <w:tcW w:w="1725" w:type="dxa"/>
            <w:vMerge w:val="restart"/>
            <w:noWrap w:val="0"/>
            <w:vAlign w:val="center"/>
          </w:tcPr>
          <w:p>
            <w:pPr>
              <w:autoSpaceDE w:val="0"/>
              <w:autoSpaceDN w:val="0"/>
              <w:adjustRightInd w:val="0"/>
              <w:spacing w:line="360" w:lineRule="exact"/>
              <w:jc w:val="center"/>
              <w:rPr>
                <w:rFonts w:hint="eastAsia" w:hAnsi="宋体"/>
                <w:szCs w:val="21"/>
              </w:rPr>
            </w:pPr>
            <w:r>
              <w:rPr>
                <w:rFonts w:hint="eastAsia" w:hAnsi="宋体"/>
                <w:szCs w:val="21"/>
                <w:lang w:eastAsia="zh-CN"/>
              </w:rPr>
              <w:t>黄大港-李岗断面</w:t>
            </w:r>
          </w:p>
        </w:tc>
        <w:tc>
          <w:tcPr>
            <w:tcW w:w="0" w:type="auto"/>
            <w:noWrap w:val="0"/>
            <w:vAlign w:val="center"/>
          </w:tcPr>
          <w:p>
            <w:pPr>
              <w:autoSpaceDE w:val="0"/>
              <w:autoSpaceDN w:val="0"/>
              <w:adjustRightInd w:val="0"/>
              <w:spacing w:line="360" w:lineRule="exact"/>
              <w:jc w:val="center"/>
              <w:rPr>
                <w:szCs w:val="21"/>
              </w:rPr>
            </w:pPr>
            <w:r>
              <w:rPr>
                <w:szCs w:val="21"/>
              </w:rPr>
              <w:t>范围</w:t>
            </w:r>
          </w:p>
        </w:tc>
        <w:tc>
          <w:tcPr>
            <w:tcW w:w="0" w:type="auto"/>
            <w:noWrap w:val="0"/>
            <w:vAlign w:val="center"/>
          </w:tcPr>
          <w:p>
            <w:pPr>
              <w:autoSpaceDE w:val="0"/>
              <w:autoSpaceDN w:val="0"/>
              <w:adjustRightInd w:val="0"/>
              <w:spacing w:line="360" w:lineRule="exact"/>
              <w:jc w:val="center"/>
              <w:rPr>
                <w:rFonts w:hint="default" w:eastAsia="宋体"/>
                <w:szCs w:val="21"/>
                <w:lang w:val="en-US" w:eastAsia="zh-CN"/>
              </w:rPr>
            </w:pPr>
            <w:r>
              <w:rPr>
                <w:rFonts w:hint="eastAsia"/>
                <w:szCs w:val="21"/>
              </w:rPr>
              <w:t>7.</w:t>
            </w:r>
            <w:r>
              <w:rPr>
                <w:rFonts w:hint="eastAsia"/>
                <w:szCs w:val="21"/>
                <w:lang w:val="en-US" w:eastAsia="zh-CN"/>
              </w:rPr>
              <w:t>46</w:t>
            </w:r>
            <w:r>
              <w:rPr>
                <w:rFonts w:hint="eastAsia"/>
                <w:szCs w:val="21"/>
              </w:rPr>
              <w:t>-7.</w:t>
            </w:r>
            <w:r>
              <w:rPr>
                <w:rFonts w:hint="eastAsia"/>
                <w:szCs w:val="21"/>
                <w:lang w:val="en-US" w:eastAsia="zh-CN"/>
              </w:rPr>
              <w:t>55</w:t>
            </w:r>
          </w:p>
        </w:tc>
        <w:tc>
          <w:tcPr>
            <w:tcW w:w="1141" w:type="dxa"/>
            <w:noWrap w:val="0"/>
            <w:vAlign w:val="center"/>
          </w:tcPr>
          <w:p>
            <w:pPr>
              <w:autoSpaceDE w:val="0"/>
              <w:autoSpaceDN w:val="0"/>
              <w:adjustRightInd w:val="0"/>
              <w:spacing w:line="360" w:lineRule="exact"/>
              <w:jc w:val="center"/>
              <w:rPr>
                <w:rFonts w:hint="eastAsia" w:eastAsia="宋体"/>
                <w:szCs w:val="21"/>
                <w:lang w:eastAsia="zh-CN"/>
              </w:rPr>
            </w:pPr>
            <w:r>
              <w:rPr>
                <w:rFonts w:hint="eastAsia"/>
                <w:szCs w:val="21"/>
              </w:rPr>
              <w:t>1</w:t>
            </w:r>
            <w:r>
              <w:rPr>
                <w:rFonts w:hint="eastAsia"/>
                <w:szCs w:val="21"/>
                <w:lang w:val="en-US" w:eastAsia="zh-CN"/>
              </w:rPr>
              <w:t>2</w:t>
            </w:r>
            <w:r>
              <w:rPr>
                <w:rFonts w:hint="eastAsia"/>
                <w:szCs w:val="21"/>
              </w:rPr>
              <w:t>-1</w:t>
            </w:r>
            <w:r>
              <w:rPr>
                <w:rFonts w:hint="eastAsia"/>
                <w:szCs w:val="21"/>
                <w:lang w:val="en-US" w:eastAsia="zh-CN"/>
              </w:rPr>
              <w:t>5</w:t>
            </w:r>
          </w:p>
        </w:tc>
        <w:tc>
          <w:tcPr>
            <w:tcW w:w="1198" w:type="dxa"/>
            <w:noWrap w:val="0"/>
            <w:vAlign w:val="center"/>
          </w:tcPr>
          <w:p>
            <w:pPr>
              <w:autoSpaceDE w:val="0"/>
              <w:autoSpaceDN w:val="0"/>
              <w:adjustRightInd w:val="0"/>
              <w:spacing w:line="360" w:lineRule="exact"/>
              <w:jc w:val="center"/>
              <w:rPr>
                <w:rFonts w:hint="default" w:eastAsia="宋体"/>
                <w:szCs w:val="21"/>
                <w:lang w:val="en-US" w:eastAsia="zh-CN"/>
              </w:rPr>
            </w:pPr>
            <w:r>
              <w:rPr>
                <w:rFonts w:hint="eastAsia"/>
                <w:szCs w:val="21"/>
                <w:lang w:val="en-US" w:eastAsia="zh-CN"/>
              </w:rPr>
              <w:t>2.8</w:t>
            </w:r>
            <w:r>
              <w:rPr>
                <w:rFonts w:hint="eastAsia"/>
                <w:szCs w:val="21"/>
              </w:rPr>
              <w:t>-</w:t>
            </w:r>
            <w:r>
              <w:rPr>
                <w:rFonts w:hint="eastAsia"/>
                <w:szCs w:val="21"/>
                <w:lang w:val="en-US" w:eastAsia="zh-CN"/>
              </w:rPr>
              <w:t>3.2</w:t>
            </w:r>
          </w:p>
        </w:tc>
        <w:tc>
          <w:tcPr>
            <w:tcW w:w="0" w:type="auto"/>
            <w:noWrap w:val="0"/>
            <w:vAlign w:val="center"/>
          </w:tcPr>
          <w:p>
            <w:pPr>
              <w:autoSpaceDE w:val="0"/>
              <w:autoSpaceDN w:val="0"/>
              <w:adjustRightInd w:val="0"/>
              <w:spacing w:line="360" w:lineRule="exact"/>
              <w:jc w:val="center"/>
              <w:rPr>
                <w:rFonts w:hint="default" w:eastAsia="宋体"/>
                <w:szCs w:val="21"/>
                <w:lang w:val="en-US" w:eastAsia="zh-CN"/>
              </w:rPr>
            </w:pPr>
            <w:r>
              <w:rPr>
                <w:rFonts w:hint="eastAsia"/>
                <w:color w:val="auto"/>
                <w:szCs w:val="21"/>
              </w:rPr>
              <w:t>0.</w:t>
            </w:r>
            <w:r>
              <w:rPr>
                <w:rFonts w:hint="eastAsia"/>
                <w:color w:val="auto"/>
                <w:szCs w:val="21"/>
                <w:lang w:val="en-US" w:eastAsia="zh-CN"/>
              </w:rPr>
              <w:t>416</w:t>
            </w:r>
            <w:r>
              <w:rPr>
                <w:rFonts w:hint="eastAsia"/>
                <w:color w:val="auto"/>
                <w:szCs w:val="21"/>
              </w:rPr>
              <w:t>-0.</w:t>
            </w:r>
            <w:r>
              <w:rPr>
                <w:rFonts w:hint="eastAsia"/>
                <w:color w:val="auto"/>
                <w:szCs w:val="21"/>
                <w:lang w:val="en-US" w:eastAsia="zh-CN"/>
              </w:rPr>
              <w:t>443</w:t>
            </w:r>
          </w:p>
        </w:tc>
        <w:tc>
          <w:tcPr>
            <w:tcW w:w="0" w:type="auto"/>
            <w:noWrap w:val="0"/>
            <w:vAlign w:val="center"/>
          </w:tcPr>
          <w:p>
            <w:pPr>
              <w:autoSpaceDE w:val="0"/>
              <w:autoSpaceDN w:val="0"/>
              <w:adjustRightInd w:val="0"/>
              <w:spacing w:line="360" w:lineRule="exact"/>
              <w:jc w:val="center"/>
              <w:rPr>
                <w:rFonts w:hint="default" w:eastAsia="宋体"/>
                <w:szCs w:val="21"/>
                <w:lang w:val="en-US" w:eastAsia="zh-CN"/>
              </w:rPr>
            </w:pPr>
            <w:r>
              <w:rPr>
                <w:rFonts w:hint="eastAsia"/>
                <w:szCs w:val="21"/>
              </w:rPr>
              <w:t>0.0</w:t>
            </w:r>
            <w:r>
              <w:rPr>
                <w:rFonts w:hint="eastAsia"/>
                <w:szCs w:val="21"/>
                <w:lang w:val="en-US" w:eastAsia="zh-CN"/>
              </w:rPr>
              <w:t>4</w:t>
            </w:r>
            <w:r>
              <w:rPr>
                <w:rFonts w:hint="eastAsia"/>
                <w:szCs w:val="21"/>
              </w:rPr>
              <w:t>-0</w:t>
            </w:r>
            <w:r>
              <w:rPr>
                <w:rFonts w:hint="eastAsia"/>
                <w:szCs w:val="21"/>
                <w:lang w:val="en-US" w:eastAsia="zh-CN"/>
              </w:rPr>
              <w:t>.11</w:t>
            </w:r>
          </w:p>
        </w:tc>
        <w:tc>
          <w:tcPr>
            <w:tcW w:w="0" w:type="auto"/>
            <w:noWrap w:val="0"/>
            <w:vAlign w:val="center"/>
          </w:tcPr>
          <w:p>
            <w:pPr>
              <w:autoSpaceDE w:val="0"/>
              <w:autoSpaceDN w:val="0"/>
              <w:adjustRightInd w:val="0"/>
              <w:spacing w:line="360" w:lineRule="exact"/>
              <w:jc w:val="center"/>
              <w:rPr>
                <w:rFonts w:hint="eastAsia" w:eastAsia="宋体"/>
                <w:szCs w:val="21"/>
                <w:lang w:val="en-US" w:eastAsia="zh-CN"/>
              </w:rPr>
            </w:pPr>
            <w:r>
              <w:rPr>
                <w:rFonts w:hint="eastAsia"/>
                <w:szCs w:val="21"/>
                <w:lang w:val="en-US" w:eastAsia="zh-CN"/>
              </w:rPr>
              <w:t>6</w:t>
            </w:r>
            <w:r>
              <w:rPr>
                <w:rFonts w:hint="eastAsia"/>
                <w:szCs w:val="21"/>
              </w:rPr>
              <w:t>-</w:t>
            </w:r>
            <w:r>
              <w:rPr>
                <w:rFonts w:hint="eastAsia"/>
                <w:szCs w:val="21"/>
                <w:lang w:val="en-US" w:eastAsia="zh-CN"/>
              </w:rPr>
              <w:t>9</w:t>
            </w:r>
          </w:p>
        </w:tc>
        <w:tc>
          <w:tcPr>
            <w:tcW w:w="0" w:type="auto"/>
            <w:noWrap w:val="0"/>
            <w:vAlign w:val="center"/>
          </w:tcPr>
          <w:p>
            <w:pPr>
              <w:autoSpaceDE w:val="0"/>
              <w:autoSpaceDN w:val="0"/>
              <w:adjustRightInd w:val="0"/>
              <w:spacing w:line="360" w:lineRule="exact"/>
              <w:jc w:val="center"/>
              <w:rPr>
                <w:szCs w:val="21"/>
              </w:rPr>
            </w:pPr>
            <w:r>
              <w:rPr>
                <w:rFonts w:hint="eastAsia" w:ascii="Times New Roman" w:hAnsi="Times New Roman" w:eastAsia="宋体" w:cs="Times New Roman"/>
                <w:szCs w:val="21"/>
                <w:lang w:val="en-US" w:eastAsia="zh-CN"/>
              </w:rPr>
              <w:t>4.4</w:t>
            </w:r>
            <w:r>
              <w:rPr>
                <w:rFonts w:hint="default" w:ascii="Times New Roman" w:hAnsi="Times New Roman" w:eastAsia="宋体" w:cs="Times New Roman"/>
                <w:szCs w:val="21"/>
                <w:lang w:val="en-US" w:eastAsia="zh-CN"/>
              </w:rPr>
              <w:t>×10</w:t>
            </w:r>
            <w:r>
              <w:rPr>
                <w:rFonts w:hint="default" w:ascii="Times New Roman" w:hAnsi="Times New Roman" w:eastAsia="宋体" w:cs="Times New Roman"/>
                <w:szCs w:val="21"/>
                <w:vertAlign w:val="superscript"/>
                <w:lang w:val="en-US" w:eastAsia="zh-CN"/>
              </w:rPr>
              <w:t>3</w:t>
            </w:r>
            <w:r>
              <w:rPr>
                <w:rFonts w:hint="eastAsia" w:ascii="Times New Roman" w:hAnsi="Times New Roman" w:eastAsia="宋体" w:cs="Times New Roman"/>
                <w:szCs w:val="21"/>
                <w:lang w:val="en-US" w:eastAsia="zh-CN"/>
              </w:rPr>
              <w:t>-4.8</w:t>
            </w:r>
            <w:r>
              <w:rPr>
                <w:rFonts w:hint="default" w:ascii="Times New Roman" w:hAnsi="Times New Roman" w:eastAsia="宋体" w:cs="Times New Roman"/>
                <w:szCs w:val="21"/>
                <w:lang w:val="en-US" w:eastAsia="zh-CN"/>
              </w:rPr>
              <w:t>×10</w:t>
            </w:r>
            <w:r>
              <w:rPr>
                <w:rFonts w:hint="default" w:ascii="Times New Roman" w:hAnsi="Times New Roman" w:eastAsia="宋体" w:cs="Times New Roman"/>
                <w:szCs w:val="21"/>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300" w:hRule="atLeast"/>
        </w:trPr>
        <w:tc>
          <w:tcPr>
            <w:tcW w:w="1817" w:type="dxa"/>
            <w:vMerge w:val="continue"/>
            <w:noWrap w:val="0"/>
            <w:vAlign w:val="center"/>
          </w:tcPr>
          <w:p>
            <w:pPr>
              <w:autoSpaceDE w:val="0"/>
              <w:autoSpaceDN w:val="0"/>
              <w:adjustRightInd w:val="0"/>
              <w:spacing w:line="360" w:lineRule="exact"/>
              <w:jc w:val="center"/>
              <w:rPr>
                <w:rFonts w:hAnsi="宋体"/>
                <w:szCs w:val="21"/>
              </w:rPr>
            </w:pPr>
          </w:p>
        </w:tc>
        <w:tc>
          <w:tcPr>
            <w:tcW w:w="1725" w:type="dxa"/>
            <w:vMerge w:val="continue"/>
            <w:noWrap w:val="0"/>
            <w:vAlign w:val="center"/>
          </w:tcPr>
          <w:p>
            <w:pPr>
              <w:autoSpaceDE w:val="0"/>
              <w:autoSpaceDN w:val="0"/>
              <w:adjustRightInd w:val="0"/>
              <w:spacing w:line="360" w:lineRule="exact"/>
              <w:jc w:val="center"/>
              <w:rPr>
                <w:rFonts w:hAnsi="宋体"/>
                <w:szCs w:val="21"/>
              </w:rPr>
            </w:pPr>
          </w:p>
        </w:tc>
        <w:tc>
          <w:tcPr>
            <w:tcW w:w="0" w:type="auto"/>
            <w:noWrap w:val="0"/>
            <w:vAlign w:val="center"/>
          </w:tcPr>
          <w:p>
            <w:pPr>
              <w:autoSpaceDE w:val="0"/>
              <w:autoSpaceDN w:val="0"/>
              <w:adjustRightInd w:val="0"/>
              <w:spacing w:line="360" w:lineRule="exact"/>
              <w:jc w:val="center"/>
              <w:rPr>
                <w:color w:val="auto"/>
                <w:szCs w:val="21"/>
              </w:rPr>
            </w:pPr>
            <w:r>
              <w:rPr>
                <w:color w:val="auto"/>
                <w:szCs w:val="21"/>
              </w:rPr>
              <w:t>单因子指数</w:t>
            </w:r>
          </w:p>
        </w:tc>
        <w:tc>
          <w:tcPr>
            <w:tcW w:w="0" w:type="auto"/>
            <w:noWrap w:val="0"/>
            <w:vAlign w:val="center"/>
          </w:tcPr>
          <w:p>
            <w:pPr>
              <w:autoSpaceDE w:val="0"/>
              <w:autoSpaceDN w:val="0"/>
              <w:adjustRightInd w:val="0"/>
              <w:spacing w:line="360" w:lineRule="exact"/>
              <w:jc w:val="center"/>
              <w:rPr>
                <w:color w:val="auto"/>
                <w:szCs w:val="21"/>
              </w:rPr>
            </w:pPr>
            <w:r>
              <w:rPr>
                <w:rFonts w:hint="eastAsia"/>
                <w:color w:val="auto"/>
                <w:szCs w:val="21"/>
              </w:rPr>
              <w:t>0.06-0.075</w:t>
            </w:r>
          </w:p>
        </w:tc>
        <w:tc>
          <w:tcPr>
            <w:tcW w:w="1141" w:type="dxa"/>
            <w:noWrap w:val="0"/>
            <w:vAlign w:val="center"/>
          </w:tcPr>
          <w:p>
            <w:pPr>
              <w:autoSpaceDE w:val="0"/>
              <w:autoSpaceDN w:val="0"/>
              <w:adjustRightInd w:val="0"/>
              <w:spacing w:line="360" w:lineRule="exact"/>
              <w:jc w:val="center"/>
              <w:rPr>
                <w:color w:val="auto"/>
                <w:szCs w:val="21"/>
              </w:rPr>
            </w:pPr>
            <w:r>
              <w:rPr>
                <w:rFonts w:hint="eastAsia"/>
                <w:color w:val="auto"/>
                <w:szCs w:val="21"/>
              </w:rPr>
              <w:t>0.5-0.65</w:t>
            </w:r>
          </w:p>
        </w:tc>
        <w:tc>
          <w:tcPr>
            <w:tcW w:w="1198" w:type="dxa"/>
            <w:noWrap w:val="0"/>
            <w:vAlign w:val="center"/>
          </w:tcPr>
          <w:p>
            <w:pPr>
              <w:autoSpaceDE w:val="0"/>
              <w:autoSpaceDN w:val="0"/>
              <w:adjustRightInd w:val="0"/>
              <w:spacing w:line="360" w:lineRule="exact"/>
              <w:jc w:val="center"/>
              <w:rPr>
                <w:color w:val="auto"/>
                <w:szCs w:val="21"/>
              </w:rPr>
            </w:pPr>
            <w:r>
              <w:rPr>
                <w:rFonts w:hint="eastAsia"/>
                <w:color w:val="auto"/>
                <w:szCs w:val="21"/>
              </w:rPr>
              <w:t>0.475-0.625</w:t>
            </w:r>
          </w:p>
        </w:tc>
        <w:tc>
          <w:tcPr>
            <w:tcW w:w="0" w:type="auto"/>
            <w:noWrap w:val="0"/>
            <w:vAlign w:val="center"/>
          </w:tcPr>
          <w:p>
            <w:pPr>
              <w:autoSpaceDE w:val="0"/>
              <w:autoSpaceDN w:val="0"/>
              <w:adjustRightInd w:val="0"/>
              <w:spacing w:line="360" w:lineRule="exact"/>
              <w:jc w:val="center"/>
              <w:rPr>
                <w:color w:val="auto"/>
                <w:szCs w:val="21"/>
              </w:rPr>
            </w:pPr>
            <w:r>
              <w:rPr>
                <w:rFonts w:hint="eastAsia"/>
                <w:color w:val="auto"/>
                <w:szCs w:val="21"/>
              </w:rPr>
              <w:t>0.076-0.087</w:t>
            </w:r>
          </w:p>
        </w:tc>
        <w:tc>
          <w:tcPr>
            <w:tcW w:w="0" w:type="auto"/>
            <w:noWrap w:val="0"/>
            <w:vAlign w:val="center"/>
          </w:tcPr>
          <w:p>
            <w:pPr>
              <w:autoSpaceDE w:val="0"/>
              <w:autoSpaceDN w:val="0"/>
              <w:adjustRightInd w:val="0"/>
              <w:spacing w:line="360" w:lineRule="exact"/>
              <w:jc w:val="center"/>
              <w:rPr>
                <w:color w:val="auto"/>
                <w:szCs w:val="21"/>
              </w:rPr>
            </w:pPr>
            <w:r>
              <w:rPr>
                <w:rFonts w:hint="eastAsia"/>
                <w:color w:val="auto"/>
                <w:szCs w:val="21"/>
                <w:lang w:eastAsia="zh-CN"/>
              </w:rPr>
              <w:t>0.029</w:t>
            </w:r>
            <w:r>
              <w:rPr>
                <w:rFonts w:hint="eastAsia"/>
                <w:color w:val="auto"/>
                <w:szCs w:val="21"/>
              </w:rPr>
              <w:t>-0.04</w:t>
            </w:r>
          </w:p>
        </w:tc>
        <w:tc>
          <w:tcPr>
            <w:tcW w:w="0" w:type="auto"/>
            <w:noWrap w:val="0"/>
            <w:vAlign w:val="center"/>
          </w:tcPr>
          <w:p>
            <w:pPr>
              <w:autoSpaceDE w:val="0"/>
              <w:autoSpaceDN w:val="0"/>
              <w:adjustRightInd w:val="0"/>
              <w:spacing w:line="360" w:lineRule="exact"/>
              <w:jc w:val="center"/>
              <w:rPr>
                <w:rFonts w:hint="eastAsia"/>
                <w:color w:val="auto"/>
                <w:szCs w:val="21"/>
              </w:rPr>
            </w:pPr>
            <w:r>
              <w:rPr>
                <w:rFonts w:hint="eastAsia"/>
                <w:color w:val="auto"/>
                <w:szCs w:val="21"/>
              </w:rPr>
              <w:t>/</w:t>
            </w:r>
          </w:p>
        </w:tc>
        <w:tc>
          <w:tcPr>
            <w:tcW w:w="0" w:type="auto"/>
            <w:noWrap w:val="0"/>
            <w:vAlign w:val="center"/>
          </w:tcPr>
          <w:p>
            <w:pPr>
              <w:autoSpaceDE w:val="0"/>
              <w:autoSpaceDN w:val="0"/>
              <w:adjustRightInd w:val="0"/>
              <w:spacing w:line="360" w:lineRule="exact"/>
              <w:jc w:val="center"/>
              <w:rPr>
                <w:color w:val="auto"/>
                <w:szCs w:val="21"/>
              </w:rPr>
            </w:pPr>
            <w:r>
              <w:rPr>
                <w:rFonts w:hint="eastAsia"/>
                <w:color w:val="auto"/>
                <w:szCs w:val="21"/>
              </w:rPr>
              <w:t>0.026-0.028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300" w:hRule="atLeast"/>
        </w:trPr>
        <w:tc>
          <w:tcPr>
            <w:tcW w:w="1817" w:type="dxa"/>
            <w:vMerge w:val="continue"/>
            <w:noWrap w:val="0"/>
            <w:vAlign w:val="center"/>
          </w:tcPr>
          <w:p>
            <w:pPr>
              <w:autoSpaceDE w:val="0"/>
              <w:autoSpaceDN w:val="0"/>
              <w:adjustRightInd w:val="0"/>
              <w:spacing w:line="360" w:lineRule="exact"/>
              <w:jc w:val="center"/>
              <w:rPr>
                <w:rFonts w:hAnsi="宋体"/>
                <w:szCs w:val="21"/>
              </w:rPr>
            </w:pPr>
          </w:p>
        </w:tc>
        <w:tc>
          <w:tcPr>
            <w:tcW w:w="1725" w:type="dxa"/>
            <w:vMerge w:val="continue"/>
            <w:noWrap w:val="0"/>
            <w:vAlign w:val="center"/>
          </w:tcPr>
          <w:p>
            <w:pPr>
              <w:autoSpaceDE w:val="0"/>
              <w:autoSpaceDN w:val="0"/>
              <w:adjustRightInd w:val="0"/>
              <w:spacing w:line="360" w:lineRule="exact"/>
              <w:jc w:val="center"/>
              <w:rPr>
                <w:rFonts w:hAnsi="宋体"/>
                <w:szCs w:val="21"/>
              </w:rPr>
            </w:pPr>
          </w:p>
        </w:tc>
        <w:tc>
          <w:tcPr>
            <w:tcW w:w="0" w:type="auto"/>
            <w:noWrap w:val="0"/>
            <w:vAlign w:val="center"/>
          </w:tcPr>
          <w:p>
            <w:pPr>
              <w:autoSpaceDE w:val="0"/>
              <w:autoSpaceDN w:val="0"/>
              <w:adjustRightInd w:val="0"/>
              <w:spacing w:line="360" w:lineRule="exact"/>
              <w:jc w:val="center"/>
              <w:rPr>
                <w:color w:val="auto"/>
                <w:szCs w:val="21"/>
              </w:rPr>
            </w:pPr>
            <w:r>
              <w:rPr>
                <w:color w:val="auto"/>
                <w:szCs w:val="21"/>
              </w:rPr>
              <w:t>最大超标倍数</w:t>
            </w:r>
          </w:p>
        </w:tc>
        <w:tc>
          <w:tcPr>
            <w:tcW w:w="0" w:type="auto"/>
            <w:noWrap w:val="0"/>
            <w:vAlign w:val="center"/>
          </w:tcPr>
          <w:p>
            <w:pPr>
              <w:autoSpaceDE w:val="0"/>
              <w:autoSpaceDN w:val="0"/>
              <w:adjustRightInd w:val="0"/>
              <w:spacing w:line="360" w:lineRule="exact"/>
              <w:jc w:val="center"/>
              <w:rPr>
                <w:color w:val="auto"/>
                <w:szCs w:val="21"/>
              </w:rPr>
            </w:pPr>
            <w:r>
              <w:rPr>
                <w:color w:val="auto"/>
                <w:szCs w:val="21"/>
              </w:rPr>
              <w:t>0</w:t>
            </w:r>
          </w:p>
        </w:tc>
        <w:tc>
          <w:tcPr>
            <w:tcW w:w="1141" w:type="dxa"/>
            <w:noWrap w:val="0"/>
            <w:vAlign w:val="center"/>
          </w:tcPr>
          <w:p>
            <w:pPr>
              <w:autoSpaceDE w:val="0"/>
              <w:autoSpaceDN w:val="0"/>
              <w:adjustRightInd w:val="0"/>
              <w:spacing w:line="360" w:lineRule="exact"/>
              <w:jc w:val="center"/>
              <w:rPr>
                <w:color w:val="auto"/>
                <w:szCs w:val="21"/>
              </w:rPr>
            </w:pPr>
            <w:r>
              <w:rPr>
                <w:rFonts w:hint="eastAsia"/>
                <w:color w:val="auto"/>
                <w:szCs w:val="21"/>
              </w:rPr>
              <w:t>0</w:t>
            </w:r>
          </w:p>
        </w:tc>
        <w:tc>
          <w:tcPr>
            <w:tcW w:w="1198" w:type="dxa"/>
            <w:noWrap w:val="0"/>
            <w:vAlign w:val="center"/>
          </w:tcPr>
          <w:p>
            <w:pPr>
              <w:autoSpaceDE w:val="0"/>
              <w:autoSpaceDN w:val="0"/>
              <w:adjustRightInd w:val="0"/>
              <w:spacing w:line="360" w:lineRule="exact"/>
              <w:jc w:val="center"/>
              <w:rPr>
                <w:color w:val="auto"/>
                <w:szCs w:val="21"/>
              </w:rPr>
            </w:pPr>
            <w:r>
              <w:rPr>
                <w:rFonts w:hint="eastAsia"/>
                <w:color w:val="auto"/>
                <w:szCs w:val="21"/>
              </w:rPr>
              <w:t>0</w:t>
            </w:r>
          </w:p>
        </w:tc>
        <w:tc>
          <w:tcPr>
            <w:tcW w:w="0" w:type="auto"/>
            <w:noWrap w:val="0"/>
            <w:vAlign w:val="center"/>
          </w:tcPr>
          <w:p>
            <w:pPr>
              <w:autoSpaceDE w:val="0"/>
              <w:autoSpaceDN w:val="0"/>
              <w:adjustRightInd w:val="0"/>
              <w:spacing w:line="360" w:lineRule="exact"/>
              <w:jc w:val="center"/>
              <w:rPr>
                <w:color w:val="auto"/>
                <w:szCs w:val="21"/>
              </w:rPr>
            </w:pPr>
            <w:r>
              <w:rPr>
                <w:color w:val="auto"/>
                <w:szCs w:val="21"/>
              </w:rPr>
              <w:t>0</w:t>
            </w:r>
          </w:p>
        </w:tc>
        <w:tc>
          <w:tcPr>
            <w:tcW w:w="0" w:type="auto"/>
            <w:noWrap w:val="0"/>
            <w:vAlign w:val="center"/>
          </w:tcPr>
          <w:p>
            <w:pPr>
              <w:autoSpaceDE w:val="0"/>
              <w:autoSpaceDN w:val="0"/>
              <w:adjustRightInd w:val="0"/>
              <w:spacing w:line="360" w:lineRule="exact"/>
              <w:jc w:val="center"/>
              <w:rPr>
                <w:color w:val="auto"/>
                <w:szCs w:val="21"/>
              </w:rPr>
            </w:pPr>
            <w:r>
              <w:rPr>
                <w:color w:val="auto"/>
                <w:szCs w:val="21"/>
              </w:rPr>
              <w:t>0</w:t>
            </w:r>
          </w:p>
        </w:tc>
        <w:tc>
          <w:tcPr>
            <w:tcW w:w="0" w:type="auto"/>
            <w:noWrap w:val="0"/>
            <w:vAlign w:val="center"/>
          </w:tcPr>
          <w:p>
            <w:pPr>
              <w:autoSpaceDE w:val="0"/>
              <w:autoSpaceDN w:val="0"/>
              <w:adjustRightInd w:val="0"/>
              <w:spacing w:line="360" w:lineRule="exact"/>
              <w:jc w:val="center"/>
              <w:rPr>
                <w:rFonts w:hint="eastAsia"/>
                <w:color w:val="auto"/>
                <w:szCs w:val="21"/>
              </w:rPr>
            </w:pPr>
            <w:r>
              <w:rPr>
                <w:rFonts w:hint="eastAsia"/>
                <w:color w:val="auto"/>
                <w:szCs w:val="21"/>
              </w:rPr>
              <w:t>/</w:t>
            </w:r>
          </w:p>
        </w:tc>
        <w:tc>
          <w:tcPr>
            <w:tcW w:w="0" w:type="auto"/>
            <w:noWrap w:val="0"/>
            <w:vAlign w:val="center"/>
          </w:tcPr>
          <w:p>
            <w:pPr>
              <w:autoSpaceDE w:val="0"/>
              <w:autoSpaceDN w:val="0"/>
              <w:adjustRightInd w:val="0"/>
              <w:spacing w:line="360" w:lineRule="exact"/>
              <w:jc w:val="center"/>
              <w:rPr>
                <w:color w:val="auto"/>
                <w:szCs w:val="21"/>
              </w:rPr>
            </w:pPr>
            <w:r>
              <w:rPr>
                <w:rFonts w:hint="eastAsia"/>
                <w:color w:val="auto"/>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300" w:hRule="atLeast"/>
        </w:trPr>
        <w:tc>
          <w:tcPr>
            <w:tcW w:w="1817" w:type="dxa"/>
            <w:vMerge w:val="continue"/>
            <w:noWrap w:val="0"/>
            <w:vAlign w:val="center"/>
          </w:tcPr>
          <w:p>
            <w:pPr>
              <w:autoSpaceDE w:val="0"/>
              <w:autoSpaceDN w:val="0"/>
              <w:adjustRightInd w:val="0"/>
              <w:spacing w:line="360" w:lineRule="exact"/>
              <w:jc w:val="center"/>
              <w:rPr>
                <w:rFonts w:hAnsi="宋体"/>
                <w:szCs w:val="21"/>
              </w:rPr>
            </w:pPr>
          </w:p>
        </w:tc>
        <w:tc>
          <w:tcPr>
            <w:tcW w:w="1725" w:type="dxa"/>
            <w:vMerge w:val="continue"/>
            <w:noWrap w:val="0"/>
            <w:vAlign w:val="center"/>
          </w:tcPr>
          <w:p>
            <w:pPr>
              <w:autoSpaceDE w:val="0"/>
              <w:autoSpaceDN w:val="0"/>
              <w:adjustRightInd w:val="0"/>
              <w:spacing w:line="360" w:lineRule="exact"/>
              <w:jc w:val="center"/>
              <w:rPr>
                <w:rFonts w:hAnsi="宋体"/>
                <w:szCs w:val="21"/>
              </w:rPr>
            </w:pPr>
          </w:p>
        </w:tc>
        <w:tc>
          <w:tcPr>
            <w:tcW w:w="0" w:type="auto"/>
            <w:noWrap w:val="0"/>
            <w:vAlign w:val="center"/>
          </w:tcPr>
          <w:p>
            <w:pPr>
              <w:autoSpaceDE w:val="0"/>
              <w:autoSpaceDN w:val="0"/>
              <w:adjustRightInd w:val="0"/>
              <w:spacing w:line="360" w:lineRule="exact"/>
              <w:jc w:val="center"/>
              <w:rPr>
                <w:color w:val="auto"/>
                <w:szCs w:val="21"/>
              </w:rPr>
            </w:pPr>
            <w:r>
              <w:rPr>
                <w:color w:val="auto"/>
                <w:szCs w:val="21"/>
              </w:rPr>
              <w:t>超标率%</w:t>
            </w:r>
          </w:p>
        </w:tc>
        <w:tc>
          <w:tcPr>
            <w:tcW w:w="0" w:type="auto"/>
            <w:noWrap w:val="0"/>
            <w:vAlign w:val="center"/>
          </w:tcPr>
          <w:p>
            <w:pPr>
              <w:autoSpaceDE w:val="0"/>
              <w:autoSpaceDN w:val="0"/>
              <w:adjustRightInd w:val="0"/>
              <w:spacing w:line="360" w:lineRule="exact"/>
              <w:jc w:val="center"/>
              <w:rPr>
                <w:color w:val="auto"/>
                <w:szCs w:val="21"/>
              </w:rPr>
            </w:pPr>
            <w:r>
              <w:rPr>
                <w:color w:val="auto"/>
                <w:szCs w:val="21"/>
              </w:rPr>
              <w:t>0</w:t>
            </w:r>
          </w:p>
        </w:tc>
        <w:tc>
          <w:tcPr>
            <w:tcW w:w="1141" w:type="dxa"/>
            <w:noWrap w:val="0"/>
            <w:vAlign w:val="center"/>
          </w:tcPr>
          <w:p>
            <w:pPr>
              <w:autoSpaceDE w:val="0"/>
              <w:autoSpaceDN w:val="0"/>
              <w:adjustRightInd w:val="0"/>
              <w:spacing w:line="360" w:lineRule="exact"/>
              <w:jc w:val="center"/>
              <w:rPr>
                <w:color w:val="auto"/>
                <w:szCs w:val="21"/>
              </w:rPr>
            </w:pPr>
            <w:r>
              <w:rPr>
                <w:rFonts w:hint="eastAsia"/>
                <w:color w:val="auto"/>
                <w:szCs w:val="21"/>
              </w:rPr>
              <w:t>0</w:t>
            </w:r>
          </w:p>
        </w:tc>
        <w:tc>
          <w:tcPr>
            <w:tcW w:w="1198" w:type="dxa"/>
            <w:noWrap w:val="0"/>
            <w:vAlign w:val="center"/>
          </w:tcPr>
          <w:p>
            <w:pPr>
              <w:autoSpaceDE w:val="0"/>
              <w:autoSpaceDN w:val="0"/>
              <w:adjustRightInd w:val="0"/>
              <w:spacing w:line="360" w:lineRule="exact"/>
              <w:jc w:val="center"/>
              <w:rPr>
                <w:color w:val="auto"/>
                <w:szCs w:val="21"/>
              </w:rPr>
            </w:pPr>
            <w:r>
              <w:rPr>
                <w:rFonts w:hint="eastAsia"/>
                <w:color w:val="auto"/>
                <w:szCs w:val="21"/>
              </w:rPr>
              <w:t>0</w:t>
            </w:r>
          </w:p>
        </w:tc>
        <w:tc>
          <w:tcPr>
            <w:tcW w:w="0" w:type="auto"/>
            <w:noWrap w:val="0"/>
            <w:vAlign w:val="center"/>
          </w:tcPr>
          <w:p>
            <w:pPr>
              <w:autoSpaceDE w:val="0"/>
              <w:autoSpaceDN w:val="0"/>
              <w:adjustRightInd w:val="0"/>
              <w:spacing w:line="360" w:lineRule="exact"/>
              <w:jc w:val="center"/>
              <w:rPr>
                <w:color w:val="auto"/>
                <w:szCs w:val="21"/>
              </w:rPr>
            </w:pPr>
            <w:r>
              <w:rPr>
                <w:color w:val="auto"/>
                <w:szCs w:val="21"/>
              </w:rPr>
              <w:t>0</w:t>
            </w:r>
          </w:p>
        </w:tc>
        <w:tc>
          <w:tcPr>
            <w:tcW w:w="0" w:type="auto"/>
            <w:noWrap w:val="0"/>
            <w:vAlign w:val="center"/>
          </w:tcPr>
          <w:p>
            <w:pPr>
              <w:autoSpaceDE w:val="0"/>
              <w:autoSpaceDN w:val="0"/>
              <w:adjustRightInd w:val="0"/>
              <w:spacing w:line="360" w:lineRule="exact"/>
              <w:jc w:val="center"/>
              <w:rPr>
                <w:color w:val="auto"/>
                <w:szCs w:val="21"/>
              </w:rPr>
            </w:pPr>
            <w:r>
              <w:rPr>
                <w:color w:val="auto"/>
                <w:szCs w:val="21"/>
              </w:rPr>
              <w:t>0</w:t>
            </w:r>
          </w:p>
        </w:tc>
        <w:tc>
          <w:tcPr>
            <w:tcW w:w="0" w:type="auto"/>
            <w:noWrap w:val="0"/>
            <w:vAlign w:val="center"/>
          </w:tcPr>
          <w:p>
            <w:pPr>
              <w:autoSpaceDE w:val="0"/>
              <w:autoSpaceDN w:val="0"/>
              <w:adjustRightInd w:val="0"/>
              <w:spacing w:line="360" w:lineRule="exact"/>
              <w:jc w:val="center"/>
              <w:rPr>
                <w:rFonts w:hint="eastAsia"/>
                <w:color w:val="auto"/>
                <w:szCs w:val="21"/>
              </w:rPr>
            </w:pPr>
            <w:r>
              <w:rPr>
                <w:rFonts w:hint="eastAsia"/>
                <w:color w:val="auto"/>
                <w:szCs w:val="21"/>
              </w:rPr>
              <w:t>/</w:t>
            </w:r>
          </w:p>
        </w:tc>
        <w:tc>
          <w:tcPr>
            <w:tcW w:w="0" w:type="auto"/>
            <w:noWrap w:val="0"/>
            <w:vAlign w:val="center"/>
          </w:tcPr>
          <w:p>
            <w:pPr>
              <w:autoSpaceDE w:val="0"/>
              <w:autoSpaceDN w:val="0"/>
              <w:adjustRightInd w:val="0"/>
              <w:spacing w:line="360" w:lineRule="exact"/>
              <w:jc w:val="center"/>
              <w:rPr>
                <w:color w:val="auto"/>
                <w:szCs w:val="21"/>
              </w:rPr>
            </w:pPr>
            <w:r>
              <w:rPr>
                <w:rFonts w:hint="eastAsia"/>
                <w:color w:val="auto"/>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300" w:hRule="atLeast"/>
        </w:trPr>
        <w:tc>
          <w:tcPr>
            <w:tcW w:w="1817" w:type="dxa"/>
            <w:vMerge w:val="continue"/>
            <w:noWrap w:val="0"/>
            <w:vAlign w:val="center"/>
          </w:tcPr>
          <w:p>
            <w:pPr>
              <w:autoSpaceDE w:val="0"/>
              <w:autoSpaceDN w:val="0"/>
              <w:adjustRightInd w:val="0"/>
              <w:spacing w:line="360" w:lineRule="exact"/>
              <w:jc w:val="center"/>
              <w:rPr>
                <w:rFonts w:hAnsi="宋体"/>
                <w:szCs w:val="21"/>
              </w:rPr>
            </w:pPr>
          </w:p>
        </w:tc>
        <w:tc>
          <w:tcPr>
            <w:tcW w:w="1725" w:type="dxa"/>
            <w:vMerge w:val="restart"/>
            <w:noWrap w:val="0"/>
            <w:vAlign w:val="center"/>
          </w:tcPr>
          <w:p>
            <w:pPr>
              <w:autoSpaceDE w:val="0"/>
              <w:autoSpaceDN w:val="0"/>
              <w:adjustRightInd w:val="0"/>
              <w:spacing w:line="360" w:lineRule="exact"/>
              <w:jc w:val="center"/>
              <w:rPr>
                <w:rFonts w:hint="eastAsia" w:hAnsi="宋体"/>
                <w:szCs w:val="21"/>
              </w:rPr>
            </w:pPr>
            <w:r>
              <w:rPr>
                <w:rFonts w:hint="eastAsia" w:hAnsi="宋体"/>
                <w:szCs w:val="21"/>
                <w:lang w:eastAsia="zh-CN"/>
              </w:rPr>
              <w:t>黄大港-朱楼断面</w:t>
            </w:r>
          </w:p>
        </w:tc>
        <w:tc>
          <w:tcPr>
            <w:tcW w:w="0" w:type="auto"/>
            <w:noWrap w:val="0"/>
            <w:vAlign w:val="center"/>
          </w:tcPr>
          <w:p>
            <w:pPr>
              <w:autoSpaceDE w:val="0"/>
              <w:autoSpaceDN w:val="0"/>
              <w:adjustRightInd w:val="0"/>
              <w:spacing w:line="360" w:lineRule="exact"/>
              <w:jc w:val="center"/>
              <w:rPr>
                <w:color w:val="auto"/>
                <w:szCs w:val="21"/>
              </w:rPr>
            </w:pPr>
            <w:r>
              <w:rPr>
                <w:color w:val="auto"/>
                <w:szCs w:val="21"/>
              </w:rPr>
              <w:t>范围</w:t>
            </w:r>
          </w:p>
        </w:tc>
        <w:tc>
          <w:tcPr>
            <w:tcW w:w="0" w:type="auto"/>
            <w:noWrap w:val="0"/>
            <w:vAlign w:val="center"/>
          </w:tcPr>
          <w:p>
            <w:pPr>
              <w:autoSpaceDE w:val="0"/>
              <w:autoSpaceDN w:val="0"/>
              <w:adjustRightInd w:val="0"/>
              <w:spacing w:line="360" w:lineRule="exact"/>
              <w:jc w:val="center"/>
              <w:rPr>
                <w:rFonts w:hint="default" w:eastAsia="宋体"/>
                <w:color w:val="auto"/>
                <w:szCs w:val="21"/>
                <w:lang w:val="en-US" w:eastAsia="zh-CN"/>
              </w:rPr>
            </w:pPr>
            <w:r>
              <w:rPr>
                <w:rFonts w:hint="eastAsia"/>
                <w:color w:val="auto"/>
                <w:szCs w:val="21"/>
              </w:rPr>
              <w:t>7.</w:t>
            </w:r>
            <w:r>
              <w:rPr>
                <w:rFonts w:hint="eastAsia"/>
                <w:color w:val="auto"/>
                <w:szCs w:val="21"/>
                <w:lang w:val="en-US" w:eastAsia="zh-CN"/>
              </w:rPr>
              <w:t>50</w:t>
            </w:r>
            <w:r>
              <w:rPr>
                <w:rFonts w:hint="eastAsia"/>
                <w:color w:val="auto"/>
                <w:szCs w:val="21"/>
              </w:rPr>
              <w:t>-7.</w:t>
            </w:r>
            <w:r>
              <w:rPr>
                <w:rFonts w:hint="eastAsia"/>
                <w:color w:val="auto"/>
                <w:szCs w:val="21"/>
                <w:lang w:val="en-US" w:eastAsia="zh-CN"/>
              </w:rPr>
              <w:t>53</w:t>
            </w:r>
          </w:p>
        </w:tc>
        <w:tc>
          <w:tcPr>
            <w:tcW w:w="1141" w:type="dxa"/>
            <w:noWrap w:val="0"/>
            <w:vAlign w:val="center"/>
          </w:tcPr>
          <w:p>
            <w:pPr>
              <w:autoSpaceDE w:val="0"/>
              <w:autoSpaceDN w:val="0"/>
              <w:adjustRightInd w:val="0"/>
              <w:spacing w:line="360" w:lineRule="exact"/>
              <w:jc w:val="center"/>
              <w:rPr>
                <w:rFonts w:hint="eastAsia" w:eastAsia="宋体"/>
                <w:color w:val="auto"/>
                <w:szCs w:val="21"/>
                <w:lang w:eastAsia="zh-CN"/>
              </w:rPr>
            </w:pPr>
            <w:r>
              <w:rPr>
                <w:rFonts w:hint="eastAsia"/>
                <w:color w:val="auto"/>
                <w:szCs w:val="21"/>
                <w:lang w:val="en-US" w:eastAsia="zh-CN"/>
              </w:rPr>
              <w:t>13</w:t>
            </w:r>
            <w:r>
              <w:rPr>
                <w:rFonts w:hint="eastAsia"/>
                <w:color w:val="auto"/>
                <w:szCs w:val="21"/>
              </w:rPr>
              <w:t>-1</w:t>
            </w:r>
            <w:r>
              <w:rPr>
                <w:rFonts w:hint="eastAsia"/>
                <w:color w:val="auto"/>
                <w:szCs w:val="21"/>
                <w:lang w:val="en-US" w:eastAsia="zh-CN"/>
              </w:rPr>
              <w:t>6</w:t>
            </w:r>
          </w:p>
        </w:tc>
        <w:tc>
          <w:tcPr>
            <w:tcW w:w="1198" w:type="dxa"/>
            <w:noWrap w:val="0"/>
            <w:vAlign w:val="center"/>
          </w:tcPr>
          <w:p>
            <w:pPr>
              <w:autoSpaceDE w:val="0"/>
              <w:autoSpaceDN w:val="0"/>
              <w:adjustRightInd w:val="0"/>
              <w:spacing w:line="360" w:lineRule="exact"/>
              <w:jc w:val="center"/>
              <w:rPr>
                <w:color w:val="auto"/>
                <w:szCs w:val="21"/>
              </w:rPr>
            </w:pPr>
            <w:r>
              <w:rPr>
                <w:rFonts w:hint="eastAsia"/>
                <w:color w:val="auto"/>
                <w:szCs w:val="21"/>
              </w:rPr>
              <w:t>2.</w:t>
            </w:r>
            <w:r>
              <w:rPr>
                <w:rFonts w:hint="eastAsia"/>
                <w:color w:val="auto"/>
                <w:szCs w:val="21"/>
                <w:lang w:val="en-US" w:eastAsia="zh-CN"/>
              </w:rPr>
              <w:t>5</w:t>
            </w:r>
            <w:r>
              <w:rPr>
                <w:rFonts w:hint="eastAsia"/>
                <w:color w:val="auto"/>
                <w:szCs w:val="21"/>
              </w:rPr>
              <w:t>-</w:t>
            </w:r>
            <w:r>
              <w:rPr>
                <w:rFonts w:hint="eastAsia"/>
                <w:color w:val="auto"/>
                <w:szCs w:val="21"/>
                <w:lang w:val="en-US" w:eastAsia="zh-CN"/>
              </w:rPr>
              <w:t>3</w:t>
            </w:r>
            <w:r>
              <w:rPr>
                <w:rFonts w:hint="eastAsia"/>
                <w:color w:val="auto"/>
                <w:szCs w:val="21"/>
              </w:rPr>
              <w:t>.5</w:t>
            </w:r>
          </w:p>
        </w:tc>
        <w:tc>
          <w:tcPr>
            <w:tcW w:w="0" w:type="auto"/>
            <w:noWrap w:val="0"/>
            <w:vAlign w:val="center"/>
          </w:tcPr>
          <w:p>
            <w:pPr>
              <w:autoSpaceDE w:val="0"/>
              <w:autoSpaceDN w:val="0"/>
              <w:adjustRightInd w:val="0"/>
              <w:spacing w:line="360" w:lineRule="exact"/>
              <w:jc w:val="center"/>
              <w:rPr>
                <w:rFonts w:hint="default" w:eastAsia="宋体"/>
                <w:color w:val="auto"/>
                <w:szCs w:val="21"/>
                <w:lang w:val="en-US" w:eastAsia="zh-CN"/>
              </w:rPr>
            </w:pPr>
            <w:r>
              <w:rPr>
                <w:rFonts w:hint="eastAsia"/>
                <w:color w:val="auto"/>
                <w:szCs w:val="21"/>
              </w:rPr>
              <w:t>0.</w:t>
            </w:r>
            <w:r>
              <w:rPr>
                <w:rFonts w:hint="eastAsia"/>
                <w:color w:val="auto"/>
                <w:szCs w:val="21"/>
                <w:lang w:val="en-US" w:eastAsia="zh-CN"/>
              </w:rPr>
              <w:t>538</w:t>
            </w:r>
            <w:r>
              <w:rPr>
                <w:rFonts w:hint="eastAsia"/>
                <w:color w:val="auto"/>
                <w:szCs w:val="21"/>
              </w:rPr>
              <w:t>-</w:t>
            </w:r>
            <w:r>
              <w:rPr>
                <w:rFonts w:hint="eastAsia"/>
                <w:color w:val="auto"/>
                <w:szCs w:val="21"/>
                <w:lang w:val="en-US" w:eastAsia="zh-CN"/>
              </w:rPr>
              <w:t>0.659</w:t>
            </w:r>
          </w:p>
        </w:tc>
        <w:tc>
          <w:tcPr>
            <w:tcW w:w="0" w:type="auto"/>
            <w:noWrap w:val="0"/>
            <w:vAlign w:val="center"/>
          </w:tcPr>
          <w:p>
            <w:pPr>
              <w:autoSpaceDE w:val="0"/>
              <w:autoSpaceDN w:val="0"/>
              <w:adjustRightInd w:val="0"/>
              <w:spacing w:line="360" w:lineRule="exact"/>
              <w:jc w:val="center"/>
              <w:rPr>
                <w:rFonts w:hint="default" w:eastAsia="宋体"/>
                <w:color w:val="auto"/>
                <w:szCs w:val="21"/>
                <w:lang w:val="en-US" w:eastAsia="zh-CN"/>
              </w:rPr>
            </w:pPr>
            <w:r>
              <w:rPr>
                <w:rFonts w:hint="eastAsia"/>
                <w:color w:val="auto"/>
                <w:szCs w:val="21"/>
              </w:rPr>
              <w:t>0.0</w:t>
            </w:r>
            <w:r>
              <w:rPr>
                <w:rFonts w:hint="eastAsia"/>
                <w:color w:val="auto"/>
                <w:szCs w:val="21"/>
                <w:lang w:val="en-US" w:eastAsia="zh-CN"/>
              </w:rPr>
              <w:t>4</w:t>
            </w:r>
            <w:r>
              <w:rPr>
                <w:rFonts w:hint="eastAsia"/>
                <w:color w:val="auto"/>
                <w:szCs w:val="21"/>
              </w:rPr>
              <w:t>-0.</w:t>
            </w:r>
            <w:r>
              <w:rPr>
                <w:rFonts w:hint="eastAsia"/>
                <w:color w:val="auto"/>
                <w:szCs w:val="21"/>
                <w:lang w:val="en-US" w:eastAsia="zh-CN"/>
              </w:rPr>
              <w:t>10</w:t>
            </w:r>
          </w:p>
        </w:tc>
        <w:tc>
          <w:tcPr>
            <w:tcW w:w="0" w:type="auto"/>
            <w:noWrap w:val="0"/>
            <w:vAlign w:val="center"/>
          </w:tcPr>
          <w:p>
            <w:pPr>
              <w:autoSpaceDE w:val="0"/>
              <w:autoSpaceDN w:val="0"/>
              <w:adjustRightInd w:val="0"/>
              <w:spacing w:line="360" w:lineRule="exact"/>
              <w:jc w:val="center"/>
              <w:rPr>
                <w:rFonts w:hint="eastAsia" w:eastAsia="宋体"/>
                <w:color w:val="auto"/>
                <w:szCs w:val="21"/>
                <w:lang w:eastAsia="zh-CN"/>
              </w:rPr>
            </w:pPr>
            <w:r>
              <w:rPr>
                <w:rFonts w:hint="eastAsia"/>
                <w:color w:val="auto"/>
                <w:szCs w:val="21"/>
                <w:lang w:val="en-US" w:eastAsia="zh-CN"/>
              </w:rPr>
              <w:t>5</w:t>
            </w:r>
            <w:r>
              <w:rPr>
                <w:rFonts w:hint="eastAsia"/>
                <w:color w:val="auto"/>
                <w:szCs w:val="21"/>
              </w:rPr>
              <w:t>-1</w:t>
            </w:r>
            <w:r>
              <w:rPr>
                <w:rFonts w:hint="eastAsia"/>
                <w:color w:val="auto"/>
                <w:szCs w:val="21"/>
                <w:lang w:val="en-US" w:eastAsia="zh-CN"/>
              </w:rPr>
              <w:t>0</w:t>
            </w:r>
          </w:p>
        </w:tc>
        <w:tc>
          <w:tcPr>
            <w:tcW w:w="0" w:type="auto"/>
            <w:noWrap w:val="0"/>
            <w:vAlign w:val="center"/>
          </w:tcPr>
          <w:p>
            <w:pPr>
              <w:autoSpaceDE w:val="0"/>
              <w:autoSpaceDN w:val="0"/>
              <w:adjustRightInd w:val="0"/>
              <w:spacing w:line="360" w:lineRule="exact"/>
              <w:jc w:val="center"/>
              <w:rPr>
                <w:color w:val="auto"/>
                <w:szCs w:val="21"/>
              </w:rPr>
            </w:pPr>
            <w:r>
              <w:rPr>
                <w:rFonts w:hint="eastAsia" w:ascii="Times New Roman" w:hAnsi="Times New Roman" w:cs="Times New Roman"/>
                <w:color w:val="auto"/>
                <w:sz w:val="21"/>
                <w:szCs w:val="21"/>
                <w:lang w:val="en-US" w:eastAsia="zh-CN"/>
              </w:rPr>
              <w:t>4.2</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10</w:t>
            </w:r>
            <w:r>
              <w:rPr>
                <w:rFonts w:hint="default" w:ascii="Times New Roman" w:hAnsi="Times New Roman" w:cs="Times New Roman"/>
                <w:color w:val="auto"/>
                <w:sz w:val="21"/>
                <w:szCs w:val="21"/>
                <w:vertAlign w:val="superscript"/>
                <w:lang w:val="en-US" w:eastAsia="zh-CN"/>
              </w:rPr>
              <w:t>3</w:t>
            </w:r>
            <w:r>
              <w:rPr>
                <w:rFonts w:hint="eastAsia"/>
                <w:color w:val="auto"/>
                <w:sz w:val="21"/>
                <w:szCs w:val="21"/>
              </w:rPr>
              <w:t>-</w:t>
            </w:r>
            <w:r>
              <w:rPr>
                <w:rFonts w:hint="eastAsia" w:ascii="Times New Roman" w:hAnsi="Times New Roman" w:cs="Times New Roman"/>
                <w:color w:val="auto"/>
                <w:sz w:val="21"/>
                <w:szCs w:val="21"/>
                <w:lang w:val="en-US" w:eastAsia="zh-CN"/>
              </w:rPr>
              <w:t>4.7</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10</w:t>
            </w:r>
            <w:r>
              <w:rPr>
                <w:rFonts w:hint="default" w:ascii="Times New Roman" w:hAnsi="Times New Roman" w:cs="Times New Roman"/>
                <w:color w:val="auto"/>
                <w:sz w:val="21"/>
                <w:szCs w:val="21"/>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300" w:hRule="atLeast"/>
        </w:trPr>
        <w:tc>
          <w:tcPr>
            <w:tcW w:w="1817" w:type="dxa"/>
            <w:vMerge w:val="continue"/>
            <w:noWrap w:val="0"/>
            <w:vAlign w:val="center"/>
          </w:tcPr>
          <w:p>
            <w:pPr>
              <w:autoSpaceDE w:val="0"/>
              <w:autoSpaceDN w:val="0"/>
              <w:adjustRightInd w:val="0"/>
              <w:spacing w:line="360" w:lineRule="exact"/>
              <w:jc w:val="center"/>
              <w:rPr>
                <w:rFonts w:hAnsi="宋体"/>
                <w:szCs w:val="21"/>
              </w:rPr>
            </w:pPr>
          </w:p>
        </w:tc>
        <w:tc>
          <w:tcPr>
            <w:tcW w:w="1725" w:type="dxa"/>
            <w:vMerge w:val="continue"/>
            <w:noWrap w:val="0"/>
            <w:vAlign w:val="center"/>
          </w:tcPr>
          <w:p>
            <w:pPr>
              <w:autoSpaceDE w:val="0"/>
              <w:autoSpaceDN w:val="0"/>
              <w:adjustRightInd w:val="0"/>
              <w:spacing w:line="360" w:lineRule="exact"/>
              <w:jc w:val="center"/>
              <w:rPr>
                <w:rFonts w:hAnsi="宋体"/>
                <w:szCs w:val="21"/>
              </w:rPr>
            </w:pPr>
          </w:p>
        </w:tc>
        <w:tc>
          <w:tcPr>
            <w:tcW w:w="0" w:type="auto"/>
            <w:noWrap w:val="0"/>
            <w:vAlign w:val="center"/>
          </w:tcPr>
          <w:p>
            <w:pPr>
              <w:autoSpaceDE w:val="0"/>
              <w:autoSpaceDN w:val="0"/>
              <w:adjustRightInd w:val="0"/>
              <w:spacing w:line="360" w:lineRule="exact"/>
              <w:jc w:val="center"/>
              <w:rPr>
                <w:color w:val="auto"/>
                <w:szCs w:val="21"/>
              </w:rPr>
            </w:pPr>
            <w:r>
              <w:rPr>
                <w:color w:val="auto"/>
                <w:szCs w:val="21"/>
              </w:rPr>
              <w:t>单因子指数</w:t>
            </w:r>
          </w:p>
        </w:tc>
        <w:tc>
          <w:tcPr>
            <w:tcW w:w="0" w:type="auto"/>
            <w:noWrap w:val="0"/>
            <w:vAlign w:val="center"/>
          </w:tcPr>
          <w:p>
            <w:pPr>
              <w:autoSpaceDE w:val="0"/>
              <w:autoSpaceDN w:val="0"/>
              <w:adjustRightInd w:val="0"/>
              <w:spacing w:line="360" w:lineRule="exact"/>
              <w:jc w:val="center"/>
              <w:rPr>
                <w:rFonts w:hint="eastAsia"/>
                <w:color w:val="auto"/>
                <w:szCs w:val="21"/>
              </w:rPr>
            </w:pPr>
            <w:r>
              <w:rPr>
                <w:rFonts w:hint="eastAsia"/>
                <w:color w:val="auto"/>
                <w:szCs w:val="21"/>
              </w:rPr>
              <w:t>0.095-0.11</w:t>
            </w:r>
          </w:p>
        </w:tc>
        <w:tc>
          <w:tcPr>
            <w:tcW w:w="1141" w:type="dxa"/>
            <w:noWrap w:val="0"/>
            <w:vAlign w:val="center"/>
          </w:tcPr>
          <w:p>
            <w:pPr>
              <w:autoSpaceDE w:val="0"/>
              <w:autoSpaceDN w:val="0"/>
              <w:adjustRightInd w:val="0"/>
              <w:spacing w:line="360" w:lineRule="exact"/>
              <w:jc w:val="center"/>
              <w:rPr>
                <w:color w:val="auto"/>
                <w:szCs w:val="21"/>
              </w:rPr>
            </w:pPr>
            <w:r>
              <w:rPr>
                <w:rFonts w:hint="eastAsia"/>
                <w:color w:val="auto"/>
                <w:szCs w:val="21"/>
              </w:rPr>
              <w:t>0.55-0.75</w:t>
            </w:r>
          </w:p>
        </w:tc>
        <w:tc>
          <w:tcPr>
            <w:tcW w:w="1198" w:type="dxa"/>
            <w:noWrap w:val="0"/>
            <w:vAlign w:val="center"/>
          </w:tcPr>
          <w:p>
            <w:pPr>
              <w:autoSpaceDE w:val="0"/>
              <w:autoSpaceDN w:val="0"/>
              <w:adjustRightInd w:val="0"/>
              <w:spacing w:line="360" w:lineRule="exact"/>
              <w:jc w:val="center"/>
              <w:rPr>
                <w:color w:val="auto"/>
                <w:szCs w:val="21"/>
              </w:rPr>
            </w:pPr>
            <w:r>
              <w:rPr>
                <w:rFonts w:hint="eastAsia"/>
                <w:color w:val="auto"/>
                <w:szCs w:val="21"/>
              </w:rPr>
              <w:t>0.5-0.625</w:t>
            </w:r>
          </w:p>
        </w:tc>
        <w:tc>
          <w:tcPr>
            <w:tcW w:w="0" w:type="auto"/>
            <w:noWrap w:val="0"/>
            <w:vAlign w:val="center"/>
          </w:tcPr>
          <w:p>
            <w:pPr>
              <w:autoSpaceDE w:val="0"/>
              <w:autoSpaceDN w:val="0"/>
              <w:adjustRightInd w:val="0"/>
              <w:spacing w:line="360" w:lineRule="exact"/>
              <w:jc w:val="center"/>
              <w:rPr>
                <w:color w:val="auto"/>
                <w:szCs w:val="21"/>
              </w:rPr>
            </w:pPr>
            <w:r>
              <w:rPr>
                <w:rFonts w:hint="eastAsia"/>
                <w:color w:val="auto"/>
                <w:szCs w:val="21"/>
              </w:rPr>
              <w:t>0.065-0.076</w:t>
            </w:r>
          </w:p>
        </w:tc>
        <w:tc>
          <w:tcPr>
            <w:tcW w:w="0" w:type="auto"/>
            <w:noWrap w:val="0"/>
            <w:vAlign w:val="center"/>
          </w:tcPr>
          <w:p>
            <w:pPr>
              <w:autoSpaceDE w:val="0"/>
              <w:autoSpaceDN w:val="0"/>
              <w:adjustRightInd w:val="0"/>
              <w:spacing w:line="360" w:lineRule="exact"/>
              <w:jc w:val="center"/>
              <w:rPr>
                <w:color w:val="auto"/>
                <w:szCs w:val="21"/>
              </w:rPr>
            </w:pPr>
            <w:r>
              <w:rPr>
                <w:rFonts w:hint="eastAsia"/>
                <w:color w:val="auto"/>
                <w:szCs w:val="21"/>
              </w:rPr>
              <w:t>0.03-0.045</w:t>
            </w:r>
          </w:p>
        </w:tc>
        <w:tc>
          <w:tcPr>
            <w:tcW w:w="0" w:type="auto"/>
            <w:noWrap w:val="0"/>
            <w:vAlign w:val="center"/>
          </w:tcPr>
          <w:p>
            <w:pPr>
              <w:autoSpaceDE w:val="0"/>
              <w:autoSpaceDN w:val="0"/>
              <w:adjustRightInd w:val="0"/>
              <w:spacing w:line="360" w:lineRule="exact"/>
              <w:jc w:val="center"/>
              <w:rPr>
                <w:rFonts w:hint="eastAsia"/>
                <w:color w:val="auto"/>
                <w:szCs w:val="21"/>
              </w:rPr>
            </w:pPr>
            <w:r>
              <w:rPr>
                <w:rFonts w:hint="eastAsia"/>
                <w:color w:val="auto"/>
                <w:szCs w:val="21"/>
              </w:rPr>
              <w:t>/</w:t>
            </w:r>
          </w:p>
        </w:tc>
        <w:tc>
          <w:tcPr>
            <w:tcW w:w="0" w:type="auto"/>
            <w:noWrap w:val="0"/>
            <w:vAlign w:val="center"/>
          </w:tcPr>
          <w:p>
            <w:pPr>
              <w:autoSpaceDE w:val="0"/>
              <w:autoSpaceDN w:val="0"/>
              <w:adjustRightInd w:val="0"/>
              <w:spacing w:line="360" w:lineRule="exact"/>
              <w:jc w:val="center"/>
              <w:rPr>
                <w:color w:val="auto"/>
                <w:szCs w:val="21"/>
              </w:rPr>
            </w:pPr>
            <w:r>
              <w:rPr>
                <w:rFonts w:hint="eastAsia"/>
                <w:color w:val="auto"/>
                <w:szCs w:val="21"/>
              </w:rPr>
              <w:t>0.028-0.031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300" w:hRule="atLeast"/>
        </w:trPr>
        <w:tc>
          <w:tcPr>
            <w:tcW w:w="1817" w:type="dxa"/>
            <w:vMerge w:val="continue"/>
            <w:noWrap w:val="0"/>
            <w:vAlign w:val="center"/>
          </w:tcPr>
          <w:p>
            <w:pPr>
              <w:autoSpaceDE w:val="0"/>
              <w:autoSpaceDN w:val="0"/>
              <w:adjustRightInd w:val="0"/>
              <w:spacing w:line="360" w:lineRule="exact"/>
              <w:jc w:val="center"/>
              <w:rPr>
                <w:rFonts w:hAnsi="宋体"/>
                <w:szCs w:val="21"/>
              </w:rPr>
            </w:pPr>
          </w:p>
        </w:tc>
        <w:tc>
          <w:tcPr>
            <w:tcW w:w="1725" w:type="dxa"/>
            <w:vMerge w:val="continue"/>
            <w:noWrap w:val="0"/>
            <w:vAlign w:val="center"/>
          </w:tcPr>
          <w:p>
            <w:pPr>
              <w:autoSpaceDE w:val="0"/>
              <w:autoSpaceDN w:val="0"/>
              <w:adjustRightInd w:val="0"/>
              <w:spacing w:line="360" w:lineRule="exact"/>
              <w:jc w:val="center"/>
              <w:rPr>
                <w:rFonts w:hAnsi="宋体"/>
                <w:szCs w:val="21"/>
              </w:rPr>
            </w:pPr>
          </w:p>
        </w:tc>
        <w:tc>
          <w:tcPr>
            <w:tcW w:w="0" w:type="auto"/>
            <w:noWrap w:val="0"/>
            <w:vAlign w:val="center"/>
          </w:tcPr>
          <w:p>
            <w:pPr>
              <w:autoSpaceDE w:val="0"/>
              <w:autoSpaceDN w:val="0"/>
              <w:adjustRightInd w:val="0"/>
              <w:spacing w:line="360" w:lineRule="exact"/>
              <w:jc w:val="center"/>
              <w:rPr>
                <w:color w:val="auto"/>
                <w:szCs w:val="21"/>
              </w:rPr>
            </w:pPr>
            <w:r>
              <w:rPr>
                <w:color w:val="auto"/>
                <w:szCs w:val="21"/>
              </w:rPr>
              <w:t>最大超标倍数</w:t>
            </w:r>
          </w:p>
        </w:tc>
        <w:tc>
          <w:tcPr>
            <w:tcW w:w="0" w:type="auto"/>
            <w:noWrap w:val="0"/>
            <w:vAlign w:val="center"/>
          </w:tcPr>
          <w:p>
            <w:pPr>
              <w:autoSpaceDE w:val="0"/>
              <w:autoSpaceDN w:val="0"/>
              <w:adjustRightInd w:val="0"/>
              <w:spacing w:line="360" w:lineRule="exact"/>
              <w:jc w:val="center"/>
              <w:rPr>
                <w:color w:val="auto"/>
                <w:szCs w:val="21"/>
              </w:rPr>
            </w:pPr>
            <w:r>
              <w:rPr>
                <w:color w:val="auto"/>
                <w:szCs w:val="21"/>
              </w:rPr>
              <w:t>0</w:t>
            </w:r>
          </w:p>
        </w:tc>
        <w:tc>
          <w:tcPr>
            <w:tcW w:w="1141" w:type="dxa"/>
            <w:noWrap w:val="0"/>
            <w:vAlign w:val="center"/>
          </w:tcPr>
          <w:p>
            <w:pPr>
              <w:autoSpaceDE w:val="0"/>
              <w:autoSpaceDN w:val="0"/>
              <w:adjustRightInd w:val="0"/>
              <w:spacing w:line="360" w:lineRule="exact"/>
              <w:jc w:val="center"/>
              <w:rPr>
                <w:color w:val="auto"/>
                <w:szCs w:val="21"/>
              </w:rPr>
            </w:pPr>
            <w:r>
              <w:rPr>
                <w:rFonts w:hint="eastAsia"/>
                <w:color w:val="auto"/>
                <w:szCs w:val="21"/>
              </w:rPr>
              <w:t>0</w:t>
            </w:r>
          </w:p>
        </w:tc>
        <w:tc>
          <w:tcPr>
            <w:tcW w:w="1198" w:type="dxa"/>
            <w:noWrap w:val="0"/>
            <w:vAlign w:val="center"/>
          </w:tcPr>
          <w:p>
            <w:pPr>
              <w:autoSpaceDE w:val="0"/>
              <w:autoSpaceDN w:val="0"/>
              <w:adjustRightInd w:val="0"/>
              <w:spacing w:line="360" w:lineRule="exact"/>
              <w:jc w:val="center"/>
              <w:rPr>
                <w:color w:val="auto"/>
                <w:szCs w:val="21"/>
              </w:rPr>
            </w:pPr>
            <w:r>
              <w:rPr>
                <w:rFonts w:hint="eastAsia"/>
                <w:color w:val="auto"/>
                <w:szCs w:val="21"/>
              </w:rPr>
              <w:t>0</w:t>
            </w:r>
          </w:p>
        </w:tc>
        <w:tc>
          <w:tcPr>
            <w:tcW w:w="0" w:type="auto"/>
            <w:noWrap w:val="0"/>
            <w:vAlign w:val="center"/>
          </w:tcPr>
          <w:p>
            <w:pPr>
              <w:autoSpaceDE w:val="0"/>
              <w:autoSpaceDN w:val="0"/>
              <w:adjustRightInd w:val="0"/>
              <w:spacing w:line="360" w:lineRule="exact"/>
              <w:jc w:val="center"/>
              <w:rPr>
                <w:color w:val="auto"/>
                <w:szCs w:val="21"/>
              </w:rPr>
            </w:pPr>
            <w:r>
              <w:rPr>
                <w:color w:val="auto"/>
                <w:szCs w:val="21"/>
              </w:rPr>
              <w:t>0</w:t>
            </w:r>
          </w:p>
        </w:tc>
        <w:tc>
          <w:tcPr>
            <w:tcW w:w="0" w:type="auto"/>
            <w:noWrap w:val="0"/>
            <w:vAlign w:val="center"/>
          </w:tcPr>
          <w:p>
            <w:pPr>
              <w:autoSpaceDE w:val="0"/>
              <w:autoSpaceDN w:val="0"/>
              <w:adjustRightInd w:val="0"/>
              <w:spacing w:line="360" w:lineRule="exact"/>
              <w:jc w:val="center"/>
              <w:rPr>
                <w:color w:val="auto"/>
                <w:szCs w:val="21"/>
              </w:rPr>
            </w:pPr>
            <w:r>
              <w:rPr>
                <w:color w:val="auto"/>
                <w:szCs w:val="21"/>
              </w:rPr>
              <w:t>0</w:t>
            </w:r>
          </w:p>
        </w:tc>
        <w:tc>
          <w:tcPr>
            <w:tcW w:w="0" w:type="auto"/>
            <w:noWrap w:val="0"/>
            <w:vAlign w:val="center"/>
          </w:tcPr>
          <w:p>
            <w:pPr>
              <w:autoSpaceDE w:val="0"/>
              <w:autoSpaceDN w:val="0"/>
              <w:adjustRightInd w:val="0"/>
              <w:spacing w:line="360" w:lineRule="exact"/>
              <w:jc w:val="center"/>
              <w:rPr>
                <w:rFonts w:hint="eastAsia"/>
                <w:color w:val="auto"/>
                <w:szCs w:val="21"/>
              </w:rPr>
            </w:pPr>
            <w:r>
              <w:rPr>
                <w:rFonts w:hint="eastAsia"/>
                <w:color w:val="auto"/>
                <w:szCs w:val="21"/>
              </w:rPr>
              <w:t>/</w:t>
            </w:r>
          </w:p>
        </w:tc>
        <w:tc>
          <w:tcPr>
            <w:tcW w:w="0" w:type="auto"/>
            <w:noWrap w:val="0"/>
            <w:vAlign w:val="center"/>
          </w:tcPr>
          <w:p>
            <w:pPr>
              <w:autoSpaceDE w:val="0"/>
              <w:autoSpaceDN w:val="0"/>
              <w:adjustRightInd w:val="0"/>
              <w:spacing w:line="360" w:lineRule="exact"/>
              <w:jc w:val="center"/>
              <w:rPr>
                <w:color w:val="auto"/>
                <w:szCs w:val="21"/>
              </w:rPr>
            </w:pPr>
            <w:r>
              <w:rPr>
                <w:color w:val="auto"/>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28" w:type="dxa"/>
            <w:bottom w:w="57" w:type="dxa"/>
            <w:right w:w="28" w:type="dxa"/>
          </w:tblCellMar>
        </w:tblPrEx>
        <w:trPr>
          <w:trHeight w:val="300" w:hRule="atLeast"/>
        </w:trPr>
        <w:tc>
          <w:tcPr>
            <w:tcW w:w="1817" w:type="dxa"/>
            <w:vMerge w:val="continue"/>
            <w:noWrap w:val="0"/>
            <w:vAlign w:val="center"/>
          </w:tcPr>
          <w:p>
            <w:pPr>
              <w:autoSpaceDE w:val="0"/>
              <w:autoSpaceDN w:val="0"/>
              <w:adjustRightInd w:val="0"/>
              <w:spacing w:line="360" w:lineRule="exact"/>
              <w:jc w:val="center"/>
              <w:rPr>
                <w:rFonts w:hAnsi="宋体"/>
                <w:szCs w:val="21"/>
              </w:rPr>
            </w:pPr>
          </w:p>
        </w:tc>
        <w:tc>
          <w:tcPr>
            <w:tcW w:w="1725" w:type="dxa"/>
            <w:vMerge w:val="continue"/>
            <w:noWrap w:val="0"/>
            <w:vAlign w:val="center"/>
          </w:tcPr>
          <w:p>
            <w:pPr>
              <w:autoSpaceDE w:val="0"/>
              <w:autoSpaceDN w:val="0"/>
              <w:adjustRightInd w:val="0"/>
              <w:spacing w:line="360" w:lineRule="exact"/>
              <w:jc w:val="center"/>
              <w:rPr>
                <w:rFonts w:hAnsi="宋体"/>
                <w:szCs w:val="21"/>
              </w:rPr>
            </w:pPr>
          </w:p>
        </w:tc>
        <w:tc>
          <w:tcPr>
            <w:tcW w:w="0" w:type="auto"/>
            <w:noWrap w:val="0"/>
            <w:vAlign w:val="center"/>
          </w:tcPr>
          <w:p>
            <w:pPr>
              <w:autoSpaceDE w:val="0"/>
              <w:autoSpaceDN w:val="0"/>
              <w:adjustRightInd w:val="0"/>
              <w:spacing w:line="360" w:lineRule="exact"/>
              <w:jc w:val="center"/>
              <w:rPr>
                <w:szCs w:val="21"/>
              </w:rPr>
            </w:pPr>
            <w:r>
              <w:rPr>
                <w:szCs w:val="21"/>
              </w:rPr>
              <w:t>超标率%</w:t>
            </w:r>
          </w:p>
        </w:tc>
        <w:tc>
          <w:tcPr>
            <w:tcW w:w="0" w:type="auto"/>
            <w:noWrap w:val="0"/>
            <w:vAlign w:val="center"/>
          </w:tcPr>
          <w:p>
            <w:pPr>
              <w:autoSpaceDE w:val="0"/>
              <w:autoSpaceDN w:val="0"/>
              <w:adjustRightInd w:val="0"/>
              <w:spacing w:line="360" w:lineRule="exact"/>
              <w:jc w:val="center"/>
              <w:rPr>
                <w:szCs w:val="21"/>
              </w:rPr>
            </w:pPr>
            <w:r>
              <w:rPr>
                <w:szCs w:val="21"/>
              </w:rPr>
              <w:t>0</w:t>
            </w:r>
          </w:p>
        </w:tc>
        <w:tc>
          <w:tcPr>
            <w:tcW w:w="1141" w:type="dxa"/>
            <w:noWrap w:val="0"/>
            <w:vAlign w:val="center"/>
          </w:tcPr>
          <w:p>
            <w:pPr>
              <w:autoSpaceDE w:val="0"/>
              <w:autoSpaceDN w:val="0"/>
              <w:adjustRightInd w:val="0"/>
              <w:spacing w:line="360" w:lineRule="exact"/>
              <w:jc w:val="center"/>
              <w:rPr>
                <w:szCs w:val="21"/>
              </w:rPr>
            </w:pPr>
            <w:r>
              <w:rPr>
                <w:rFonts w:hint="eastAsia"/>
                <w:szCs w:val="21"/>
              </w:rPr>
              <w:t>0</w:t>
            </w:r>
          </w:p>
        </w:tc>
        <w:tc>
          <w:tcPr>
            <w:tcW w:w="1198" w:type="dxa"/>
            <w:noWrap w:val="0"/>
            <w:vAlign w:val="center"/>
          </w:tcPr>
          <w:p>
            <w:pPr>
              <w:autoSpaceDE w:val="0"/>
              <w:autoSpaceDN w:val="0"/>
              <w:adjustRightInd w:val="0"/>
              <w:spacing w:line="360" w:lineRule="exact"/>
              <w:jc w:val="center"/>
              <w:rPr>
                <w:szCs w:val="21"/>
              </w:rPr>
            </w:pPr>
            <w:r>
              <w:rPr>
                <w:rFonts w:hint="eastAsia"/>
                <w:szCs w:val="21"/>
              </w:rPr>
              <w:t>0</w:t>
            </w:r>
          </w:p>
        </w:tc>
        <w:tc>
          <w:tcPr>
            <w:tcW w:w="0" w:type="auto"/>
            <w:noWrap w:val="0"/>
            <w:vAlign w:val="center"/>
          </w:tcPr>
          <w:p>
            <w:pPr>
              <w:autoSpaceDE w:val="0"/>
              <w:autoSpaceDN w:val="0"/>
              <w:adjustRightInd w:val="0"/>
              <w:spacing w:line="360" w:lineRule="exact"/>
              <w:jc w:val="center"/>
              <w:rPr>
                <w:szCs w:val="21"/>
              </w:rPr>
            </w:pPr>
            <w:r>
              <w:rPr>
                <w:szCs w:val="21"/>
              </w:rPr>
              <w:t>0</w:t>
            </w:r>
          </w:p>
        </w:tc>
        <w:tc>
          <w:tcPr>
            <w:tcW w:w="0" w:type="auto"/>
            <w:noWrap w:val="0"/>
            <w:vAlign w:val="center"/>
          </w:tcPr>
          <w:p>
            <w:pPr>
              <w:autoSpaceDE w:val="0"/>
              <w:autoSpaceDN w:val="0"/>
              <w:adjustRightInd w:val="0"/>
              <w:spacing w:line="360" w:lineRule="exact"/>
              <w:jc w:val="center"/>
              <w:rPr>
                <w:szCs w:val="21"/>
              </w:rPr>
            </w:pPr>
            <w:r>
              <w:rPr>
                <w:szCs w:val="21"/>
              </w:rPr>
              <w:t>0</w:t>
            </w:r>
          </w:p>
        </w:tc>
        <w:tc>
          <w:tcPr>
            <w:tcW w:w="0" w:type="auto"/>
            <w:noWrap w:val="0"/>
            <w:vAlign w:val="center"/>
          </w:tcPr>
          <w:p>
            <w:pPr>
              <w:autoSpaceDE w:val="0"/>
              <w:autoSpaceDN w:val="0"/>
              <w:adjustRightInd w:val="0"/>
              <w:spacing w:line="360" w:lineRule="exact"/>
              <w:jc w:val="center"/>
              <w:rPr>
                <w:rFonts w:hint="eastAsia"/>
                <w:szCs w:val="21"/>
              </w:rPr>
            </w:pPr>
            <w:r>
              <w:rPr>
                <w:rFonts w:hint="eastAsia"/>
                <w:szCs w:val="21"/>
              </w:rPr>
              <w:t>/</w:t>
            </w:r>
          </w:p>
        </w:tc>
        <w:tc>
          <w:tcPr>
            <w:tcW w:w="0" w:type="auto"/>
            <w:noWrap w:val="0"/>
            <w:vAlign w:val="center"/>
          </w:tcPr>
          <w:p>
            <w:pPr>
              <w:autoSpaceDE w:val="0"/>
              <w:autoSpaceDN w:val="0"/>
              <w:adjustRightInd w:val="0"/>
              <w:spacing w:line="360" w:lineRule="exact"/>
              <w:jc w:val="center"/>
              <w:rPr>
                <w:szCs w:val="21"/>
              </w:rPr>
            </w:pPr>
            <w:r>
              <w:rPr>
                <w:szCs w:val="21"/>
              </w:rPr>
              <w:t>0</w:t>
            </w:r>
          </w:p>
        </w:tc>
      </w:tr>
    </w:tbl>
    <w:p/>
    <w:p>
      <w:pPr>
        <w:autoSpaceDE w:val="0"/>
        <w:autoSpaceDN w:val="0"/>
        <w:adjustRightInd w:val="0"/>
        <w:spacing w:line="500" w:lineRule="exact"/>
        <w:ind w:firstLine="480" w:firstLineChars="200"/>
        <w:rPr>
          <w:rFonts w:hAnsi="宋体"/>
          <w:sz w:val="24"/>
        </w:rPr>
      </w:pPr>
      <w:r>
        <w:rPr>
          <w:rFonts w:hint="eastAsia" w:hAnsi="宋体"/>
          <w:sz w:val="24"/>
        </w:rPr>
        <w:t>由</w:t>
      </w:r>
      <w:r>
        <w:rPr>
          <w:rFonts w:hAnsi="宋体"/>
          <w:sz w:val="24"/>
        </w:rPr>
        <w:t>监测</w:t>
      </w:r>
      <w:r>
        <w:rPr>
          <w:rFonts w:hint="eastAsia" w:hAnsi="宋体"/>
          <w:sz w:val="24"/>
        </w:rPr>
        <w:t>结果</w:t>
      </w:r>
      <w:r>
        <w:rPr>
          <w:rFonts w:hAnsi="宋体"/>
          <w:sz w:val="24"/>
        </w:rPr>
        <w:t>可知</w:t>
      </w:r>
      <w:r>
        <w:rPr>
          <w:rFonts w:hint="eastAsia" w:hAnsi="宋体"/>
          <w:sz w:val="24"/>
        </w:rPr>
        <w:t>，各个</w:t>
      </w:r>
      <w:r>
        <w:rPr>
          <w:rFonts w:hAnsi="宋体"/>
          <w:sz w:val="24"/>
        </w:rPr>
        <w:t>断面各监测因子均可满足《地表水环境质量标准》</w:t>
      </w:r>
      <w:r>
        <w:rPr>
          <w:sz w:val="24"/>
        </w:rPr>
        <w:t>GB3838-2002</w:t>
      </w:r>
      <w:r>
        <w:rPr>
          <w:rFonts w:hAnsi="宋体"/>
          <w:sz w:val="24"/>
        </w:rPr>
        <w:t>中</w:t>
      </w:r>
      <w:r>
        <w:rPr>
          <w:rFonts w:hAnsi="宋体"/>
          <w:sz w:val="24"/>
        </w:rPr>
        <w:fldChar w:fldCharType="begin"/>
      </w:r>
      <w:r>
        <w:rPr>
          <w:rFonts w:hAnsi="宋体"/>
          <w:sz w:val="24"/>
        </w:rPr>
        <w:instrText xml:space="preserve"> </w:instrText>
      </w:r>
      <w:r>
        <w:rPr>
          <w:rFonts w:hint="eastAsia" w:hAnsi="宋体"/>
          <w:sz w:val="24"/>
        </w:rPr>
        <w:instrText xml:space="preserve">= 3 \* ROMAN</w:instrText>
      </w:r>
      <w:r>
        <w:rPr>
          <w:rFonts w:hAnsi="宋体"/>
          <w:sz w:val="24"/>
        </w:rPr>
        <w:instrText xml:space="preserve"> </w:instrText>
      </w:r>
      <w:r>
        <w:rPr>
          <w:rFonts w:hAnsi="宋体"/>
          <w:sz w:val="24"/>
        </w:rPr>
        <w:fldChar w:fldCharType="separate"/>
      </w:r>
      <w:r>
        <w:rPr>
          <w:rFonts w:hAnsi="宋体"/>
          <w:sz w:val="24"/>
        </w:rPr>
        <w:t>III</w:t>
      </w:r>
      <w:r>
        <w:rPr>
          <w:rFonts w:hAnsi="宋体"/>
          <w:sz w:val="24"/>
        </w:rPr>
        <w:fldChar w:fldCharType="end"/>
      </w:r>
      <w:r>
        <w:rPr>
          <w:rFonts w:hAnsi="宋体"/>
          <w:sz w:val="24"/>
        </w:rPr>
        <w:t>类水质标准。</w:t>
      </w:r>
    </w:p>
    <w:p>
      <w:pPr>
        <w:spacing w:line="500" w:lineRule="exact"/>
        <w:ind w:firstLine="480" w:firstLineChars="200"/>
        <w:rPr>
          <w:sz w:val="24"/>
        </w:rPr>
      </w:pPr>
    </w:p>
    <w:p>
      <w:pPr>
        <w:rPr>
          <w:sz w:val="24"/>
        </w:rPr>
        <w:sectPr>
          <w:pgSz w:w="16838" w:h="11906" w:orient="landscape"/>
          <w:pgMar w:top="1588" w:right="1588" w:bottom="1588" w:left="1588" w:header="851" w:footer="992" w:gutter="0"/>
          <w:pgNumType w:fmt="numberInDash"/>
          <w:cols w:space="720" w:num="1"/>
          <w:docGrid w:linePitch="312" w:charSpace="0"/>
        </w:sectPr>
      </w:pPr>
    </w:p>
    <w:bookmarkEnd w:id="335"/>
    <w:bookmarkEnd w:id="336"/>
    <w:p>
      <w:pPr>
        <w:pStyle w:val="2"/>
        <w:spacing w:before="0" w:after="0" w:line="520" w:lineRule="exact"/>
        <w:rPr>
          <w:rFonts w:eastAsia="黑体"/>
          <w:b w:val="0"/>
          <w:sz w:val="24"/>
          <w:szCs w:val="24"/>
        </w:rPr>
      </w:pPr>
      <w:bookmarkStart w:id="339" w:name="_Toc468366614"/>
      <w:bookmarkStart w:id="340" w:name="_Toc406663005"/>
      <w:bookmarkStart w:id="341" w:name="_Toc413829638"/>
      <w:r>
        <w:rPr>
          <w:rFonts w:eastAsia="黑体"/>
          <w:b w:val="0"/>
          <w:sz w:val="24"/>
          <w:szCs w:val="24"/>
        </w:rPr>
        <w:t>3.3.3地下水质量现状监测与评价</w:t>
      </w:r>
      <w:bookmarkEnd w:id="339"/>
      <w:bookmarkEnd w:id="340"/>
      <w:bookmarkEnd w:id="341"/>
    </w:p>
    <w:p>
      <w:pPr>
        <w:spacing w:line="500" w:lineRule="exact"/>
        <w:rPr>
          <w:b/>
          <w:bCs/>
          <w:sz w:val="24"/>
        </w:rPr>
      </w:pPr>
      <w:bookmarkStart w:id="342" w:name="_Toc413829639"/>
      <w:bookmarkStart w:id="343" w:name="_Toc406663006"/>
      <w:r>
        <w:rPr>
          <w:b/>
          <w:bCs/>
          <w:sz w:val="24"/>
        </w:rPr>
        <w:t>3.3.3.1监测</w:t>
      </w:r>
      <w:r>
        <w:rPr>
          <w:rFonts w:hint="eastAsia"/>
          <w:b/>
          <w:bCs/>
          <w:sz w:val="24"/>
        </w:rPr>
        <w:t>点</w:t>
      </w:r>
      <w:r>
        <w:rPr>
          <w:b/>
          <w:bCs/>
          <w:sz w:val="24"/>
        </w:rPr>
        <w:t>的设置</w:t>
      </w:r>
      <w:bookmarkEnd w:id="342"/>
      <w:bookmarkEnd w:id="343"/>
    </w:p>
    <w:p>
      <w:pPr>
        <w:autoSpaceDE w:val="0"/>
        <w:autoSpaceDN w:val="0"/>
        <w:adjustRightInd w:val="0"/>
        <w:spacing w:line="520" w:lineRule="exact"/>
        <w:ind w:firstLine="480" w:firstLineChars="200"/>
        <w:jc w:val="left"/>
        <w:rPr>
          <w:bCs/>
          <w:sz w:val="24"/>
        </w:rPr>
      </w:pPr>
      <w:r>
        <w:rPr>
          <w:bCs/>
          <w:sz w:val="24"/>
        </w:rPr>
        <w:t>评价区内地下水主要为浅层地下水，地下水流向西北向东南。依据工程污染特征、地下水走向及项目区周围敏感点分布情况，本次评价对地下水监测共布设</w:t>
      </w:r>
      <w:r>
        <w:rPr>
          <w:rFonts w:hint="eastAsia"/>
          <w:bCs/>
          <w:sz w:val="24"/>
        </w:rPr>
        <w:t>6</w:t>
      </w:r>
      <w:r>
        <w:rPr>
          <w:bCs/>
          <w:sz w:val="24"/>
        </w:rPr>
        <w:t>个监测点，地下水监测布点设置见表3.3-10。</w:t>
      </w:r>
    </w:p>
    <w:p>
      <w:pPr>
        <w:spacing w:after="72" w:afterLines="30" w:line="500" w:lineRule="exact"/>
        <w:jc w:val="center"/>
        <w:rPr>
          <w:b/>
          <w:bCs/>
          <w:sz w:val="24"/>
        </w:rPr>
      </w:pPr>
      <w:r>
        <w:rPr>
          <w:b/>
          <w:bCs/>
          <w:sz w:val="24"/>
        </w:rPr>
        <w:t>表3.3-10     地下水现状监测点位布设一览表</w:t>
      </w:r>
    </w:p>
    <w:tbl>
      <w:tblPr>
        <w:tblStyle w:val="1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57" w:type="dxa"/>
          <w:left w:w="108" w:type="dxa"/>
          <w:bottom w:w="57" w:type="dxa"/>
          <w:right w:w="108" w:type="dxa"/>
        </w:tblCellMar>
      </w:tblPr>
      <w:tblGrid>
        <w:gridCol w:w="537"/>
        <w:gridCol w:w="1464"/>
        <w:gridCol w:w="1338"/>
        <w:gridCol w:w="2035"/>
        <w:gridCol w:w="35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20" w:hRule="atLeast"/>
          <w:jc w:val="center"/>
        </w:trPr>
        <w:tc>
          <w:tcPr>
            <w:tcW w:w="300" w:type="pct"/>
            <w:tcBorders>
              <w:top w:val="single" w:color="auto" w:sz="8" w:space="0"/>
              <w:left w:val="single" w:color="auto" w:sz="8" w:space="0"/>
              <w:bottom w:val="single" w:color="auto" w:sz="8" w:space="0"/>
              <w:right w:val="single" w:color="auto" w:sz="8" w:space="0"/>
            </w:tcBorders>
            <w:noWrap w:val="0"/>
            <w:vAlign w:val="center"/>
          </w:tcPr>
          <w:p>
            <w:pPr>
              <w:jc w:val="center"/>
              <w:rPr>
                <w:rFonts w:hint="eastAsia"/>
                <w:szCs w:val="21"/>
              </w:rPr>
            </w:pPr>
            <w:r>
              <w:rPr>
                <w:rFonts w:hint="eastAsia"/>
                <w:szCs w:val="21"/>
              </w:rPr>
              <w:t>序号</w:t>
            </w:r>
          </w:p>
        </w:tc>
        <w:tc>
          <w:tcPr>
            <w:tcW w:w="818" w:type="pct"/>
            <w:tcBorders>
              <w:top w:val="single" w:color="auto" w:sz="8" w:space="0"/>
              <w:left w:val="single" w:color="auto" w:sz="8" w:space="0"/>
              <w:bottom w:val="single" w:color="auto" w:sz="8" w:space="0"/>
              <w:right w:val="single" w:color="auto" w:sz="8" w:space="0"/>
            </w:tcBorders>
            <w:noWrap w:val="0"/>
            <w:tcMar>
              <w:top w:w="85" w:type="dxa"/>
              <w:bottom w:w="85" w:type="dxa"/>
            </w:tcMar>
            <w:vAlign w:val="center"/>
          </w:tcPr>
          <w:p>
            <w:pPr>
              <w:jc w:val="center"/>
              <w:rPr>
                <w:szCs w:val="21"/>
              </w:rPr>
            </w:pPr>
            <w:r>
              <w:rPr>
                <w:szCs w:val="21"/>
              </w:rPr>
              <w:t>监测点位置</w:t>
            </w:r>
          </w:p>
        </w:tc>
        <w:tc>
          <w:tcPr>
            <w:tcW w:w="748" w:type="pct"/>
            <w:tcBorders>
              <w:top w:val="single" w:color="auto" w:sz="8" w:space="0"/>
              <w:left w:val="single" w:color="auto" w:sz="8" w:space="0"/>
              <w:bottom w:val="single" w:color="auto" w:sz="8" w:space="0"/>
              <w:right w:val="single" w:color="auto" w:sz="8" w:space="0"/>
            </w:tcBorders>
            <w:noWrap w:val="0"/>
            <w:tcMar>
              <w:top w:w="85" w:type="dxa"/>
              <w:bottom w:w="85" w:type="dxa"/>
            </w:tcMar>
            <w:vAlign w:val="center"/>
          </w:tcPr>
          <w:p>
            <w:pPr>
              <w:jc w:val="center"/>
              <w:rPr>
                <w:szCs w:val="21"/>
              </w:rPr>
            </w:pPr>
            <w:r>
              <w:rPr>
                <w:szCs w:val="21"/>
              </w:rPr>
              <w:t>与</w:t>
            </w:r>
            <w:r>
              <w:rPr>
                <w:rFonts w:hint="eastAsia"/>
                <w:szCs w:val="21"/>
              </w:rPr>
              <w:t>项目</w:t>
            </w:r>
            <w:r>
              <w:rPr>
                <w:szCs w:val="21"/>
              </w:rPr>
              <w:t>的相对位置</w:t>
            </w:r>
          </w:p>
        </w:tc>
        <w:tc>
          <w:tcPr>
            <w:tcW w:w="1137" w:type="pct"/>
            <w:tcBorders>
              <w:top w:val="single" w:color="auto" w:sz="8" w:space="0"/>
              <w:left w:val="single" w:color="auto" w:sz="8" w:space="0"/>
              <w:bottom w:val="single" w:color="auto" w:sz="8" w:space="0"/>
              <w:right w:val="single" w:color="auto" w:sz="8" w:space="0"/>
            </w:tcBorders>
            <w:noWrap w:val="0"/>
            <w:vAlign w:val="center"/>
          </w:tcPr>
          <w:p>
            <w:pPr>
              <w:jc w:val="center"/>
              <w:rPr>
                <w:szCs w:val="21"/>
              </w:rPr>
            </w:pPr>
            <w:r>
              <w:rPr>
                <w:szCs w:val="21"/>
              </w:rPr>
              <w:t>备  注</w:t>
            </w:r>
          </w:p>
        </w:tc>
        <w:tc>
          <w:tcPr>
            <w:tcW w:w="1994" w:type="pct"/>
            <w:tcBorders>
              <w:top w:val="single" w:color="auto" w:sz="8" w:space="0"/>
              <w:left w:val="single" w:color="auto" w:sz="8" w:space="0"/>
              <w:bottom w:val="single" w:color="auto" w:sz="8" w:space="0"/>
              <w:right w:val="single" w:color="auto" w:sz="8" w:space="0"/>
            </w:tcBorders>
            <w:noWrap w:val="0"/>
            <w:vAlign w:val="center"/>
          </w:tcPr>
          <w:p>
            <w:pPr>
              <w:ind w:firstLine="420"/>
              <w:jc w:val="center"/>
              <w:rPr>
                <w:rFonts w:hint="eastAsia"/>
                <w:szCs w:val="21"/>
              </w:rPr>
            </w:pPr>
            <w:r>
              <w:rPr>
                <w:rFonts w:hint="eastAsia"/>
                <w:szCs w:val="21"/>
              </w:rPr>
              <w:t>监测因子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420" w:hRule="atLeast"/>
          <w:jc w:val="center"/>
        </w:trPr>
        <w:tc>
          <w:tcPr>
            <w:tcW w:w="300" w:type="pct"/>
            <w:tcBorders>
              <w:top w:val="single" w:color="auto" w:sz="8" w:space="0"/>
              <w:left w:val="single" w:color="auto" w:sz="8" w:space="0"/>
              <w:bottom w:val="single" w:color="auto" w:sz="8" w:space="0"/>
              <w:right w:val="single" w:color="auto" w:sz="8" w:space="0"/>
            </w:tcBorders>
            <w:noWrap w:val="0"/>
            <w:vAlign w:val="center"/>
          </w:tcPr>
          <w:p>
            <w:pPr>
              <w:jc w:val="center"/>
              <w:rPr>
                <w:rFonts w:hint="eastAsia"/>
                <w:szCs w:val="21"/>
              </w:rPr>
            </w:pPr>
            <w:r>
              <w:rPr>
                <w:rFonts w:hint="eastAsia"/>
                <w:szCs w:val="21"/>
              </w:rPr>
              <w:t>1#</w:t>
            </w:r>
          </w:p>
        </w:tc>
        <w:tc>
          <w:tcPr>
            <w:tcW w:w="1464" w:type="dxa"/>
            <w:tcBorders>
              <w:top w:val="single" w:color="auto" w:sz="8" w:space="0"/>
              <w:left w:val="single" w:color="auto" w:sz="8" w:space="0"/>
              <w:bottom w:val="single" w:color="auto" w:sz="8" w:space="0"/>
              <w:right w:val="single" w:color="auto" w:sz="8" w:space="0"/>
            </w:tcBorders>
            <w:noWrap w:val="0"/>
            <w:tcMar>
              <w:top w:w="85" w:type="dxa"/>
              <w:bottom w:w="85" w:type="dxa"/>
            </w:tcMar>
            <w:vAlign w:val="center"/>
          </w:tcPr>
          <w:p>
            <w:pPr>
              <w:jc w:val="center"/>
              <w:rPr>
                <w:szCs w:val="21"/>
              </w:rPr>
            </w:pPr>
            <w:r>
              <w:rPr>
                <w:rFonts w:hint="eastAsia"/>
                <w:szCs w:val="21"/>
                <w:lang w:val="en-US" w:eastAsia="zh-CN"/>
              </w:rPr>
              <w:t>大邢庄</w:t>
            </w:r>
          </w:p>
        </w:tc>
        <w:tc>
          <w:tcPr>
            <w:tcW w:w="1338" w:type="dxa"/>
            <w:tcBorders>
              <w:top w:val="single" w:color="auto" w:sz="8" w:space="0"/>
              <w:left w:val="single" w:color="auto" w:sz="8" w:space="0"/>
              <w:bottom w:val="single" w:color="auto" w:sz="8" w:space="0"/>
              <w:right w:val="single" w:color="auto" w:sz="8" w:space="0"/>
            </w:tcBorders>
            <w:noWrap w:val="0"/>
            <w:tcMar>
              <w:top w:w="85" w:type="dxa"/>
              <w:bottom w:w="85" w:type="dxa"/>
            </w:tcMar>
            <w:vAlign w:val="center"/>
          </w:tcPr>
          <w:p>
            <w:pPr>
              <w:adjustRightInd w:val="0"/>
              <w:snapToGrid w:val="0"/>
              <w:jc w:val="center"/>
              <w:textAlignment w:val="center"/>
              <w:rPr>
                <w:rFonts w:hint="eastAsia"/>
                <w:kern w:val="0"/>
                <w:szCs w:val="21"/>
              </w:rPr>
            </w:pPr>
            <w:r>
              <w:rPr>
                <w:rFonts w:hint="eastAsia"/>
                <w:kern w:val="0"/>
                <w:szCs w:val="21"/>
                <w:lang w:val="en-US" w:eastAsia="zh-CN"/>
              </w:rPr>
              <w:t>北</w:t>
            </w:r>
          </w:p>
        </w:tc>
        <w:tc>
          <w:tcPr>
            <w:tcW w:w="1137" w:type="pct"/>
            <w:tcBorders>
              <w:top w:val="single" w:color="auto" w:sz="8" w:space="0"/>
              <w:left w:val="single" w:color="auto" w:sz="8" w:space="0"/>
              <w:bottom w:val="single" w:color="auto" w:sz="8" w:space="0"/>
              <w:right w:val="single" w:color="auto" w:sz="8" w:space="0"/>
            </w:tcBorders>
            <w:noWrap w:val="0"/>
            <w:vAlign w:val="center"/>
          </w:tcPr>
          <w:p>
            <w:pPr>
              <w:jc w:val="center"/>
              <w:rPr>
                <w:rFonts w:hint="eastAsia"/>
                <w:szCs w:val="21"/>
              </w:rPr>
            </w:pPr>
            <w:r>
              <w:rPr>
                <w:szCs w:val="21"/>
              </w:rPr>
              <w:t>水质-水位监测井</w:t>
            </w:r>
          </w:p>
        </w:tc>
        <w:tc>
          <w:tcPr>
            <w:tcW w:w="1994" w:type="pct"/>
            <w:vMerge w:val="restart"/>
            <w:tcBorders>
              <w:top w:val="single" w:color="auto" w:sz="8" w:space="0"/>
              <w:left w:val="single" w:color="auto" w:sz="8" w:space="0"/>
              <w:bottom w:val="single" w:color="auto" w:sz="8" w:space="0"/>
              <w:right w:val="single" w:color="auto" w:sz="8" w:space="0"/>
            </w:tcBorders>
            <w:noWrap w:val="0"/>
            <w:vAlign w:val="center"/>
          </w:tcPr>
          <w:p>
            <w:pPr>
              <w:numPr>
                <w:ilvl w:val="0"/>
                <w:numId w:val="6"/>
              </w:numPr>
              <w:jc w:val="center"/>
              <w:rPr>
                <w:rFonts w:hint="eastAsia"/>
                <w:szCs w:val="21"/>
              </w:rPr>
            </w:pPr>
            <w:r>
              <w:rPr>
                <w:rFonts w:hint="eastAsia"/>
                <w:szCs w:val="21"/>
              </w:rPr>
              <w:t>监测井功能、井深、水位、水温</w:t>
            </w:r>
          </w:p>
          <w:p>
            <w:pPr>
              <w:numPr>
                <w:ilvl w:val="0"/>
                <w:numId w:val="6"/>
              </w:numPr>
              <w:jc w:val="center"/>
              <w:rPr>
                <w:rFonts w:hint="eastAsia"/>
                <w:szCs w:val="21"/>
              </w:rPr>
            </w:pPr>
            <w:r>
              <w:rPr>
                <w:rFonts w:hint="eastAsia"/>
                <w:szCs w:val="21"/>
              </w:rPr>
              <w:t>K</w:t>
            </w:r>
            <w:r>
              <w:rPr>
                <w:rFonts w:hint="eastAsia"/>
                <w:szCs w:val="21"/>
                <w:vertAlign w:val="superscript"/>
              </w:rPr>
              <w:t>+</w:t>
            </w:r>
            <w:r>
              <w:rPr>
                <w:rFonts w:hint="eastAsia"/>
                <w:szCs w:val="21"/>
              </w:rPr>
              <w:t>、Na</w:t>
            </w:r>
            <w:r>
              <w:rPr>
                <w:rFonts w:hint="eastAsia"/>
                <w:szCs w:val="21"/>
                <w:vertAlign w:val="superscript"/>
              </w:rPr>
              <w:t>+</w:t>
            </w:r>
            <w:r>
              <w:rPr>
                <w:rFonts w:hint="eastAsia"/>
                <w:szCs w:val="21"/>
              </w:rPr>
              <w:t>、Ca</w:t>
            </w:r>
            <w:r>
              <w:rPr>
                <w:rFonts w:hint="eastAsia"/>
                <w:szCs w:val="21"/>
                <w:vertAlign w:val="superscript"/>
              </w:rPr>
              <w:t>2+</w:t>
            </w:r>
            <w:r>
              <w:rPr>
                <w:rFonts w:hint="eastAsia"/>
                <w:szCs w:val="21"/>
              </w:rPr>
              <w:t>、Mg</w:t>
            </w:r>
            <w:r>
              <w:rPr>
                <w:rFonts w:hint="eastAsia"/>
                <w:szCs w:val="21"/>
                <w:vertAlign w:val="superscript"/>
              </w:rPr>
              <w:t>2+</w:t>
            </w:r>
            <w:r>
              <w:rPr>
                <w:rFonts w:hint="eastAsia"/>
                <w:szCs w:val="21"/>
              </w:rPr>
              <w:t>、CO</w:t>
            </w:r>
            <w:r>
              <w:rPr>
                <w:rFonts w:hint="eastAsia"/>
                <w:szCs w:val="21"/>
                <w:vertAlign w:val="subscript"/>
              </w:rPr>
              <w:t>3</w:t>
            </w:r>
            <w:r>
              <w:rPr>
                <w:rFonts w:hint="eastAsia"/>
                <w:szCs w:val="21"/>
                <w:vertAlign w:val="superscript"/>
              </w:rPr>
              <w:t>2-</w:t>
            </w:r>
            <w:r>
              <w:rPr>
                <w:rFonts w:hint="eastAsia"/>
                <w:szCs w:val="21"/>
              </w:rPr>
              <w:t>、HCO</w:t>
            </w:r>
            <w:r>
              <w:rPr>
                <w:rFonts w:hint="eastAsia"/>
                <w:szCs w:val="21"/>
                <w:vertAlign w:val="superscript"/>
              </w:rPr>
              <w:t>3-</w:t>
            </w:r>
            <w:r>
              <w:rPr>
                <w:rFonts w:hint="eastAsia"/>
                <w:szCs w:val="21"/>
              </w:rPr>
              <w:t>、Cl</w:t>
            </w:r>
            <w:r>
              <w:rPr>
                <w:rFonts w:hint="eastAsia"/>
                <w:szCs w:val="21"/>
                <w:vertAlign w:val="superscript"/>
              </w:rPr>
              <w:t>-</w:t>
            </w:r>
            <w:r>
              <w:rPr>
                <w:rFonts w:hint="eastAsia"/>
                <w:szCs w:val="21"/>
              </w:rPr>
              <w:t>、SO</w:t>
            </w:r>
            <w:r>
              <w:rPr>
                <w:rFonts w:hint="eastAsia"/>
                <w:szCs w:val="21"/>
                <w:vertAlign w:val="subscript"/>
              </w:rPr>
              <w:t>4</w:t>
            </w:r>
            <w:r>
              <w:rPr>
                <w:rFonts w:hint="eastAsia"/>
                <w:szCs w:val="21"/>
                <w:vertAlign w:val="superscript"/>
              </w:rPr>
              <w:t>2-</w:t>
            </w:r>
          </w:p>
          <w:p>
            <w:pPr>
              <w:numPr>
                <w:ilvl w:val="0"/>
                <w:numId w:val="6"/>
              </w:numPr>
              <w:jc w:val="center"/>
              <w:rPr>
                <w:rFonts w:hint="eastAsia"/>
                <w:szCs w:val="21"/>
              </w:rPr>
            </w:pPr>
            <w:r>
              <w:rPr>
                <w:rFonts w:hint="eastAsia"/>
                <w:szCs w:val="21"/>
              </w:rPr>
              <w:t>pH、氨氮、亚硝酸盐、硝酸盐、挥发性酚类、氰化物、砷、汞、铬（六价）、总硬度、铅、氟、镉、铁、锰、溶解性总固体、硫酸盐、氯化物、总大肠菌群、细菌总数</w:t>
            </w:r>
          </w:p>
          <w:p>
            <w:pPr>
              <w:numPr>
                <w:ilvl w:val="0"/>
                <w:numId w:val="6"/>
              </w:numPr>
              <w:jc w:val="center"/>
              <w:rPr>
                <w:rFonts w:hint="eastAsia"/>
                <w:szCs w:val="21"/>
              </w:rPr>
            </w:pPr>
            <w:r>
              <w:rPr>
                <w:szCs w:val="21"/>
              </w:rPr>
              <w:t>监测井功能、井深、水位、水温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420" w:hRule="atLeast"/>
          <w:jc w:val="center"/>
        </w:trPr>
        <w:tc>
          <w:tcPr>
            <w:tcW w:w="300" w:type="pct"/>
            <w:tcBorders>
              <w:top w:val="single" w:color="auto" w:sz="8" w:space="0"/>
              <w:left w:val="single" w:color="auto" w:sz="8" w:space="0"/>
              <w:bottom w:val="single" w:color="auto" w:sz="8" w:space="0"/>
              <w:right w:val="single" w:color="auto" w:sz="8" w:space="0"/>
            </w:tcBorders>
            <w:noWrap w:val="0"/>
            <w:vAlign w:val="center"/>
          </w:tcPr>
          <w:p>
            <w:pPr>
              <w:jc w:val="center"/>
              <w:rPr>
                <w:rFonts w:hint="eastAsia"/>
                <w:szCs w:val="21"/>
              </w:rPr>
            </w:pPr>
            <w:r>
              <w:rPr>
                <w:rFonts w:hint="eastAsia"/>
                <w:szCs w:val="21"/>
              </w:rPr>
              <w:t>2#</w:t>
            </w:r>
          </w:p>
        </w:tc>
        <w:tc>
          <w:tcPr>
            <w:tcW w:w="1464" w:type="dxa"/>
            <w:tcBorders>
              <w:top w:val="single" w:color="auto" w:sz="8" w:space="0"/>
              <w:left w:val="single" w:color="auto" w:sz="8" w:space="0"/>
              <w:bottom w:val="single" w:color="auto" w:sz="8" w:space="0"/>
              <w:right w:val="single" w:color="auto" w:sz="8" w:space="0"/>
            </w:tcBorders>
            <w:noWrap w:val="0"/>
            <w:tcMar>
              <w:top w:w="85" w:type="dxa"/>
              <w:bottom w:w="85" w:type="dxa"/>
            </w:tcMar>
            <w:vAlign w:val="center"/>
          </w:tcPr>
          <w:p>
            <w:pPr>
              <w:jc w:val="center"/>
              <w:rPr>
                <w:rFonts w:hint="eastAsia"/>
                <w:szCs w:val="21"/>
              </w:rPr>
            </w:pPr>
            <w:r>
              <w:rPr>
                <w:rFonts w:hint="eastAsia"/>
                <w:szCs w:val="21"/>
                <w:lang w:val="en-US" w:eastAsia="zh-CN"/>
              </w:rPr>
              <w:t>后骆庄</w:t>
            </w:r>
          </w:p>
        </w:tc>
        <w:tc>
          <w:tcPr>
            <w:tcW w:w="1338" w:type="dxa"/>
            <w:tcBorders>
              <w:top w:val="single" w:color="auto" w:sz="8" w:space="0"/>
              <w:left w:val="single" w:color="auto" w:sz="8" w:space="0"/>
              <w:bottom w:val="single" w:color="auto" w:sz="8" w:space="0"/>
              <w:right w:val="single" w:color="auto" w:sz="8" w:space="0"/>
            </w:tcBorders>
            <w:noWrap w:val="0"/>
            <w:tcMar>
              <w:top w:w="85" w:type="dxa"/>
              <w:bottom w:w="85" w:type="dxa"/>
            </w:tcMar>
            <w:vAlign w:val="center"/>
          </w:tcPr>
          <w:p>
            <w:pPr>
              <w:jc w:val="center"/>
              <w:rPr>
                <w:rFonts w:hint="eastAsia"/>
                <w:szCs w:val="21"/>
              </w:rPr>
            </w:pPr>
            <w:r>
              <w:rPr>
                <w:rFonts w:hint="eastAsia"/>
                <w:szCs w:val="21"/>
                <w:lang w:val="en-US" w:eastAsia="zh-CN"/>
              </w:rPr>
              <w:t>西南</w:t>
            </w:r>
          </w:p>
        </w:tc>
        <w:tc>
          <w:tcPr>
            <w:tcW w:w="1137" w:type="pct"/>
            <w:tcBorders>
              <w:top w:val="single" w:color="auto" w:sz="8" w:space="0"/>
              <w:left w:val="single" w:color="auto" w:sz="8" w:space="0"/>
              <w:bottom w:val="single" w:color="auto" w:sz="8" w:space="0"/>
              <w:right w:val="single" w:color="auto" w:sz="8" w:space="0"/>
            </w:tcBorders>
            <w:noWrap w:val="0"/>
            <w:vAlign w:val="center"/>
          </w:tcPr>
          <w:p>
            <w:pPr>
              <w:jc w:val="center"/>
              <w:rPr>
                <w:rFonts w:hint="eastAsia"/>
                <w:szCs w:val="21"/>
              </w:rPr>
            </w:pPr>
            <w:r>
              <w:rPr>
                <w:szCs w:val="21"/>
              </w:rPr>
              <w:t>水质-水位监测井</w:t>
            </w:r>
          </w:p>
        </w:tc>
        <w:tc>
          <w:tcPr>
            <w:tcW w:w="1994" w:type="pct"/>
            <w:vMerge w:val="continue"/>
            <w:tcBorders>
              <w:top w:val="single" w:color="auto" w:sz="8" w:space="0"/>
              <w:left w:val="single" w:color="auto" w:sz="8" w:space="0"/>
              <w:bottom w:val="single" w:color="auto" w:sz="8" w:space="0"/>
              <w:right w:val="single" w:color="auto" w:sz="8" w:space="0"/>
            </w:tcBorders>
            <w:noWrap w:val="0"/>
            <w:vAlign w:val="center"/>
          </w:tcPr>
          <w:p>
            <w:pPr>
              <w:ind w:firstLine="420" w:firstLineChars="200"/>
              <w:jc w:val="center"/>
              <w:rPr>
                <w:rFonts w:hint="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1278" w:hRule="atLeast"/>
          <w:jc w:val="center"/>
        </w:trPr>
        <w:tc>
          <w:tcPr>
            <w:tcW w:w="300" w:type="pct"/>
            <w:tcBorders>
              <w:top w:val="single" w:color="auto" w:sz="8" w:space="0"/>
              <w:left w:val="single" w:color="auto" w:sz="8" w:space="0"/>
              <w:bottom w:val="single" w:color="auto" w:sz="8" w:space="0"/>
              <w:right w:val="single" w:color="auto" w:sz="8" w:space="0"/>
            </w:tcBorders>
            <w:noWrap w:val="0"/>
            <w:vAlign w:val="center"/>
          </w:tcPr>
          <w:p>
            <w:pPr>
              <w:jc w:val="center"/>
              <w:rPr>
                <w:rFonts w:hint="eastAsia"/>
                <w:szCs w:val="21"/>
              </w:rPr>
            </w:pPr>
            <w:r>
              <w:rPr>
                <w:rFonts w:hint="eastAsia"/>
                <w:szCs w:val="21"/>
              </w:rPr>
              <w:t>3#</w:t>
            </w:r>
          </w:p>
        </w:tc>
        <w:tc>
          <w:tcPr>
            <w:tcW w:w="1464" w:type="dxa"/>
            <w:tcBorders>
              <w:top w:val="single" w:color="auto" w:sz="8" w:space="0"/>
              <w:left w:val="single" w:color="auto" w:sz="8" w:space="0"/>
              <w:bottom w:val="single" w:color="auto" w:sz="8" w:space="0"/>
              <w:right w:val="single" w:color="auto" w:sz="8" w:space="0"/>
            </w:tcBorders>
            <w:noWrap w:val="0"/>
            <w:tcMar>
              <w:top w:w="85" w:type="dxa"/>
              <w:bottom w:w="85" w:type="dxa"/>
            </w:tcMar>
            <w:vAlign w:val="center"/>
          </w:tcPr>
          <w:p>
            <w:pPr>
              <w:jc w:val="center"/>
              <w:rPr>
                <w:rFonts w:hint="eastAsia"/>
                <w:szCs w:val="21"/>
              </w:rPr>
            </w:pPr>
            <w:r>
              <w:rPr>
                <w:rFonts w:hint="eastAsia"/>
                <w:szCs w:val="21"/>
              </w:rPr>
              <w:t>沼液消纳地</w:t>
            </w:r>
          </w:p>
        </w:tc>
        <w:tc>
          <w:tcPr>
            <w:tcW w:w="1338" w:type="dxa"/>
            <w:tcBorders>
              <w:top w:val="single" w:color="auto" w:sz="8" w:space="0"/>
              <w:left w:val="single" w:color="auto" w:sz="8" w:space="0"/>
              <w:bottom w:val="single" w:color="auto" w:sz="8" w:space="0"/>
              <w:right w:val="single" w:color="auto" w:sz="8" w:space="0"/>
            </w:tcBorders>
            <w:noWrap w:val="0"/>
            <w:tcMar>
              <w:top w:w="85" w:type="dxa"/>
              <w:bottom w:w="85" w:type="dxa"/>
            </w:tcMar>
            <w:vAlign w:val="center"/>
          </w:tcPr>
          <w:p>
            <w:pPr>
              <w:jc w:val="center"/>
              <w:rPr>
                <w:rFonts w:hint="eastAsia"/>
                <w:szCs w:val="21"/>
              </w:rPr>
            </w:pPr>
            <w:r>
              <w:rPr>
                <w:rFonts w:hint="eastAsia"/>
                <w:szCs w:val="21"/>
              </w:rPr>
              <w:t>/</w:t>
            </w:r>
          </w:p>
        </w:tc>
        <w:tc>
          <w:tcPr>
            <w:tcW w:w="1137" w:type="pct"/>
            <w:tcBorders>
              <w:top w:val="single" w:color="auto" w:sz="8" w:space="0"/>
              <w:left w:val="single" w:color="auto" w:sz="8" w:space="0"/>
              <w:bottom w:val="single" w:color="auto" w:sz="8" w:space="0"/>
              <w:right w:val="single" w:color="auto" w:sz="8" w:space="0"/>
            </w:tcBorders>
            <w:noWrap w:val="0"/>
            <w:vAlign w:val="center"/>
          </w:tcPr>
          <w:p>
            <w:pPr>
              <w:jc w:val="center"/>
              <w:rPr>
                <w:rFonts w:hint="eastAsia"/>
                <w:szCs w:val="21"/>
              </w:rPr>
            </w:pPr>
            <w:r>
              <w:rPr>
                <w:szCs w:val="21"/>
              </w:rPr>
              <w:t>水质-水位监测井</w:t>
            </w:r>
          </w:p>
        </w:tc>
        <w:tc>
          <w:tcPr>
            <w:tcW w:w="1994" w:type="pct"/>
            <w:vMerge w:val="continue"/>
            <w:tcBorders>
              <w:top w:val="single" w:color="auto" w:sz="8" w:space="0"/>
              <w:left w:val="single" w:color="auto" w:sz="8" w:space="0"/>
              <w:bottom w:val="single" w:color="auto" w:sz="8" w:space="0"/>
              <w:right w:val="single" w:color="auto" w:sz="8" w:space="0"/>
            </w:tcBorders>
            <w:noWrap w:val="0"/>
            <w:vAlign w:val="center"/>
          </w:tcPr>
          <w:p>
            <w:pPr>
              <w:ind w:firstLine="420" w:firstLineChars="200"/>
              <w:jc w:val="center"/>
              <w:rPr>
                <w:rFonts w:hint="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420" w:hRule="atLeast"/>
          <w:jc w:val="center"/>
        </w:trPr>
        <w:tc>
          <w:tcPr>
            <w:tcW w:w="300" w:type="pct"/>
            <w:tcBorders>
              <w:top w:val="single" w:color="auto" w:sz="8" w:space="0"/>
              <w:left w:val="single" w:color="auto" w:sz="8" w:space="0"/>
              <w:bottom w:val="single" w:color="auto" w:sz="8" w:space="0"/>
              <w:right w:val="single" w:color="auto" w:sz="8" w:space="0"/>
            </w:tcBorders>
            <w:noWrap w:val="0"/>
            <w:vAlign w:val="center"/>
          </w:tcPr>
          <w:p>
            <w:pPr>
              <w:jc w:val="center"/>
              <w:rPr>
                <w:rFonts w:hint="eastAsia"/>
                <w:szCs w:val="21"/>
              </w:rPr>
            </w:pPr>
            <w:r>
              <w:rPr>
                <w:rFonts w:hint="eastAsia"/>
                <w:szCs w:val="21"/>
              </w:rPr>
              <w:t>4</w:t>
            </w:r>
            <w:r>
              <w:rPr>
                <w:szCs w:val="21"/>
              </w:rPr>
              <w:t>#</w:t>
            </w:r>
          </w:p>
        </w:tc>
        <w:tc>
          <w:tcPr>
            <w:tcW w:w="1464" w:type="dxa"/>
            <w:tcBorders>
              <w:top w:val="single" w:color="auto" w:sz="8" w:space="0"/>
              <w:left w:val="single" w:color="auto" w:sz="8" w:space="0"/>
              <w:bottom w:val="single" w:color="auto" w:sz="8" w:space="0"/>
              <w:right w:val="single" w:color="auto" w:sz="8" w:space="0"/>
            </w:tcBorders>
            <w:noWrap w:val="0"/>
            <w:tcMar>
              <w:top w:w="85" w:type="dxa"/>
              <w:bottom w:w="85" w:type="dxa"/>
            </w:tcMar>
            <w:vAlign w:val="center"/>
          </w:tcPr>
          <w:p>
            <w:pPr>
              <w:jc w:val="center"/>
              <w:rPr>
                <w:rFonts w:hint="eastAsia"/>
                <w:szCs w:val="21"/>
              </w:rPr>
            </w:pPr>
            <w:r>
              <w:rPr>
                <w:rFonts w:hint="eastAsia"/>
                <w:szCs w:val="21"/>
                <w:lang w:val="en-US" w:eastAsia="zh-CN"/>
              </w:rPr>
              <w:t>杨李庄</w:t>
            </w:r>
          </w:p>
        </w:tc>
        <w:tc>
          <w:tcPr>
            <w:tcW w:w="1338" w:type="dxa"/>
            <w:tcBorders>
              <w:top w:val="single" w:color="auto" w:sz="8" w:space="0"/>
              <w:left w:val="single" w:color="auto" w:sz="8" w:space="0"/>
              <w:bottom w:val="single" w:color="auto" w:sz="8" w:space="0"/>
              <w:right w:val="single" w:color="auto" w:sz="8" w:space="0"/>
            </w:tcBorders>
            <w:noWrap w:val="0"/>
            <w:tcMar>
              <w:top w:w="85" w:type="dxa"/>
              <w:bottom w:w="85" w:type="dxa"/>
            </w:tcMar>
            <w:vAlign w:val="center"/>
          </w:tcPr>
          <w:p>
            <w:pPr>
              <w:jc w:val="center"/>
              <w:rPr>
                <w:szCs w:val="21"/>
              </w:rPr>
            </w:pPr>
            <w:r>
              <w:rPr>
                <w:rFonts w:hint="eastAsia"/>
                <w:szCs w:val="21"/>
                <w:lang w:val="en-US" w:eastAsia="zh-CN"/>
              </w:rPr>
              <w:t>南</w:t>
            </w:r>
          </w:p>
        </w:tc>
        <w:tc>
          <w:tcPr>
            <w:tcW w:w="1137" w:type="pct"/>
            <w:tcBorders>
              <w:top w:val="single" w:color="auto" w:sz="8" w:space="0"/>
              <w:left w:val="single" w:color="auto" w:sz="8" w:space="0"/>
              <w:bottom w:val="single" w:color="auto" w:sz="8" w:space="0"/>
              <w:right w:val="single" w:color="auto" w:sz="8" w:space="0"/>
            </w:tcBorders>
            <w:noWrap w:val="0"/>
            <w:vAlign w:val="center"/>
          </w:tcPr>
          <w:p>
            <w:pPr>
              <w:jc w:val="center"/>
              <w:rPr>
                <w:szCs w:val="21"/>
              </w:rPr>
            </w:pPr>
            <w:r>
              <w:rPr>
                <w:szCs w:val="21"/>
              </w:rPr>
              <w:t>水位监测井</w:t>
            </w:r>
          </w:p>
        </w:tc>
        <w:tc>
          <w:tcPr>
            <w:tcW w:w="1994" w:type="pct"/>
            <w:vMerge w:val="restart"/>
            <w:tcBorders>
              <w:top w:val="single" w:color="auto" w:sz="8" w:space="0"/>
              <w:left w:val="single" w:color="auto" w:sz="8" w:space="0"/>
              <w:bottom w:val="single" w:color="auto" w:sz="8" w:space="0"/>
              <w:right w:val="single" w:color="auto" w:sz="8" w:space="0"/>
            </w:tcBorders>
            <w:noWrap w:val="0"/>
            <w:vAlign w:val="center"/>
          </w:tcPr>
          <w:p>
            <w:pPr>
              <w:ind w:firstLine="420" w:firstLineChars="200"/>
              <w:jc w:val="center"/>
              <w:rPr>
                <w:rFonts w:hint="eastAsia"/>
                <w:szCs w:val="21"/>
              </w:rPr>
            </w:pPr>
            <w:r>
              <w:rPr>
                <w:szCs w:val="21"/>
              </w:rPr>
              <w:t>监测井功能、井深、水位、水温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420" w:hRule="atLeast"/>
          <w:jc w:val="center"/>
        </w:trPr>
        <w:tc>
          <w:tcPr>
            <w:tcW w:w="300" w:type="pct"/>
            <w:tcBorders>
              <w:top w:val="single" w:color="auto" w:sz="8" w:space="0"/>
              <w:left w:val="single" w:color="auto" w:sz="8" w:space="0"/>
              <w:bottom w:val="single" w:color="auto" w:sz="8" w:space="0"/>
              <w:right w:val="single" w:color="auto" w:sz="8" w:space="0"/>
            </w:tcBorders>
            <w:noWrap w:val="0"/>
            <w:vAlign w:val="center"/>
          </w:tcPr>
          <w:p>
            <w:pPr>
              <w:jc w:val="center"/>
              <w:rPr>
                <w:rFonts w:hint="eastAsia"/>
                <w:szCs w:val="21"/>
              </w:rPr>
            </w:pPr>
            <w:r>
              <w:rPr>
                <w:rFonts w:hint="eastAsia"/>
                <w:szCs w:val="21"/>
              </w:rPr>
              <w:t>5</w:t>
            </w:r>
            <w:r>
              <w:rPr>
                <w:szCs w:val="21"/>
              </w:rPr>
              <w:t>#</w:t>
            </w:r>
          </w:p>
        </w:tc>
        <w:tc>
          <w:tcPr>
            <w:tcW w:w="1464" w:type="dxa"/>
            <w:tcBorders>
              <w:top w:val="single" w:color="auto" w:sz="8" w:space="0"/>
              <w:left w:val="single" w:color="auto" w:sz="8" w:space="0"/>
              <w:bottom w:val="single" w:color="auto" w:sz="8" w:space="0"/>
              <w:right w:val="single" w:color="auto" w:sz="8" w:space="0"/>
            </w:tcBorders>
            <w:noWrap w:val="0"/>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szCs w:val="21"/>
              </w:rPr>
            </w:pPr>
            <w:r>
              <w:rPr>
                <w:rFonts w:hint="eastAsia"/>
                <w:szCs w:val="21"/>
                <w:lang w:val="en-US" w:eastAsia="zh-CN"/>
              </w:rPr>
              <w:t>谢寨村</w:t>
            </w:r>
          </w:p>
        </w:tc>
        <w:tc>
          <w:tcPr>
            <w:tcW w:w="1338" w:type="dxa"/>
            <w:tcBorders>
              <w:top w:val="single" w:color="auto" w:sz="8" w:space="0"/>
              <w:left w:val="single" w:color="auto" w:sz="8" w:space="0"/>
              <w:bottom w:val="single" w:color="auto" w:sz="8" w:space="0"/>
              <w:right w:val="single" w:color="auto" w:sz="8" w:space="0"/>
            </w:tcBorders>
            <w:noWrap w:val="0"/>
            <w:tcMar>
              <w:top w:w="85" w:type="dxa"/>
              <w:bottom w:w="85" w:type="dxa"/>
            </w:tcMar>
            <w:vAlign w:val="center"/>
          </w:tcPr>
          <w:p>
            <w:pPr>
              <w:jc w:val="center"/>
              <w:rPr>
                <w:szCs w:val="21"/>
              </w:rPr>
            </w:pPr>
            <w:r>
              <w:rPr>
                <w:rFonts w:hint="eastAsia"/>
                <w:szCs w:val="21"/>
              </w:rPr>
              <w:t>西南</w:t>
            </w:r>
          </w:p>
        </w:tc>
        <w:tc>
          <w:tcPr>
            <w:tcW w:w="1137" w:type="pct"/>
            <w:tcBorders>
              <w:top w:val="single" w:color="auto" w:sz="8" w:space="0"/>
              <w:left w:val="single" w:color="auto" w:sz="8" w:space="0"/>
              <w:bottom w:val="single" w:color="auto" w:sz="8" w:space="0"/>
              <w:right w:val="single" w:color="auto" w:sz="8" w:space="0"/>
            </w:tcBorders>
            <w:noWrap w:val="0"/>
            <w:vAlign w:val="center"/>
          </w:tcPr>
          <w:p>
            <w:pPr>
              <w:jc w:val="center"/>
              <w:rPr>
                <w:szCs w:val="21"/>
              </w:rPr>
            </w:pPr>
            <w:r>
              <w:rPr>
                <w:szCs w:val="21"/>
              </w:rPr>
              <w:t>水位监测井</w:t>
            </w:r>
          </w:p>
        </w:tc>
        <w:tc>
          <w:tcPr>
            <w:tcW w:w="1994" w:type="pct"/>
            <w:vMerge w:val="continue"/>
            <w:tcBorders>
              <w:top w:val="single" w:color="auto" w:sz="8" w:space="0"/>
              <w:left w:val="single" w:color="auto" w:sz="8" w:space="0"/>
              <w:right w:val="single" w:color="auto" w:sz="8" w:space="0"/>
            </w:tcBorders>
            <w:noWrap w:val="0"/>
            <w:vAlign w:val="center"/>
          </w:tcPr>
          <w:p>
            <w:pPr>
              <w:ind w:firstLine="420" w:firstLineChars="200"/>
              <w:jc w:val="center"/>
              <w:rPr>
                <w:rFonts w:hint="eastAsia"/>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57" w:type="dxa"/>
            <w:left w:w="108" w:type="dxa"/>
            <w:bottom w:w="57" w:type="dxa"/>
            <w:right w:w="108" w:type="dxa"/>
          </w:tblCellMar>
        </w:tblPrEx>
        <w:trPr>
          <w:trHeight w:val="420" w:hRule="atLeast"/>
          <w:jc w:val="center"/>
        </w:trPr>
        <w:tc>
          <w:tcPr>
            <w:tcW w:w="300" w:type="pct"/>
            <w:tcBorders>
              <w:top w:val="single" w:color="auto" w:sz="8" w:space="0"/>
              <w:left w:val="single" w:color="auto" w:sz="8" w:space="0"/>
              <w:bottom w:val="single" w:color="auto" w:sz="8" w:space="0"/>
              <w:right w:val="single" w:color="auto" w:sz="8" w:space="0"/>
            </w:tcBorders>
            <w:noWrap w:val="0"/>
            <w:vAlign w:val="center"/>
          </w:tcPr>
          <w:p>
            <w:pPr>
              <w:jc w:val="center"/>
              <w:rPr>
                <w:rFonts w:hint="eastAsia"/>
                <w:szCs w:val="21"/>
              </w:rPr>
            </w:pPr>
            <w:r>
              <w:rPr>
                <w:rFonts w:hint="eastAsia"/>
                <w:szCs w:val="21"/>
              </w:rPr>
              <w:t>6</w:t>
            </w:r>
            <w:r>
              <w:rPr>
                <w:szCs w:val="21"/>
              </w:rPr>
              <w:t>#</w:t>
            </w:r>
          </w:p>
        </w:tc>
        <w:tc>
          <w:tcPr>
            <w:tcW w:w="1464" w:type="dxa"/>
            <w:tcBorders>
              <w:top w:val="single" w:color="auto" w:sz="8" w:space="0"/>
              <w:left w:val="single" w:color="auto" w:sz="8" w:space="0"/>
              <w:bottom w:val="single" w:color="auto" w:sz="8" w:space="0"/>
              <w:right w:val="single" w:color="auto" w:sz="8" w:space="0"/>
            </w:tcBorders>
            <w:noWrap w:val="0"/>
            <w:tcMar>
              <w:top w:w="85" w:type="dxa"/>
              <w:bottom w:w="85" w:type="dxa"/>
            </w:tcMar>
            <w:vAlign w:val="center"/>
          </w:tcPr>
          <w:p>
            <w:pPr>
              <w:jc w:val="center"/>
              <w:rPr>
                <w:rFonts w:hint="eastAsia"/>
                <w:szCs w:val="21"/>
              </w:rPr>
            </w:pPr>
            <w:r>
              <w:rPr>
                <w:rFonts w:hint="eastAsia"/>
                <w:szCs w:val="21"/>
                <w:lang w:val="en-US" w:eastAsia="zh-CN"/>
              </w:rPr>
              <w:t>大周庄</w:t>
            </w:r>
          </w:p>
        </w:tc>
        <w:tc>
          <w:tcPr>
            <w:tcW w:w="1338" w:type="dxa"/>
            <w:tcBorders>
              <w:top w:val="single" w:color="auto" w:sz="8" w:space="0"/>
              <w:left w:val="single" w:color="auto" w:sz="8" w:space="0"/>
              <w:bottom w:val="single" w:color="auto" w:sz="8" w:space="0"/>
              <w:right w:val="single" w:color="auto" w:sz="8" w:space="0"/>
            </w:tcBorders>
            <w:noWrap w:val="0"/>
            <w:tcMar>
              <w:top w:w="85" w:type="dxa"/>
              <w:bottom w:w="85" w:type="dxa"/>
            </w:tcMar>
            <w:vAlign w:val="center"/>
          </w:tcPr>
          <w:p>
            <w:pPr>
              <w:jc w:val="center"/>
              <w:rPr>
                <w:rFonts w:hint="eastAsia"/>
                <w:szCs w:val="21"/>
              </w:rPr>
            </w:pPr>
            <w:r>
              <w:rPr>
                <w:rFonts w:hint="eastAsia"/>
                <w:szCs w:val="21"/>
              </w:rPr>
              <w:t>东南</w:t>
            </w:r>
          </w:p>
        </w:tc>
        <w:tc>
          <w:tcPr>
            <w:tcW w:w="1137" w:type="pct"/>
            <w:tcBorders>
              <w:top w:val="single" w:color="auto" w:sz="8" w:space="0"/>
              <w:left w:val="single" w:color="auto" w:sz="8" w:space="0"/>
              <w:bottom w:val="single" w:color="auto" w:sz="8" w:space="0"/>
              <w:right w:val="single" w:color="auto" w:sz="8" w:space="0"/>
            </w:tcBorders>
            <w:noWrap w:val="0"/>
            <w:vAlign w:val="center"/>
          </w:tcPr>
          <w:p>
            <w:pPr>
              <w:jc w:val="center"/>
              <w:rPr>
                <w:szCs w:val="21"/>
              </w:rPr>
            </w:pPr>
            <w:r>
              <w:rPr>
                <w:szCs w:val="21"/>
              </w:rPr>
              <w:t>水位监测井</w:t>
            </w:r>
          </w:p>
        </w:tc>
        <w:tc>
          <w:tcPr>
            <w:tcW w:w="1994" w:type="pct"/>
            <w:vMerge w:val="continue"/>
            <w:tcBorders>
              <w:left w:val="single" w:color="auto" w:sz="8" w:space="0"/>
              <w:right w:val="single" w:color="auto" w:sz="8" w:space="0"/>
            </w:tcBorders>
            <w:noWrap w:val="0"/>
            <w:vAlign w:val="center"/>
          </w:tcPr>
          <w:p>
            <w:pPr>
              <w:ind w:firstLine="420" w:firstLineChars="200"/>
              <w:jc w:val="center"/>
              <w:rPr>
                <w:rFonts w:hint="eastAsia"/>
                <w:szCs w:val="21"/>
              </w:rPr>
            </w:pPr>
          </w:p>
        </w:tc>
      </w:tr>
    </w:tbl>
    <w:p>
      <w:pPr>
        <w:spacing w:line="520" w:lineRule="exact"/>
        <w:rPr>
          <w:b/>
          <w:bCs/>
          <w:sz w:val="24"/>
        </w:rPr>
      </w:pPr>
      <w:bookmarkStart w:id="344" w:name="_Toc413829640"/>
      <w:bookmarkStart w:id="345" w:name="_Toc406663007"/>
      <w:r>
        <w:rPr>
          <w:b/>
          <w:bCs/>
          <w:sz w:val="24"/>
        </w:rPr>
        <w:t>3.3.3.2监测项目、时间及分析方法</w:t>
      </w:r>
      <w:bookmarkEnd w:id="344"/>
      <w:bookmarkEnd w:id="345"/>
    </w:p>
    <w:p>
      <w:pPr>
        <w:spacing w:line="520" w:lineRule="exact"/>
        <w:ind w:firstLine="480" w:firstLineChars="200"/>
        <w:rPr>
          <w:bCs/>
          <w:sz w:val="24"/>
        </w:rPr>
      </w:pPr>
      <w:bookmarkStart w:id="346" w:name="_Toc413829641"/>
      <w:bookmarkStart w:id="347" w:name="_Toc406663008"/>
      <w:r>
        <w:rPr>
          <w:bCs/>
          <w:sz w:val="24"/>
        </w:rPr>
        <w:t>监测因子：</w:t>
      </w:r>
      <w:r>
        <w:rPr>
          <w:rFonts w:hint="eastAsia"/>
          <w:bCs/>
          <w:sz w:val="24"/>
        </w:rPr>
        <w:t>1#、2#、3#监测因子：</w:t>
      </w:r>
      <w:r>
        <w:rPr>
          <w:rFonts w:hint="eastAsia"/>
          <w:sz w:val="24"/>
        </w:rPr>
        <w:t>钾离子、钠离子、钙离子、镁离子、碳酸根离子、碳酸氢根离子、氯离子、硫酸根离子、pH值、氨氮、硝酸盐、亚硝酸盐、挥发性酚类、氰化物、砷、汞、铬（六价）、总硬度、铅、氟、镉、铁、锰、溶解性总固体、硫酸盐、氯化物、总大肠菌群、细菌总数共</w:t>
      </w:r>
      <w:r>
        <w:rPr>
          <w:rFonts w:hint="eastAsia"/>
          <w:sz w:val="24"/>
          <w:lang w:val="en-US" w:eastAsia="zh-CN"/>
        </w:rPr>
        <w:t>25</w:t>
      </w:r>
      <w:r>
        <w:rPr>
          <w:rFonts w:hint="eastAsia"/>
          <w:sz w:val="24"/>
        </w:rPr>
        <w:t>项，同时检测井功能、井深、水位、水温</w:t>
      </w:r>
      <w:r>
        <w:rPr>
          <w:rFonts w:hint="eastAsia"/>
          <w:bCs/>
          <w:sz w:val="24"/>
        </w:rPr>
        <w:t>4#、5#、6</w:t>
      </w:r>
      <w:r>
        <w:rPr>
          <w:bCs/>
          <w:sz w:val="24"/>
        </w:rPr>
        <w:t>#</w:t>
      </w:r>
      <w:r>
        <w:rPr>
          <w:rFonts w:hint="eastAsia"/>
          <w:bCs/>
          <w:sz w:val="24"/>
        </w:rPr>
        <w:t>只检测</w:t>
      </w:r>
      <w:r>
        <w:rPr>
          <w:rFonts w:hint="eastAsia"/>
          <w:sz w:val="24"/>
        </w:rPr>
        <w:t>井深、水位、水温</w:t>
      </w:r>
      <w:r>
        <w:rPr>
          <w:rFonts w:hint="eastAsia"/>
          <w:bCs/>
          <w:sz w:val="24"/>
        </w:rPr>
        <w:t>。</w:t>
      </w:r>
    </w:p>
    <w:p>
      <w:pPr>
        <w:autoSpaceDE w:val="0"/>
        <w:autoSpaceDN w:val="0"/>
        <w:adjustRightInd w:val="0"/>
        <w:spacing w:line="520" w:lineRule="exact"/>
        <w:ind w:firstLine="480" w:firstLineChars="200"/>
        <w:jc w:val="left"/>
        <w:rPr>
          <w:bCs/>
          <w:sz w:val="24"/>
        </w:rPr>
      </w:pPr>
      <w:r>
        <w:rPr>
          <w:bCs/>
          <w:sz w:val="24"/>
        </w:rPr>
        <w:t>监测时间：地下水监测由</w:t>
      </w:r>
      <w:r>
        <w:rPr>
          <w:rFonts w:hint="eastAsia"/>
          <w:kern w:val="0"/>
          <w:sz w:val="24"/>
          <w:lang w:eastAsia="zh-CN"/>
        </w:rPr>
        <w:t>河南金诺源环境检测有限公司</w:t>
      </w:r>
      <w:r>
        <w:rPr>
          <w:bCs/>
          <w:sz w:val="24"/>
        </w:rPr>
        <w:t>于</w:t>
      </w:r>
      <w:r>
        <w:rPr>
          <w:rFonts w:hint="eastAsia"/>
          <w:bCs/>
          <w:sz w:val="24"/>
        </w:rPr>
        <w:t>2020</w:t>
      </w:r>
      <w:r>
        <w:rPr>
          <w:bCs/>
          <w:sz w:val="24"/>
        </w:rPr>
        <w:t>年</w:t>
      </w:r>
      <w:r>
        <w:rPr>
          <w:rFonts w:hint="eastAsia"/>
          <w:bCs/>
          <w:sz w:val="24"/>
        </w:rPr>
        <w:t>08</w:t>
      </w:r>
      <w:r>
        <w:rPr>
          <w:bCs/>
          <w:sz w:val="24"/>
        </w:rPr>
        <w:t>月</w:t>
      </w:r>
      <w:r>
        <w:rPr>
          <w:rFonts w:hint="eastAsia"/>
          <w:bCs/>
          <w:sz w:val="24"/>
        </w:rPr>
        <w:t>04</w:t>
      </w:r>
      <w:r>
        <w:rPr>
          <w:bCs/>
          <w:sz w:val="24"/>
        </w:rPr>
        <w:t>日进行监测。</w:t>
      </w:r>
    </w:p>
    <w:p>
      <w:pPr>
        <w:autoSpaceDE w:val="0"/>
        <w:autoSpaceDN w:val="0"/>
        <w:adjustRightInd w:val="0"/>
        <w:spacing w:line="520" w:lineRule="exact"/>
        <w:ind w:firstLine="480" w:firstLineChars="200"/>
        <w:jc w:val="left"/>
        <w:rPr>
          <w:rFonts w:hint="eastAsia"/>
          <w:bCs/>
          <w:sz w:val="24"/>
        </w:rPr>
      </w:pPr>
      <w:r>
        <w:rPr>
          <w:bCs/>
          <w:sz w:val="24"/>
        </w:rPr>
        <w:t>分析方法：水样的采集、保存按《生活饮用水标准检验方法水样的采集和保存》（GB/T5750.2-2006）进行，</w:t>
      </w:r>
      <w:r>
        <w:rPr>
          <w:rFonts w:hint="eastAsia"/>
          <w:bCs/>
          <w:sz w:val="24"/>
        </w:rPr>
        <w:t>监测分析</w:t>
      </w:r>
      <w:r>
        <w:rPr>
          <w:bCs/>
          <w:sz w:val="24"/>
        </w:rPr>
        <w:t>方法</w:t>
      </w:r>
      <w:r>
        <w:rPr>
          <w:rFonts w:hint="eastAsia"/>
          <w:bCs/>
          <w:sz w:val="24"/>
        </w:rPr>
        <w:t>见表3.3-1</w:t>
      </w:r>
      <w:r>
        <w:rPr>
          <w:bCs/>
          <w:sz w:val="24"/>
        </w:rPr>
        <w:t>1。</w:t>
      </w:r>
    </w:p>
    <w:p>
      <w:pPr>
        <w:spacing w:after="72" w:afterLines="30" w:line="500" w:lineRule="exact"/>
        <w:jc w:val="center"/>
        <w:rPr>
          <w:b/>
          <w:bCs/>
          <w:sz w:val="24"/>
        </w:rPr>
      </w:pPr>
      <w:r>
        <w:rPr>
          <w:rFonts w:hint="eastAsia"/>
          <w:b/>
          <w:bCs/>
          <w:sz w:val="28"/>
          <w:szCs w:val="28"/>
        </w:rPr>
        <w:t xml:space="preserve">  </w:t>
      </w:r>
      <w:r>
        <w:rPr>
          <w:rFonts w:hAnsi="宋体"/>
          <w:b/>
          <w:bCs/>
          <w:sz w:val="24"/>
        </w:rPr>
        <w:t>表</w:t>
      </w:r>
      <w:r>
        <w:rPr>
          <w:b/>
          <w:bCs/>
          <w:sz w:val="24"/>
        </w:rPr>
        <w:t xml:space="preserve">3.3-11         </w:t>
      </w:r>
      <w:r>
        <w:rPr>
          <w:rFonts w:hAnsi="宋体"/>
          <w:b/>
          <w:bCs/>
          <w:sz w:val="24"/>
        </w:rPr>
        <w:t>地下水监测分析方法</w:t>
      </w:r>
    </w:p>
    <w:tbl>
      <w:tblPr>
        <w:tblStyle w:val="17"/>
        <w:tblW w:w="5034" w:type="pct"/>
        <w:jc w:val="center"/>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Layout w:type="autofit"/>
        <w:tblCellMar>
          <w:top w:w="0" w:type="dxa"/>
          <w:left w:w="0" w:type="dxa"/>
          <w:bottom w:w="0" w:type="dxa"/>
          <w:right w:w="0" w:type="dxa"/>
        </w:tblCellMar>
      </w:tblPr>
      <w:tblGrid>
        <w:gridCol w:w="905"/>
        <w:gridCol w:w="2182"/>
        <w:gridCol w:w="2549"/>
        <w:gridCol w:w="3184"/>
      </w:tblGrid>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tblHeader/>
          <w:jc w:val="center"/>
        </w:trPr>
        <w:tc>
          <w:tcPr>
            <w:tcW w:w="513" w:type="pct"/>
            <w:tcBorders>
              <w:top w:val="single" w:color="000000" w:sz="12" w:space="0"/>
              <w:left w:val="single" w:color="000000" w:sz="12" w:space="0"/>
              <w:bottom w:val="single" w:color="000000" w:sz="6" w:space="0"/>
            </w:tcBorders>
            <w:noWrap w:val="0"/>
            <w:vAlign w:val="center"/>
          </w:tcPr>
          <w:p>
            <w:pPr>
              <w:pStyle w:val="33"/>
              <w:keepNext w:val="0"/>
              <w:overflowPunct w:val="0"/>
              <w:topLinePunct/>
              <w:snapToGrid w:val="0"/>
              <w:spacing w:before="120" w:after="120" w:line="240" w:lineRule="exact"/>
              <w:rPr>
                <w:rFonts w:hint="eastAsia"/>
                <w:b/>
                <w:bCs/>
                <w:szCs w:val="21"/>
              </w:rPr>
            </w:pPr>
            <w:r>
              <w:rPr>
                <w:rFonts w:hint="eastAsia"/>
                <w:b/>
                <w:bCs/>
                <w:szCs w:val="21"/>
              </w:rPr>
              <w:t>序号</w:t>
            </w:r>
          </w:p>
        </w:tc>
        <w:tc>
          <w:tcPr>
            <w:tcW w:w="1236" w:type="pct"/>
            <w:tcBorders>
              <w:top w:val="single" w:color="000000" w:sz="12" w:space="0"/>
              <w:bottom w:val="single" w:color="000000" w:sz="6" w:space="0"/>
            </w:tcBorders>
            <w:noWrap w:val="0"/>
            <w:vAlign w:val="center"/>
          </w:tcPr>
          <w:p>
            <w:pPr>
              <w:pStyle w:val="33"/>
              <w:keepNext w:val="0"/>
              <w:overflowPunct w:val="0"/>
              <w:topLinePunct/>
              <w:snapToGrid w:val="0"/>
              <w:spacing w:before="120" w:after="120" w:line="240" w:lineRule="exact"/>
              <w:rPr>
                <w:b/>
                <w:bCs/>
                <w:szCs w:val="21"/>
              </w:rPr>
            </w:pPr>
            <w:r>
              <w:rPr>
                <w:b/>
                <w:bCs/>
                <w:szCs w:val="21"/>
              </w:rPr>
              <w:t>检测项目</w:t>
            </w:r>
          </w:p>
        </w:tc>
        <w:tc>
          <w:tcPr>
            <w:tcW w:w="1444" w:type="pct"/>
            <w:tcBorders>
              <w:top w:val="single" w:color="000000" w:sz="12" w:space="0"/>
              <w:bottom w:val="single" w:color="000000" w:sz="6" w:space="0"/>
            </w:tcBorders>
            <w:noWrap w:val="0"/>
            <w:vAlign w:val="center"/>
          </w:tcPr>
          <w:p>
            <w:pPr>
              <w:pStyle w:val="33"/>
              <w:keepNext w:val="0"/>
              <w:overflowPunct w:val="0"/>
              <w:topLinePunct/>
              <w:snapToGrid w:val="0"/>
              <w:spacing w:before="120" w:after="120" w:line="240" w:lineRule="exact"/>
              <w:rPr>
                <w:b/>
                <w:bCs/>
                <w:szCs w:val="21"/>
              </w:rPr>
            </w:pPr>
            <w:r>
              <w:rPr>
                <w:b/>
                <w:bCs/>
                <w:szCs w:val="21"/>
              </w:rPr>
              <w:t>方法名称</w:t>
            </w:r>
          </w:p>
        </w:tc>
        <w:tc>
          <w:tcPr>
            <w:tcW w:w="1804" w:type="pct"/>
            <w:tcBorders>
              <w:top w:val="single" w:color="000000" w:sz="12" w:space="0"/>
              <w:bottom w:val="single" w:color="000000" w:sz="6" w:space="0"/>
              <w:right w:val="single" w:color="000000" w:sz="12" w:space="0"/>
            </w:tcBorders>
            <w:noWrap w:val="0"/>
            <w:vAlign w:val="center"/>
          </w:tcPr>
          <w:p>
            <w:pPr>
              <w:pStyle w:val="33"/>
              <w:keepNext w:val="0"/>
              <w:overflowPunct w:val="0"/>
              <w:topLinePunct/>
              <w:snapToGrid w:val="0"/>
              <w:spacing w:before="120" w:after="120" w:line="240" w:lineRule="exact"/>
              <w:rPr>
                <w:b/>
                <w:bCs/>
                <w:szCs w:val="21"/>
              </w:rPr>
            </w:pPr>
            <w:r>
              <w:rPr>
                <w:b/>
                <w:bCs/>
                <w:szCs w:val="21"/>
              </w:rPr>
              <w:t>方法编号</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13" w:type="pct"/>
            <w:tcBorders>
              <w:top w:val="single" w:color="000000" w:sz="6" w:space="0"/>
              <w:left w:val="single" w:color="000000" w:sz="12" w:space="0"/>
              <w:bottom w:val="single" w:color="000000" w:sz="6" w:space="0"/>
            </w:tcBorders>
            <w:noWrap w:val="0"/>
            <w:vAlign w:val="center"/>
          </w:tcPr>
          <w:p>
            <w:pPr>
              <w:pStyle w:val="33"/>
              <w:keepNext w:val="0"/>
              <w:overflowPunct w:val="0"/>
              <w:topLinePunct/>
              <w:snapToGrid w:val="0"/>
              <w:spacing w:before="120" w:after="120" w:line="240" w:lineRule="exact"/>
              <w:rPr>
                <w:rFonts w:hint="eastAsia"/>
                <w:szCs w:val="21"/>
              </w:rPr>
            </w:pPr>
            <w:r>
              <w:rPr>
                <w:rFonts w:hint="eastAsia"/>
                <w:szCs w:val="21"/>
              </w:rPr>
              <w:t>1</w:t>
            </w:r>
          </w:p>
        </w:tc>
        <w:tc>
          <w:tcPr>
            <w:tcW w:w="1236" w:type="pct"/>
            <w:tcBorders>
              <w:top w:val="single" w:color="000000" w:sz="6" w:space="0"/>
              <w:bottom w:val="single" w:color="000000" w:sz="6" w:space="0"/>
            </w:tcBorders>
            <w:noWrap w:val="0"/>
            <w:vAlign w:val="center"/>
          </w:tcPr>
          <w:p>
            <w:pPr>
              <w:pStyle w:val="33"/>
              <w:keepNext w:val="0"/>
              <w:overflowPunct w:val="0"/>
              <w:topLinePunct/>
              <w:snapToGrid w:val="0"/>
              <w:spacing w:before="120" w:after="120" w:line="240" w:lineRule="exact"/>
              <w:rPr>
                <w:szCs w:val="21"/>
              </w:rPr>
            </w:pPr>
            <w:r>
              <w:rPr>
                <w:szCs w:val="21"/>
              </w:rPr>
              <w:t>pH值</w:t>
            </w:r>
          </w:p>
        </w:tc>
        <w:tc>
          <w:tcPr>
            <w:tcW w:w="1444" w:type="pct"/>
            <w:tcBorders>
              <w:top w:val="single" w:color="000000" w:sz="6" w:space="0"/>
              <w:bottom w:val="single" w:color="000000" w:sz="6" w:space="0"/>
            </w:tcBorders>
            <w:noWrap w:val="0"/>
            <w:vAlign w:val="center"/>
          </w:tcPr>
          <w:p>
            <w:pPr>
              <w:pStyle w:val="33"/>
              <w:keepNext w:val="0"/>
              <w:overflowPunct w:val="0"/>
              <w:topLinePunct/>
              <w:snapToGrid w:val="0"/>
              <w:spacing w:before="120" w:after="120" w:line="240" w:lineRule="exact"/>
              <w:rPr>
                <w:szCs w:val="21"/>
              </w:rPr>
            </w:pPr>
            <w:r>
              <w:rPr>
                <w:szCs w:val="21"/>
              </w:rPr>
              <w:t>玻璃电极法</w:t>
            </w:r>
          </w:p>
        </w:tc>
        <w:tc>
          <w:tcPr>
            <w:tcW w:w="1804" w:type="pct"/>
            <w:tcBorders>
              <w:top w:val="single" w:color="auto" w:sz="4" w:space="0"/>
              <w:bottom w:val="single" w:color="auto" w:sz="4" w:space="0"/>
              <w:right w:val="single" w:color="000000" w:sz="12" w:space="0"/>
            </w:tcBorders>
            <w:noWrap w:val="0"/>
            <w:vAlign w:val="center"/>
          </w:tcPr>
          <w:p>
            <w:pPr>
              <w:pStyle w:val="33"/>
              <w:keepNext w:val="0"/>
              <w:overflowPunct w:val="0"/>
              <w:topLinePunct/>
              <w:snapToGrid w:val="0"/>
              <w:spacing w:before="120" w:after="120" w:line="240" w:lineRule="exact"/>
              <w:rPr>
                <w:szCs w:val="21"/>
              </w:rPr>
            </w:pPr>
            <w:r>
              <w:rPr>
                <w:szCs w:val="21"/>
              </w:rPr>
              <w:t>GB/T 5750.4-2006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13" w:type="pct"/>
            <w:tcBorders>
              <w:top w:val="single" w:color="000000" w:sz="6" w:space="0"/>
              <w:left w:val="single" w:color="000000" w:sz="12" w:space="0"/>
              <w:bottom w:val="single" w:color="000000" w:sz="6" w:space="0"/>
            </w:tcBorders>
            <w:noWrap w:val="0"/>
            <w:vAlign w:val="center"/>
          </w:tcPr>
          <w:p>
            <w:pPr>
              <w:pStyle w:val="33"/>
              <w:keepNext w:val="0"/>
              <w:overflowPunct w:val="0"/>
              <w:topLinePunct/>
              <w:snapToGrid w:val="0"/>
              <w:spacing w:before="120" w:after="120" w:line="240" w:lineRule="exact"/>
              <w:rPr>
                <w:rFonts w:hint="eastAsia"/>
                <w:szCs w:val="21"/>
              </w:rPr>
            </w:pPr>
            <w:r>
              <w:rPr>
                <w:rFonts w:hint="eastAsia"/>
                <w:szCs w:val="21"/>
              </w:rPr>
              <w:t>2</w:t>
            </w:r>
          </w:p>
        </w:tc>
        <w:tc>
          <w:tcPr>
            <w:tcW w:w="1236" w:type="pct"/>
            <w:tcBorders>
              <w:top w:val="single" w:color="000000" w:sz="6" w:space="0"/>
              <w:bottom w:val="single" w:color="000000" w:sz="6" w:space="0"/>
            </w:tcBorders>
            <w:noWrap w:val="0"/>
            <w:vAlign w:val="center"/>
          </w:tcPr>
          <w:p>
            <w:pPr>
              <w:pStyle w:val="33"/>
              <w:keepNext w:val="0"/>
              <w:overflowPunct w:val="0"/>
              <w:topLinePunct/>
              <w:snapToGrid w:val="0"/>
              <w:spacing w:before="120" w:after="120" w:line="240" w:lineRule="exact"/>
              <w:rPr>
                <w:szCs w:val="21"/>
              </w:rPr>
            </w:pPr>
            <w:r>
              <w:rPr>
                <w:szCs w:val="21"/>
              </w:rPr>
              <w:t>氨氮</w:t>
            </w:r>
          </w:p>
        </w:tc>
        <w:tc>
          <w:tcPr>
            <w:tcW w:w="1444" w:type="pct"/>
            <w:tcBorders>
              <w:top w:val="single" w:color="000000" w:sz="6" w:space="0"/>
              <w:bottom w:val="single" w:color="000000" w:sz="6" w:space="0"/>
            </w:tcBorders>
            <w:noWrap w:val="0"/>
            <w:vAlign w:val="center"/>
          </w:tcPr>
          <w:p>
            <w:pPr>
              <w:pStyle w:val="33"/>
              <w:keepNext w:val="0"/>
              <w:overflowPunct w:val="0"/>
              <w:topLinePunct/>
              <w:snapToGrid w:val="0"/>
              <w:spacing w:before="120" w:after="120" w:line="240" w:lineRule="exact"/>
              <w:rPr>
                <w:szCs w:val="21"/>
              </w:rPr>
            </w:pPr>
            <w:r>
              <w:rPr>
                <w:szCs w:val="21"/>
              </w:rPr>
              <w:t>纳氏试剂分光光度法</w:t>
            </w:r>
          </w:p>
        </w:tc>
        <w:tc>
          <w:tcPr>
            <w:tcW w:w="1804" w:type="pct"/>
            <w:tcBorders>
              <w:top w:val="single" w:color="auto" w:sz="4" w:space="0"/>
              <w:bottom w:val="single" w:color="auto" w:sz="4" w:space="0"/>
              <w:right w:val="single" w:color="000000" w:sz="12" w:space="0"/>
            </w:tcBorders>
            <w:noWrap w:val="0"/>
            <w:vAlign w:val="center"/>
          </w:tcPr>
          <w:p>
            <w:pPr>
              <w:pStyle w:val="33"/>
              <w:keepNext w:val="0"/>
              <w:overflowPunct w:val="0"/>
              <w:topLinePunct/>
              <w:snapToGrid w:val="0"/>
              <w:spacing w:before="120" w:after="120" w:line="240" w:lineRule="exact"/>
              <w:rPr>
                <w:szCs w:val="21"/>
              </w:rPr>
            </w:pPr>
            <w:r>
              <w:rPr>
                <w:szCs w:val="21"/>
              </w:rPr>
              <w:t>HJ 5750.5-2006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13" w:type="pct"/>
            <w:tcBorders>
              <w:top w:val="single" w:color="000000" w:sz="6" w:space="0"/>
              <w:left w:val="single" w:color="000000" w:sz="12" w:space="0"/>
              <w:bottom w:val="single" w:color="000000" w:sz="6" w:space="0"/>
            </w:tcBorders>
            <w:noWrap w:val="0"/>
            <w:vAlign w:val="center"/>
          </w:tcPr>
          <w:p>
            <w:pPr>
              <w:pStyle w:val="33"/>
              <w:keepNext w:val="0"/>
              <w:overflowPunct w:val="0"/>
              <w:topLinePunct/>
              <w:snapToGrid w:val="0"/>
              <w:spacing w:before="120" w:after="120" w:line="240" w:lineRule="exact"/>
              <w:rPr>
                <w:rFonts w:hint="eastAsia"/>
                <w:szCs w:val="21"/>
              </w:rPr>
            </w:pPr>
            <w:r>
              <w:rPr>
                <w:rFonts w:hint="eastAsia"/>
                <w:szCs w:val="21"/>
              </w:rPr>
              <w:t>3</w:t>
            </w:r>
          </w:p>
        </w:tc>
        <w:tc>
          <w:tcPr>
            <w:tcW w:w="1236" w:type="pct"/>
            <w:tcBorders>
              <w:top w:val="single" w:color="000000" w:sz="6" w:space="0"/>
              <w:bottom w:val="single" w:color="000000" w:sz="6" w:space="0"/>
            </w:tcBorders>
            <w:noWrap w:val="0"/>
            <w:vAlign w:val="center"/>
          </w:tcPr>
          <w:p>
            <w:pPr>
              <w:pStyle w:val="33"/>
              <w:keepNext w:val="0"/>
              <w:overflowPunct w:val="0"/>
              <w:topLinePunct/>
              <w:snapToGrid w:val="0"/>
              <w:spacing w:before="120" w:after="120" w:line="240" w:lineRule="exact"/>
              <w:rPr>
                <w:szCs w:val="21"/>
              </w:rPr>
            </w:pPr>
            <w:r>
              <w:rPr>
                <w:szCs w:val="21"/>
              </w:rPr>
              <w:t>亚硝酸盐</w:t>
            </w:r>
          </w:p>
        </w:tc>
        <w:tc>
          <w:tcPr>
            <w:tcW w:w="1444" w:type="pct"/>
            <w:tcBorders>
              <w:top w:val="single" w:color="000000" w:sz="6" w:space="0"/>
              <w:bottom w:val="single" w:color="000000" w:sz="6" w:space="0"/>
            </w:tcBorders>
            <w:noWrap w:val="0"/>
            <w:vAlign w:val="center"/>
          </w:tcPr>
          <w:p>
            <w:pPr>
              <w:pStyle w:val="33"/>
              <w:keepNext w:val="0"/>
              <w:overflowPunct w:val="0"/>
              <w:topLinePunct/>
              <w:snapToGrid w:val="0"/>
              <w:spacing w:before="120" w:after="120" w:line="240" w:lineRule="exact"/>
              <w:rPr>
                <w:szCs w:val="21"/>
              </w:rPr>
            </w:pPr>
            <w:r>
              <w:rPr>
                <w:szCs w:val="21"/>
                <w:lang w:bidi="ar"/>
              </w:rPr>
              <w:t>重氮偶合分光光度法</w:t>
            </w:r>
          </w:p>
        </w:tc>
        <w:tc>
          <w:tcPr>
            <w:tcW w:w="1804" w:type="pct"/>
            <w:tcBorders>
              <w:top w:val="single" w:color="auto" w:sz="4" w:space="0"/>
              <w:bottom w:val="single" w:color="auto" w:sz="4" w:space="0"/>
              <w:right w:val="single" w:color="000000" w:sz="12" w:space="0"/>
            </w:tcBorders>
            <w:noWrap w:val="0"/>
            <w:vAlign w:val="center"/>
          </w:tcPr>
          <w:p>
            <w:pPr>
              <w:widowControl/>
              <w:jc w:val="center"/>
              <w:textAlignment w:val="center"/>
              <w:rPr>
                <w:szCs w:val="21"/>
              </w:rPr>
            </w:pPr>
            <w:r>
              <w:rPr>
                <w:kern w:val="0"/>
                <w:szCs w:val="21"/>
                <w:lang w:bidi="ar"/>
              </w:rPr>
              <w:t>GB/T 5750.5-2006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13" w:type="pct"/>
            <w:tcBorders>
              <w:top w:val="single" w:color="000000" w:sz="6" w:space="0"/>
              <w:left w:val="single" w:color="000000" w:sz="12" w:space="0"/>
              <w:bottom w:val="single" w:color="000000" w:sz="6" w:space="0"/>
            </w:tcBorders>
            <w:noWrap w:val="0"/>
            <w:vAlign w:val="center"/>
          </w:tcPr>
          <w:p>
            <w:pPr>
              <w:pStyle w:val="33"/>
              <w:keepNext w:val="0"/>
              <w:overflowPunct w:val="0"/>
              <w:topLinePunct/>
              <w:snapToGrid w:val="0"/>
              <w:spacing w:before="120" w:after="120" w:line="240" w:lineRule="exact"/>
              <w:rPr>
                <w:rFonts w:hint="eastAsia"/>
                <w:szCs w:val="21"/>
              </w:rPr>
            </w:pPr>
            <w:r>
              <w:rPr>
                <w:rFonts w:hint="eastAsia"/>
                <w:szCs w:val="21"/>
              </w:rPr>
              <w:t>4</w:t>
            </w:r>
          </w:p>
        </w:tc>
        <w:tc>
          <w:tcPr>
            <w:tcW w:w="1236" w:type="pct"/>
            <w:tcBorders>
              <w:top w:val="single" w:color="000000" w:sz="6" w:space="0"/>
              <w:bottom w:val="single" w:color="000000" w:sz="6" w:space="0"/>
            </w:tcBorders>
            <w:noWrap w:val="0"/>
            <w:vAlign w:val="center"/>
          </w:tcPr>
          <w:p>
            <w:pPr>
              <w:pStyle w:val="33"/>
              <w:keepNext w:val="0"/>
              <w:overflowPunct w:val="0"/>
              <w:topLinePunct/>
              <w:snapToGrid w:val="0"/>
              <w:spacing w:before="120" w:after="120" w:line="240" w:lineRule="exact"/>
              <w:rPr>
                <w:szCs w:val="21"/>
              </w:rPr>
            </w:pPr>
            <w:r>
              <w:rPr>
                <w:szCs w:val="21"/>
              </w:rPr>
              <w:t>硝酸盐</w:t>
            </w:r>
          </w:p>
        </w:tc>
        <w:tc>
          <w:tcPr>
            <w:tcW w:w="1444" w:type="pct"/>
            <w:tcBorders>
              <w:top w:val="single" w:color="000000" w:sz="6" w:space="0"/>
              <w:bottom w:val="single" w:color="000000" w:sz="6" w:space="0"/>
            </w:tcBorders>
            <w:noWrap w:val="0"/>
            <w:vAlign w:val="center"/>
          </w:tcPr>
          <w:p>
            <w:pPr>
              <w:adjustRightInd w:val="0"/>
              <w:snapToGrid w:val="0"/>
              <w:spacing w:line="240" w:lineRule="exact"/>
              <w:jc w:val="center"/>
              <w:rPr>
                <w:rFonts w:hint="eastAsia"/>
                <w:szCs w:val="21"/>
              </w:rPr>
            </w:pPr>
            <w:r>
              <w:rPr>
                <w:kern w:val="0"/>
                <w:szCs w:val="21"/>
                <w:lang w:bidi="ar"/>
              </w:rPr>
              <w:t>麝香草酚分光光度法</w:t>
            </w:r>
          </w:p>
        </w:tc>
        <w:tc>
          <w:tcPr>
            <w:tcW w:w="1804" w:type="pct"/>
            <w:tcBorders>
              <w:top w:val="single" w:color="auto" w:sz="4" w:space="0"/>
              <w:bottom w:val="single" w:color="auto" w:sz="4" w:space="0"/>
              <w:right w:val="single" w:color="000000" w:sz="12" w:space="0"/>
            </w:tcBorders>
            <w:noWrap w:val="0"/>
            <w:vAlign w:val="center"/>
          </w:tcPr>
          <w:p>
            <w:pPr>
              <w:adjustRightInd w:val="0"/>
              <w:snapToGrid w:val="0"/>
              <w:spacing w:line="240" w:lineRule="exact"/>
              <w:jc w:val="center"/>
              <w:rPr>
                <w:szCs w:val="21"/>
              </w:rPr>
            </w:pPr>
            <w:r>
              <w:rPr>
                <w:kern w:val="0"/>
                <w:szCs w:val="21"/>
                <w:lang w:bidi="ar"/>
              </w:rPr>
              <w:t>GB/T 5750.5-2006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13" w:type="pct"/>
            <w:tcBorders>
              <w:top w:val="single" w:color="000000" w:sz="6" w:space="0"/>
              <w:left w:val="single" w:color="000000" w:sz="12" w:space="0"/>
              <w:bottom w:val="single" w:color="000000" w:sz="6" w:space="0"/>
            </w:tcBorders>
            <w:noWrap w:val="0"/>
            <w:vAlign w:val="center"/>
          </w:tcPr>
          <w:p>
            <w:pPr>
              <w:pStyle w:val="33"/>
              <w:keepNext w:val="0"/>
              <w:overflowPunct w:val="0"/>
              <w:topLinePunct/>
              <w:snapToGrid w:val="0"/>
              <w:spacing w:before="120" w:after="120" w:line="240" w:lineRule="exact"/>
              <w:rPr>
                <w:rFonts w:hint="eastAsia"/>
                <w:szCs w:val="21"/>
              </w:rPr>
            </w:pPr>
            <w:r>
              <w:rPr>
                <w:rFonts w:hint="eastAsia"/>
                <w:szCs w:val="21"/>
              </w:rPr>
              <w:t>5</w:t>
            </w:r>
          </w:p>
        </w:tc>
        <w:tc>
          <w:tcPr>
            <w:tcW w:w="1236" w:type="pct"/>
            <w:tcBorders>
              <w:top w:val="single" w:color="000000" w:sz="6" w:space="0"/>
              <w:bottom w:val="single" w:color="000000" w:sz="6" w:space="0"/>
            </w:tcBorders>
            <w:noWrap w:val="0"/>
            <w:vAlign w:val="center"/>
          </w:tcPr>
          <w:p>
            <w:pPr>
              <w:pStyle w:val="33"/>
              <w:keepNext w:val="0"/>
              <w:overflowPunct w:val="0"/>
              <w:topLinePunct/>
              <w:snapToGrid w:val="0"/>
              <w:spacing w:before="120" w:after="120" w:line="240" w:lineRule="exact"/>
              <w:rPr>
                <w:rFonts w:hint="eastAsia"/>
                <w:szCs w:val="21"/>
              </w:rPr>
            </w:pPr>
            <w:r>
              <w:rPr>
                <w:rFonts w:hint="eastAsia"/>
                <w:szCs w:val="21"/>
              </w:rPr>
              <w:t>挥发性酚类</w:t>
            </w:r>
          </w:p>
        </w:tc>
        <w:tc>
          <w:tcPr>
            <w:tcW w:w="1444" w:type="pct"/>
            <w:tcBorders>
              <w:top w:val="single" w:color="000000" w:sz="6" w:space="0"/>
              <w:bottom w:val="single" w:color="000000" w:sz="6" w:space="0"/>
            </w:tcBorders>
            <w:noWrap w:val="0"/>
            <w:vAlign w:val="center"/>
          </w:tcPr>
          <w:p>
            <w:pPr>
              <w:pStyle w:val="33"/>
              <w:keepNext w:val="0"/>
              <w:overflowPunct w:val="0"/>
              <w:topLinePunct/>
              <w:snapToGrid w:val="0"/>
              <w:spacing w:before="120" w:after="120" w:line="240" w:lineRule="exact"/>
              <w:rPr>
                <w:szCs w:val="21"/>
              </w:rPr>
            </w:pPr>
            <w:r>
              <w:rPr>
                <w:szCs w:val="21"/>
                <w:lang w:bidi="ar"/>
              </w:rPr>
              <w:t>4-氨基安替吡啉三氯甲烷萃取分光光度法</w:t>
            </w:r>
          </w:p>
        </w:tc>
        <w:tc>
          <w:tcPr>
            <w:tcW w:w="1804" w:type="pct"/>
            <w:tcBorders>
              <w:top w:val="single" w:color="auto" w:sz="4" w:space="0"/>
              <w:bottom w:val="single" w:color="auto" w:sz="4" w:space="0"/>
              <w:right w:val="single" w:color="000000" w:sz="12" w:space="0"/>
            </w:tcBorders>
            <w:noWrap w:val="0"/>
            <w:vAlign w:val="center"/>
          </w:tcPr>
          <w:p>
            <w:pPr>
              <w:pStyle w:val="33"/>
              <w:keepNext w:val="0"/>
              <w:overflowPunct w:val="0"/>
              <w:topLinePunct/>
              <w:snapToGrid w:val="0"/>
              <w:spacing w:before="120" w:after="120" w:line="240" w:lineRule="exact"/>
              <w:rPr>
                <w:szCs w:val="21"/>
              </w:rPr>
            </w:pPr>
            <w:r>
              <w:rPr>
                <w:szCs w:val="21"/>
                <w:lang w:bidi="ar"/>
              </w:rPr>
              <w:t>GB/T 5750.4-2006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13" w:type="pct"/>
            <w:tcBorders>
              <w:top w:val="single" w:color="000000" w:sz="6" w:space="0"/>
              <w:left w:val="single" w:color="000000" w:sz="12" w:space="0"/>
              <w:bottom w:val="single" w:color="000000" w:sz="6" w:space="0"/>
            </w:tcBorders>
            <w:noWrap w:val="0"/>
            <w:vAlign w:val="center"/>
          </w:tcPr>
          <w:p>
            <w:pPr>
              <w:adjustRightInd w:val="0"/>
              <w:snapToGrid w:val="0"/>
              <w:spacing w:line="240" w:lineRule="exact"/>
              <w:jc w:val="center"/>
              <w:rPr>
                <w:rFonts w:hint="eastAsia"/>
                <w:szCs w:val="21"/>
              </w:rPr>
            </w:pPr>
            <w:r>
              <w:rPr>
                <w:rFonts w:hint="eastAsia"/>
                <w:szCs w:val="21"/>
              </w:rPr>
              <w:t>6</w:t>
            </w:r>
          </w:p>
        </w:tc>
        <w:tc>
          <w:tcPr>
            <w:tcW w:w="1236" w:type="pct"/>
            <w:tcBorders>
              <w:top w:val="single" w:color="000000" w:sz="6" w:space="0"/>
              <w:bottom w:val="single" w:color="000000" w:sz="6" w:space="0"/>
            </w:tcBorders>
            <w:noWrap w:val="0"/>
            <w:vAlign w:val="center"/>
          </w:tcPr>
          <w:p>
            <w:pPr>
              <w:adjustRightInd w:val="0"/>
              <w:snapToGrid w:val="0"/>
              <w:spacing w:line="240" w:lineRule="exact"/>
              <w:jc w:val="center"/>
              <w:rPr>
                <w:rFonts w:hint="eastAsia"/>
                <w:szCs w:val="21"/>
              </w:rPr>
            </w:pPr>
            <w:r>
              <w:rPr>
                <w:szCs w:val="21"/>
              </w:rPr>
              <w:t>总硬度</w:t>
            </w:r>
          </w:p>
          <w:p>
            <w:pPr>
              <w:adjustRightInd w:val="0"/>
              <w:snapToGrid w:val="0"/>
              <w:spacing w:line="240" w:lineRule="exact"/>
              <w:jc w:val="center"/>
              <w:rPr>
                <w:szCs w:val="21"/>
              </w:rPr>
            </w:pPr>
            <w:r>
              <w:rPr>
                <w:szCs w:val="21"/>
              </w:rPr>
              <w:t>（以CaCO</w:t>
            </w:r>
            <w:r>
              <w:rPr>
                <w:szCs w:val="21"/>
                <w:vertAlign w:val="subscript"/>
              </w:rPr>
              <w:t>3</w:t>
            </w:r>
            <w:r>
              <w:rPr>
                <w:szCs w:val="21"/>
              </w:rPr>
              <w:t>计）</w:t>
            </w:r>
          </w:p>
        </w:tc>
        <w:tc>
          <w:tcPr>
            <w:tcW w:w="1444" w:type="pct"/>
            <w:tcBorders>
              <w:top w:val="single" w:color="000000" w:sz="6" w:space="0"/>
              <w:bottom w:val="single" w:color="000000" w:sz="6" w:space="0"/>
            </w:tcBorders>
            <w:noWrap w:val="0"/>
            <w:vAlign w:val="center"/>
          </w:tcPr>
          <w:p>
            <w:pPr>
              <w:pStyle w:val="33"/>
              <w:keepNext w:val="0"/>
              <w:overflowPunct w:val="0"/>
              <w:topLinePunct/>
              <w:snapToGrid w:val="0"/>
              <w:spacing w:before="120" w:after="120" w:line="240" w:lineRule="exact"/>
              <w:rPr>
                <w:szCs w:val="21"/>
              </w:rPr>
            </w:pPr>
            <w:r>
              <w:rPr>
                <w:szCs w:val="21"/>
                <w:lang w:bidi="ar"/>
              </w:rPr>
              <w:t>乙二胺四乙酸二钠滴定法</w:t>
            </w:r>
          </w:p>
        </w:tc>
        <w:tc>
          <w:tcPr>
            <w:tcW w:w="1804" w:type="pct"/>
            <w:tcBorders>
              <w:top w:val="single" w:color="auto" w:sz="4" w:space="0"/>
              <w:bottom w:val="single" w:color="auto" w:sz="4" w:space="0"/>
              <w:right w:val="single" w:color="000000" w:sz="12" w:space="0"/>
            </w:tcBorders>
            <w:noWrap w:val="0"/>
            <w:vAlign w:val="center"/>
          </w:tcPr>
          <w:p>
            <w:pPr>
              <w:pStyle w:val="33"/>
              <w:keepNext w:val="0"/>
              <w:overflowPunct w:val="0"/>
              <w:topLinePunct/>
              <w:snapToGrid w:val="0"/>
              <w:spacing w:before="120" w:after="120" w:line="240" w:lineRule="exact"/>
              <w:rPr>
                <w:szCs w:val="21"/>
              </w:rPr>
            </w:pPr>
            <w:r>
              <w:rPr>
                <w:szCs w:val="21"/>
                <w:lang w:bidi="ar"/>
              </w:rPr>
              <w:t>GB/T 5750.4-2006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513" w:type="pct"/>
            <w:tcBorders>
              <w:top w:val="single" w:color="000000" w:sz="6" w:space="0"/>
              <w:left w:val="single" w:color="000000" w:sz="12" w:space="0"/>
              <w:bottom w:val="single" w:color="000000" w:sz="6" w:space="0"/>
            </w:tcBorders>
            <w:noWrap w:val="0"/>
            <w:vAlign w:val="center"/>
          </w:tcPr>
          <w:p>
            <w:pPr>
              <w:adjustRightInd w:val="0"/>
              <w:snapToGrid w:val="0"/>
              <w:spacing w:line="240" w:lineRule="exact"/>
              <w:jc w:val="center"/>
              <w:rPr>
                <w:rFonts w:hint="eastAsia"/>
                <w:szCs w:val="21"/>
              </w:rPr>
            </w:pPr>
            <w:r>
              <w:rPr>
                <w:rFonts w:hint="eastAsia"/>
                <w:szCs w:val="21"/>
              </w:rPr>
              <w:t>7</w:t>
            </w:r>
          </w:p>
        </w:tc>
        <w:tc>
          <w:tcPr>
            <w:tcW w:w="1236" w:type="pct"/>
            <w:tcBorders>
              <w:top w:val="single" w:color="000000" w:sz="6" w:space="0"/>
              <w:bottom w:val="single" w:color="000000" w:sz="6" w:space="0"/>
            </w:tcBorders>
            <w:noWrap w:val="0"/>
            <w:vAlign w:val="center"/>
          </w:tcPr>
          <w:p>
            <w:pPr>
              <w:adjustRightInd w:val="0"/>
              <w:snapToGrid w:val="0"/>
              <w:spacing w:line="240" w:lineRule="exact"/>
              <w:jc w:val="center"/>
              <w:rPr>
                <w:szCs w:val="21"/>
              </w:rPr>
            </w:pPr>
            <w:r>
              <w:rPr>
                <w:szCs w:val="21"/>
              </w:rPr>
              <w:t>溶解性总固体</w:t>
            </w:r>
          </w:p>
        </w:tc>
        <w:tc>
          <w:tcPr>
            <w:tcW w:w="1444" w:type="pct"/>
            <w:tcBorders>
              <w:top w:val="single" w:color="000000" w:sz="6" w:space="0"/>
              <w:bottom w:val="single" w:color="000000" w:sz="6" w:space="0"/>
            </w:tcBorders>
            <w:noWrap w:val="0"/>
            <w:vAlign w:val="center"/>
          </w:tcPr>
          <w:p>
            <w:pPr>
              <w:pStyle w:val="33"/>
              <w:keepNext w:val="0"/>
              <w:overflowPunct w:val="0"/>
              <w:topLinePunct/>
              <w:snapToGrid w:val="0"/>
              <w:spacing w:before="120" w:after="120" w:line="240" w:lineRule="exact"/>
              <w:rPr>
                <w:szCs w:val="21"/>
              </w:rPr>
            </w:pPr>
            <w:r>
              <w:rPr>
                <w:szCs w:val="21"/>
                <w:lang w:bidi="ar"/>
              </w:rPr>
              <w:t>称量法</w:t>
            </w:r>
          </w:p>
        </w:tc>
        <w:tc>
          <w:tcPr>
            <w:tcW w:w="1804" w:type="pct"/>
            <w:tcBorders>
              <w:top w:val="single" w:color="auto" w:sz="4" w:space="0"/>
              <w:bottom w:val="single" w:color="auto" w:sz="4" w:space="0"/>
              <w:right w:val="single" w:color="000000" w:sz="12" w:space="0"/>
            </w:tcBorders>
            <w:noWrap w:val="0"/>
            <w:vAlign w:val="center"/>
          </w:tcPr>
          <w:p>
            <w:pPr>
              <w:pStyle w:val="33"/>
              <w:keepNext w:val="0"/>
              <w:overflowPunct w:val="0"/>
              <w:topLinePunct/>
              <w:snapToGrid w:val="0"/>
              <w:spacing w:before="120" w:after="120" w:line="240" w:lineRule="exact"/>
              <w:rPr>
                <w:rFonts w:hint="eastAsia"/>
                <w:szCs w:val="21"/>
              </w:rPr>
            </w:pPr>
            <w:r>
              <w:rPr>
                <w:szCs w:val="21"/>
                <w:lang w:bidi="ar"/>
              </w:rPr>
              <w:t>GB/T 5750.4-2006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PrEx>
        <w:trPr>
          <w:trHeight w:val="340" w:hRule="atLeast"/>
          <w:jc w:val="center"/>
        </w:trPr>
        <w:tc>
          <w:tcPr>
            <w:tcW w:w="513" w:type="pct"/>
            <w:tcBorders>
              <w:top w:val="single" w:color="000000" w:sz="6" w:space="0"/>
              <w:left w:val="single" w:color="000000" w:sz="12" w:space="0"/>
              <w:bottom w:val="single" w:color="000000" w:sz="6" w:space="0"/>
            </w:tcBorders>
            <w:noWrap w:val="0"/>
            <w:vAlign w:val="center"/>
          </w:tcPr>
          <w:p>
            <w:pPr>
              <w:pStyle w:val="33"/>
              <w:keepNext w:val="0"/>
              <w:overflowPunct w:val="0"/>
              <w:topLinePunct/>
              <w:snapToGrid w:val="0"/>
              <w:spacing w:before="120" w:after="120" w:line="240" w:lineRule="exact"/>
              <w:rPr>
                <w:rFonts w:hint="eastAsia" w:eastAsia="宋体"/>
                <w:szCs w:val="21"/>
                <w:lang w:eastAsia="zh-CN"/>
              </w:rPr>
            </w:pPr>
            <w:r>
              <w:rPr>
                <w:rFonts w:hint="eastAsia"/>
                <w:szCs w:val="21"/>
                <w:lang w:val="en-US" w:eastAsia="zh-CN"/>
              </w:rPr>
              <w:t>8</w:t>
            </w:r>
          </w:p>
        </w:tc>
        <w:tc>
          <w:tcPr>
            <w:tcW w:w="1236" w:type="pct"/>
            <w:tcBorders>
              <w:top w:val="single" w:color="000000" w:sz="6" w:space="0"/>
              <w:bottom w:val="single" w:color="000000" w:sz="6" w:space="0"/>
            </w:tcBorders>
            <w:noWrap w:val="0"/>
            <w:vAlign w:val="center"/>
          </w:tcPr>
          <w:p>
            <w:pPr>
              <w:pStyle w:val="33"/>
              <w:keepNext w:val="0"/>
              <w:overflowPunct w:val="0"/>
              <w:topLinePunct/>
              <w:snapToGrid w:val="0"/>
              <w:spacing w:before="120" w:after="120" w:line="240" w:lineRule="exact"/>
              <w:rPr>
                <w:rFonts w:hint="eastAsia"/>
                <w:szCs w:val="21"/>
              </w:rPr>
            </w:pPr>
            <w:r>
              <w:rPr>
                <w:szCs w:val="21"/>
              </w:rPr>
              <w:t>硫酸</w:t>
            </w:r>
            <w:r>
              <w:rPr>
                <w:rFonts w:hint="eastAsia"/>
                <w:szCs w:val="21"/>
              </w:rPr>
              <w:t>盐</w:t>
            </w:r>
          </w:p>
        </w:tc>
        <w:tc>
          <w:tcPr>
            <w:tcW w:w="1444" w:type="pct"/>
            <w:tcBorders>
              <w:top w:val="single" w:color="000000" w:sz="6" w:space="0"/>
              <w:bottom w:val="single" w:color="000000" w:sz="6" w:space="0"/>
            </w:tcBorders>
            <w:noWrap w:val="0"/>
            <w:vAlign w:val="center"/>
          </w:tcPr>
          <w:p>
            <w:pPr>
              <w:adjustRightInd w:val="0"/>
              <w:snapToGrid w:val="0"/>
              <w:spacing w:line="240" w:lineRule="exact"/>
              <w:jc w:val="center"/>
              <w:rPr>
                <w:szCs w:val="21"/>
              </w:rPr>
            </w:pPr>
            <w:r>
              <w:rPr>
                <w:kern w:val="0"/>
                <w:szCs w:val="21"/>
                <w:lang w:bidi="ar"/>
              </w:rPr>
              <w:t>铬酸钡分光光度法(热法）</w:t>
            </w:r>
          </w:p>
        </w:tc>
        <w:tc>
          <w:tcPr>
            <w:tcW w:w="1804" w:type="pct"/>
            <w:tcBorders>
              <w:top w:val="single" w:color="auto" w:sz="4" w:space="0"/>
              <w:bottom w:val="single" w:color="auto" w:sz="4" w:space="0"/>
              <w:right w:val="single" w:color="000000" w:sz="12" w:space="0"/>
            </w:tcBorders>
            <w:noWrap w:val="0"/>
            <w:vAlign w:val="center"/>
          </w:tcPr>
          <w:p>
            <w:pPr>
              <w:pStyle w:val="33"/>
              <w:keepNext w:val="0"/>
              <w:overflowPunct w:val="0"/>
              <w:topLinePunct/>
              <w:snapToGrid w:val="0"/>
              <w:spacing w:before="120" w:after="120" w:line="240" w:lineRule="exact"/>
              <w:rPr>
                <w:szCs w:val="21"/>
              </w:rPr>
            </w:pPr>
            <w:r>
              <w:rPr>
                <w:szCs w:val="21"/>
                <w:lang w:bidi="ar"/>
              </w:rPr>
              <w:t>GB/T 5750.5-2006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583" w:hRule="atLeast"/>
          <w:jc w:val="center"/>
        </w:trPr>
        <w:tc>
          <w:tcPr>
            <w:tcW w:w="513" w:type="pct"/>
            <w:tcBorders>
              <w:top w:val="single" w:color="000000" w:sz="6" w:space="0"/>
              <w:left w:val="single" w:color="000000" w:sz="12" w:space="0"/>
              <w:bottom w:val="single" w:color="000000" w:sz="6" w:space="0"/>
            </w:tcBorders>
            <w:noWrap w:val="0"/>
            <w:vAlign w:val="center"/>
          </w:tcPr>
          <w:p>
            <w:pPr>
              <w:pStyle w:val="33"/>
              <w:keepNext w:val="0"/>
              <w:overflowPunct w:val="0"/>
              <w:topLinePunct/>
              <w:snapToGrid w:val="0"/>
              <w:spacing w:before="120" w:after="120" w:line="240" w:lineRule="exact"/>
              <w:rPr>
                <w:rFonts w:hint="eastAsia" w:eastAsia="宋体"/>
                <w:szCs w:val="21"/>
                <w:lang w:eastAsia="zh-CN"/>
              </w:rPr>
            </w:pPr>
            <w:r>
              <w:rPr>
                <w:rFonts w:hint="eastAsia"/>
                <w:szCs w:val="21"/>
                <w:lang w:val="en-US" w:eastAsia="zh-CN"/>
              </w:rPr>
              <w:t>9</w:t>
            </w:r>
          </w:p>
        </w:tc>
        <w:tc>
          <w:tcPr>
            <w:tcW w:w="1236" w:type="pct"/>
            <w:tcBorders>
              <w:top w:val="single" w:color="000000" w:sz="6" w:space="0"/>
              <w:bottom w:val="single" w:color="000000" w:sz="6" w:space="0"/>
            </w:tcBorders>
            <w:noWrap w:val="0"/>
            <w:vAlign w:val="center"/>
          </w:tcPr>
          <w:p>
            <w:pPr>
              <w:pStyle w:val="33"/>
              <w:keepNext w:val="0"/>
              <w:overflowPunct w:val="0"/>
              <w:topLinePunct/>
              <w:snapToGrid w:val="0"/>
              <w:spacing w:before="120" w:after="120" w:line="240" w:lineRule="exact"/>
              <w:rPr>
                <w:szCs w:val="21"/>
              </w:rPr>
            </w:pPr>
            <w:r>
              <w:rPr>
                <w:szCs w:val="21"/>
              </w:rPr>
              <w:t>氯化物</w:t>
            </w:r>
          </w:p>
          <w:p>
            <w:pPr>
              <w:pStyle w:val="33"/>
              <w:keepNext w:val="0"/>
              <w:overflowPunct w:val="0"/>
              <w:topLinePunct/>
              <w:snapToGrid w:val="0"/>
              <w:spacing w:before="120" w:after="120" w:line="240" w:lineRule="exact"/>
              <w:rPr>
                <w:rFonts w:hint="eastAsia"/>
                <w:szCs w:val="21"/>
              </w:rPr>
            </w:pPr>
            <w:r>
              <w:rPr>
                <w:rFonts w:hint="eastAsia"/>
                <w:szCs w:val="21"/>
              </w:rPr>
              <w:t>（氯离子）</w:t>
            </w:r>
          </w:p>
        </w:tc>
        <w:tc>
          <w:tcPr>
            <w:tcW w:w="1444" w:type="pct"/>
            <w:tcBorders>
              <w:top w:val="single" w:color="000000" w:sz="6" w:space="0"/>
              <w:bottom w:val="single" w:color="000000" w:sz="6" w:space="0"/>
            </w:tcBorders>
            <w:noWrap w:val="0"/>
            <w:vAlign w:val="center"/>
          </w:tcPr>
          <w:p>
            <w:pPr>
              <w:adjustRightInd w:val="0"/>
              <w:snapToGrid w:val="0"/>
              <w:spacing w:line="240" w:lineRule="exact"/>
              <w:jc w:val="center"/>
              <w:rPr>
                <w:szCs w:val="21"/>
              </w:rPr>
            </w:pPr>
            <w:r>
              <w:rPr>
                <w:kern w:val="0"/>
                <w:szCs w:val="21"/>
                <w:lang w:bidi="ar"/>
              </w:rPr>
              <w:t>硝酸银容量法</w:t>
            </w:r>
          </w:p>
        </w:tc>
        <w:tc>
          <w:tcPr>
            <w:tcW w:w="1804" w:type="pct"/>
            <w:tcBorders>
              <w:top w:val="single" w:color="auto" w:sz="4" w:space="0"/>
              <w:bottom w:val="single" w:color="auto" w:sz="4" w:space="0"/>
              <w:right w:val="single" w:color="000000" w:sz="12" w:space="0"/>
            </w:tcBorders>
            <w:noWrap w:val="0"/>
            <w:vAlign w:val="center"/>
          </w:tcPr>
          <w:p>
            <w:pPr>
              <w:adjustRightInd w:val="0"/>
              <w:snapToGrid w:val="0"/>
              <w:spacing w:line="240" w:lineRule="exact"/>
              <w:jc w:val="center"/>
              <w:rPr>
                <w:szCs w:val="21"/>
              </w:rPr>
            </w:pPr>
            <w:r>
              <w:rPr>
                <w:kern w:val="0"/>
                <w:szCs w:val="21"/>
                <w:lang w:bidi="ar"/>
              </w:rPr>
              <w:t>GB/T 5750.5-2006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PrEx>
        <w:trPr>
          <w:trHeight w:val="90" w:hRule="atLeast"/>
          <w:jc w:val="center"/>
        </w:trPr>
        <w:tc>
          <w:tcPr>
            <w:tcW w:w="905" w:type="dxa"/>
            <w:tcBorders>
              <w:top w:val="single" w:color="000000" w:sz="6" w:space="0"/>
              <w:left w:val="single" w:color="000000" w:sz="12" w:space="0"/>
              <w:bottom w:val="single" w:color="auto" w:sz="4" w:space="0"/>
            </w:tcBorders>
            <w:noWrap w:val="0"/>
            <w:vAlign w:val="center"/>
          </w:tcPr>
          <w:p>
            <w:pPr>
              <w:pStyle w:val="33"/>
              <w:keepNext w:val="0"/>
              <w:overflowPunct w:val="0"/>
              <w:topLinePunct/>
              <w:snapToGrid w:val="0"/>
              <w:spacing w:before="120" w:after="120" w:line="240" w:lineRule="exact"/>
              <w:rPr>
                <w:rFonts w:hint="eastAsia"/>
                <w:szCs w:val="21"/>
              </w:rPr>
            </w:pPr>
            <w:r>
              <w:rPr>
                <w:rFonts w:hint="eastAsia"/>
                <w:szCs w:val="21"/>
              </w:rPr>
              <w:t>10</w:t>
            </w:r>
          </w:p>
        </w:tc>
        <w:tc>
          <w:tcPr>
            <w:tcW w:w="1236" w:type="pct"/>
            <w:tcBorders>
              <w:top w:val="single" w:color="000000" w:sz="6" w:space="0"/>
              <w:bottom w:val="single" w:color="auto" w:sz="4" w:space="0"/>
            </w:tcBorders>
            <w:noWrap w:val="0"/>
            <w:vAlign w:val="center"/>
          </w:tcPr>
          <w:p>
            <w:pPr>
              <w:pStyle w:val="33"/>
              <w:keepNext w:val="0"/>
              <w:overflowPunct w:val="0"/>
              <w:topLinePunct/>
              <w:snapToGrid w:val="0"/>
              <w:spacing w:before="120" w:after="120" w:line="240" w:lineRule="exact"/>
              <w:rPr>
                <w:szCs w:val="21"/>
              </w:rPr>
            </w:pPr>
            <w:r>
              <w:rPr>
                <w:szCs w:val="21"/>
              </w:rPr>
              <w:t>总大肠菌群</w:t>
            </w:r>
          </w:p>
        </w:tc>
        <w:tc>
          <w:tcPr>
            <w:tcW w:w="1444" w:type="pct"/>
            <w:tcBorders>
              <w:top w:val="single" w:color="000000" w:sz="6" w:space="0"/>
              <w:bottom w:val="single" w:color="auto" w:sz="4" w:space="0"/>
            </w:tcBorders>
            <w:noWrap w:val="0"/>
            <w:vAlign w:val="center"/>
          </w:tcPr>
          <w:p>
            <w:pPr>
              <w:adjustRightInd w:val="0"/>
              <w:snapToGrid w:val="0"/>
              <w:spacing w:line="240" w:lineRule="exact"/>
              <w:jc w:val="center"/>
              <w:rPr>
                <w:szCs w:val="21"/>
              </w:rPr>
            </w:pPr>
            <w:r>
              <w:rPr>
                <w:kern w:val="0"/>
                <w:szCs w:val="21"/>
                <w:lang w:bidi="ar"/>
              </w:rPr>
              <w:t>滤膜法</w:t>
            </w:r>
          </w:p>
        </w:tc>
        <w:tc>
          <w:tcPr>
            <w:tcW w:w="1804" w:type="pct"/>
            <w:vMerge w:val="restart"/>
            <w:tcBorders>
              <w:top w:val="single" w:color="auto" w:sz="4" w:space="0"/>
              <w:right w:val="single" w:color="000000" w:sz="12" w:space="0"/>
            </w:tcBorders>
            <w:noWrap w:val="0"/>
            <w:vAlign w:val="center"/>
          </w:tcPr>
          <w:p>
            <w:pPr>
              <w:adjustRightInd w:val="0"/>
              <w:snapToGrid w:val="0"/>
              <w:spacing w:line="240" w:lineRule="exact"/>
              <w:jc w:val="center"/>
              <w:rPr>
                <w:szCs w:val="21"/>
              </w:rPr>
            </w:pPr>
            <w:r>
              <w:rPr>
                <w:rFonts w:hint="eastAsia"/>
                <w:szCs w:val="21"/>
              </w:rPr>
              <w:t>GB/T 5750.12-2006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75" w:hRule="atLeast"/>
          <w:jc w:val="center"/>
        </w:trPr>
        <w:tc>
          <w:tcPr>
            <w:tcW w:w="905" w:type="dxa"/>
            <w:tcBorders>
              <w:top w:val="single" w:color="auto" w:sz="4" w:space="0"/>
              <w:left w:val="single" w:color="000000" w:sz="12" w:space="0"/>
              <w:bottom w:val="single" w:color="000000" w:sz="6" w:space="0"/>
            </w:tcBorders>
            <w:noWrap w:val="0"/>
            <w:vAlign w:val="center"/>
          </w:tcPr>
          <w:p>
            <w:pPr>
              <w:pStyle w:val="33"/>
              <w:keepNext w:val="0"/>
              <w:overflowPunct w:val="0"/>
              <w:topLinePunct/>
              <w:snapToGrid w:val="0"/>
              <w:spacing w:before="120" w:after="120" w:line="240" w:lineRule="exact"/>
              <w:rPr>
                <w:rFonts w:hint="eastAsia"/>
                <w:szCs w:val="21"/>
              </w:rPr>
            </w:pPr>
            <w:r>
              <w:rPr>
                <w:rFonts w:hint="eastAsia"/>
                <w:szCs w:val="21"/>
              </w:rPr>
              <w:t>11</w:t>
            </w:r>
          </w:p>
        </w:tc>
        <w:tc>
          <w:tcPr>
            <w:tcW w:w="1236" w:type="pct"/>
            <w:tcBorders>
              <w:top w:val="single" w:color="auto" w:sz="4" w:space="0"/>
              <w:bottom w:val="single" w:color="000000" w:sz="6" w:space="0"/>
            </w:tcBorders>
            <w:noWrap w:val="0"/>
            <w:vAlign w:val="center"/>
          </w:tcPr>
          <w:p>
            <w:pPr>
              <w:adjustRightInd w:val="0"/>
              <w:snapToGrid w:val="0"/>
              <w:spacing w:line="240" w:lineRule="exact"/>
              <w:jc w:val="center"/>
              <w:rPr>
                <w:szCs w:val="21"/>
              </w:rPr>
            </w:pPr>
            <w:r>
              <w:rPr>
                <w:rFonts w:hint="eastAsia"/>
                <w:szCs w:val="21"/>
              </w:rPr>
              <w:t>菌落</w:t>
            </w:r>
            <w:r>
              <w:rPr>
                <w:szCs w:val="21"/>
              </w:rPr>
              <w:t>总数</w:t>
            </w:r>
          </w:p>
        </w:tc>
        <w:tc>
          <w:tcPr>
            <w:tcW w:w="1444" w:type="pct"/>
            <w:tcBorders>
              <w:top w:val="single" w:color="auto" w:sz="4" w:space="0"/>
              <w:bottom w:val="single" w:color="auto" w:sz="4" w:space="0"/>
            </w:tcBorders>
            <w:noWrap w:val="0"/>
            <w:vAlign w:val="center"/>
          </w:tcPr>
          <w:p>
            <w:pPr>
              <w:adjustRightInd w:val="0"/>
              <w:snapToGrid w:val="0"/>
              <w:spacing w:line="240" w:lineRule="exact"/>
              <w:jc w:val="center"/>
              <w:rPr>
                <w:szCs w:val="21"/>
              </w:rPr>
            </w:pPr>
            <w:r>
              <w:rPr>
                <w:rFonts w:hint="eastAsia"/>
                <w:szCs w:val="21"/>
              </w:rPr>
              <w:t>平皿计数法</w:t>
            </w:r>
          </w:p>
        </w:tc>
        <w:tc>
          <w:tcPr>
            <w:tcW w:w="1804" w:type="pct"/>
            <w:vMerge w:val="continue"/>
            <w:tcBorders>
              <w:bottom w:val="single" w:color="auto" w:sz="4" w:space="0"/>
              <w:right w:val="single" w:color="000000" w:sz="12" w:space="0"/>
            </w:tcBorders>
            <w:noWrap w:val="0"/>
            <w:vAlign w:val="center"/>
          </w:tcPr>
          <w:p>
            <w:pPr>
              <w:adjustRightInd w:val="0"/>
              <w:snapToGrid w:val="0"/>
              <w:spacing w:line="240" w:lineRule="exact"/>
              <w:jc w:val="center"/>
              <w:rPr>
                <w:szCs w:val="21"/>
              </w:rPr>
            </w:pP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905" w:type="dxa"/>
            <w:tcBorders>
              <w:top w:val="single" w:color="000000" w:sz="6" w:space="0"/>
              <w:left w:val="single" w:color="000000" w:sz="12" w:space="0"/>
              <w:bottom w:val="single" w:color="000000" w:sz="6" w:space="0"/>
            </w:tcBorders>
            <w:noWrap w:val="0"/>
            <w:vAlign w:val="center"/>
          </w:tcPr>
          <w:p>
            <w:pPr>
              <w:adjustRightInd w:val="0"/>
              <w:snapToGrid w:val="0"/>
              <w:spacing w:line="240" w:lineRule="exact"/>
              <w:jc w:val="center"/>
              <w:rPr>
                <w:rFonts w:hint="eastAsia"/>
                <w:szCs w:val="21"/>
              </w:rPr>
            </w:pPr>
            <w:r>
              <w:rPr>
                <w:rFonts w:hint="eastAsia"/>
                <w:szCs w:val="21"/>
              </w:rPr>
              <w:t>12</w:t>
            </w:r>
          </w:p>
        </w:tc>
        <w:tc>
          <w:tcPr>
            <w:tcW w:w="1236" w:type="pct"/>
            <w:tcBorders>
              <w:top w:val="single" w:color="000000" w:sz="6" w:space="0"/>
              <w:bottom w:val="single" w:color="000000" w:sz="6" w:space="0"/>
            </w:tcBorders>
            <w:noWrap w:val="0"/>
            <w:vAlign w:val="center"/>
          </w:tcPr>
          <w:p>
            <w:pPr>
              <w:widowControl/>
              <w:jc w:val="center"/>
              <w:textAlignment w:val="center"/>
              <w:rPr>
                <w:szCs w:val="21"/>
              </w:rPr>
            </w:pPr>
            <w:r>
              <w:rPr>
                <w:szCs w:val="21"/>
              </w:rPr>
              <w:t>K</w:t>
            </w:r>
            <w:r>
              <w:rPr>
                <w:szCs w:val="21"/>
                <w:vertAlign w:val="superscript"/>
              </w:rPr>
              <w:t>+</w:t>
            </w:r>
          </w:p>
        </w:tc>
        <w:tc>
          <w:tcPr>
            <w:tcW w:w="1444" w:type="pct"/>
            <w:vMerge w:val="restart"/>
            <w:noWrap w:val="0"/>
            <w:vAlign w:val="center"/>
          </w:tcPr>
          <w:p>
            <w:pPr>
              <w:widowControl/>
              <w:jc w:val="center"/>
              <w:textAlignment w:val="center"/>
              <w:rPr>
                <w:szCs w:val="21"/>
              </w:rPr>
            </w:pPr>
            <w:r>
              <w:rPr>
                <w:kern w:val="0"/>
                <w:szCs w:val="21"/>
                <w:lang w:bidi="ar"/>
              </w:rPr>
              <w:t>火焰原子吸收分光光度法</w:t>
            </w:r>
          </w:p>
          <w:p>
            <w:pPr>
              <w:widowControl/>
              <w:jc w:val="center"/>
              <w:textAlignment w:val="center"/>
              <w:rPr>
                <w:szCs w:val="21"/>
              </w:rPr>
            </w:pPr>
            <w:r>
              <w:rPr>
                <w:kern w:val="0"/>
                <w:szCs w:val="21"/>
                <w:lang w:bidi="ar"/>
              </w:rPr>
              <w:t>火焰原子吸收分光光度法</w:t>
            </w:r>
          </w:p>
        </w:tc>
        <w:tc>
          <w:tcPr>
            <w:tcW w:w="1804" w:type="pct"/>
            <w:vMerge w:val="restart"/>
            <w:tcBorders>
              <w:right w:val="single" w:color="000000" w:sz="12" w:space="0"/>
            </w:tcBorders>
            <w:noWrap w:val="0"/>
            <w:vAlign w:val="center"/>
          </w:tcPr>
          <w:p>
            <w:pPr>
              <w:widowControl/>
              <w:jc w:val="center"/>
              <w:textAlignment w:val="center"/>
              <w:rPr>
                <w:szCs w:val="21"/>
              </w:rPr>
            </w:pPr>
            <w:r>
              <w:rPr>
                <w:kern w:val="0"/>
                <w:szCs w:val="21"/>
                <w:lang w:bidi="ar"/>
              </w:rPr>
              <w:t>GB/T 5750.6-2006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905" w:type="dxa"/>
            <w:tcBorders>
              <w:top w:val="single" w:color="000000" w:sz="6" w:space="0"/>
              <w:left w:val="single" w:color="000000" w:sz="12" w:space="0"/>
              <w:bottom w:val="single" w:color="000000" w:sz="6" w:space="0"/>
            </w:tcBorders>
            <w:noWrap w:val="0"/>
            <w:vAlign w:val="center"/>
          </w:tcPr>
          <w:p>
            <w:pPr>
              <w:adjustRightInd w:val="0"/>
              <w:snapToGrid w:val="0"/>
              <w:spacing w:line="240" w:lineRule="exact"/>
              <w:jc w:val="center"/>
              <w:rPr>
                <w:rFonts w:hint="eastAsia"/>
                <w:szCs w:val="21"/>
              </w:rPr>
            </w:pPr>
            <w:r>
              <w:rPr>
                <w:rFonts w:hint="eastAsia"/>
                <w:szCs w:val="21"/>
              </w:rPr>
              <w:t>13</w:t>
            </w:r>
          </w:p>
        </w:tc>
        <w:tc>
          <w:tcPr>
            <w:tcW w:w="1236" w:type="pct"/>
            <w:tcBorders>
              <w:top w:val="single" w:color="000000" w:sz="6" w:space="0"/>
              <w:bottom w:val="single" w:color="000000" w:sz="6" w:space="0"/>
            </w:tcBorders>
            <w:noWrap w:val="0"/>
            <w:vAlign w:val="center"/>
          </w:tcPr>
          <w:p>
            <w:pPr>
              <w:widowControl/>
              <w:jc w:val="center"/>
              <w:textAlignment w:val="center"/>
              <w:rPr>
                <w:szCs w:val="21"/>
              </w:rPr>
            </w:pPr>
            <w:r>
              <w:rPr>
                <w:szCs w:val="21"/>
              </w:rPr>
              <w:t>Na</w:t>
            </w:r>
            <w:r>
              <w:rPr>
                <w:szCs w:val="21"/>
                <w:vertAlign w:val="superscript"/>
              </w:rPr>
              <w:t>+</w:t>
            </w:r>
          </w:p>
        </w:tc>
        <w:tc>
          <w:tcPr>
            <w:tcW w:w="1444" w:type="pct"/>
            <w:vMerge w:val="continue"/>
            <w:noWrap w:val="0"/>
            <w:vAlign w:val="center"/>
          </w:tcPr>
          <w:p>
            <w:pPr>
              <w:adjustRightInd w:val="0"/>
              <w:snapToGrid w:val="0"/>
              <w:spacing w:line="240" w:lineRule="exact"/>
              <w:jc w:val="center"/>
              <w:rPr>
                <w:szCs w:val="21"/>
              </w:rPr>
            </w:pPr>
          </w:p>
        </w:tc>
        <w:tc>
          <w:tcPr>
            <w:tcW w:w="1804" w:type="pct"/>
            <w:vMerge w:val="continue"/>
            <w:tcBorders>
              <w:right w:val="single" w:color="000000" w:sz="12" w:space="0"/>
            </w:tcBorders>
            <w:noWrap w:val="0"/>
            <w:vAlign w:val="center"/>
          </w:tcPr>
          <w:p>
            <w:pPr>
              <w:adjustRightInd w:val="0"/>
              <w:snapToGrid w:val="0"/>
              <w:spacing w:line="240" w:lineRule="exact"/>
              <w:jc w:val="center"/>
              <w:rPr>
                <w:szCs w:val="21"/>
              </w:rPr>
            </w:pP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905" w:type="dxa"/>
            <w:tcBorders>
              <w:top w:val="single" w:color="000000" w:sz="6" w:space="0"/>
              <w:left w:val="single" w:color="000000" w:sz="12" w:space="0"/>
              <w:bottom w:val="single" w:color="000000" w:sz="6" w:space="0"/>
            </w:tcBorders>
            <w:noWrap w:val="0"/>
            <w:vAlign w:val="center"/>
          </w:tcPr>
          <w:p>
            <w:pPr>
              <w:adjustRightInd w:val="0"/>
              <w:snapToGrid w:val="0"/>
              <w:spacing w:line="240" w:lineRule="exact"/>
              <w:jc w:val="center"/>
              <w:rPr>
                <w:rFonts w:hint="eastAsia"/>
                <w:szCs w:val="21"/>
              </w:rPr>
            </w:pPr>
            <w:r>
              <w:rPr>
                <w:rFonts w:hint="eastAsia"/>
                <w:szCs w:val="21"/>
              </w:rPr>
              <w:t>14</w:t>
            </w:r>
          </w:p>
        </w:tc>
        <w:tc>
          <w:tcPr>
            <w:tcW w:w="1236" w:type="pct"/>
            <w:tcBorders>
              <w:top w:val="single" w:color="000000" w:sz="6" w:space="0"/>
              <w:bottom w:val="single" w:color="000000" w:sz="6" w:space="0"/>
            </w:tcBorders>
            <w:noWrap w:val="0"/>
            <w:vAlign w:val="center"/>
          </w:tcPr>
          <w:p>
            <w:pPr>
              <w:widowControl/>
              <w:jc w:val="center"/>
              <w:textAlignment w:val="center"/>
              <w:rPr>
                <w:szCs w:val="21"/>
              </w:rPr>
            </w:pPr>
            <w:r>
              <w:rPr>
                <w:szCs w:val="21"/>
              </w:rPr>
              <w:t>Ca</w:t>
            </w:r>
            <w:r>
              <w:rPr>
                <w:szCs w:val="21"/>
                <w:vertAlign w:val="superscript"/>
              </w:rPr>
              <w:t>2+</w:t>
            </w:r>
          </w:p>
        </w:tc>
        <w:tc>
          <w:tcPr>
            <w:tcW w:w="1444" w:type="pct"/>
            <w:vMerge w:val="restart"/>
            <w:noWrap w:val="0"/>
            <w:vAlign w:val="center"/>
          </w:tcPr>
          <w:p>
            <w:pPr>
              <w:widowControl/>
              <w:jc w:val="center"/>
              <w:textAlignment w:val="center"/>
              <w:rPr>
                <w:szCs w:val="21"/>
              </w:rPr>
            </w:pPr>
            <w:r>
              <w:rPr>
                <w:kern w:val="0"/>
                <w:szCs w:val="21"/>
                <w:lang w:bidi="ar"/>
              </w:rPr>
              <w:t>EDTA滴定法</w:t>
            </w:r>
          </w:p>
          <w:p>
            <w:pPr>
              <w:widowControl/>
              <w:jc w:val="center"/>
              <w:textAlignment w:val="center"/>
              <w:rPr>
                <w:szCs w:val="21"/>
              </w:rPr>
            </w:pPr>
            <w:r>
              <w:rPr>
                <w:kern w:val="0"/>
                <w:szCs w:val="21"/>
                <w:lang w:bidi="ar"/>
              </w:rPr>
              <w:t>EDTA滴定法</w:t>
            </w:r>
          </w:p>
        </w:tc>
        <w:tc>
          <w:tcPr>
            <w:tcW w:w="1804" w:type="pct"/>
            <w:vMerge w:val="restart"/>
            <w:tcBorders>
              <w:right w:val="single" w:color="000000" w:sz="12" w:space="0"/>
            </w:tcBorders>
            <w:noWrap w:val="0"/>
            <w:vAlign w:val="center"/>
          </w:tcPr>
          <w:p>
            <w:pPr>
              <w:adjustRightInd w:val="0"/>
              <w:snapToGrid w:val="0"/>
              <w:spacing w:line="240" w:lineRule="exact"/>
              <w:jc w:val="center"/>
              <w:rPr>
                <w:szCs w:val="21"/>
              </w:rPr>
            </w:pPr>
            <w:r>
              <w:rPr>
                <w:kern w:val="0"/>
                <w:szCs w:val="21"/>
                <w:lang w:bidi="ar"/>
              </w:rPr>
              <w:t>GB/T 7476-1987</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PrEx>
        <w:trPr>
          <w:trHeight w:val="340" w:hRule="atLeast"/>
          <w:jc w:val="center"/>
        </w:trPr>
        <w:tc>
          <w:tcPr>
            <w:tcW w:w="905" w:type="dxa"/>
            <w:tcBorders>
              <w:top w:val="single" w:color="000000" w:sz="6" w:space="0"/>
              <w:left w:val="single" w:color="000000" w:sz="12" w:space="0"/>
              <w:bottom w:val="single" w:color="000000" w:sz="6" w:space="0"/>
            </w:tcBorders>
            <w:noWrap w:val="0"/>
            <w:vAlign w:val="center"/>
          </w:tcPr>
          <w:p>
            <w:pPr>
              <w:adjustRightInd w:val="0"/>
              <w:snapToGrid w:val="0"/>
              <w:spacing w:line="240" w:lineRule="exact"/>
              <w:jc w:val="center"/>
              <w:rPr>
                <w:rFonts w:hint="eastAsia"/>
                <w:szCs w:val="21"/>
              </w:rPr>
            </w:pPr>
            <w:r>
              <w:rPr>
                <w:rFonts w:hint="eastAsia"/>
                <w:szCs w:val="21"/>
              </w:rPr>
              <w:t>15</w:t>
            </w:r>
          </w:p>
        </w:tc>
        <w:tc>
          <w:tcPr>
            <w:tcW w:w="1236" w:type="pct"/>
            <w:tcBorders>
              <w:top w:val="single" w:color="000000" w:sz="6" w:space="0"/>
              <w:bottom w:val="single" w:color="000000" w:sz="6" w:space="0"/>
            </w:tcBorders>
            <w:noWrap w:val="0"/>
            <w:vAlign w:val="center"/>
          </w:tcPr>
          <w:p>
            <w:pPr>
              <w:widowControl/>
              <w:jc w:val="center"/>
              <w:textAlignment w:val="center"/>
              <w:rPr>
                <w:szCs w:val="21"/>
              </w:rPr>
            </w:pPr>
            <w:r>
              <w:rPr>
                <w:szCs w:val="21"/>
              </w:rPr>
              <w:t>Mg</w:t>
            </w:r>
            <w:r>
              <w:rPr>
                <w:szCs w:val="21"/>
                <w:vertAlign w:val="superscript"/>
              </w:rPr>
              <w:t>2+</w:t>
            </w:r>
          </w:p>
        </w:tc>
        <w:tc>
          <w:tcPr>
            <w:tcW w:w="1444" w:type="pct"/>
            <w:vMerge w:val="continue"/>
            <w:noWrap w:val="0"/>
            <w:vAlign w:val="center"/>
          </w:tcPr>
          <w:p>
            <w:pPr>
              <w:adjustRightInd w:val="0"/>
              <w:snapToGrid w:val="0"/>
              <w:spacing w:line="240" w:lineRule="exact"/>
              <w:jc w:val="center"/>
              <w:rPr>
                <w:szCs w:val="21"/>
              </w:rPr>
            </w:pPr>
          </w:p>
        </w:tc>
        <w:tc>
          <w:tcPr>
            <w:tcW w:w="1804" w:type="pct"/>
            <w:vMerge w:val="continue"/>
            <w:tcBorders>
              <w:right w:val="single" w:color="000000" w:sz="12" w:space="0"/>
            </w:tcBorders>
            <w:noWrap w:val="0"/>
            <w:vAlign w:val="center"/>
          </w:tcPr>
          <w:p>
            <w:pPr>
              <w:adjustRightInd w:val="0"/>
              <w:snapToGrid w:val="0"/>
              <w:spacing w:line="240" w:lineRule="exact"/>
              <w:jc w:val="center"/>
              <w:rPr>
                <w:szCs w:val="21"/>
              </w:rPr>
            </w:pP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905" w:type="dxa"/>
            <w:tcBorders>
              <w:top w:val="single" w:color="000000" w:sz="6" w:space="0"/>
              <w:left w:val="single" w:color="000000" w:sz="12" w:space="0"/>
              <w:bottom w:val="single" w:color="000000" w:sz="6" w:space="0"/>
            </w:tcBorders>
            <w:noWrap w:val="0"/>
            <w:vAlign w:val="center"/>
          </w:tcPr>
          <w:p>
            <w:pPr>
              <w:adjustRightInd w:val="0"/>
              <w:snapToGrid w:val="0"/>
              <w:spacing w:line="240" w:lineRule="exact"/>
              <w:jc w:val="center"/>
              <w:rPr>
                <w:rFonts w:hint="eastAsia"/>
                <w:szCs w:val="21"/>
              </w:rPr>
            </w:pPr>
            <w:r>
              <w:rPr>
                <w:rFonts w:hint="eastAsia"/>
                <w:szCs w:val="21"/>
              </w:rPr>
              <w:t>16</w:t>
            </w:r>
          </w:p>
        </w:tc>
        <w:tc>
          <w:tcPr>
            <w:tcW w:w="1236" w:type="pct"/>
            <w:tcBorders>
              <w:top w:val="single" w:color="000000" w:sz="6" w:space="0"/>
              <w:bottom w:val="single" w:color="000000" w:sz="6" w:space="0"/>
            </w:tcBorders>
            <w:noWrap w:val="0"/>
            <w:vAlign w:val="center"/>
          </w:tcPr>
          <w:p>
            <w:pPr>
              <w:adjustRightInd w:val="0"/>
              <w:snapToGrid w:val="0"/>
              <w:spacing w:line="240" w:lineRule="exact"/>
              <w:jc w:val="center"/>
              <w:rPr>
                <w:rFonts w:hint="eastAsia"/>
                <w:szCs w:val="21"/>
              </w:rPr>
            </w:pPr>
            <w:r>
              <w:rPr>
                <w:szCs w:val="21"/>
              </w:rPr>
              <w:t>氰化物</w:t>
            </w:r>
          </w:p>
        </w:tc>
        <w:tc>
          <w:tcPr>
            <w:tcW w:w="1444" w:type="pct"/>
            <w:noWrap w:val="0"/>
            <w:vAlign w:val="center"/>
          </w:tcPr>
          <w:p>
            <w:pPr>
              <w:adjustRightInd w:val="0"/>
              <w:snapToGrid w:val="0"/>
              <w:spacing w:line="240" w:lineRule="exact"/>
              <w:jc w:val="center"/>
              <w:rPr>
                <w:szCs w:val="21"/>
              </w:rPr>
            </w:pPr>
            <w:r>
              <w:rPr>
                <w:kern w:val="0"/>
                <w:szCs w:val="21"/>
                <w:lang w:bidi="ar"/>
              </w:rPr>
              <w:t>异烟酸-吡唑酮分光光度法</w:t>
            </w:r>
          </w:p>
        </w:tc>
        <w:tc>
          <w:tcPr>
            <w:tcW w:w="1804" w:type="pct"/>
            <w:tcBorders>
              <w:right w:val="single" w:color="000000" w:sz="12" w:space="0"/>
            </w:tcBorders>
            <w:noWrap w:val="0"/>
            <w:vAlign w:val="center"/>
          </w:tcPr>
          <w:p>
            <w:pPr>
              <w:adjustRightInd w:val="0"/>
              <w:snapToGrid w:val="0"/>
              <w:spacing w:line="240" w:lineRule="exact"/>
              <w:jc w:val="center"/>
              <w:rPr>
                <w:szCs w:val="21"/>
              </w:rPr>
            </w:pPr>
            <w:r>
              <w:rPr>
                <w:kern w:val="0"/>
                <w:szCs w:val="21"/>
                <w:lang w:bidi="ar"/>
              </w:rPr>
              <w:t>GB/T 5750.5-2006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905" w:type="dxa"/>
            <w:tcBorders>
              <w:top w:val="single" w:color="000000" w:sz="6" w:space="0"/>
              <w:left w:val="single" w:color="000000" w:sz="12" w:space="0"/>
              <w:bottom w:val="single" w:color="000000" w:sz="6" w:space="0"/>
            </w:tcBorders>
            <w:noWrap w:val="0"/>
            <w:vAlign w:val="center"/>
          </w:tcPr>
          <w:p>
            <w:pPr>
              <w:adjustRightInd w:val="0"/>
              <w:snapToGrid w:val="0"/>
              <w:spacing w:line="240" w:lineRule="exact"/>
              <w:jc w:val="center"/>
              <w:rPr>
                <w:rFonts w:hint="eastAsia" w:hAnsi="宋体"/>
                <w:sz w:val="24"/>
              </w:rPr>
            </w:pPr>
            <w:r>
              <w:rPr>
                <w:rFonts w:hint="eastAsia"/>
                <w:szCs w:val="21"/>
              </w:rPr>
              <w:t>19</w:t>
            </w:r>
          </w:p>
        </w:tc>
        <w:tc>
          <w:tcPr>
            <w:tcW w:w="1236" w:type="pct"/>
            <w:tcBorders>
              <w:top w:val="single" w:color="000000" w:sz="6" w:space="0"/>
              <w:bottom w:val="single" w:color="000000" w:sz="6" w:space="0"/>
            </w:tcBorders>
            <w:noWrap w:val="0"/>
            <w:vAlign w:val="center"/>
          </w:tcPr>
          <w:p>
            <w:pPr>
              <w:adjustRightInd w:val="0"/>
              <w:snapToGrid w:val="0"/>
              <w:spacing w:line="240" w:lineRule="exact"/>
              <w:jc w:val="center"/>
              <w:rPr>
                <w:szCs w:val="21"/>
              </w:rPr>
            </w:pPr>
            <w:r>
              <w:rPr>
                <w:szCs w:val="21"/>
              </w:rPr>
              <w:t>Cl</w:t>
            </w:r>
            <w:r>
              <w:rPr>
                <w:szCs w:val="21"/>
                <w:vertAlign w:val="superscript"/>
              </w:rPr>
              <w:t>-</w:t>
            </w:r>
          </w:p>
        </w:tc>
        <w:tc>
          <w:tcPr>
            <w:tcW w:w="1444" w:type="pct"/>
            <w:noWrap w:val="0"/>
            <w:vAlign w:val="center"/>
          </w:tcPr>
          <w:p>
            <w:pPr>
              <w:adjustRightInd w:val="0"/>
              <w:snapToGrid w:val="0"/>
              <w:spacing w:line="240" w:lineRule="exact"/>
              <w:jc w:val="center"/>
              <w:rPr>
                <w:szCs w:val="21"/>
              </w:rPr>
            </w:pPr>
            <w:r>
              <w:rPr>
                <w:kern w:val="0"/>
                <w:szCs w:val="21"/>
                <w:lang w:bidi="ar"/>
              </w:rPr>
              <w:t>硝酸银容量法</w:t>
            </w:r>
          </w:p>
        </w:tc>
        <w:tc>
          <w:tcPr>
            <w:tcW w:w="1804" w:type="pct"/>
            <w:tcBorders>
              <w:right w:val="single" w:color="000000" w:sz="12" w:space="0"/>
            </w:tcBorders>
            <w:noWrap w:val="0"/>
            <w:vAlign w:val="center"/>
          </w:tcPr>
          <w:p>
            <w:pPr>
              <w:pStyle w:val="33"/>
              <w:keepNext w:val="0"/>
              <w:overflowPunct w:val="0"/>
              <w:topLinePunct/>
              <w:snapToGrid w:val="0"/>
              <w:spacing w:before="120" w:after="120" w:line="240" w:lineRule="exact"/>
              <w:rPr>
                <w:szCs w:val="21"/>
              </w:rPr>
            </w:pPr>
            <w:r>
              <w:rPr>
                <w:szCs w:val="21"/>
                <w:lang w:bidi="ar"/>
              </w:rPr>
              <w:t>GB/T 5750.5-2006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905" w:type="dxa"/>
            <w:tcBorders>
              <w:top w:val="single" w:color="000000" w:sz="6" w:space="0"/>
              <w:left w:val="single" w:color="000000" w:sz="12" w:space="0"/>
              <w:bottom w:val="single" w:color="000000" w:sz="6" w:space="0"/>
            </w:tcBorders>
            <w:noWrap w:val="0"/>
            <w:vAlign w:val="center"/>
          </w:tcPr>
          <w:p>
            <w:pPr>
              <w:adjustRightInd w:val="0"/>
              <w:snapToGrid w:val="0"/>
              <w:spacing w:line="240" w:lineRule="exact"/>
              <w:jc w:val="center"/>
              <w:rPr>
                <w:rFonts w:hint="eastAsia"/>
                <w:szCs w:val="21"/>
              </w:rPr>
            </w:pPr>
            <w:r>
              <w:rPr>
                <w:rFonts w:hint="eastAsia" w:ascii="Times New Roman" w:hAnsi="Times New Roman" w:eastAsia="宋体" w:cs="Times New Roman"/>
                <w:kern w:val="0"/>
                <w:sz w:val="21"/>
                <w:szCs w:val="21"/>
                <w:lang w:val="en-US" w:eastAsia="zh-CN" w:bidi="ar-SA"/>
              </w:rPr>
              <w:t>20</w:t>
            </w:r>
          </w:p>
        </w:tc>
        <w:tc>
          <w:tcPr>
            <w:tcW w:w="1236" w:type="pct"/>
            <w:tcBorders>
              <w:top w:val="single" w:color="000000" w:sz="6" w:space="0"/>
              <w:bottom w:val="single" w:color="000000" w:sz="6" w:space="0"/>
            </w:tcBorders>
            <w:noWrap w:val="0"/>
            <w:vAlign w:val="center"/>
          </w:tcPr>
          <w:p>
            <w:pPr>
              <w:pStyle w:val="33"/>
              <w:keepNext w:val="0"/>
              <w:overflowPunct w:val="0"/>
              <w:topLinePunct/>
              <w:snapToGrid w:val="0"/>
              <w:spacing w:before="120" w:after="120" w:line="240" w:lineRule="exact"/>
              <w:rPr>
                <w:szCs w:val="21"/>
              </w:rPr>
            </w:pPr>
            <w:r>
              <w:rPr>
                <w:szCs w:val="21"/>
              </w:rPr>
              <w:t>铅</w:t>
            </w:r>
          </w:p>
        </w:tc>
        <w:tc>
          <w:tcPr>
            <w:tcW w:w="1444" w:type="pct"/>
            <w:noWrap w:val="0"/>
            <w:vAlign w:val="center"/>
          </w:tcPr>
          <w:p>
            <w:pPr>
              <w:adjustRightInd w:val="0"/>
              <w:snapToGrid w:val="0"/>
              <w:spacing w:line="240" w:lineRule="exact"/>
              <w:jc w:val="center"/>
              <w:rPr>
                <w:szCs w:val="21"/>
              </w:rPr>
            </w:pPr>
            <w:r>
              <w:rPr>
                <w:kern w:val="0"/>
                <w:szCs w:val="21"/>
                <w:lang w:bidi="ar"/>
              </w:rPr>
              <w:t>无火焰原子吸收分光光度法</w:t>
            </w:r>
          </w:p>
        </w:tc>
        <w:tc>
          <w:tcPr>
            <w:tcW w:w="1804" w:type="pct"/>
            <w:tcBorders>
              <w:right w:val="single" w:color="000000" w:sz="12" w:space="0"/>
            </w:tcBorders>
            <w:noWrap w:val="0"/>
            <w:vAlign w:val="center"/>
          </w:tcPr>
          <w:p>
            <w:pPr>
              <w:adjustRightInd w:val="0"/>
              <w:snapToGrid w:val="0"/>
              <w:spacing w:line="240" w:lineRule="exact"/>
              <w:jc w:val="center"/>
              <w:rPr>
                <w:szCs w:val="21"/>
              </w:rPr>
            </w:pPr>
            <w:r>
              <w:rPr>
                <w:kern w:val="0"/>
                <w:szCs w:val="21"/>
                <w:lang w:bidi="ar"/>
              </w:rPr>
              <w:t>GB/T 5750.6-2006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905" w:type="dxa"/>
            <w:tcBorders>
              <w:top w:val="single" w:color="000000" w:sz="6" w:space="0"/>
              <w:left w:val="single" w:color="000000" w:sz="12" w:space="0"/>
              <w:bottom w:val="single" w:color="000000" w:sz="6" w:space="0"/>
            </w:tcBorders>
            <w:noWrap w:val="0"/>
            <w:vAlign w:val="center"/>
          </w:tcPr>
          <w:p>
            <w:pPr>
              <w:pStyle w:val="33"/>
              <w:keepNext w:val="0"/>
              <w:overflowPunct w:val="0"/>
              <w:topLinePunct/>
              <w:snapToGrid w:val="0"/>
              <w:spacing w:before="120" w:after="120" w:line="240" w:lineRule="exact"/>
              <w:rPr>
                <w:rFonts w:hint="eastAsia"/>
                <w:szCs w:val="21"/>
              </w:rPr>
            </w:pPr>
            <w:r>
              <w:rPr>
                <w:rFonts w:hint="eastAsia"/>
                <w:szCs w:val="21"/>
              </w:rPr>
              <w:t>21</w:t>
            </w:r>
          </w:p>
        </w:tc>
        <w:tc>
          <w:tcPr>
            <w:tcW w:w="1236" w:type="pct"/>
            <w:tcBorders>
              <w:top w:val="single" w:color="000000" w:sz="6" w:space="0"/>
              <w:bottom w:val="single" w:color="000000" w:sz="6" w:space="0"/>
            </w:tcBorders>
            <w:noWrap w:val="0"/>
            <w:vAlign w:val="center"/>
          </w:tcPr>
          <w:p>
            <w:pPr>
              <w:pStyle w:val="33"/>
              <w:keepNext w:val="0"/>
              <w:overflowPunct w:val="0"/>
              <w:topLinePunct/>
              <w:snapToGrid w:val="0"/>
              <w:spacing w:before="120" w:after="120" w:line="240" w:lineRule="exact"/>
              <w:rPr>
                <w:szCs w:val="21"/>
              </w:rPr>
            </w:pPr>
            <w:r>
              <w:rPr>
                <w:szCs w:val="21"/>
              </w:rPr>
              <w:t>镉</w:t>
            </w:r>
          </w:p>
        </w:tc>
        <w:tc>
          <w:tcPr>
            <w:tcW w:w="1444" w:type="pct"/>
            <w:tcBorders>
              <w:bottom w:val="single" w:color="000000" w:sz="6" w:space="0"/>
            </w:tcBorders>
            <w:noWrap w:val="0"/>
            <w:vAlign w:val="center"/>
          </w:tcPr>
          <w:p>
            <w:pPr>
              <w:adjustRightInd w:val="0"/>
              <w:snapToGrid w:val="0"/>
              <w:spacing w:line="240" w:lineRule="exact"/>
              <w:jc w:val="center"/>
              <w:rPr>
                <w:szCs w:val="21"/>
              </w:rPr>
            </w:pPr>
            <w:r>
              <w:rPr>
                <w:kern w:val="0"/>
                <w:szCs w:val="21"/>
                <w:lang w:bidi="ar"/>
              </w:rPr>
              <w:t>无火焰原子吸收分光光度法</w:t>
            </w:r>
          </w:p>
        </w:tc>
        <w:tc>
          <w:tcPr>
            <w:tcW w:w="1804" w:type="pct"/>
            <w:tcBorders>
              <w:bottom w:val="single" w:color="auto" w:sz="4" w:space="0"/>
              <w:right w:val="single" w:color="000000" w:sz="12" w:space="0"/>
            </w:tcBorders>
            <w:noWrap w:val="0"/>
            <w:vAlign w:val="center"/>
          </w:tcPr>
          <w:p>
            <w:pPr>
              <w:widowControl/>
              <w:jc w:val="center"/>
              <w:textAlignment w:val="center"/>
              <w:rPr>
                <w:szCs w:val="21"/>
              </w:rPr>
            </w:pPr>
            <w:r>
              <w:rPr>
                <w:kern w:val="0"/>
                <w:szCs w:val="21"/>
                <w:lang w:bidi="ar"/>
              </w:rPr>
              <w:t>GB/T 5750.6-2006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905" w:type="dxa"/>
            <w:tcBorders>
              <w:left w:val="single" w:color="000000" w:sz="12" w:space="0"/>
            </w:tcBorders>
            <w:noWrap w:val="0"/>
            <w:vAlign w:val="center"/>
          </w:tcPr>
          <w:p>
            <w:pPr>
              <w:pStyle w:val="33"/>
              <w:keepNext w:val="0"/>
              <w:overflowPunct w:val="0"/>
              <w:topLinePunct/>
              <w:snapToGrid w:val="0"/>
              <w:spacing w:before="120" w:after="120" w:line="240" w:lineRule="exact"/>
              <w:rPr>
                <w:rFonts w:hint="eastAsia"/>
                <w:szCs w:val="21"/>
              </w:rPr>
            </w:pPr>
            <w:r>
              <w:rPr>
                <w:rFonts w:hint="eastAsia"/>
                <w:szCs w:val="21"/>
              </w:rPr>
              <w:t>22</w:t>
            </w:r>
          </w:p>
        </w:tc>
        <w:tc>
          <w:tcPr>
            <w:tcW w:w="1236" w:type="pct"/>
            <w:noWrap w:val="0"/>
            <w:vAlign w:val="center"/>
          </w:tcPr>
          <w:p>
            <w:pPr>
              <w:pStyle w:val="33"/>
              <w:keepNext w:val="0"/>
              <w:overflowPunct w:val="0"/>
              <w:topLinePunct/>
              <w:snapToGrid w:val="0"/>
              <w:spacing w:before="120" w:after="120" w:line="240" w:lineRule="exact"/>
              <w:rPr>
                <w:szCs w:val="21"/>
              </w:rPr>
            </w:pPr>
            <w:r>
              <w:rPr>
                <w:szCs w:val="21"/>
              </w:rPr>
              <w:t>六价铬</w:t>
            </w:r>
          </w:p>
        </w:tc>
        <w:tc>
          <w:tcPr>
            <w:tcW w:w="1444" w:type="pct"/>
            <w:noWrap w:val="0"/>
            <w:vAlign w:val="center"/>
          </w:tcPr>
          <w:p>
            <w:pPr>
              <w:pStyle w:val="33"/>
              <w:keepNext w:val="0"/>
              <w:overflowPunct w:val="0"/>
              <w:topLinePunct/>
              <w:snapToGrid w:val="0"/>
              <w:spacing w:before="120" w:after="120" w:line="240" w:lineRule="exact"/>
              <w:rPr>
                <w:szCs w:val="21"/>
              </w:rPr>
            </w:pPr>
            <w:r>
              <w:rPr>
                <w:szCs w:val="21"/>
              </w:rPr>
              <w:t>二苯碳酰二肼分光光度法</w:t>
            </w:r>
          </w:p>
        </w:tc>
        <w:tc>
          <w:tcPr>
            <w:tcW w:w="1804" w:type="pct"/>
            <w:tcBorders>
              <w:right w:val="single" w:color="000000" w:sz="12" w:space="0"/>
            </w:tcBorders>
            <w:noWrap w:val="0"/>
            <w:vAlign w:val="center"/>
          </w:tcPr>
          <w:p>
            <w:pPr>
              <w:widowControl/>
              <w:jc w:val="center"/>
              <w:textAlignment w:val="center"/>
              <w:rPr>
                <w:szCs w:val="21"/>
              </w:rPr>
            </w:pPr>
            <w:r>
              <w:rPr>
                <w:kern w:val="0"/>
                <w:szCs w:val="21"/>
                <w:lang w:bidi="ar"/>
              </w:rPr>
              <w:t>GB/T 5750.6-2006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905" w:type="dxa"/>
            <w:tcBorders>
              <w:left w:val="single" w:color="000000" w:sz="12" w:space="0"/>
            </w:tcBorders>
            <w:noWrap w:val="0"/>
            <w:vAlign w:val="center"/>
          </w:tcPr>
          <w:p>
            <w:pPr>
              <w:pStyle w:val="33"/>
              <w:keepNext w:val="0"/>
              <w:overflowPunct w:val="0"/>
              <w:topLinePunct/>
              <w:snapToGrid w:val="0"/>
              <w:spacing w:before="120" w:after="120" w:line="240" w:lineRule="exact"/>
              <w:rPr>
                <w:rFonts w:hint="eastAsia"/>
                <w:szCs w:val="21"/>
              </w:rPr>
            </w:pPr>
            <w:r>
              <w:rPr>
                <w:rFonts w:hint="eastAsia"/>
                <w:szCs w:val="21"/>
              </w:rPr>
              <w:t>23</w:t>
            </w:r>
          </w:p>
        </w:tc>
        <w:tc>
          <w:tcPr>
            <w:tcW w:w="1236" w:type="pct"/>
            <w:noWrap w:val="0"/>
            <w:vAlign w:val="center"/>
          </w:tcPr>
          <w:p>
            <w:pPr>
              <w:pStyle w:val="33"/>
              <w:keepNext w:val="0"/>
              <w:overflowPunct w:val="0"/>
              <w:topLinePunct/>
              <w:snapToGrid w:val="0"/>
              <w:spacing w:before="120" w:after="120" w:line="240" w:lineRule="exact"/>
              <w:rPr>
                <w:sz w:val="24"/>
                <w:szCs w:val="21"/>
              </w:rPr>
            </w:pPr>
            <w:r>
              <w:rPr>
                <w:szCs w:val="21"/>
              </w:rPr>
              <w:t>汞</w:t>
            </w:r>
          </w:p>
        </w:tc>
        <w:tc>
          <w:tcPr>
            <w:tcW w:w="1444" w:type="pct"/>
            <w:noWrap w:val="0"/>
            <w:vAlign w:val="center"/>
          </w:tcPr>
          <w:p>
            <w:pPr>
              <w:adjustRightInd w:val="0"/>
              <w:snapToGrid w:val="0"/>
              <w:spacing w:line="240" w:lineRule="exact"/>
              <w:jc w:val="center"/>
              <w:rPr>
                <w:sz w:val="24"/>
                <w:szCs w:val="21"/>
              </w:rPr>
            </w:pPr>
            <w:r>
              <w:rPr>
                <w:szCs w:val="21"/>
              </w:rPr>
              <w:t>原子荧光法</w:t>
            </w:r>
          </w:p>
        </w:tc>
        <w:tc>
          <w:tcPr>
            <w:tcW w:w="1804" w:type="pct"/>
            <w:tcBorders>
              <w:right w:val="single" w:color="000000" w:sz="12" w:space="0"/>
            </w:tcBorders>
            <w:noWrap w:val="0"/>
            <w:vAlign w:val="center"/>
          </w:tcPr>
          <w:p>
            <w:pPr>
              <w:pStyle w:val="33"/>
              <w:keepNext w:val="0"/>
              <w:overflowPunct w:val="0"/>
              <w:topLinePunct/>
              <w:snapToGrid w:val="0"/>
              <w:spacing w:before="120" w:after="120" w:line="240" w:lineRule="exact"/>
              <w:rPr>
                <w:sz w:val="24"/>
                <w:szCs w:val="21"/>
              </w:rPr>
            </w:pPr>
            <w:r>
              <w:rPr>
                <w:szCs w:val="21"/>
                <w:lang w:bidi="ar"/>
              </w:rPr>
              <w:t>GB/T 5750.6-2006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PrEx>
        <w:trPr>
          <w:trHeight w:val="340" w:hRule="atLeast"/>
          <w:jc w:val="center"/>
        </w:trPr>
        <w:tc>
          <w:tcPr>
            <w:tcW w:w="905" w:type="dxa"/>
            <w:tcBorders>
              <w:left w:val="single" w:color="000000" w:sz="12" w:space="0"/>
            </w:tcBorders>
            <w:noWrap w:val="0"/>
            <w:vAlign w:val="center"/>
          </w:tcPr>
          <w:p>
            <w:pPr>
              <w:pStyle w:val="33"/>
              <w:keepNext w:val="0"/>
              <w:overflowPunct w:val="0"/>
              <w:topLinePunct/>
              <w:snapToGrid w:val="0"/>
              <w:spacing w:before="120" w:after="120" w:line="240" w:lineRule="exact"/>
              <w:rPr>
                <w:szCs w:val="21"/>
              </w:rPr>
            </w:pPr>
            <w:r>
              <w:rPr>
                <w:rFonts w:hint="eastAsia"/>
                <w:szCs w:val="21"/>
              </w:rPr>
              <w:t>24</w:t>
            </w:r>
          </w:p>
        </w:tc>
        <w:tc>
          <w:tcPr>
            <w:tcW w:w="1236" w:type="pct"/>
            <w:noWrap w:val="0"/>
            <w:vAlign w:val="center"/>
          </w:tcPr>
          <w:p>
            <w:pPr>
              <w:pStyle w:val="33"/>
              <w:keepNext w:val="0"/>
              <w:overflowPunct w:val="0"/>
              <w:topLinePunct/>
              <w:snapToGrid w:val="0"/>
              <w:spacing w:before="120" w:after="120" w:line="240" w:lineRule="exact"/>
              <w:rPr>
                <w:szCs w:val="21"/>
              </w:rPr>
            </w:pPr>
            <w:r>
              <w:rPr>
                <w:szCs w:val="21"/>
              </w:rPr>
              <w:t>砷</w:t>
            </w:r>
          </w:p>
        </w:tc>
        <w:tc>
          <w:tcPr>
            <w:tcW w:w="1444" w:type="pct"/>
            <w:noWrap w:val="0"/>
            <w:vAlign w:val="center"/>
          </w:tcPr>
          <w:p>
            <w:pPr>
              <w:pStyle w:val="33"/>
              <w:keepNext w:val="0"/>
              <w:overflowPunct w:val="0"/>
              <w:topLinePunct/>
              <w:snapToGrid w:val="0"/>
              <w:spacing w:before="120" w:after="120" w:line="240" w:lineRule="exact"/>
              <w:rPr>
                <w:szCs w:val="21"/>
              </w:rPr>
            </w:pPr>
            <w:r>
              <w:rPr>
                <w:rFonts w:hint="eastAsia"/>
                <w:szCs w:val="21"/>
                <w:lang w:bidi="ar"/>
              </w:rPr>
              <w:t>氢化物原子荧光法</w:t>
            </w:r>
          </w:p>
        </w:tc>
        <w:tc>
          <w:tcPr>
            <w:tcW w:w="1804" w:type="pct"/>
            <w:tcBorders>
              <w:right w:val="single" w:color="000000" w:sz="12" w:space="0"/>
            </w:tcBorders>
            <w:noWrap w:val="0"/>
            <w:vAlign w:val="center"/>
          </w:tcPr>
          <w:p>
            <w:pPr>
              <w:pStyle w:val="33"/>
              <w:keepNext w:val="0"/>
              <w:overflowPunct w:val="0"/>
              <w:topLinePunct/>
              <w:snapToGrid w:val="0"/>
              <w:spacing w:before="120" w:after="120" w:line="240" w:lineRule="exact"/>
              <w:rPr>
                <w:szCs w:val="21"/>
              </w:rPr>
            </w:pPr>
            <w:r>
              <w:rPr>
                <w:szCs w:val="21"/>
                <w:lang w:bidi="ar"/>
              </w:rPr>
              <w:t>GB/T 5750.6-2006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905" w:type="dxa"/>
            <w:tcBorders>
              <w:left w:val="single" w:color="000000" w:sz="12" w:space="0"/>
            </w:tcBorders>
            <w:noWrap w:val="0"/>
            <w:vAlign w:val="center"/>
          </w:tcPr>
          <w:p>
            <w:pPr>
              <w:pStyle w:val="33"/>
              <w:keepNext w:val="0"/>
              <w:overflowPunct w:val="0"/>
              <w:topLinePunct/>
              <w:snapToGrid w:val="0"/>
              <w:spacing w:before="120" w:after="120" w:line="240" w:lineRule="exact"/>
              <w:rPr>
                <w:rFonts w:hint="eastAsia"/>
                <w:szCs w:val="21"/>
              </w:rPr>
            </w:pPr>
            <w:r>
              <w:rPr>
                <w:szCs w:val="21"/>
              </w:rPr>
              <w:t>25</w:t>
            </w:r>
          </w:p>
        </w:tc>
        <w:tc>
          <w:tcPr>
            <w:tcW w:w="1236" w:type="pct"/>
            <w:noWrap w:val="0"/>
            <w:vAlign w:val="center"/>
          </w:tcPr>
          <w:p>
            <w:pPr>
              <w:adjustRightInd w:val="0"/>
              <w:snapToGrid w:val="0"/>
              <w:spacing w:line="240" w:lineRule="exact"/>
              <w:jc w:val="center"/>
              <w:rPr>
                <w:sz w:val="24"/>
                <w:szCs w:val="21"/>
              </w:rPr>
            </w:pPr>
            <w:r>
              <w:rPr>
                <w:szCs w:val="21"/>
              </w:rPr>
              <w:t>铁</w:t>
            </w:r>
          </w:p>
        </w:tc>
        <w:tc>
          <w:tcPr>
            <w:tcW w:w="1444" w:type="pct"/>
            <w:noWrap w:val="0"/>
            <w:vAlign w:val="center"/>
          </w:tcPr>
          <w:p>
            <w:pPr>
              <w:adjustRightInd w:val="0"/>
              <w:snapToGrid w:val="0"/>
              <w:spacing w:line="240" w:lineRule="exact"/>
              <w:jc w:val="center"/>
              <w:rPr>
                <w:sz w:val="24"/>
                <w:szCs w:val="21"/>
              </w:rPr>
            </w:pPr>
            <w:r>
              <w:rPr>
                <w:szCs w:val="21"/>
              </w:rPr>
              <w:t>原子吸收分光光度法</w:t>
            </w:r>
          </w:p>
        </w:tc>
        <w:tc>
          <w:tcPr>
            <w:tcW w:w="1804" w:type="pct"/>
            <w:tcBorders>
              <w:right w:val="single" w:color="000000" w:sz="12" w:space="0"/>
            </w:tcBorders>
            <w:noWrap w:val="0"/>
            <w:vAlign w:val="center"/>
          </w:tcPr>
          <w:p>
            <w:pPr>
              <w:adjustRightInd w:val="0"/>
              <w:snapToGrid w:val="0"/>
              <w:spacing w:line="240" w:lineRule="exact"/>
              <w:jc w:val="center"/>
              <w:rPr>
                <w:sz w:val="24"/>
                <w:szCs w:val="21"/>
              </w:rPr>
            </w:pPr>
            <w:r>
              <w:rPr>
                <w:kern w:val="0"/>
                <w:szCs w:val="21"/>
                <w:lang w:bidi="ar"/>
              </w:rPr>
              <w:t>GB/T 5750.6-2006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905" w:type="dxa"/>
            <w:tcBorders>
              <w:left w:val="single" w:color="000000" w:sz="12" w:space="0"/>
            </w:tcBorders>
            <w:noWrap w:val="0"/>
            <w:vAlign w:val="center"/>
          </w:tcPr>
          <w:p>
            <w:pPr>
              <w:adjustRightInd w:val="0"/>
              <w:snapToGrid w:val="0"/>
              <w:spacing w:line="240" w:lineRule="exact"/>
              <w:jc w:val="center"/>
              <w:rPr>
                <w:rFonts w:hint="eastAsia"/>
                <w:szCs w:val="21"/>
              </w:rPr>
            </w:pPr>
            <w:r>
              <w:rPr>
                <w:rFonts w:hint="eastAsia"/>
                <w:szCs w:val="21"/>
              </w:rPr>
              <w:t>26</w:t>
            </w:r>
          </w:p>
        </w:tc>
        <w:tc>
          <w:tcPr>
            <w:tcW w:w="1236" w:type="pct"/>
            <w:noWrap w:val="0"/>
            <w:vAlign w:val="center"/>
          </w:tcPr>
          <w:p>
            <w:pPr>
              <w:pStyle w:val="33"/>
              <w:keepNext w:val="0"/>
              <w:overflowPunct w:val="0"/>
              <w:topLinePunct/>
              <w:snapToGrid w:val="0"/>
              <w:spacing w:before="120" w:after="120" w:line="240" w:lineRule="exact"/>
              <w:rPr>
                <w:sz w:val="24"/>
                <w:szCs w:val="21"/>
              </w:rPr>
            </w:pPr>
            <w:r>
              <w:rPr>
                <w:szCs w:val="21"/>
              </w:rPr>
              <w:t>锰</w:t>
            </w:r>
          </w:p>
        </w:tc>
        <w:tc>
          <w:tcPr>
            <w:tcW w:w="1444" w:type="pct"/>
            <w:noWrap w:val="0"/>
            <w:vAlign w:val="center"/>
          </w:tcPr>
          <w:p>
            <w:pPr>
              <w:adjustRightInd w:val="0"/>
              <w:snapToGrid w:val="0"/>
              <w:spacing w:line="240" w:lineRule="exact"/>
              <w:jc w:val="center"/>
              <w:rPr>
                <w:sz w:val="24"/>
                <w:szCs w:val="21"/>
              </w:rPr>
            </w:pPr>
            <w:r>
              <w:rPr>
                <w:szCs w:val="21"/>
              </w:rPr>
              <w:t>原子吸收分光光度法</w:t>
            </w:r>
          </w:p>
        </w:tc>
        <w:tc>
          <w:tcPr>
            <w:tcW w:w="1804" w:type="pct"/>
            <w:tcBorders>
              <w:right w:val="single" w:color="000000" w:sz="12" w:space="0"/>
            </w:tcBorders>
            <w:noWrap w:val="0"/>
            <w:vAlign w:val="center"/>
          </w:tcPr>
          <w:p>
            <w:pPr>
              <w:adjustRightInd w:val="0"/>
              <w:snapToGrid w:val="0"/>
              <w:spacing w:line="240" w:lineRule="exact"/>
              <w:jc w:val="center"/>
              <w:rPr>
                <w:sz w:val="24"/>
                <w:szCs w:val="21"/>
              </w:rPr>
            </w:pPr>
            <w:r>
              <w:rPr>
                <w:kern w:val="0"/>
                <w:szCs w:val="21"/>
                <w:lang w:bidi="ar"/>
              </w:rPr>
              <w:t>GB/T 5750.6-2006</w:t>
            </w:r>
          </w:p>
        </w:tc>
      </w:tr>
      <w:tr>
        <w:tblPrEx>
          <w:tblBorders>
            <w:top w:val="single" w:color="auto" w:sz="4" w:space="0"/>
            <w:left w:val="none" w:color="auto" w:sz="0" w:space="0"/>
            <w:bottom w:val="single" w:color="auto" w:sz="4" w:space="0"/>
            <w:right w:val="single" w:color="auto" w:sz="4" w:space="0"/>
            <w:insideH w:val="single" w:color="000000" w:sz="6" w:space="0"/>
            <w:insideV w:val="single" w:color="000000" w:sz="6" w:space="0"/>
          </w:tblBorders>
          <w:tblCellMar>
            <w:top w:w="0" w:type="dxa"/>
            <w:left w:w="0" w:type="dxa"/>
            <w:bottom w:w="0" w:type="dxa"/>
            <w:right w:w="0" w:type="dxa"/>
          </w:tblCellMar>
        </w:tblPrEx>
        <w:trPr>
          <w:trHeight w:val="340" w:hRule="atLeast"/>
          <w:jc w:val="center"/>
        </w:trPr>
        <w:tc>
          <w:tcPr>
            <w:tcW w:w="905" w:type="dxa"/>
            <w:tcBorders>
              <w:left w:val="single" w:color="000000" w:sz="12" w:space="0"/>
              <w:bottom w:val="single" w:color="000000" w:sz="12" w:space="0"/>
            </w:tcBorders>
            <w:noWrap w:val="0"/>
            <w:vAlign w:val="center"/>
          </w:tcPr>
          <w:p>
            <w:pPr>
              <w:pStyle w:val="33"/>
              <w:keepNext w:val="0"/>
              <w:overflowPunct w:val="0"/>
              <w:topLinePunct/>
              <w:snapToGrid w:val="0"/>
              <w:spacing w:before="120" w:after="120" w:line="240" w:lineRule="exact"/>
              <w:rPr>
                <w:rFonts w:hint="eastAsia"/>
                <w:szCs w:val="21"/>
              </w:rPr>
            </w:pPr>
            <w:r>
              <w:rPr>
                <w:rFonts w:hint="eastAsia"/>
                <w:szCs w:val="21"/>
              </w:rPr>
              <w:t>27</w:t>
            </w:r>
          </w:p>
        </w:tc>
        <w:tc>
          <w:tcPr>
            <w:tcW w:w="1236" w:type="pct"/>
            <w:tcBorders>
              <w:bottom w:val="single" w:color="000000" w:sz="12" w:space="0"/>
            </w:tcBorders>
            <w:noWrap w:val="0"/>
            <w:vAlign w:val="center"/>
          </w:tcPr>
          <w:p>
            <w:pPr>
              <w:pStyle w:val="33"/>
              <w:keepNext w:val="0"/>
              <w:overflowPunct w:val="0"/>
              <w:topLinePunct/>
              <w:snapToGrid w:val="0"/>
              <w:spacing w:before="120" w:after="120" w:line="240" w:lineRule="exact"/>
              <w:rPr>
                <w:szCs w:val="21"/>
              </w:rPr>
            </w:pPr>
            <w:r>
              <w:rPr>
                <w:sz w:val="24"/>
              </w:rPr>
              <w:t>SO</w:t>
            </w:r>
            <w:r>
              <w:rPr>
                <w:sz w:val="24"/>
                <w:vertAlign w:val="subscript"/>
              </w:rPr>
              <w:t>4</w:t>
            </w:r>
            <w:r>
              <w:rPr>
                <w:sz w:val="24"/>
                <w:vertAlign w:val="superscript"/>
              </w:rPr>
              <w:t>2-</w:t>
            </w:r>
          </w:p>
        </w:tc>
        <w:tc>
          <w:tcPr>
            <w:tcW w:w="1444" w:type="pct"/>
            <w:tcBorders>
              <w:bottom w:val="single" w:color="000000" w:sz="12" w:space="0"/>
            </w:tcBorders>
            <w:noWrap w:val="0"/>
            <w:vAlign w:val="center"/>
          </w:tcPr>
          <w:p>
            <w:pPr>
              <w:adjustRightInd w:val="0"/>
              <w:snapToGrid w:val="0"/>
              <w:spacing w:line="240" w:lineRule="exact"/>
              <w:jc w:val="center"/>
              <w:rPr>
                <w:szCs w:val="21"/>
              </w:rPr>
            </w:pPr>
            <w:r>
              <w:rPr>
                <w:kern w:val="0"/>
                <w:szCs w:val="21"/>
                <w:lang w:bidi="ar"/>
              </w:rPr>
              <w:t>铬酸钡分光光度法(热法）</w:t>
            </w:r>
          </w:p>
        </w:tc>
        <w:tc>
          <w:tcPr>
            <w:tcW w:w="1804" w:type="pct"/>
            <w:tcBorders>
              <w:bottom w:val="single" w:color="000000" w:sz="12" w:space="0"/>
              <w:right w:val="single" w:color="000000" w:sz="12" w:space="0"/>
            </w:tcBorders>
            <w:noWrap w:val="0"/>
            <w:vAlign w:val="center"/>
          </w:tcPr>
          <w:p>
            <w:pPr>
              <w:adjustRightInd w:val="0"/>
              <w:snapToGrid w:val="0"/>
              <w:spacing w:line="240" w:lineRule="exact"/>
              <w:jc w:val="center"/>
              <w:rPr>
                <w:kern w:val="0"/>
                <w:szCs w:val="21"/>
                <w:lang w:bidi="ar"/>
              </w:rPr>
            </w:pPr>
            <w:r>
              <w:rPr>
                <w:kern w:val="0"/>
                <w:szCs w:val="21"/>
                <w:lang w:bidi="ar"/>
              </w:rPr>
              <w:t>GB/T 5750.5-2006</w:t>
            </w:r>
          </w:p>
        </w:tc>
      </w:tr>
    </w:tbl>
    <w:p>
      <w:pPr>
        <w:spacing w:line="520" w:lineRule="exact"/>
        <w:rPr>
          <w:b/>
          <w:bCs/>
          <w:sz w:val="24"/>
        </w:rPr>
      </w:pPr>
      <w:r>
        <w:rPr>
          <w:b/>
          <w:bCs/>
          <w:sz w:val="24"/>
        </w:rPr>
        <w:t>3.3.3.3评价方法</w:t>
      </w:r>
      <w:bookmarkEnd w:id="346"/>
      <w:bookmarkEnd w:id="347"/>
    </w:p>
    <w:p>
      <w:pPr>
        <w:autoSpaceDE w:val="0"/>
        <w:autoSpaceDN w:val="0"/>
        <w:adjustRightInd w:val="0"/>
        <w:spacing w:line="520" w:lineRule="exact"/>
        <w:ind w:firstLine="424" w:firstLineChars="177"/>
        <w:jc w:val="left"/>
        <w:rPr>
          <w:bCs/>
          <w:sz w:val="24"/>
        </w:rPr>
      </w:pPr>
      <w:r>
        <w:rPr>
          <w:bCs/>
          <w:sz w:val="24"/>
        </w:rPr>
        <w:t>采用单因子污染指数法。</w:t>
      </w:r>
    </w:p>
    <w:p>
      <w:pPr>
        <w:spacing w:line="520" w:lineRule="exact"/>
        <w:rPr>
          <w:b/>
          <w:bCs/>
          <w:sz w:val="24"/>
        </w:rPr>
      </w:pPr>
      <w:bookmarkStart w:id="348" w:name="_Toc413829642"/>
      <w:bookmarkStart w:id="349" w:name="_Toc406663009"/>
      <w:r>
        <w:rPr>
          <w:b/>
          <w:bCs/>
          <w:sz w:val="24"/>
        </w:rPr>
        <w:t>3.3.3.4评价标准</w:t>
      </w:r>
      <w:bookmarkEnd w:id="348"/>
      <w:bookmarkEnd w:id="349"/>
    </w:p>
    <w:p>
      <w:pPr>
        <w:autoSpaceDE w:val="0"/>
        <w:autoSpaceDN w:val="0"/>
        <w:adjustRightInd w:val="0"/>
        <w:spacing w:line="520" w:lineRule="exact"/>
        <w:ind w:firstLine="424" w:firstLineChars="177"/>
        <w:jc w:val="left"/>
        <w:rPr>
          <w:bCs/>
          <w:sz w:val="24"/>
        </w:rPr>
      </w:pPr>
      <w:bookmarkStart w:id="350" w:name="_Toc413829643"/>
      <w:bookmarkStart w:id="351" w:name="_Toc406663010"/>
      <w:r>
        <w:rPr>
          <w:bCs/>
          <w:sz w:val="24"/>
        </w:rPr>
        <w:t>地下水水质现状评价执行《地下水质量标准》（GB/T14848-2017）中的</w:t>
      </w:r>
      <w:r>
        <w:rPr>
          <w:bCs/>
          <w:sz w:val="24"/>
        </w:rPr>
        <w:fldChar w:fldCharType="begin"/>
      </w:r>
      <w:r>
        <w:rPr>
          <w:bCs/>
          <w:sz w:val="24"/>
        </w:rPr>
        <w:instrText xml:space="preserve"> = 3 \* ROMAN </w:instrText>
      </w:r>
      <w:r>
        <w:rPr>
          <w:bCs/>
          <w:sz w:val="24"/>
        </w:rPr>
        <w:fldChar w:fldCharType="separate"/>
      </w:r>
      <w:r>
        <w:rPr>
          <w:bCs/>
          <w:sz w:val="24"/>
        </w:rPr>
        <w:t>III</w:t>
      </w:r>
      <w:r>
        <w:rPr>
          <w:bCs/>
          <w:sz w:val="24"/>
        </w:rPr>
        <w:fldChar w:fldCharType="end"/>
      </w:r>
      <w:r>
        <w:rPr>
          <w:bCs/>
          <w:sz w:val="24"/>
        </w:rPr>
        <w:t>类标准，根据《环境影响评价技术导则—地下水环境》（HJ 610-2016）要求对地下水因子进行监测。</w:t>
      </w:r>
    </w:p>
    <w:p>
      <w:pPr>
        <w:spacing w:line="520" w:lineRule="exact"/>
        <w:rPr>
          <w:b/>
          <w:bCs/>
          <w:sz w:val="24"/>
        </w:rPr>
      </w:pPr>
      <w:r>
        <w:rPr>
          <w:b/>
          <w:bCs/>
          <w:sz w:val="24"/>
        </w:rPr>
        <w:t>3.3.3.5监测统计及评价结果</w:t>
      </w:r>
      <w:bookmarkEnd w:id="350"/>
      <w:bookmarkEnd w:id="351"/>
    </w:p>
    <w:p>
      <w:pPr>
        <w:autoSpaceDE w:val="0"/>
        <w:autoSpaceDN w:val="0"/>
        <w:adjustRightInd w:val="0"/>
        <w:spacing w:line="520" w:lineRule="exact"/>
        <w:ind w:firstLine="424" w:firstLineChars="177"/>
        <w:jc w:val="left"/>
        <w:rPr>
          <w:bCs/>
          <w:sz w:val="24"/>
        </w:rPr>
      </w:pPr>
      <w:r>
        <w:rPr>
          <w:bCs/>
          <w:sz w:val="24"/>
        </w:rPr>
        <w:t>地下水环境现状监测统计及评价结果见表3.3-12。</w:t>
      </w:r>
    </w:p>
    <w:p>
      <w:pPr>
        <w:autoSpaceDE w:val="0"/>
        <w:autoSpaceDN w:val="0"/>
        <w:adjustRightInd w:val="0"/>
        <w:spacing w:line="520" w:lineRule="exact"/>
        <w:jc w:val="left"/>
        <w:rPr>
          <w:bCs/>
          <w:sz w:val="24"/>
        </w:rPr>
        <w:sectPr>
          <w:pgSz w:w="11906" w:h="16838"/>
          <w:pgMar w:top="1588" w:right="1588" w:bottom="1588" w:left="1588" w:header="851" w:footer="992" w:gutter="0"/>
          <w:pgNumType w:fmt="numberInDash"/>
          <w:cols w:space="720" w:num="1"/>
          <w:docGrid w:linePitch="312" w:charSpace="0"/>
        </w:sectPr>
      </w:pPr>
    </w:p>
    <w:p>
      <w:pPr>
        <w:spacing w:after="72" w:afterLines="30" w:line="500" w:lineRule="exact"/>
        <w:jc w:val="center"/>
        <w:rPr>
          <w:b/>
          <w:bCs/>
          <w:sz w:val="24"/>
        </w:rPr>
      </w:pPr>
      <w:r>
        <w:rPr>
          <w:b/>
          <w:bCs/>
          <w:sz w:val="24"/>
        </w:rPr>
        <w:t>表3.3-12   地下水水质监测统计及评价结果一览表（</w:t>
      </w:r>
      <w:r>
        <w:rPr>
          <w:rFonts w:hint="eastAsia"/>
          <w:b/>
          <w:bCs/>
          <w:sz w:val="24"/>
          <w:lang w:val="en-US" w:eastAsia="zh-CN"/>
        </w:rPr>
        <w:t xml:space="preserve"> </w:t>
      </w:r>
      <w:r>
        <w:rPr>
          <w:b/>
          <w:bCs/>
          <w:sz w:val="24"/>
        </w:rPr>
        <w:t>单位：mg/L，其中pH、总大肠菌群除外）</w:t>
      </w:r>
    </w:p>
    <w:tbl>
      <w:tblPr>
        <w:tblStyle w:val="17"/>
        <w:tblW w:w="4997"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7" w:type="dxa"/>
          <w:bottom w:w="0" w:type="dxa"/>
          <w:right w:w="57" w:type="dxa"/>
        </w:tblCellMar>
      </w:tblPr>
      <w:tblGrid>
        <w:gridCol w:w="576"/>
        <w:gridCol w:w="1287"/>
        <w:gridCol w:w="1158"/>
        <w:gridCol w:w="1251"/>
        <w:gridCol w:w="1158"/>
        <w:gridCol w:w="1238"/>
        <w:gridCol w:w="1034"/>
        <w:gridCol w:w="1138"/>
        <w:gridCol w:w="1094"/>
        <w:gridCol w:w="912"/>
        <w:gridCol w:w="1114"/>
        <w:gridCol w:w="912"/>
        <w:gridCol w:w="89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atLeast"/>
          <w:tblHeader/>
        </w:trPr>
        <w:tc>
          <w:tcPr>
            <w:tcW w:w="209" w:type="pct"/>
            <w:tcBorders>
              <w:top w:val="single" w:color="auto" w:sz="12" w:space="0"/>
              <w:left w:val="single" w:color="auto" w:sz="12" w:space="0"/>
              <w:bottom w:val="single" w:color="auto" w:sz="6" w:space="0"/>
            </w:tcBorders>
            <w:noWrap w:val="0"/>
            <w:vAlign w:val="center"/>
          </w:tcPr>
          <w:p>
            <w:pPr>
              <w:jc w:val="center"/>
              <w:rPr>
                <w:b/>
                <w:bCs/>
                <w:szCs w:val="21"/>
              </w:rPr>
            </w:pPr>
            <w:r>
              <w:rPr>
                <w:b/>
                <w:bCs/>
                <w:szCs w:val="21"/>
              </w:rPr>
              <w:t>监测点</w:t>
            </w:r>
          </w:p>
        </w:tc>
        <w:tc>
          <w:tcPr>
            <w:tcW w:w="467" w:type="pct"/>
            <w:tcBorders>
              <w:top w:val="single" w:color="auto" w:sz="12" w:space="0"/>
              <w:bottom w:val="single" w:color="auto" w:sz="6" w:space="0"/>
            </w:tcBorders>
            <w:noWrap w:val="0"/>
            <w:vAlign w:val="center"/>
          </w:tcPr>
          <w:p>
            <w:pPr>
              <w:jc w:val="center"/>
              <w:rPr>
                <w:b/>
                <w:bCs/>
                <w:szCs w:val="21"/>
              </w:rPr>
            </w:pPr>
            <w:r>
              <w:rPr>
                <w:b/>
                <w:bCs/>
                <w:szCs w:val="21"/>
              </w:rPr>
              <w:t>项目</w:t>
            </w:r>
          </w:p>
        </w:tc>
        <w:tc>
          <w:tcPr>
            <w:tcW w:w="420" w:type="pct"/>
            <w:tcBorders>
              <w:top w:val="single" w:color="auto" w:sz="12" w:space="0"/>
              <w:bottom w:val="single" w:color="auto" w:sz="6" w:space="0"/>
            </w:tcBorders>
            <w:noWrap w:val="0"/>
            <w:vAlign w:val="center"/>
          </w:tcPr>
          <w:p>
            <w:pPr>
              <w:tabs>
                <w:tab w:val="center" w:pos="6979"/>
                <w:tab w:val="left" w:pos="12193"/>
              </w:tabs>
              <w:jc w:val="center"/>
              <w:rPr>
                <w:b/>
                <w:snapToGrid w:val="0"/>
                <w:szCs w:val="21"/>
              </w:rPr>
            </w:pPr>
            <w:r>
              <w:rPr>
                <w:b/>
                <w:snapToGrid w:val="0"/>
                <w:szCs w:val="21"/>
              </w:rPr>
              <w:t>pH</w:t>
            </w:r>
          </w:p>
        </w:tc>
        <w:tc>
          <w:tcPr>
            <w:tcW w:w="454" w:type="pct"/>
            <w:tcBorders>
              <w:top w:val="single" w:color="auto" w:sz="12" w:space="0"/>
              <w:bottom w:val="single" w:color="auto" w:sz="6" w:space="0"/>
            </w:tcBorders>
            <w:noWrap w:val="0"/>
            <w:vAlign w:val="center"/>
          </w:tcPr>
          <w:p>
            <w:pPr>
              <w:tabs>
                <w:tab w:val="center" w:pos="6979"/>
                <w:tab w:val="left" w:pos="12193"/>
              </w:tabs>
              <w:jc w:val="center"/>
              <w:rPr>
                <w:b/>
                <w:snapToGrid w:val="0"/>
                <w:szCs w:val="21"/>
              </w:rPr>
            </w:pPr>
            <w:r>
              <w:rPr>
                <w:b/>
                <w:snapToGrid w:val="0"/>
                <w:szCs w:val="21"/>
              </w:rPr>
              <w:t>总硬度</w:t>
            </w:r>
          </w:p>
        </w:tc>
        <w:tc>
          <w:tcPr>
            <w:tcW w:w="420" w:type="pct"/>
            <w:tcBorders>
              <w:top w:val="single" w:color="auto" w:sz="12" w:space="0"/>
              <w:bottom w:val="single" w:color="auto" w:sz="6" w:space="0"/>
              <w:right w:val="single" w:color="auto" w:sz="4" w:space="0"/>
            </w:tcBorders>
            <w:noWrap w:val="0"/>
            <w:vAlign w:val="center"/>
          </w:tcPr>
          <w:p>
            <w:pPr>
              <w:tabs>
                <w:tab w:val="center" w:pos="6979"/>
                <w:tab w:val="left" w:pos="12193"/>
              </w:tabs>
              <w:jc w:val="center"/>
              <w:rPr>
                <w:b/>
                <w:snapToGrid w:val="0"/>
                <w:szCs w:val="21"/>
              </w:rPr>
            </w:pPr>
            <w:r>
              <w:rPr>
                <w:b/>
                <w:snapToGrid w:val="0"/>
                <w:szCs w:val="21"/>
              </w:rPr>
              <w:t>硝酸盐</w:t>
            </w:r>
          </w:p>
        </w:tc>
        <w:tc>
          <w:tcPr>
            <w:tcW w:w="449" w:type="pct"/>
            <w:tcBorders>
              <w:top w:val="single" w:color="auto" w:sz="12" w:space="0"/>
              <w:left w:val="single" w:color="auto" w:sz="4" w:space="0"/>
              <w:bottom w:val="single" w:color="auto" w:sz="6" w:space="0"/>
            </w:tcBorders>
            <w:noWrap w:val="0"/>
            <w:vAlign w:val="center"/>
          </w:tcPr>
          <w:p>
            <w:pPr>
              <w:tabs>
                <w:tab w:val="center" w:pos="6979"/>
                <w:tab w:val="left" w:pos="12193"/>
              </w:tabs>
              <w:jc w:val="center"/>
              <w:rPr>
                <w:b/>
                <w:snapToGrid w:val="0"/>
                <w:szCs w:val="21"/>
              </w:rPr>
            </w:pPr>
            <w:r>
              <w:rPr>
                <w:b/>
                <w:snapToGrid w:val="0"/>
                <w:szCs w:val="21"/>
              </w:rPr>
              <w:t>亚硝酸盐</w:t>
            </w:r>
          </w:p>
        </w:tc>
        <w:tc>
          <w:tcPr>
            <w:tcW w:w="375" w:type="pct"/>
            <w:tcBorders>
              <w:top w:val="single" w:color="auto" w:sz="12" w:space="0"/>
              <w:bottom w:val="single" w:color="auto" w:sz="6" w:space="0"/>
            </w:tcBorders>
            <w:noWrap w:val="0"/>
            <w:vAlign w:val="center"/>
          </w:tcPr>
          <w:p>
            <w:pPr>
              <w:tabs>
                <w:tab w:val="center" w:pos="6979"/>
                <w:tab w:val="left" w:pos="12193"/>
              </w:tabs>
              <w:jc w:val="center"/>
              <w:rPr>
                <w:b/>
                <w:snapToGrid w:val="0"/>
                <w:szCs w:val="21"/>
              </w:rPr>
            </w:pPr>
            <w:r>
              <w:rPr>
                <w:b/>
                <w:snapToGrid w:val="0"/>
                <w:szCs w:val="21"/>
              </w:rPr>
              <w:t>氨氮</w:t>
            </w:r>
          </w:p>
        </w:tc>
        <w:tc>
          <w:tcPr>
            <w:tcW w:w="413" w:type="pct"/>
            <w:tcBorders>
              <w:top w:val="single" w:color="auto" w:sz="12" w:space="0"/>
              <w:bottom w:val="single" w:color="auto" w:sz="6" w:space="0"/>
            </w:tcBorders>
            <w:noWrap w:val="0"/>
            <w:vAlign w:val="center"/>
          </w:tcPr>
          <w:p>
            <w:pPr>
              <w:tabs>
                <w:tab w:val="center" w:pos="6979"/>
                <w:tab w:val="left" w:pos="12193"/>
              </w:tabs>
              <w:jc w:val="center"/>
              <w:rPr>
                <w:b/>
                <w:snapToGrid w:val="0"/>
                <w:szCs w:val="21"/>
              </w:rPr>
            </w:pPr>
            <w:r>
              <w:rPr>
                <w:b/>
                <w:snapToGrid w:val="0"/>
                <w:szCs w:val="21"/>
              </w:rPr>
              <w:t>溶解性总固体</w:t>
            </w:r>
          </w:p>
        </w:tc>
        <w:tc>
          <w:tcPr>
            <w:tcW w:w="397" w:type="pct"/>
            <w:tcBorders>
              <w:top w:val="single" w:color="auto" w:sz="12" w:space="0"/>
              <w:bottom w:val="single" w:color="auto" w:sz="6" w:space="0"/>
            </w:tcBorders>
            <w:noWrap w:val="0"/>
            <w:vAlign w:val="center"/>
          </w:tcPr>
          <w:p>
            <w:pPr>
              <w:tabs>
                <w:tab w:val="center" w:pos="6979"/>
                <w:tab w:val="left" w:pos="12193"/>
              </w:tabs>
              <w:jc w:val="center"/>
              <w:rPr>
                <w:b/>
                <w:snapToGrid w:val="0"/>
                <w:szCs w:val="21"/>
              </w:rPr>
            </w:pPr>
            <w:r>
              <w:rPr>
                <w:b/>
                <w:snapToGrid w:val="0"/>
                <w:szCs w:val="21"/>
              </w:rPr>
              <w:t>总大肠菌群</w:t>
            </w:r>
          </w:p>
          <w:p>
            <w:pPr>
              <w:tabs>
                <w:tab w:val="center" w:pos="6979"/>
                <w:tab w:val="left" w:pos="12193"/>
              </w:tabs>
              <w:jc w:val="center"/>
              <w:rPr>
                <w:b/>
                <w:snapToGrid w:val="0"/>
                <w:szCs w:val="21"/>
              </w:rPr>
            </w:pPr>
            <w:r>
              <w:rPr>
                <w:b/>
                <w:snapToGrid w:val="0"/>
                <w:szCs w:val="21"/>
              </w:rPr>
              <w:t>个/L</w:t>
            </w:r>
          </w:p>
        </w:tc>
        <w:tc>
          <w:tcPr>
            <w:tcW w:w="331" w:type="pct"/>
            <w:tcBorders>
              <w:top w:val="single" w:color="auto" w:sz="12" w:space="0"/>
              <w:bottom w:val="single" w:color="auto" w:sz="6" w:space="0"/>
            </w:tcBorders>
            <w:noWrap w:val="0"/>
            <w:vAlign w:val="center"/>
          </w:tcPr>
          <w:p>
            <w:pPr>
              <w:tabs>
                <w:tab w:val="center" w:pos="6979"/>
                <w:tab w:val="left" w:pos="12193"/>
              </w:tabs>
              <w:jc w:val="center"/>
              <w:rPr>
                <w:b/>
                <w:snapToGrid w:val="0"/>
                <w:szCs w:val="21"/>
              </w:rPr>
            </w:pPr>
            <w:r>
              <w:rPr>
                <w:rFonts w:hint="eastAsia"/>
                <w:b/>
                <w:snapToGrid w:val="0"/>
                <w:szCs w:val="21"/>
              </w:rPr>
              <w:t>细菌</w:t>
            </w:r>
            <w:r>
              <w:rPr>
                <w:b/>
                <w:snapToGrid w:val="0"/>
                <w:szCs w:val="21"/>
              </w:rPr>
              <w:t>总数</w:t>
            </w:r>
          </w:p>
          <w:p>
            <w:pPr>
              <w:tabs>
                <w:tab w:val="center" w:pos="6979"/>
                <w:tab w:val="left" w:pos="12193"/>
              </w:tabs>
              <w:jc w:val="center"/>
              <w:rPr>
                <w:b/>
                <w:snapToGrid w:val="0"/>
                <w:szCs w:val="21"/>
              </w:rPr>
            </w:pPr>
            <w:r>
              <w:rPr>
                <w:b/>
                <w:snapToGrid w:val="0"/>
                <w:szCs w:val="21"/>
              </w:rPr>
              <w:t>个/L</w:t>
            </w:r>
          </w:p>
        </w:tc>
        <w:tc>
          <w:tcPr>
            <w:tcW w:w="404" w:type="pct"/>
            <w:tcBorders>
              <w:top w:val="single" w:color="auto" w:sz="12" w:space="0"/>
              <w:bottom w:val="single" w:color="auto" w:sz="6" w:space="0"/>
            </w:tcBorders>
            <w:noWrap w:val="0"/>
            <w:vAlign w:val="center"/>
          </w:tcPr>
          <w:p>
            <w:pPr>
              <w:tabs>
                <w:tab w:val="center" w:pos="6979"/>
                <w:tab w:val="left" w:pos="12193"/>
              </w:tabs>
              <w:jc w:val="center"/>
              <w:rPr>
                <w:b/>
                <w:snapToGrid w:val="0"/>
                <w:szCs w:val="21"/>
              </w:rPr>
            </w:pPr>
            <w:r>
              <w:rPr>
                <w:b/>
                <w:snapToGrid w:val="0"/>
                <w:szCs w:val="21"/>
              </w:rPr>
              <w:t>氯化物</w:t>
            </w:r>
          </w:p>
        </w:tc>
        <w:tc>
          <w:tcPr>
            <w:tcW w:w="331" w:type="pct"/>
            <w:tcBorders>
              <w:top w:val="single" w:color="auto" w:sz="12" w:space="0"/>
              <w:bottom w:val="single" w:color="auto" w:sz="6" w:space="0"/>
            </w:tcBorders>
            <w:noWrap w:val="0"/>
            <w:vAlign w:val="center"/>
          </w:tcPr>
          <w:p>
            <w:pPr>
              <w:tabs>
                <w:tab w:val="center" w:pos="6979"/>
                <w:tab w:val="left" w:pos="12193"/>
              </w:tabs>
              <w:jc w:val="center"/>
              <w:rPr>
                <w:b/>
                <w:snapToGrid w:val="0"/>
                <w:szCs w:val="21"/>
              </w:rPr>
            </w:pPr>
            <w:r>
              <w:rPr>
                <w:b/>
                <w:snapToGrid w:val="0"/>
                <w:szCs w:val="21"/>
              </w:rPr>
              <w:t>井深m</w:t>
            </w:r>
          </w:p>
        </w:tc>
        <w:tc>
          <w:tcPr>
            <w:tcW w:w="325" w:type="pct"/>
            <w:tcBorders>
              <w:top w:val="single" w:color="auto" w:sz="12" w:space="0"/>
              <w:bottom w:val="single" w:color="auto" w:sz="6" w:space="0"/>
              <w:right w:val="single" w:color="auto" w:sz="12" w:space="0"/>
            </w:tcBorders>
            <w:noWrap w:val="0"/>
            <w:vAlign w:val="center"/>
          </w:tcPr>
          <w:p>
            <w:pPr>
              <w:tabs>
                <w:tab w:val="center" w:pos="6979"/>
                <w:tab w:val="left" w:pos="12193"/>
              </w:tabs>
              <w:jc w:val="center"/>
              <w:rPr>
                <w:b/>
                <w:snapToGrid w:val="0"/>
                <w:szCs w:val="21"/>
              </w:rPr>
            </w:pPr>
            <w:r>
              <w:rPr>
                <w:b/>
                <w:snapToGrid w:val="0"/>
                <w:szCs w:val="21"/>
              </w:rPr>
              <w:t>水位m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209" w:type="pct"/>
            <w:vMerge w:val="restart"/>
            <w:tcBorders>
              <w:top w:val="single" w:color="auto" w:sz="6" w:space="0"/>
              <w:left w:val="single" w:color="auto" w:sz="12" w:space="0"/>
              <w:bottom w:val="single" w:color="auto" w:sz="6" w:space="0"/>
            </w:tcBorders>
            <w:noWrap w:val="0"/>
            <w:vAlign w:val="center"/>
          </w:tcPr>
          <w:p>
            <w:pPr>
              <w:jc w:val="center"/>
              <w:rPr>
                <w:rFonts w:hint="eastAsia" w:eastAsia="宋体"/>
                <w:szCs w:val="21"/>
                <w:lang w:eastAsia="zh-CN"/>
              </w:rPr>
            </w:pPr>
            <w:r>
              <w:rPr>
                <w:rFonts w:hint="eastAsia"/>
                <w:szCs w:val="21"/>
                <w:lang w:eastAsia="zh-CN"/>
              </w:rPr>
              <w:t>大邢庄</w:t>
            </w:r>
          </w:p>
        </w:tc>
        <w:tc>
          <w:tcPr>
            <w:tcW w:w="467" w:type="pct"/>
            <w:tcBorders>
              <w:top w:val="single" w:color="auto" w:sz="6" w:space="0"/>
              <w:bottom w:val="single" w:color="auto" w:sz="6" w:space="0"/>
            </w:tcBorders>
            <w:noWrap w:val="0"/>
            <w:vAlign w:val="center"/>
          </w:tcPr>
          <w:p>
            <w:pPr>
              <w:jc w:val="center"/>
              <w:rPr>
                <w:rFonts w:hint="eastAsia"/>
                <w:bCs/>
                <w:szCs w:val="21"/>
              </w:rPr>
            </w:pPr>
            <w:r>
              <w:rPr>
                <w:rFonts w:hint="eastAsia"/>
                <w:bCs/>
                <w:szCs w:val="21"/>
              </w:rPr>
              <w:t>数值</w:t>
            </w:r>
          </w:p>
        </w:tc>
        <w:tc>
          <w:tcPr>
            <w:tcW w:w="420" w:type="pct"/>
            <w:tcBorders>
              <w:top w:val="single" w:color="auto" w:sz="6" w:space="0"/>
              <w:bottom w:val="single" w:color="auto" w:sz="6" w:space="0"/>
            </w:tcBorders>
            <w:noWrap w:val="0"/>
            <w:vAlign w:val="center"/>
          </w:tcPr>
          <w:p>
            <w:pPr>
              <w:jc w:val="center"/>
              <w:rPr>
                <w:rFonts w:hint="default" w:eastAsia="宋体"/>
                <w:szCs w:val="21"/>
                <w:lang w:val="en-US" w:eastAsia="zh-CN"/>
              </w:rPr>
            </w:pPr>
            <w:r>
              <w:rPr>
                <w:rFonts w:hint="eastAsia"/>
                <w:szCs w:val="21"/>
              </w:rPr>
              <w:t>7.</w:t>
            </w:r>
            <w:r>
              <w:rPr>
                <w:rFonts w:hint="eastAsia"/>
                <w:szCs w:val="21"/>
                <w:lang w:val="en-US" w:eastAsia="zh-CN"/>
              </w:rPr>
              <w:t>30</w:t>
            </w:r>
          </w:p>
        </w:tc>
        <w:tc>
          <w:tcPr>
            <w:tcW w:w="454" w:type="pct"/>
            <w:tcBorders>
              <w:top w:val="single" w:color="auto" w:sz="6" w:space="0"/>
              <w:bottom w:val="single" w:color="auto" w:sz="6" w:space="0"/>
            </w:tcBorders>
            <w:noWrap w:val="0"/>
            <w:vAlign w:val="center"/>
          </w:tcPr>
          <w:p>
            <w:pPr>
              <w:jc w:val="center"/>
              <w:rPr>
                <w:rFonts w:hint="default" w:eastAsia="宋体"/>
                <w:szCs w:val="21"/>
                <w:lang w:val="en-US" w:eastAsia="zh-CN"/>
              </w:rPr>
            </w:pPr>
            <w:r>
              <w:rPr>
                <w:rFonts w:hint="eastAsia"/>
                <w:szCs w:val="21"/>
                <w:lang w:val="en-US" w:eastAsia="zh-CN"/>
              </w:rPr>
              <w:t>325</w:t>
            </w:r>
          </w:p>
        </w:tc>
        <w:tc>
          <w:tcPr>
            <w:tcW w:w="420" w:type="pct"/>
            <w:tcBorders>
              <w:top w:val="single" w:color="auto" w:sz="6" w:space="0"/>
              <w:bottom w:val="single" w:color="auto" w:sz="6" w:space="0"/>
              <w:right w:val="single" w:color="auto" w:sz="4" w:space="0"/>
            </w:tcBorders>
            <w:noWrap w:val="0"/>
            <w:vAlign w:val="center"/>
          </w:tcPr>
          <w:p>
            <w:pPr>
              <w:jc w:val="center"/>
              <w:rPr>
                <w:rFonts w:hint="default" w:eastAsia="宋体"/>
                <w:szCs w:val="21"/>
                <w:lang w:val="en-US" w:eastAsia="zh-CN"/>
              </w:rPr>
            </w:pPr>
            <w:r>
              <w:rPr>
                <w:rFonts w:hint="eastAsia"/>
                <w:szCs w:val="21"/>
                <w:lang w:val="en-US" w:eastAsia="zh-CN"/>
              </w:rPr>
              <w:t>1.17</w:t>
            </w:r>
          </w:p>
        </w:tc>
        <w:tc>
          <w:tcPr>
            <w:tcW w:w="449" w:type="pct"/>
            <w:tcBorders>
              <w:top w:val="single" w:color="auto" w:sz="6" w:space="0"/>
              <w:left w:val="single" w:color="auto" w:sz="4" w:space="0"/>
              <w:bottom w:val="single" w:color="auto" w:sz="6" w:space="0"/>
            </w:tcBorders>
            <w:noWrap w:val="0"/>
            <w:vAlign w:val="center"/>
          </w:tcPr>
          <w:p>
            <w:pPr>
              <w:jc w:val="center"/>
            </w:pPr>
            <w:r>
              <w:rPr>
                <w:szCs w:val="21"/>
              </w:rPr>
              <w:t>未检出</w:t>
            </w:r>
          </w:p>
        </w:tc>
        <w:tc>
          <w:tcPr>
            <w:tcW w:w="375" w:type="pct"/>
            <w:tcBorders>
              <w:top w:val="single" w:color="auto" w:sz="6" w:space="0"/>
              <w:bottom w:val="single" w:color="auto" w:sz="6" w:space="0"/>
            </w:tcBorders>
            <w:noWrap w:val="0"/>
            <w:vAlign w:val="center"/>
          </w:tcPr>
          <w:p>
            <w:pPr>
              <w:jc w:val="center"/>
              <w:rPr>
                <w:bCs/>
                <w:szCs w:val="21"/>
              </w:rPr>
            </w:pPr>
            <w:r>
              <w:rPr>
                <w:szCs w:val="21"/>
              </w:rPr>
              <w:t>未检出</w:t>
            </w:r>
          </w:p>
        </w:tc>
        <w:tc>
          <w:tcPr>
            <w:tcW w:w="413" w:type="pct"/>
            <w:tcBorders>
              <w:top w:val="single" w:color="auto" w:sz="6" w:space="0"/>
              <w:bottom w:val="single" w:color="auto" w:sz="6" w:space="0"/>
            </w:tcBorders>
            <w:noWrap w:val="0"/>
            <w:vAlign w:val="center"/>
          </w:tcPr>
          <w:p>
            <w:pPr>
              <w:jc w:val="center"/>
              <w:rPr>
                <w:rFonts w:hint="default" w:eastAsia="宋体"/>
                <w:szCs w:val="21"/>
                <w:lang w:val="en-US" w:eastAsia="zh-CN"/>
              </w:rPr>
            </w:pPr>
            <w:r>
              <w:rPr>
                <w:rFonts w:hint="eastAsia"/>
                <w:szCs w:val="21"/>
                <w:lang w:val="en-US" w:eastAsia="zh-CN"/>
              </w:rPr>
              <w:t>328</w:t>
            </w:r>
          </w:p>
        </w:tc>
        <w:tc>
          <w:tcPr>
            <w:tcW w:w="397" w:type="pct"/>
            <w:tcBorders>
              <w:top w:val="single" w:color="auto" w:sz="6" w:space="0"/>
              <w:bottom w:val="single" w:color="auto" w:sz="6" w:space="0"/>
            </w:tcBorders>
            <w:noWrap w:val="0"/>
            <w:vAlign w:val="center"/>
          </w:tcPr>
          <w:p>
            <w:pPr>
              <w:jc w:val="center"/>
              <w:rPr>
                <w:rFonts w:hint="eastAsia" w:ascii="宋体" w:hAnsi="宋体" w:eastAsia="宋体" w:cs="宋体"/>
                <w:lang w:eastAsia="zh-CN"/>
              </w:rPr>
            </w:pPr>
            <w:r>
              <w:rPr>
                <w:rFonts w:hint="eastAsia"/>
                <w:lang w:val="en-US" w:eastAsia="zh-CN"/>
              </w:rPr>
              <w:t>未检出</w:t>
            </w:r>
          </w:p>
        </w:tc>
        <w:tc>
          <w:tcPr>
            <w:tcW w:w="331" w:type="pct"/>
            <w:tcBorders>
              <w:top w:val="single" w:color="auto" w:sz="6" w:space="0"/>
              <w:bottom w:val="single" w:color="auto" w:sz="6" w:space="0"/>
            </w:tcBorders>
            <w:noWrap w:val="0"/>
            <w:vAlign w:val="center"/>
          </w:tcPr>
          <w:p>
            <w:pPr>
              <w:jc w:val="center"/>
              <w:rPr>
                <w:rFonts w:hint="default" w:eastAsia="宋体"/>
                <w:bCs/>
                <w:szCs w:val="21"/>
                <w:lang w:val="en-US" w:eastAsia="zh-CN"/>
              </w:rPr>
            </w:pPr>
            <w:r>
              <w:rPr>
                <w:rFonts w:hint="eastAsia"/>
                <w:bCs/>
                <w:szCs w:val="21"/>
                <w:lang w:val="en-US" w:eastAsia="zh-CN"/>
              </w:rPr>
              <w:t>50</w:t>
            </w:r>
          </w:p>
        </w:tc>
        <w:tc>
          <w:tcPr>
            <w:tcW w:w="404" w:type="pct"/>
            <w:tcBorders>
              <w:top w:val="single" w:color="auto" w:sz="6" w:space="0"/>
              <w:bottom w:val="single" w:color="auto" w:sz="6" w:space="0"/>
            </w:tcBorders>
            <w:noWrap w:val="0"/>
            <w:vAlign w:val="center"/>
          </w:tcPr>
          <w:p>
            <w:pPr>
              <w:jc w:val="center"/>
              <w:rPr>
                <w:rFonts w:hint="default" w:eastAsia="宋体"/>
                <w:bCs/>
                <w:szCs w:val="21"/>
                <w:lang w:val="en-US" w:eastAsia="zh-CN"/>
              </w:rPr>
            </w:pPr>
            <w:r>
              <w:rPr>
                <w:rFonts w:hint="eastAsia"/>
                <w:bCs/>
                <w:szCs w:val="21"/>
                <w:lang w:val="en-US" w:eastAsia="zh-CN"/>
              </w:rPr>
              <w:t>18.4</w:t>
            </w:r>
          </w:p>
        </w:tc>
        <w:tc>
          <w:tcPr>
            <w:tcW w:w="331" w:type="pct"/>
            <w:tcBorders>
              <w:top w:val="single" w:color="auto" w:sz="6" w:space="0"/>
            </w:tcBorders>
            <w:noWrap w:val="0"/>
            <w:vAlign w:val="center"/>
          </w:tcPr>
          <w:p>
            <w:pPr>
              <w:jc w:val="center"/>
              <w:rPr>
                <w:rFonts w:hint="default" w:eastAsia="宋体"/>
                <w:bCs/>
                <w:szCs w:val="21"/>
                <w:lang w:val="en-US" w:eastAsia="zh-CN"/>
              </w:rPr>
            </w:pPr>
            <w:r>
              <w:rPr>
                <w:rFonts w:hint="eastAsia"/>
                <w:bCs/>
                <w:szCs w:val="21"/>
                <w:lang w:val="en-US" w:eastAsia="zh-CN"/>
              </w:rPr>
              <w:t>18</w:t>
            </w:r>
          </w:p>
        </w:tc>
        <w:tc>
          <w:tcPr>
            <w:tcW w:w="325" w:type="pct"/>
            <w:tcBorders>
              <w:top w:val="single" w:color="auto" w:sz="6" w:space="0"/>
              <w:right w:val="single" w:color="auto" w:sz="12" w:space="0"/>
            </w:tcBorders>
            <w:noWrap w:val="0"/>
            <w:vAlign w:val="center"/>
          </w:tcPr>
          <w:p>
            <w:pPr>
              <w:jc w:val="center"/>
              <w:rPr>
                <w:rFonts w:hint="default" w:eastAsia="宋体"/>
                <w:bCs/>
                <w:szCs w:val="21"/>
                <w:lang w:val="en-US" w:eastAsia="zh-CN"/>
              </w:rPr>
            </w:pPr>
            <w:r>
              <w:rPr>
                <w:rFonts w:hint="eastAsia"/>
                <w:bCs/>
                <w:szCs w:val="21"/>
                <w:lang w:val="en-US" w:eastAsia="zh-CN"/>
              </w:rPr>
              <w:t>5.3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55" w:hRule="atLeast"/>
        </w:trPr>
        <w:tc>
          <w:tcPr>
            <w:tcW w:w="209" w:type="pct"/>
            <w:vMerge w:val="continue"/>
            <w:tcBorders>
              <w:top w:val="single" w:color="auto" w:sz="6" w:space="0"/>
              <w:left w:val="single" w:color="auto" w:sz="12" w:space="0"/>
              <w:bottom w:val="single" w:color="auto" w:sz="6" w:space="0"/>
            </w:tcBorders>
            <w:noWrap w:val="0"/>
            <w:vAlign w:val="center"/>
          </w:tcPr>
          <w:p>
            <w:pPr>
              <w:jc w:val="center"/>
              <w:rPr>
                <w:bCs/>
                <w:szCs w:val="21"/>
              </w:rPr>
            </w:pPr>
          </w:p>
        </w:tc>
        <w:tc>
          <w:tcPr>
            <w:tcW w:w="467" w:type="pct"/>
            <w:tcBorders>
              <w:top w:val="single" w:color="auto" w:sz="6" w:space="0"/>
              <w:bottom w:val="single" w:color="auto" w:sz="6" w:space="0"/>
            </w:tcBorders>
            <w:noWrap w:val="0"/>
            <w:vAlign w:val="center"/>
          </w:tcPr>
          <w:p>
            <w:pPr>
              <w:jc w:val="center"/>
              <w:rPr>
                <w:bCs/>
                <w:szCs w:val="21"/>
              </w:rPr>
            </w:pPr>
            <w:r>
              <w:rPr>
                <w:bCs/>
                <w:szCs w:val="21"/>
              </w:rPr>
              <w:t>超标率</w:t>
            </w:r>
          </w:p>
        </w:tc>
        <w:tc>
          <w:tcPr>
            <w:tcW w:w="420" w:type="pct"/>
            <w:tcBorders>
              <w:top w:val="single" w:color="auto" w:sz="6" w:space="0"/>
              <w:bottom w:val="single" w:color="auto" w:sz="6" w:space="0"/>
            </w:tcBorders>
            <w:noWrap w:val="0"/>
            <w:vAlign w:val="center"/>
          </w:tcPr>
          <w:p>
            <w:pPr>
              <w:jc w:val="center"/>
              <w:rPr>
                <w:szCs w:val="21"/>
              </w:rPr>
            </w:pPr>
            <w:r>
              <w:rPr>
                <w:szCs w:val="21"/>
              </w:rPr>
              <w:t>0</w:t>
            </w:r>
          </w:p>
        </w:tc>
        <w:tc>
          <w:tcPr>
            <w:tcW w:w="454" w:type="pct"/>
            <w:tcBorders>
              <w:top w:val="single" w:color="auto" w:sz="6" w:space="0"/>
              <w:bottom w:val="single" w:color="auto" w:sz="6" w:space="0"/>
            </w:tcBorders>
            <w:noWrap w:val="0"/>
            <w:vAlign w:val="center"/>
          </w:tcPr>
          <w:p>
            <w:pPr>
              <w:jc w:val="center"/>
              <w:rPr>
                <w:szCs w:val="21"/>
              </w:rPr>
            </w:pPr>
            <w:r>
              <w:rPr>
                <w:szCs w:val="21"/>
              </w:rPr>
              <w:t>0</w:t>
            </w:r>
          </w:p>
        </w:tc>
        <w:tc>
          <w:tcPr>
            <w:tcW w:w="420" w:type="pct"/>
            <w:tcBorders>
              <w:top w:val="single" w:color="auto" w:sz="6" w:space="0"/>
              <w:bottom w:val="single" w:color="auto" w:sz="6" w:space="0"/>
              <w:right w:val="single" w:color="auto" w:sz="4" w:space="0"/>
            </w:tcBorders>
            <w:noWrap w:val="0"/>
            <w:vAlign w:val="center"/>
          </w:tcPr>
          <w:p>
            <w:pPr>
              <w:jc w:val="center"/>
              <w:rPr>
                <w:szCs w:val="21"/>
              </w:rPr>
            </w:pPr>
            <w:r>
              <w:rPr>
                <w:szCs w:val="21"/>
              </w:rPr>
              <w:t>0</w:t>
            </w:r>
          </w:p>
        </w:tc>
        <w:tc>
          <w:tcPr>
            <w:tcW w:w="449" w:type="pct"/>
            <w:tcBorders>
              <w:top w:val="single" w:color="auto" w:sz="6" w:space="0"/>
              <w:left w:val="single" w:color="auto" w:sz="4" w:space="0"/>
              <w:bottom w:val="single" w:color="auto" w:sz="6" w:space="0"/>
            </w:tcBorders>
            <w:noWrap w:val="0"/>
            <w:vAlign w:val="center"/>
          </w:tcPr>
          <w:p>
            <w:pPr>
              <w:jc w:val="center"/>
            </w:pPr>
            <w:r>
              <w:rPr>
                <w:szCs w:val="21"/>
              </w:rPr>
              <w:t>/</w:t>
            </w:r>
          </w:p>
        </w:tc>
        <w:tc>
          <w:tcPr>
            <w:tcW w:w="375" w:type="pct"/>
            <w:tcBorders>
              <w:top w:val="single" w:color="auto" w:sz="6" w:space="0"/>
              <w:bottom w:val="single" w:color="auto" w:sz="6" w:space="0"/>
            </w:tcBorders>
            <w:noWrap w:val="0"/>
            <w:vAlign w:val="center"/>
          </w:tcPr>
          <w:p>
            <w:pPr>
              <w:jc w:val="center"/>
              <w:rPr>
                <w:bCs/>
                <w:szCs w:val="21"/>
              </w:rPr>
            </w:pPr>
            <w:r>
              <w:rPr>
                <w:bCs/>
                <w:szCs w:val="21"/>
              </w:rPr>
              <w:t>0</w:t>
            </w:r>
          </w:p>
        </w:tc>
        <w:tc>
          <w:tcPr>
            <w:tcW w:w="413" w:type="pct"/>
            <w:tcBorders>
              <w:top w:val="single" w:color="auto" w:sz="6" w:space="0"/>
              <w:bottom w:val="single" w:color="auto" w:sz="6" w:space="0"/>
            </w:tcBorders>
            <w:noWrap w:val="0"/>
            <w:vAlign w:val="center"/>
          </w:tcPr>
          <w:p>
            <w:pPr>
              <w:jc w:val="center"/>
              <w:rPr>
                <w:szCs w:val="21"/>
              </w:rPr>
            </w:pPr>
            <w:r>
              <w:rPr>
                <w:szCs w:val="21"/>
              </w:rPr>
              <w:t>0</w:t>
            </w:r>
          </w:p>
        </w:tc>
        <w:tc>
          <w:tcPr>
            <w:tcW w:w="397" w:type="pct"/>
            <w:tcBorders>
              <w:top w:val="single" w:color="auto" w:sz="6" w:space="0"/>
              <w:bottom w:val="single" w:color="auto" w:sz="6" w:space="0"/>
            </w:tcBorders>
            <w:noWrap w:val="0"/>
            <w:vAlign w:val="center"/>
          </w:tcPr>
          <w:p>
            <w:pPr>
              <w:jc w:val="center"/>
            </w:pPr>
            <w:r>
              <w:t>/</w:t>
            </w:r>
          </w:p>
        </w:tc>
        <w:tc>
          <w:tcPr>
            <w:tcW w:w="331" w:type="pct"/>
            <w:tcBorders>
              <w:top w:val="single" w:color="auto" w:sz="6" w:space="0"/>
              <w:bottom w:val="single" w:color="auto" w:sz="6" w:space="0"/>
            </w:tcBorders>
            <w:noWrap w:val="0"/>
            <w:vAlign w:val="center"/>
          </w:tcPr>
          <w:p>
            <w:pPr>
              <w:jc w:val="center"/>
              <w:rPr>
                <w:szCs w:val="21"/>
              </w:rPr>
            </w:pPr>
            <w:r>
              <w:rPr>
                <w:szCs w:val="21"/>
              </w:rPr>
              <w:t>0</w:t>
            </w:r>
          </w:p>
        </w:tc>
        <w:tc>
          <w:tcPr>
            <w:tcW w:w="404" w:type="pct"/>
            <w:tcBorders>
              <w:top w:val="single" w:color="auto" w:sz="6" w:space="0"/>
              <w:bottom w:val="single" w:color="auto" w:sz="6" w:space="0"/>
            </w:tcBorders>
            <w:noWrap w:val="0"/>
            <w:vAlign w:val="center"/>
          </w:tcPr>
          <w:p>
            <w:pPr>
              <w:jc w:val="center"/>
              <w:rPr>
                <w:szCs w:val="21"/>
              </w:rPr>
            </w:pPr>
            <w:r>
              <w:rPr>
                <w:rFonts w:hint="eastAsia"/>
                <w:szCs w:val="21"/>
              </w:rPr>
              <w:t>0</w:t>
            </w:r>
          </w:p>
        </w:tc>
        <w:tc>
          <w:tcPr>
            <w:tcW w:w="331" w:type="pct"/>
            <w:tcBorders>
              <w:top w:val="single" w:color="auto" w:sz="6" w:space="0"/>
              <w:bottom w:val="single" w:color="auto" w:sz="6" w:space="0"/>
            </w:tcBorders>
            <w:noWrap w:val="0"/>
            <w:vAlign w:val="center"/>
          </w:tcPr>
          <w:p>
            <w:pPr>
              <w:jc w:val="center"/>
              <w:rPr>
                <w:szCs w:val="21"/>
              </w:rPr>
            </w:pPr>
            <w:r>
              <w:rPr>
                <w:szCs w:val="21"/>
              </w:rPr>
              <w:t>/</w:t>
            </w:r>
          </w:p>
        </w:tc>
        <w:tc>
          <w:tcPr>
            <w:tcW w:w="325" w:type="pct"/>
            <w:tcBorders>
              <w:top w:val="single" w:color="auto" w:sz="6" w:space="0"/>
              <w:bottom w:val="single" w:color="auto" w:sz="6" w:space="0"/>
              <w:right w:val="single" w:color="auto" w:sz="12" w:space="0"/>
            </w:tcBorders>
            <w:noWrap w:val="0"/>
            <w:vAlign w:val="center"/>
          </w:tcPr>
          <w:p>
            <w:pPr>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209" w:type="pct"/>
            <w:vMerge w:val="restart"/>
            <w:tcBorders>
              <w:top w:val="single" w:color="auto" w:sz="6" w:space="0"/>
              <w:left w:val="single" w:color="auto" w:sz="12" w:space="0"/>
              <w:bottom w:val="single" w:color="auto" w:sz="6" w:space="0"/>
            </w:tcBorders>
            <w:noWrap w:val="0"/>
            <w:vAlign w:val="center"/>
          </w:tcPr>
          <w:p>
            <w:pPr>
              <w:jc w:val="center"/>
              <w:rPr>
                <w:rFonts w:hint="default" w:eastAsia="宋体"/>
                <w:szCs w:val="21"/>
                <w:lang w:val="en-US" w:eastAsia="zh-CN"/>
              </w:rPr>
            </w:pPr>
            <w:r>
              <w:rPr>
                <w:rFonts w:hint="eastAsia"/>
                <w:szCs w:val="21"/>
                <w:lang w:val="en-US" w:eastAsia="zh-CN"/>
              </w:rPr>
              <w:t>后骆庄</w:t>
            </w:r>
          </w:p>
        </w:tc>
        <w:tc>
          <w:tcPr>
            <w:tcW w:w="467" w:type="pct"/>
            <w:tcBorders>
              <w:top w:val="single" w:color="auto" w:sz="6" w:space="0"/>
              <w:bottom w:val="single" w:color="auto" w:sz="6" w:space="0"/>
            </w:tcBorders>
            <w:noWrap w:val="0"/>
            <w:vAlign w:val="center"/>
          </w:tcPr>
          <w:p>
            <w:pPr>
              <w:jc w:val="center"/>
              <w:rPr>
                <w:rFonts w:hint="eastAsia"/>
                <w:bCs/>
                <w:szCs w:val="21"/>
              </w:rPr>
            </w:pPr>
            <w:r>
              <w:rPr>
                <w:rFonts w:hint="eastAsia"/>
                <w:bCs/>
                <w:szCs w:val="21"/>
              </w:rPr>
              <w:t>数值</w:t>
            </w:r>
          </w:p>
        </w:tc>
        <w:tc>
          <w:tcPr>
            <w:tcW w:w="420" w:type="pct"/>
            <w:tcBorders>
              <w:top w:val="single" w:color="auto" w:sz="6" w:space="0"/>
              <w:bottom w:val="single" w:color="auto" w:sz="6" w:space="0"/>
            </w:tcBorders>
            <w:noWrap w:val="0"/>
            <w:vAlign w:val="center"/>
          </w:tcPr>
          <w:p>
            <w:pPr>
              <w:jc w:val="center"/>
              <w:rPr>
                <w:rFonts w:hint="default" w:eastAsia="宋体"/>
                <w:szCs w:val="21"/>
                <w:lang w:val="en-US" w:eastAsia="zh-CN"/>
              </w:rPr>
            </w:pPr>
            <w:r>
              <w:rPr>
                <w:szCs w:val="21"/>
              </w:rPr>
              <w:t>7.</w:t>
            </w:r>
            <w:r>
              <w:rPr>
                <w:rFonts w:hint="eastAsia"/>
                <w:szCs w:val="21"/>
                <w:lang w:val="en-US" w:eastAsia="zh-CN"/>
              </w:rPr>
              <w:t>29</w:t>
            </w:r>
          </w:p>
        </w:tc>
        <w:tc>
          <w:tcPr>
            <w:tcW w:w="454" w:type="pct"/>
            <w:tcBorders>
              <w:top w:val="single" w:color="auto" w:sz="6" w:space="0"/>
              <w:bottom w:val="single" w:color="auto" w:sz="6" w:space="0"/>
            </w:tcBorders>
            <w:noWrap w:val="0"/>
            <w:vAlign w:val="center"/>
          </w:tcPr>
          <w:p>
            <w:pPr>
              <w:jc w:val="center"/>
              <w:rPr>
                <w:rFonts w:hint="default" w:eastAsia="宋体"/>
                <w:szCs w:val="21"/>
                <w:lang w:val="en-US" w:eastAsia="zh-CN"/>
              </w:rPr>
            </w:pPr>
            <w:r>
              <w:rPr>
                <w:rFonts w:hint="eastAsia"/>
                <w:szCs w:val="21"/>
                <w:lang w:val="en-US" w:eastAsia="zh-CN"/>
              </w:rPr>
              <w:t>310</w:t>
            </w:r>
          </w:p>
        </w:tc>
        <w:tc>
          <w:tcPr>
            <w:tcW w:w="420" w:type="pct"/>
            <w:tcBorders>
              <w:top w:val="single" w:color="auto" w:sz="6" w:space="0"/>
              <w:bottom w:val="single" w:color="auto" w:sz="6" w:space="0"/>
              <w:right w:val="single" w:color="auto" w:sz="4" w:space="0"/>
            </w:tcBorders>
            <w:noWrap w:val="0"/>
            <w:vAlign w:val="center"/>
          </w:tcPr>
          <w:p>
            <w:pPr>
              <w:jc w:val="center"/>
              <w:rPr>
                <w:rFonts w:hint="default" w:eastAsia="宋体"/>
                <w:szCs w:val="21"/>
                <w:lang w:val="en-US" w:eastAsia="zh-CN"/>
              </w:rPr>
            </w:pPr>
            <w:r>
              <w:rPr>
                <w:rFonts w:hint="eastAsia"/>
                <w:szCs w:val="21"/>
                <w:lang w:val="en-US" w:eastAsia="zh-CN"/>
              </w:rPr>
              <w:t>1.08</w:t>
            </w:r>
          </w:p>
        </w:tc>
        <w:tc>
          <w:tcPr>
            <w:tcW w:w="449" w:type="pct"/>
            <w:tcBorders>
              <w:top w:val="single" w:color="auto" w:sz="6" w:space="0"/>
              <w:left w:val="single" w:color="auto" w:sz="4" w:space="0"/>
              <w:bottom w:val="single" w:color="auto" w:sz="6" w:space="0"/>
            </w:tcBorders>
            <w:noWrap w:val="0"/>
            <w:vAlign w:val="center"/>
          </w:tcPr>
          <w:p>
            <w:pPr>
              <w:jc w:val="center"/>
            </w:pPr>
            <w:r>
              <w:rPr>
                <w:szCs w:val="21"/>
              </w:rPr>
              <w:t>未检出</w:t>
            </w:r>
          </w:p>
        </w:tc>
        <w:tc>
          <w:tcPr>
            <w:tcW w:w="375" w:type="pct"/>
            <w:tcBorders>
              <w:top w:val="single" w:color="auto" w:sz="6" w:space="0"/>
              <w:bottom w:val="single" w:color="auto" w:sz="6" w:space="0"/>
            </w:tcBorders>
            <w:noWrap w:val="0"/>
            <w:vAlign w:val="center"/>
          </w:tcPr>
          <w:p>
            <w:pPr>
              <w:jc w:val="center"/>
              <w:rPr>
                <w:bCs/>
                <w:szCs w:val="21"/>
              </w:rPr>
            </w:pPr>
            <w:r>
              <w:rPr>
                <w:szCs w:val="21"/>
              </w:rPr>
              <w:t>未检出</w:t>
            </w:r>
          </w:p>
        </w:tc>
        <w:tc>
          <w:tcPr>
            <w:tcW w:w="413" w:type="pct"/>
            <w:tcBorders>
              <w:top w:val="single" w:color="auto" w:sz="6" w:space="0"/>
              <w:bottom w:val="single" w:color="auto" w:sz="6" w:space="0"/>
            </w:tcBorders>
            <w:noWrap w:val="0"/>
            <w:vAlign w:val="center"/>
          </w:tcPr>
          <w:p>
            <w:pPr>
              <w:jc w:val="center"/>
              <w:rPr>
                <w:rFonts w:hint="default" w:eastAsia="宋体"/>
                <w:szCs w:val="21"/>
                <w:lang w:val="en-US" w:eastAsia="zh-CN"/>
              </w:rPr>
            </w:pPr>
            <w:r>
              <w:rPr>
                <w:rFonts w:hint="eastAsia"/>
                <w:szCs w:val="21"/>
                <w:lang w:val="en-US" w:eastAsia="zh-CN"/>
              </w:rPr>
              <w:t>340</w:t>
            </w:r>
          </w:p>
        </w:tc>
        <w:tc>
          <w:tcPr>
            <w:tcW w:w="397" w:type="pct"/>
            <w:tcBorders>
              <w:top w:val="single" w:color="auto" w:sz="6" w:space="0"/>
              <w:bottom w:val="single" w:color="auto" w:sz="6" w:space="0"/>
            </w:tcBorders>
            <w:noWrap w:val="0"/>
            <w:vAlign w:val="center"/>
          </w:tcPr>
          <w:p>
            <w:pPr>
              <w:jc w:val="center"/>
            </w:pPr>
            <w:r>
              <w:rPr>
                <w:rFonts w:hint="eastAsia"/>
                <w:lang w:val="en-US" w:eastAsia="zh-CN"/>
              </w:rPr>
              <w:t>未检出</w:t>
            </w:r>
          </w:p>
        </w:tc>
        <w:tc>
          <w:tcPr>
            <w:tcW w:w="331" w:type="pct"/>
            <w:tcBorders>
              <w:top w:val="single" w:color="auto" w:sz="6" w:space="0"/>
              <w:bottom w:val="single" w:color="auto" w:sz="6" w:space="0"/>
            </w:tcBorders>
            <w:noWrap w:val="0"/>
            <w:vAlign w:val="center"/>
          </w:tcPr>
          <w:p>
            <w:pPr>
              <w:jc w:val="center"/>
              <w:rPr>
                <w:rFonts w:hint="default" w:eastAsia="宋体"/>
                <w:bCs/>
                <w:szCs w:val="21"/>
                <w:lang w:val="en-US" w:eastAsia="zh-CN"/>
              </w:rPr>
            </w:pPr>
            <w:r>
              <w:rPr>
                <w:rFonts w:hint="eastAsia"/>
                <w:bCs/>
                <w:szCs w:val="21"/>
                <w:lang w:val="en-US" w:eastAsia="zh-CN"/>
              </w:rPr>
              <w:t>42</w:t>
            </w:r>
          </w:p>
        </w:tc>
        <w:tc>
          <w:tcPr>
            <w:tcW w:w="404" w:type="pct"/>
            <w:tcBorders>
              <w:top w:val="single" w:color="auto" w:sz="6" w:space="0"/>
              <w:bottom w:val="single" w:color="auto" w:sz="6" w:space="0"/>
            </w:tcBorders>
            <w:noWrap w:val="0"/>
            <w:vAlign w:val="center"/>
          </w:tcPr>
          <w:p>
            <w:pPr>
              <w:jc w:val="center"/>
              <w:rPr>
                <w:rFonts w:hint="default" w:eastAsia="宋体"/>
                <w:szCs w:val="21"/>
                <w:lang w:val="en-US" w:eastAsia="zh-CN"/>
              </w:rPr>
            </w:pPr>
            <w:r>
              <w:rPr>
                <w:rFonts w:hint="eastAsia"/>
                <w:szCs w:val="21"/>
                <w:lang w:val="en-US" w:eastAsia="zh-CN"/>
              </w:rPr>
              <w:t>13.7</w:t>
            </w:r>
          </w:p>
        </w:tc>
        <w:tc>
          <w:tcPr>
            <w:tcW w:w="331" w:type="pct"/>
            <w:tcBorders>
              <w:top w:val="single" w:color="auto" w:sz="6" w:space="0"/>
            </w:tcBorders>
            <w:noWrap w:val="0"/>
            <w:vAlign w:val="center"/>
          </w:tcPr>
          <w:p>
            <w:pPr>
              <w:jc w:val="center"/>
              <w:rPr>
                <w:rFonts w:hint="default" w:eastAsia="宋体"/>
                <w:szCs w:val="21"/>
                <w:lang w:val="en-US" w:eastAsia="zh-CN"/>
              </w:rPr>
            </w:pPr>
            <w:r>
              <w:rPr>
                <w:rFonts w:hint="eastAsia"/>
                <w:szCs w:val="21"/>
                <w:lang w:val="en-US" w:eastAsia="zh-CN"/>
              </w:rPr>
              <w:t>17.6</w:t>
            </w:r>
          </w:p>
        </w:tc>
        <w:tc>
          <w:tcPr>
            <w:tcW w:w="325" w:type="pct"/>
            <w:tcBorders>
              <w:top w:val="single" w:color="auto" w:sz="6" w:space="0"/>
              <w:right w:val="single" w:color="auto" w:sz="12" w:space="0"/>
            </w:tcBorders>
            <w:noWrap w:val="0"/>
            <w:vAlign w:val="center"/>
          </w:tcPr>
          <w:p>
            <w:pPr>
              <w:jc w:val="center"/>
              <w:rPr>
                <w:rFonts w:hint="default" w:eastAsia="宋体"/>
                <w:szCs w:val="21"/>
                <w:lang w:val="en-US" w:eastAsia="zh-CN"/>
              </w:rPr>
            </w:pPr>
            <w:r>
              <w:rPr>
                <w:rFonts w:hint="eastAsia"/>
                <w:szCs w:val="21"/>
                <w:lang w:val="en-US" w:eastAsia="zh-CN"/>
              </w:rPr>
              <w:t>4.6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209" w:type="pct"/>
            <w:vMerge w:val="continue"/>
            <w:tcBorders>
              <w:top w:val="single" w:color="auto" w:sz="6" w:space="0"/>
              <w:left w:val="single" w:color="auto" w:sz="12" w:space="0"/>
              <w:bottom w:val="single" w:color="auto" w:sz="6" w:space="0"/>
            </w:tcBorders>
            <w:noWrap w:val="0"/>
            <w:vAlign w:val="center"/>
          </w:tcPr>
          <w:p>
            <w:pPr>
              <w:jc w:val="center"/>
              <w:rPr>
                <w:bCs/>
                <w:szCs w:val="21"/>
              </w:rPr>
            </w:pPr>
          </w:p>
        </w:tc>
        <w:tc>
          <w:tcPr>
            <w:tcW w:w="467" w:type="pct"/>
            <w:tcBorders>
              <w:top w:val="single" w:color="auto" w:sz="6" w:space="0"/>
              <w:bottom w:val="single" w:color="auto" w:sz="6" w:space="0"/>
            </w:tcBorders>
            <w:noWrap w:val="0"/>
            <w:vAlign w:val="center"/>
          </w:tcPr>
          <w:p>
            <w:pPr>
              <w:jc w:val="center"/>
              <w:rPr>
                <w:bCs/>
                <w:szCs w:val="21"/>
              </w:rPr>
            </w:pPr>
            <w:r>
              <w:rPr>
                <w:bCs/>
                <w:szCs w:val="21"/>
              </w:rPr>
              <w:t>超标率</w:t>
            </w:r>
          </w:p>
        </w:tc>
        <w:tc>
          <w:tcPr>
            <w:tcW w:w="420" w:type="pct"/>
            <w:tcBorders>
              <w:top w:val="single" w:color="auto" w:sz="6" w:space="0"/>
              <w:bottom w:val="single" w:color="auto" w:sz="6" w:space="0"/>
            </w:tcBorders>
            <w:noWrap w:val="0"/>
            <w:vAlign w:val="center"/>
          </w:tcPr>
          <w:p>
            <w:pPr>
              <w:jc w:val="center"/>
              <w:rPr>
                <w:szCs w:val="21"/>
              </w:rPr>
            </w:pPr>
            <w:r>
              <w:rPr>
                <w:rFonts w:hint="eastAsia"/>
                <w:szCs w:val="21"/>
              </w:rPr>
              <w:t>0</w:t>
            </w:r>
          </w:p>
        </w:tc>
        <w:tc>
          <w:tcPr>
            <w:tcW w:w="454" w:type="pct"/>
            <w:tcBorders>
              <w:top w:val="single" w:color="auto" w:sz="6" w:space="0"/>
              <w:bottom w:val="single" w:color="auto" w:sz="6" w:space="0"/>
            </w:tcBorders>
            <w:noWrap w:val="0"/>
            <w:vAlign w:val="center"/>
          </w:tcPr>
          <w:p>
            <w:pPr>
              <w:jc w:val="center"/>
              <w:rPr>
                <w:szCs w:val="21"/>
              </w:rPr>
            </w:pPr>
            <w:r>
              <w:rPr>
                <w:rFonts w:hint="eastAsia"/>
                <w:szCs w:val="21"/>
              </w:rPr>
              <w:t>0</w:t>
            </w:r>
          </w:p>
        </w:tc>
        <w:tc>
          <w:tcPr>
            <w:tcW w:w="420" w:type="pct"/>
            <w:tcBorders>
              <w:top w:val="single" w:color="auto" w:sz="6" w:space="0"/>
              <w:bottom w:val="single" w:color="auto" w:sz="6" w:space="0"/>
              <w:right w:val="single" w:color="auto" w:sz="4" w:space="0"/>
            </w:tcBorders>
            <w:noWrap w:val="0"/>
            <w:vAlign w:val="center"/>
          </w:tcPr>
          <w:p>
            <w:pPr>
              <w:jc w:val="center"/>
              <w:rPr>
                <w:szCs w:val="21"/>
              </w:rPr>
            </w:pPr>
            <w:r>
              <w:rPr>
                <w:szCs w:val="21"/>
              </w:rPr>
              <w:t>0</w:t>
            </w:r>
          </w:p>
        </w:tc>
        <w:tc>
          <w:tcPr>
            <w:tcW w:w="449" w:type="pct"/>
            <w:tcBorders>
              <w:top w:val="single" w:color="auto" w:sz="6" w:space="0"/>
              <w:left w:val="single" w:color="auto" w:sz="4" w:space="0"/>
              <w:bottom w:val="single" w:color="auto" w:sz="6" w:space="0"/>
            </w:tcBorders>
            <w:noWrap w:val="0"/>
            <w:vAlign w:val="center"/>
          </w:tcPr>
          <w:p>
            <w:pPr>
              <w:jc w:val="center"/>
            </w:pPr>
            <w:r>
              <w:rPr>
                <w:szCs w:val="21"/>
              </w:rPr>
              <w:t>/</w:t>
            </w:r>
          </w:p>
        </w:tc>
        <w:tc>
          <w:tcPr>
            <w:tcW w:w="375" w:type="pct"/>
            <w:tcBorders>
              <w:top w:val="single" w:color="auto" w:sz="6" w:space="0"/>
              <w:bottom w:val="single" w:color="auto" w:sz="6" w:space="0"/>
            </w:tcBorders>
            <w:noWrap w:val="0"/>
            <w:vAlign w:val="center"/>
          </w:tcPr>
          <w:p>
            <w:pPr>
              <w:jc w:val="center"/>
              <w:rPr>
                <w:bCs/>
                <w:szCs w:val="21"/>
              </w:rPr>
            </w:pPr>
            <w:r>
              <w:rPr>
                <w:bCs/>
                <w:szCs w:val="21"/>
              </w:rPr>
              <w:t>0</w:t>
            </w:r>
          </w:p>
        </w:tc>
        <w:tc>
          <w:tcPr>
            <w:tcW w:w="413" w:type="pct"/>
            <w:tcBorders>
              <w:top w:val="single" w:color="auto" w:sz="6" w:space="0"/>
              <w:bottom w:val="single" w:color="auto" w:sz="6" w:space="0"/>
            </w:tcBorders>
            <w:noWrap w:val="0"/>
            <w:vAlign w:val="center"/>
          </w:tcPr>
          <w:p>
            <w:pPr>
              <w:jc w:val="center"/>
              <w:rPr>
                <w:szCs w:val="21"/>
              </w:rPr>
            </w:pPr>
            <w:r>
              <w:rPr>
                <w:rFonts w:hint="eastAsia"/>
                <w:szCs w:val="21"/>
              </w:rPr>
              <w:t>0</w:t>
            </w:r>
          </w:p>
        </w:tc>
        <w:tc>
          <w:tcPr>
            <w:tcW w:w="397" w:type="pct"/>
            <w:tcBorders>
              <w:top w:val="single" w:color="auto" w:sz="6" w:space="0"/>
              <w:bottom w:val="single" w:color="auto" w:sz="6" w:space="0"/>
            </w:tcBorders>
            <w:noWrap w:val="0"/>
            <w:vAlign w:val="center"/>
          </w:tcPr>
          <w:p>
            <w:pPr>
              <w:jc w:val="center"/>
            </w:pPr>
            <w:r>
              <w:t>/</w:t>
            </w:r>
          </w:p>
        </w:tc>
        <w:tc>
          <w:tcPr>
            <w:tcW w:w="331" w:type="pct"/>
            <w:tcBorders>
              <w:top w:val="single" w:color="auto" w:sz="6" w:space="0"/>
              <w:bottom w:val="single" w:color="auto" w:sz="6" w:space="0"/>
            </w:tcBorders>
            <w:noWrap w:val="0"/>
            <w:vAlign w:val="center"/>
          </w:tcPr>
          <w:p>
            <w:pPr>
              <w:jc w:val="center"/>
              <w:rPr>
                <w:szCs w:val="21"/>
              </w:rPr>
            </w:pPr>
            <w:r>
              <w:rPr>
                <w:szCs w:val="21"/>
              </w:rPr>
              <w:t>0</w:t>
            </w:r>
          </w:p>
        </w:tc>
        <w:tc>
          <w:tcPr>
            <w:tcW w:w="404" w:type="pct"/>
            <w:tcBorders>
              <w:top w:val="single" w:color="auto" w:sz="6" w:space="0"/>
              <w:bottom w:val="single" w:color="auto" w:sz="6" w:space="0"/>
            </w:tcBorders>
            <w:noWrap w:val="0"/>
            <w:vAlign w:val="center"/>
          </w:tcPr>
          <w:p>
            <w:pPr>
              <w:jc w:val="center"/>
              <w:rPr>
                <w:szCs w:val="21"/>
              </w:rPr>
            </w:pPr>
            <w:r>
              <w:rPr>
                <w:rFonts w:hint="eastAsia"/>
                <w:szCs w:val="21"/>
              </w:rPr>
              <w:t>0</w:t>
            </w:r>
          </w:p>
        </w:tc>
        <w:tc>
          <w:tcPr>
            <w:tcW w:w="331" w:type="pct"/>
            <w:tcBorders>
              <w:top w:val="single" w:color="auto" w:sz="6" w:space="0"/>
              <w:bottom w:val="single" w:color="auto" w:sz="6" w:space="0"/>
            </w:tcBorders>
            <w:noWrap w:val="0"/>
            <w:vAlign w:val="center"/>
          </w:tcPr>
          <w:p>
            <w:pPr>
              <w:jc w:val="center"/>
              <w:rPr>
                <w:szCs w:val="21"/>
              </w:rPr>
            </w:pPr>
            <w:r>
              <w:rPr>
                <w:szCs w:val="21"/>
              </w:rPr>
              <w:t>/</w:t>
            </w:r>
          </w:p>
        </w:tc>
        <w:tc>
          <w:tcPr>
            <w:tcW w:w="325" w:type="pct"/>
            <w:tcBorders>
              <w:top w:val="single" w:color="auto" w:sz="6" w:space="0"/>
              <w:bottom w:val="single" w:color="auto" w:sz="6" w:space="0"/>
              <w:right w:val="single" w:color="auto" w:sz="12" w:space="0"/>
            </w:tcBorders>
            <w:noWrap w:val="0"/>
            <w:vAlign w:val="center"/>
          </w:tcPr>
          <w:p>
            <w:pPr>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209" w:type="pct"/>
            <w:vMerge w:val="restart"/>
            <w:tcBorders>
              <w:top w:val="single" w:color="auto" w:sz="6" w:space="0"/>
              <w:left w:val="single" w:color="auto" w:sz="12" w:space="0"/>
            </w:tcBorders>
            <w:noWrap w:val="0"/>
            <w:vAlign w:val="center"/>
          </w:tcPr>
          <w:p>
            <w:pPr>
              <w:jc w:val="center"/>
              <w:rPr>
                <w:bCs/>
                <w:szCs w:val="21"/>
              </w:rPr>
            </w:pPr>
            <w:r>
              <w:rPr>
                <w:rFonts w:hint="eastAsia"/>
                <w:bCs/>
                <w:szCs w:val="21"/>
              </w:rPr>
              <w:t>沼液消纳地</w:t>
            </w:r>
          </w:p>
        </w:tc>
        <w:tc>
          <w:tcPr>
            <w:tcW w:w="467" w:type="pct"/>
            <w:tcBorders>
              <w:top w:val="single" w:color="auto" w:sz="6" w:space="0"/>
              <w:bottom w:val="single" w:color="auto" w:sz="6" w:space="0"/>
            </w:tcBorders>
            <w:noWrap w:val="0"/>
            <w:vAlign w:val="center"/>
          </w:tcPr>
          <w:p>
            <w:pPr>
              <w:jc w:val="center"/>
              <w:rPr>
                <w:rFonts w:hint="eastAsia"/>
                <w:bCs/>
                <w:szCs w:val="21"/>
              </w:rPr>
            </w:pPr>
            <w:r>
              <w:rPr>
                <w:rFonts w:hint="eastAsia"/>
                <w:bCs/>
                <w:szCs w:val="21"/>
              </w:rPr>
              <w:t>数值</w:t>
            </w:r>
          </w:p>
        </w:tc>
        <w:tc>
          <w:tcPr>
            <w:tcW w:w="420" w:type="pct"/>
            <w:tcBorders>
              <w:top w:val="single" w:color="auto" w:sz="6" w:space="0"/>
              <w:bottom w:val="single" w:color="auto" w:sz="6" w:space="0"/>
            </w:tcBorders>
            <w:noWrap w:val="0"/>
            <w:vAlign w:val="center"/>
          </w:tcPr>
          <w:p>
            <w:pPr>
              <w:jc w:val="center"/>
              <w:rPr>
                <w:rFonts w:hint="default" w:eastAsia="宋体"/>
                <w:szCs w:val="21"/>
                <w:lang w:val="en-US" w:eastAsia="zh-CN"/>
              </w:rPr>
            </w:pPr>
            <w:r>
              <w:rPr>
                <w:rFonts w:hint="eastAsia"/>
                <w:szCs w:val="21"/>
              </w:rPr>
              <w:t>7.</w:t>
            </w:r>
            <w:r>
              <w:rPr>
                <w:rFonts w:hint="eastAsia"/>
                <w:szCs w:val="21"/>
                <w:lang w:val="en-US" w:eastAsia="zh-CN"/>
              </w:rPr>
              <w:t>31</w:t>
            </w:r>
          </w:p>
        </w:tc>
        <w:tc>
          <w:tcPr>
            <w:tcW w:w="454" w:type="pct"/>
            <w:tcBorders>
              <w:top w:val="single" w:color="auto" w:sz="6" w:space="0"/>
              <w:bottom w:val="single" w:color="auto" w:sz="6" w:space="0"/>
            </w:tcBorders>
            <w:noWrap w:val="0"/>
            <w:vAlign w:val="center"/>
          </w:tcPr>
          <w:p>
            <w:pPr>
              <w:jc w:val="center"/>
              <w:rPr>
                <w:rFonts w:hint="default" w:eastAsia="宋体"/>
                <w:szCs w:val="21"/>
                <w:lang w:val="en-US" w:eastAsia="zh-CN"/>
              </w:rPr>
            </w:pPr>
            <w:r>
              <w:rPr>
                <w:rFonts w:hint="eastAsia"/>
                <w:szCs w:val="21"/>
                <w:lang w:val="en-US" w:eastAsia="zh-CN"/>
              </w:rPr>
              <w:t>313</w:t>
            </w:r>
          </w:p>
        </w:tc>
        <w:tc>
          <w:tcPr>
            <w:tcW w:w="420" w:type="pct"/>
            <w:tcBorders>
              <w:top w:val="single" w:color="auto" w:sz="6" w:space="0"/>
              <w:bottom w:val="single" w:color="auto" w:sz="6" w:space="0"/>
              <w:right w:val="single" w:color="auto" w:sz="4" w:space="0"/>
            </w:tcBorders>
            <w:noWrap w:val="0"/>
            <w:vAlign w:val="center"/>
          </w:tcPr>
          <w:p>
            <w:pPr>
              <w:jc w:val="center"/>
              <w:rPr>
                <w:rFonts w:hint="default" w:eastAsia="宋体"/>
                <w:szCs w:val="21"/>
                <w:lang w:val="en-US" w:eastAsia="zh-CN"/>
              </w:rPr>
            </w:pPr>
            <w:r>
              <w:rPr>
                <w:rFonts w:hint="eastAsia"/>
                <w:szCs w:val="21"/>
                <w:lang w:val="en-US" w:eastAsia="zh-CN"/>
              </w:rPr>
              <w:t>1.22</w:t>
            </w:r>
          </w:p>
        </w:tc>
        <w:tc>
          <w:tcPr>
            <w:tcW w:w="449" w:type="pct"/>
            <w:tcBorders>
              <w:top w:val="single" w:color="auto" w:sz="6" w:space="0"/>
              <w:left w:val="single" w:color="auto" w:sz="4" w:space="0"/>
              <w:bottom w:val="single" w:color="auto" w:sz="6" w:space="0"/>
            </w:tcBorders>
            <w:noWrap w:val="0"/>
            <w:vAlign w:val="center"/>
          </w:tcPr>
          <w:p>
            <w:pPr>
              <w:jc w:val="center"/>
            </w:pPr>
            <w:r>
              <w:rPr>
                <w:szCs w:val="21"/>
              </w:rPr>
              <w:t>未检出</w:t>
            </w:r>
          </w:p>
        </w:tc>
        <w:tc>
          <w:tcPr>
            <w:tcW w:w="375" w:type="pct"/>
            <w:tcBorders>
              <w:top w:val="single" w:color="auto" w:sz="6" w:space="0"/>
              <w:bottom w:val="single" w:color="auto" w:sz="6" w:space="0"/>
            </w:tcBorders>
            <w:noWrap w:val="0"/>
            <w:vAlign w:val="center"/>
          </w:tcPr>
          <w:p>
            <w:pPr>
              <w:jc w:val="center"/>
              <w:rPr>
                <w:bCs/>
                <w:szCs w:val="21"/>
              </w:rPr>
            </w:pPr>
            <w:r>
              <w:rPr>
                <w:szCs w:val="21"/>
              </w:rPr>
              <w:t>未检出</w:t>
            </w:r>
          </w:p>
        </w:tc>
        <w:tc>
          <w:tcPr>
            <w:tcW w:w="413" w:type="pct"/>
            <w:tcBorders>
              <w:top w:val="single" w:color="auto" w:sz="6" w:space="0"/>
              <w:bottom w:val="single" w:color="auto" w:sz="6" w:space="0"/>
            </w:tcBorders>
            <w:noWrap w:val="0"/>
            <w:vAlign w:val="center"/>
          </w:tcPr>
          <w:p>
            <w:pPr>
              <w:jc w:val="center"/>
              <w:rPr>
                <w:rFonts w:hint="default" w:eastAsia="宋体"/>
                <w:szCs w:val="21"/>
                <w:lang w:val="en-US" w:eastAsia="zh-CN"/>
              </w:rPr>
            </w:pPr>
            <w:r>
              <w:rPr>
                <w:rFonts w:hint="eastAsia"/>
                <w:szCs w:val="21"/>
                <w:lang w:val="en-US" w:eastAsia="zh-CN"/>
              </w:rPr>
              <w:t>354</w:t>
            </w:r>
          </w:p>
        </w:tc>
        <w:tc>
          <w:tcPr>
            <w:tcW w:w="397" w:type="pct"/>
            <w:tcBorders>
              <w:top w:val="single" w:color="auto" w:sz="6" w:space="0"/>
              <w:bottom w:val="single" w:color="auto" w:sz="6" w:space="0"/>
            </w:tcBorders>
            <w:noWrap w:val="0"/>
            <w:vAlign w:val="center"/>
          </w:tcPr>
          <w:p>
            <w:pPr>
              <w:jc w:val="center"/>
            </w:pPr>
            <w:r>
              <w:rPr>
                <w:rFonts w:hint="eastAsia"/>
                <w:lang w:val="en-US" w:eastAsia="zh-CN"/>
              </w:rPr>
              <w:t>未检出</w:t>
            </w:r>
          </w:p>
        </w:tc>
        <w:tc>
          <w:tcPr>
            <w:tcW w:w="331" w:type="pct"/>
            <w:tcBorders>
              <w:top w:val="single" w:color="auto" w:sz="6" w:space="0"/>
              <w:bottom w:val="single" w:color="auto" w:sz="6" w:space="0"/>
            </w:tcBorders>
            <w:noWrap w:val="0"/>
            <w:vAlign w:val="center"/>
          </w:tcPr>
          <w:p>
            <w:pPr>
              <w:jc w:val="center"/>
              <w:rPr>
                <w:rFonts w:hint="default" w:eastAsia="宋体"/>
                <w:szCs w:val="21"/>
                <w:lang w:val="en-US" w:eastAsia="zh-CN"/>
              </w:rPr>
            </w:pPr>
            <w:r>
              <w:rPr>
                <w:rFonts w:hint="eastAsia"/>
                <w:szCs w:val="21"/>
                <w:lang w:val="en-US" w:eastAsia="zh-CN"/>
              </w:rPr>
              <w:t>44</w:t>
            </w:r>
          </w:p>
        </w:tc>
        <w:tc>
          <w:tcPr>
            <w:tcW w:w="404" w:type="pct"/>
            <w:tcBorders>
              <w:top w:val="single" w:color="auto" w:sz="6" w:space="0"/>
              <w:bottom w:val="single" w:color="auto" w:sz="6" w:space="0"/>
            </w:tcBorders>
            <w:noWrap w:val="0"/>
            <w:vAlign w:val="center"/>
          </w:tcPr>
          <w:p>
            <w:pPr>
              <w:jc w:val="center"/>
              <w:rPr>
                <w:rFonts w:hint="default" w:eastAsia="宋体"/>
                <w:szCs w:val="21"/>
                <w:lang w:val="en-US" w:eastAsia="zh-CN"/>
              </w:rPr>
            </w:pPr>
            <w:r>
              <w:rPr>
                <w:rFonts w:hint="eastAsia"/>
                <w:szCs w:val="21"/>
                <w:lang w:val="en-US" w:eastAsia="zh-CN"/>
              </w:rPr>
              <w:t>15.6</w:t>
            </w:r>
          </w:p>
        </w:tc>
        <w:tc>
          <w:tcPr>
            <w:tcW w:w="331" w:type="pct"/>
            <w:tcBorders>
              <w:top w:val="single" w:color="auto" w:sz="6" w:space="0"/>
            </w:tcBorders>
            <w:noWrap w:val="0"/>
            <w:vAlign w:val="center"/>
          </w:tcPr>
          <w:p>
            <w:pPr>
              <w:jc w:val="center"/>
              <w:rPr>
                <w:rFonts w:hint="default" w:eastAsia="宋体"/>
                <w:szCs w:val="21"/>
                <w:lang w:val="en-US" w:eastAsia="zh-CN"/>
              </w:rPr>
            </w:pPr>
            <w:r>
              <w:rPr>
                <w:rFonts w:hint="eastAsia"/>
                <w:szCs w:val="21"/>
                <w:lang w:val="en-US" w:eastAsia="zh-CN"/>
              </w:rPr>
              <w:t>17.8</w:t>
            </w:r>
          </w:p>
        </w:tc>
        <w:tc>
          <w:tcPr>
            <w:tcW w:w="325" w:type="pct"/>
            <w:tcBorders>
              <w:top w:val="single" w:color="auto" w:sz="6" w:space="0"/>
              <w:right w:val="single" w:color="auto" w:sz="12" w:space="0"/>
            </w:tcBorders>
            <w:noWrap w:val="0"/>
            <w:vAlign w:val="center"/>
          </w:tcPr>
          <w:p>
            <w:pPr>
              <w:jc w:val="center"/>
              <w:rPr>
                <w:rFonts w:hint="default" w:eastAsia="宋体"/>
                <w:szCs w:val="21"/>
                <w:lang w:val="en-US" w:eastAsia="zh-CN"/>
              </w:rPr>
            </w:pPr>
            <w:r>
              <w:rPr>
                <w:rFonts w:hint="eastAsia"/>
                <w:szCs w:val="21"/>
                <w:lang w:val="en-US" w:eastAsia="zh-CN"/>
              </w:rPr>
              <w:t>4.8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209" w:type="pct"/>
            <w:vMerge w:val="continue"/>
            <w:tcBorders>
              <w:left w:val="single" w:color="auto" w:sz="12" w:space="0"/>
              <w:bottom w:val="single" w:color="auto" w:sz="6" w:space="0"/>
            </w:tcBorders>
            <w:noWrap w:val="0"/>
            <w:vAlign w:val="center"/>
          </w:tcPr>
          <w:p>
            <w:pPr>
              <w:jc w:val="center"/>
              <w:rPr>
                <w:bCs/>
                <w:szCs w:val="21"/>
              </w:rPr>
            </w:pPr>
          </w:p>
        </w:tc>
        <w:tc>
          <w:tcPr>
            <w:tcW w:w="467" w:type="pct"/>
            <w:tcBorders>
              <w:top w:val="single" w:color="auto" w:sz="6" w:space="0"/>
              <w:bottom w:val="single" w:color="auto" w:sz="6" w:space="0"/>
            </w:tcBorders>
            <w:noWrap w:val="0"/>
            <w:vAlign w:val="center"/>
          </w:tcPr>
          <w:p>
            <w:pPr>
              <w:jc w:val="center"/>
              <w:rPr>
                <w:bCs/>
                <w:szCs w:val="21"/>
              </w:rPr>
            </w:pPr>
            <w:r>
              <w:rPr>
                <w:bCs/>
                <w:szCs w:val="21"/>
              </w:rPr>
              <w:t>超标率</w:t>
            </w:r>
          </w:p>
        </w:tc>
        <w:tc>
          <w:tcPr>
            <w:tcW w:w="420" w:type="pct"/>
            <w:tcBorders>
              <w:top w:val="single" w:color="auto" w:sz="6" w:space="0"/>
              <w:bottom w:val="single" w:color="auto" w:sz="6" w:space="0"/>
            </w:tcBorders>
            <w:noWrap w:val="0"/>
            <w:vAlign w:val="center"/>
          </w:tcPr>
          <w:p>
            <w:pPr>
              <w:jc w:val="center"/>
              <w:rPr>
                <w:szCs w:val="21"/>
              </w:rPr>
            </w:pPr>
            <w:r>
              <w:rPr>
                <w:rFonts w:hint="eastAsia"/>
                <w:szCs w:val="21"/>
              </w:rPr>
              <w:t>0</w:t>
            </w:r>
          </w:p>
        </w:tc>
        <w:tc>
          <w:tcPr>
            <w:tcW w:w="454" w:type="pct"/>
            <w:tcBorders>
              <w:top w:val="single" w:color="auto" w:sz="6" w:space="0"/>
              <w:bottom w:val="single" w:color="auto" w:sz="6" w:space="0"/>
            </w:tcBorders>
            <w:noWrap w:val="0"/>
            <w:vAlign w:val="center"/>
          </w:tcPr>
          <w:p>
            <w:pPr>
              <w:jc w:val="center"/>
              <w:rPr>
                <w:szCs w:val="21"/>
              </w:rPr>
            </w:pPr>
            <w:r>
              <w:rPr>
                <w:rFonts w:hint="eastAsia"/>
                <w:szCs w:val="21"/>
              </w:rPr>
              <w:t>0</w:t>
            </w:r>
          </w:p>
        </w:tc>
        <w:tc>
          <w:tcPr>
            <w:tcW w:w="420" w:type="pct"/>
            <w:tcBorders>
              <w:top w:val="single" w:color="auto" w:sz="6" w:space="0"/>
              <w:bottom w:val="single" w:color="auto" w:sz="6" w:space="0"/>
              <w:right w:val="single" w:color="auto" w:sz="4" w:space="0"/>
            </w:tcBorders>
            <w:noWrap w:val="0"/>
            <w:vAlign w:val="center"/>
          </w:tcPr>
          <w:p>
            <w:pPr>
              <w:jc w:val="center"/>
              <w:rPr>
                <w:szCs w:val="21"/>
              </w:rPr>
            </w:pPr>
            <w:r>
              <w:rPr>
                <w:szCs w:val="21"/>
              </w:rPr>
              <w:t>0</w:t>
            </w:r>
          </w:p>
        </w:tc>
        <w:tc>
          <w:tcPr>
            <w:tcW w:w="449" w:type="pct"/>
            <w:tcBorders>
              <w:top w:val="single" w:color="auto" w:sz="6" w:space="0"/>
              <w:left w:val="single" w:color="auto" w:sz="4" w:space="0"/>
              <w:bottom w:val="single" w:color="auto" w:sz="6" w:space="0"/>
            </w:tcBorders>
            <w:noWrap w:val="0"/>
            <w:vAlign w:val="center"/>
          </w:tcPr>
          <w:p>
            <w:pPr>
              <w:jc w:val="center"/>
            </w:pPr>
            <w:r>
              <w:rPr>
                <w:szCs w:val="21"/>
              </w:rPr>
              <w:t>/</w:t>
            </w:r>
          </w:p>
        </w:tc>
        <w:tc>
          <w:tcPr>
            <w:tcW w:w="375" w:type="pct"/>
            <w:tcBorders>
              <w:top w:val="single" w:color="auto" w:sz="6" w:space="0"/>
              <w:bottom w:val="single" w:color="auto" w:sz="6" w:space="0"/>
            </w:tcBorders>
            <w:noWrap w:val="0"/>
            <w:vAlign w:val="center"/>
          </w:tcPr>
          <w:p>
            <w:pPr>
              <w:jc w:val="center"/>
              <w:rPr>
                <w:bCs/>
                <w:szCs w:val="21"/>
              </w:rPr>
            </w:pPr>
            <w:r>
              <w:rPr>
                <w:bCs/>
                <w:szCs w:val="21"/>
              </w:rPr>
              <w:t>0</w:t>
            </w:r>
          </w:p>
        </w:tc>
        <w:tc>
          <w:tcPr>
            <w:tcW w:w="413" w:type="pct"/>
            <w:tcBorders>
              <w:top w:val="single" w:color="auto" w:sz="6" w:space="0"/>
              <w:bottom w:val="single" w:color="auto" w:sz="6" w:space="0"/>
            </w:tcBorders>
            <w:noWrap w:val="0"/>
            <w:vAlign w:val="center"/>
          </w:tcPr>
          <w:p>
            <w:pPr>
              <w:jc w:val="center"/>
              <w:rPr>
                <w:szCs w:val="21"/>
              </w:rPr>
            </w:pPr>
            <w:r>
              <w:rPr>
                <w:rFonts w:hint="eastAsia"/>
                <w:szCs w:val="21"/>
              </w:rPr>
              <w:t>0</w:t>
            </w:r>
          </w:p>
        </w:tc>
        <w:tc>
          <w:tcPr>
            <w:tcW w:w="397" w:type="pct"/>
            <w:tcBorders>
              <w:top w:val="single" w:color="auto" w:sz="6" w:space="0"/>
              <w:bottom w:val="single" w:color="auto" w:sz="6" w:space="0"/>
            </w:tcBorders>
            <w:noWrap w:val="0"/>
            <w:vAlign w:val="center"/>
          </w:tcPr>
          <w:p>
            <w:pPr>
              <w:jc w:val="center"/>
            </w:pPr>
            <w:r>
              <w:t>/</w:t>
            </w:r>
          </w:p>
        </w:tc>
        <w:tc>
          <w:tcPr>
            <w:tcW w:w="331" w:type="pct"/>
            <w:tcBorders>
              <w:top w:val="single" w:color="auto" w:sz="6" w:space="0"/>
              <w:bottom w:val="single" w:color="auto" w:sz="6" w:space="0"/>
            </w:tcBorders>
            <w:noWrap w:val="0"/>
            <w:vAlign w:val="center"/>
          </w:tcPr>
          <w:p>
            <w:pPr>
              <w:jc w:val="center"/>
              <w:rPr>
                <w:szCs w:val="21"/>
              </w:rPr>
            </w:pPr>
            <w:r>
              <w:rPr>
                <w:rFonts w:hint="eastAsia"/>
                <w:szCs w:val="21"/>
              </w:rPr>
              <w:t>0</w:t>
            </w:r>
          </w:p>
        </w:tc>
        <w:tc>
          <w:tcPr>
            <w:tcW w:w="404" w:type="pct"/>
            <w:tcBorders>
              <w:top w:val="single" w:color="auto" w:sz="6" w:space="0"/>
              <w:bottom w:val="single" w:color="auto" w:sz="6" w:space="0"/>
            </w:tcBorders>
            <w:noWrap w:val="0"/>
            <w:vAlign w:val="center"/>
          </w:tcPr>
          <w:p>
            <w:pPr>
              <w:jc w:val="center"/>
              <w:rPr>
                <w:szCs w:val="21"/>
              </w:rPr>
            </w:pPr>
            <w:r>
              <w:rPr>
                <w:rFonts w:hint="eastAsia"/>
                <w:szCs w:val="21"/>
              </w:rPr>
              <w:t>0</w:t>
            </w:r>
          </w:p>
        </w:tc>
        <w:tc>
          <w:tcPr>
            <w:tcW w:w="331" w:type="pct"/>
            <w:tcBorders>
              <w:top w:val="single" w:color="auto" w:sz="6" w:space="0"/>
              <w:bottom w:val="single" w:color="auto" w:sz="6" w:space="0"/>
            </w:tcBorders>
            <w:noWrap w:val="0"/>
            <w:vAlign w:val="center"/>
          </w:tcPr>
          <w:p>
            <w:pPr>
              <w:jc w:val="center"/>
              <w:rPr>
                <w:szCs w:val="21"/>
              </w:rPr>
            </w:pPr>
            <w:r>
              <w:rPr>
                <w:szCs w:val="21"/>
              </w:rPr>
              <w:t>/</w:t>
            </w:r>
          </w:p>
        </w:tc>
        <w:tc>
          <w:tcPr>
            <w:tcW w:w="325" w:type="pct"/>
            <w:tcBorders>
              <w:top w:val="single" w:color="auto" w:sz="6" w:space="0"/>
              <w:bottom w:val="single" w:color="auto" w:sz="6" w:space="0"/>
              <w:right w:val="single" w:color="auto" w:sz="12" w:space="0"/>
            </w:tcBorders>
            <w:noWrap w:val="0"/>
            <w:vAlign w:val="center"/>
          </w:tcPr>
          <w:p>
            <w:pPr>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40" w:hRule="atLeast"/>
        </w:trPr>
        <w:tc>
          <w:tcPr>
            <w:tcW w:w="209" w:type="pct"/>
            <w:tcBorders>
              <w:top w:val="single" w:color="auto" w:sz="6" w:space="0"/>
              <w:left w:val="single" w:color="auto" w:sz="12" w:space="0"/>
              <w:bottom w:val="single" w:color="auto" w:sz="12" w:space="0"/>
            </w:tcBorders>
            <w:noWrap w:val="0"/>
            <w:vAlign w:val="center"/>
          </w:tcPr>
          <w:p>
            <w:pPr>
              <w:jc w:val="center"/>
              <w:rPr>
                <w:bCs/>
                <w:szCs w:val="21"/>
              </w:rPr>
            </w:pPr>
            <w:r>
              <w:rPr>
                <w:bCs/>
                <w:szCs w:val="21"/>
              </w:rPr>
              <w:t>标准值</w:t>
            </w:r>
          </w:p>
        </w:tc>
        <w:tc>
          <w:tcPr>
            <w:tcW w:w="467" w:type="pct"/>
            <w:tcBorders>
              <w:top w:val="single" w:color="auto" w:sz="6" w:space="0"/>
              <w:bottom w:val="single" w:color="auto" w:sz="12" w:space="0"/>
            </w:tcBorders>
            <w:noWrap w:val="0"/>
            <w:vAlign w:val="center"/>
          </w:tcPr>
          <w:p>
            <w:pPr>
              <w:jc w:val="center"/>
              <w:rPr>
                <w:bCs/>
                <w:szCs w:val="21"/>
              </w:rPr>
            </w:pPr>
            <w:r>
              <w:rPr>
                <w:bCs/>
                <w:szCs w:val="21"/>
              </w:rPr>
              <w:t>/</w:t>
            </w:r>
          </w:p>
        </w:tc>
        <w:tc>
          <w:tcPr>
            <w:tcW w:w="420" w:type="pct"/>
            <w:tcBorders>
              <w:top w:val="single" w:color="auto" w:sz="6" w:space="0"/>
              <w:bottom w:val="single" w:color="auto" w:sz="12" w:space="0"/>
            </w:tcBorders>
            <w:noWrap w:val="0"/>
            <w:vAlign w:val="center"/>
          </w:tcPr>
          <w:p>
            <w:pPr>
              <w:jc w:val="center"/>
              <w:rPr>
                <w:szCs w:val="21"/>
              </w:rPr>
            </w:pPr>
            <w:r>
              <w:rPr>
                <w:szCs w:val="21"/>
              </w:rPr>
              <w:t>6.5～8.5</w:t>
            </w:r>
          </w:p>
        </w:tc>
        <w:tc>
          <w:tcPr>
            <w:tcW w:w="454" w:type="pct"/>
            <w:tcBorders>
              <w:top w:val="single" w:color="auto" w:sz="6" w:space="0"/>
              <w:bottom w:val="single" w:color="auto" w:sz="12" w:space="0"/>
            </w:tcBorders>
            <w:noWrap w:val="0"/>
            <w:vAlign w:val="center"/>
          </w:tcPr>
          <w:p>
            <w:pPr>
              <w:jc w:val="center"/>
              <w:rPr>
                <w:bCs/>
                <w:szCs w:val="21"/>
              </w:rPr>
            </w:pPr>
            <w:r>
              <w:rPr>
                <w:bCs/>
                <w:szCs w:val="21"/>
              </w:rPr>
              <w:t>≤</w:t>
            </w:r>
            <w:r>
              <w:rPr>
                <w:szCs w:val="21"/>
              </w:rPr>
              <w:t>450</w:t>
            </w:r>
          </w:p>
        </w:tc>
        <w:tc>
          <w:tcPr>
            <w:tcW w:w="420" w:type="pct"/>
            <w:tcBorders>
              <w:top w:val="single" w:color="auto" w:sz="6" w:space="0"/>
              <w:bottom w:val="single" w:color="auto" w:sz="12" w:space="0"/>
              <w:right w:val="single" w:color="auto" w:sz="4" w:space="0"/>
            </w:tcBorders>
            <w:noWrap w:val="0"/>
            <w:vAlign w:val="center"/>
          </w:tcPr>
          <w:p>
            <w:pPr>
              <w:jc w:val="center"/>
              <w:rPr>
                <w:bCs/>
                <w:szCs w:val="21"/>
              </w:rPr>
            </w:pPr>
            <w:r>
              <w:rPr>
                <w:bCs/>
                <w:szCs w:val="21"/>
              </w:rPr>
              <w:t>≤20</w:t>
            </w:r>
          </w:p>
        </w:tc>
        <w:tc>
          <w:tcPr>
            <w:tcW w:w="449" w:type="pct"/>
            <w:tcBorders>
              <w:top w:val="single" w:color="auto" w:sz="6" w:space="0"/>
              <w:left w:val="single" w:color="auto" w:sz="4" w:space="0"/>
              <w:bottom w:val="single" w:color="auto" w:sz="12" w:space="0"/>
            </w:tcBorders>
            <w:noWrap w:val="0"/>
            <w:vAlign w:val="center"/>
          </w:tcPr>
          <w:p>
            <w:pPr>
              <w:jc w:val="center"/>
              <w:rPr>
                <w:bCs/>
                <w:szCs w:val="21"/>
              </w:rPr>
            </w:pPr>
            <w:r>
              <w:rPr>
                <w:szCs w:val="21"/>
              </w:rPr>
              <w:t>≤0.02</w:t>
            </w:r>
          </w:p>
        </w:tc>
        <w:tc>
          <w:tcPr>
            <w:tcW w:w="375" w:type="pct"/>
            <w:tcBorders>
              <w:top w:val="single" w:color="auto" w:sz="6" w:space="0"/>
              <w:bottom w:val="single" w:color="auto" w:sz="12" w:space="0"/>
            </w:tcBorders>
            <w:noWrap w:val="0"/>
            <w:vAlign w:val="center"/>
          </w:tcPr>
          <w:p>
            <w:pPr>
              <w:jc w:val="center"/>
              <w:rPr>
                <w:bCs/>
                <w:szCs w:val="21"/>
              </w:rPr>
            </w:pPr>
            <w:r>
              <w:rPr>
                <w:szCs w:val="21"/>
              </w:rPr>
              <w:t>≤0.2</w:t>
            </w:r>
          </w:p>
        </w:tc>
        <w:tc>
          <w:tcPr>
            <w:tcW w:w="413" w:type="pct"/>
            <w:tcBorders>
              <w:top w:val="single" w:color="auto" w:sz="6" w:space="0"/>
              <w:bottom w:val="single" w:color="auto" w:sz="12" w:space="0"/>
            </w:tcBorders>
            <w:noWrap w:val="0"/>
            <w:vAlign w:val="center"/>
          </w:tcPr>
          <w:p>
            <w:pPr>
              <w:jc w:val="center"/>
              <w:rPr>
                <w:szCs w:val="21"/>
              </w:rPr>
            </w:pPr>
            <w:r>
              <w:rPr>
                <w:bCs/>
                <w:szCs w:val="21"/>
              </w:rPr>
              <w:t>≤</w:t>
            </w:r>
            <w:r>
              <w:rPr>
                <w:szCs w:val="21"/>
              </w:rPr>
              <w:t>1000</w:t>
            </w:r>
          </w:p>
        </w:tc>
        <w:tc>
          <w:tcPr>
            <w:tcW w:w="397" w:type="pct"/>
            <w:tcBorders>
              <w:top w:val="single" w:color="auto" w:sz="6" w:space="0"/>
              <w:bottom w:val="single" w:color="auto" w:sz="12" w:space="0"/>
            </w:tcBorders>
            <w:noWrap w:val="0"/>
            <w:vAlign w:val="center"/>
          </w:tcPr>
          <w:p>
            <w:pPr>
              <w:jc w:val="center"/>
              <w:rPr>
                <w:bCs/>
                <w:szCs w:val="21"/>
              </w:rPr>
            </w:pPr>
            <w:r>
              <w:rPr>
                <w:bCs/>
                <w:szCs w:val="21"/>
              </w:rPr>
              <w:t>≤</w:t>
            </w:r>
            <w:r>
              <w:rPr>
                <w:szCs w:val="21"/>
              </w:rPr>
              <w:t>3.0个/L</w:t>
            </w:r>
          </w:p>
        </w:tc>
        <w:tc>
          <w:tcPr>
            <w:tcW w:w="331" w:type="pct"/>
            <w:tcBorders>
              <w:top w:val="single" w:color="auto" w:sz="6" w:space="0"/>
              <w:bottom w:val="single" w:color="auto" w:sz="12" w:space="0"/>
            </w:tcBorders>
            <w:noWrap w:val="0"/>
            <w:vAlign w:val="center"/>
          </w:tcPr>
          <w:p>
            <w:pPr>
              <w:jc w:val="center"/>
              <w:rPr>
                <w:szCs w:val="21"/>
              </w:rPr>
            </w:pPr>
            <w:r>
              <w:rPr>
                <w:szCs w:val="21"/>
              </w:rPr>
              <w:t>≤100</w:t>
            </w:r>
          </w:p>
        </w:tc>
        <w:tc>
          <w:tcPr>
            <w:tcW w:w="404" w:type="pct"/>
            <w:tcBorders>
              <w:top w:val="single" w:color="auto" w:sz="6" w:space="0"/>
              <w:bottom w:val="single" w:color="auto" w:sz="12" w:space="0"/>
            </w:tcBorders>
            <w:noWrap w:val="0"/>
            <w:vAlign w:val="center"/>
          </w:tcPr>
          <w:p>
            <w:pPr>
              <w:jc w:val="center"/>
              <w:rPr>
                <w:szCs w:val="21"/>
              </w:rPr>
            </w:pPr>
            <w:r>
              <w:rPr>
                <w:szCs w:val="21"/>
              </w:rPr>
              <w:t>≤250</w:t>
            </w:r>
          </w:p>
        </w:tc>
        <w:tc>
          <w:tcPr>
            <w:tcW w:w="331" w:type="pct"/>
            <w:tcBorders>
              <w:top w:val="single" w:color="auto" w:sz="6" w:space="0"/>
              <w:bottom w:val="single" w:color="auto" w:sz="12" w:space="0"/>
            </w:tcBorders>
            <w:noWrap w:val="0"/>
            <w:vAlign w:val="center"/>
          </w:tcPr>
          <w:p>
            <w:pPr>
              <w:jc w:val="center"/>
              <w:rPr>
                <w:szCs w:val="21"/>
              </w:rPr>
            </w:pPr>
            <w:r>
              <w:rPr>
                <w:szCs w:val="21"/>
              </w:rPr>
              <w:t>/</w:t>
            </w:r>
          </w:p>
        </w:tc>
        <w:tc>
          <w:tcPr>
            <w:tcW w:w="325" w:type="pct"/>
            <w:tcBorders>
              <w:top w:val="single" w:color="auto" w:sz="6" w:space="0"/>
              <w:bottom w:val="single" w:color="auto" w:sz="12" w:space="0"/>
              <w:right w:val="single" w:color="auto" w:sz="12" w:space="0"/>
            </w:tcBorders>
            <w:noWrap w:val="0"/>
            <w:vAlign w:val="center"/>
          </w:tcPr>
          <w:p>
            <w:pPr>
              <w:jc w:val="center"/>
              <w:rPr>
                <w:szCs w:val="21"/>
              </w:rPr>
            </w:pPr>
            <w:r>
              <w:rPr>
                <w:szCs w:val="21"/>
              </w:rPr>
              <w:t>/</w:t>
            </w:r>
          </w:p>
        </w:tc>
      </w:tr>
    </w:tbl>
    <w:p>
      <w:pPr>
        <w:spacing w:after="72" w:afterLines="30" w:line="500" w:lineRule="exact"/>
        <w:jc w:val="center"/>
        <w:rPr>
          <w:b/>
          <w:sz w:val="24"/>
        </w:rPr>
      </w:pPr>
      <w:r>
        <w:rPr>
          <w:rFonts w:hint="eastAsia"/>
          <w:b/>
          <w:sz w:val="24"/>
        </w:rPr>
        <w:t>续</w:t>
      </w:r>
      <w:r>
        <w:rPr>
          <w:b/>
          <w:sz w:val="24"/>
        </w:rPr>
        <w:t>表</w:t>
      </w:r>
      <w:r>
        <w:rPr>
          <w:b/>
          <w:bCs/>
          <w:sz w:val="24"/>
        </w:rPr>
        <w:t>3.3-12</w:t>
      </w:r>
      <w:r>
        <w:rPr>
          <w:rFonts w:hint="eastAsia"/>
          <w:b/>
          <w:bCs/>
          <w:sz w:val="24"/>
        </w:rPr>
        <w:t>（1）</w:t>
      </w:r>
      <w:r>
        <w:rPr>
          <w:rFonts w:hint="eastAsia"/>
          <w:b/>
          <w:sz w:val="24"/>
        </w:rPr>
        <w:t xml:space="preserve">   </w:t>
      </w:r>
      <w:r>
        <w:rPr>
          <w:b/>
          <w:sz w:val="24"/>
        </w:rPr>
        <w:t>地下水水质监测统计及评价结果</w:t>
      </w:r>
      <w:r>
        <w:rPr>
          <w:rFonts w:hint="eastAsia"/>
          <w:b/>
          <w:sz w:val="24"/>
        </w:rPr>
        <w:t>一览表</w:t>
      </w:r>
      <w:r>
        <w:rPr>
          <w:b/>
          <w:sz w:val="24"/>
        </w:rPr>
        <w:t>（单位：mg/L）</w:t>
      </w:r>
    </w:p>
    <w:tbl>
      <w:tblPr>
        <w:tblStyle w:val="1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7" w:type="dxa"/>
          <w:bottom w:w="0" w:type="dxa"/>
          <w:right w:w="57" w:type="dxa"/>
        </w:tblCellMar>
      </w:tblPr>
      <w:tblGrid>
        <w:gridCol w:w="999"/>
        <w:gridCol w:w="1479"/>
        <w:gridCol w:w="1244"/>
        <w:gridCol w:w="1015"/>
        <w:gridCol w:w="993"/>
        <w:gridCol w:w="1244"/>
        <w:gridCol w:w="1026"/>
        <w:gridCol w:w="977"/>
        <w:gridCol w:w="853"/>
        <w:gridCol w:w="977"/>
        <w:gridCol w:w="999"/>
        <w:gridCol w:w="985"/>
        <w:gridCol w:w="98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blHeader/>
        </w:trPr>
        <w:tc>
          <w:tcPr>
            <w:tcW w:w="362" w:type="pct"/>
            <w:tcBorders>
              <w:top w:val="single" w:color="auto" w:sz="12" w:space="0"/>
              <w:left w:val="single" w:color="auto" w:sz="12" w:space="0"/>
              <w:bottom w:val="single" w:color="auto" w:sz="6" w:space="0"/>
            </w:tcBorders>
            <w:noWrap w:val="0"/>
            <w:vAlign w:val="center"/>
          </w:tcPr>
          <w:p>
            <w:pPr>
              <w:jc w:val="center"/>
              <w:rPr>
                <w:b/>
                <w:bCs/>
                <w:szCs w:val="21"/>
              </w:rPr>
            </w:pPr>
            <w:r>
              <w:rPr>
                <w:b/>
                <w:bCs/>
                <w:szCs w:val="21"/>
              </w:rPr>
              <w:t>监测点</w:t>
            </w:r>
          </w:p>
        </w:tc>
        <w:tc>
          <w:tcPr>
            <w:tcW w:w="536" w:type="pct"/>
            <w:tcBorders>
              <w:top w:val="single" w:color="auto" w:sz="12" w:space="0"/>
              <w:bottom w:val="single" w:color="auto" w:sz="6" w:space="0"/>
            </w:tcBorders>
            <w:noWrap w:val="0"/>
            <w:vAlign w:val="center"/>
          </w:tcPr>
          <w:p>
            <w:pPr>
              <w:jc w:val="center"/>
              <w:rPr>
                <w:b/>
                <w:bCs/>
                <w:szCs w:val="21"/>
              </w:rPr>
            </w:pPr>
            <w:r>
              <w:rPr>
                <w:b/>
                <w:bCs/>
                <w:szCs w:val="21"/>
              </w:rPr>
              <w:t>项目</w:t>
            </w:r>
          </w:p>
        </w:tc>
        <w:tc>
          <w:tcPr>
            <w:tcW w:w="451" w:type="pct"/>
            <w:tcBorders>
              <w:top w:val="single" w:color="auto" w:sz="12" w:space="0"/>
              <w:bottom w:val="single" w:color="auto" w:sz="6" w:space="0"/>
              <w:right w:val="single" w:color="auto" w:sz="4" w:space="0"/>
            </w:tcBorders>
            <w:noWrap w:val="0"/>
            <w:vAlign w:val="center"/>
          </w:tcPr>
          <w:p>
            <w:pPr>
              <w:tabs>
                <w:tab w:val="center" w:pos="6979"/>
                <w:tab w:val="left" w:pos="12193"/>
              </w:tabs>
              <w:jc w:val="center"/>
              <w:rPr>
                <w:b/>
                <w:snapToGrid w:val="0"/>
                <w:szCs w:val="21"/>
              </w:rPr>
            </w:pPr>
            <w:r>
              <w:rPr>
                <w:b/>
                <w:snapToGrid w:val="0"/>
                <w:szCs w:val="21"/>
              </w:rPr>
              <w:t>挥发性酚类</w:t>
            </w:r>
          </w:p>
        </w:tc>
        <w:tc>
          <w:tcPr>
            <w:tcW w:w="368" w:type="pct"/>
            <w:tcBorders>
              <w:top w:val="single" w:color="auto" w:sz="12" w:space="0"/>
              <w:left w:val="single" w:color="auto" w:sz="4" w:space="0"/>
              <w:bottom w:val="single" w:color="auto" w:sz="6" w:space="0"/>
            </w:tcBorders>
            <w:noWrap w:val="0"/>
            <w:vAlign w:val="center"/>
          </w:tcPr>
          <w:p>
            <w:pPr>
              <w:tabs>
                <w:tab w:val="center" w:pos="6979"/>
                <w:tab w:val="left" w:pos="12193"/>
              </w:tabs>
              <w:jc w:val="center"/>
              <w:rPr>
                <w:b/>
                <w:snapToGrid w:val="0"/>
                <w:szCs w:val="21"/>
              </w:rPr>
            </w:pPr>
            <w:r>
              <w:rPr>
                <w:b/>
                <w:snapToGrid w:val="0"/>
                <w:szCs w:val="21"/>
              </w:rPr>
              <w:t>砷</w:t>
            </w:r>
          </w:p>
        </w:tc>
        <w:tc>
          <w:tcPr>
            <w:tcW w:w="360" w:type="pct"/>
            <w:tcBorders>
              <w:top w:val="single" w:color="auto" w:sz="12" w:space="0"/>
              <w:bottom w:val="single" w:color="auto" w:sz="6" w:space="0"/>
            </w:tcBorders>
            <w:noWrap w:val="0"/>
            <w:vAlign w:val="center"/>
          </w:tcPr>
          <w:p>
            <w:pPr>
              <w:tabs>
                <w:tab w:val="center" w:pos="6979"/>
                <w:tab w:val="left" w:pos="12193"/>
              </w:tabs>
              <w:jc w:val="center"/>
              <w:rPr>
                <w:b/>
                <w:snapToGrid w:val="0"/>
                <w:szCs w:val="21"/>
              </w:rPr>
            </w:pPr>
            <w:r>
              <w:rPr>
                <w:b/>
                <w:snapToGrid w:val="0"/>
                <w:szCs w:val="21"/>
              </w:rPr>
              <w:t>汞</w:t>
            </w:r>
          </w:p>
        </w:tc>
        <w:tc>
          <w:tcPr>
            <w:tcW w:w="451" w:type="pct"/>
            <w:tcBorders>
              <w:top w:val="single" w:color="auto" w:sz="12" w:space="0"/>
              <w:bottom w:val="single" w:color="auto" w:sz="6" w:space="0"/>
            </w:tcBorders>
            <w:noWrap w:val="0"/>
            <w:vAlign w:val="center"/>
          </w:tcPr>
          <w:p>
            <w:pPr>
              <w:tabs>
                <w:tab w:val="center" w:pos="6979"/>
                <w:tab w:val="left" w:pos="12193"/>
              </w:tabs>
              <w:jc w:val="center"/>
              <w:rPr>
                <w:b/>
                <w:snapToGrid w:val="0"/>
                <w:szCs w:val="21"/>
              </w:rPr>
            </w:pPr>
            <w:r>
              <w:rPr>
                <w:b/>
                <w:szCs w:val="21"/>
              </w:rPr>
              <w:t>铬（六价）</w:t>
            </w:r>
          </w:p>
        </w:tc>
        <w:tc>
          <w:tcPr>
            <w:tcW w:w="372" w:type="pct"/>
            <w:tcBorders>
              <w:top w:val="single" w:color="auto" w:sz="12" w:space="0"/>
              <w:bottom w:val="single" w:color="auto" w:sz="6" w:space="0"/>
            </w:tcBorders>
            <w:noWrap w:val="0"/>
            <w:vAlign w:val="center"/>
          </w:tcPr>
          <w:p>
            <w:pPr>
              <w:tabs>
                <w:tab w:val="center" w:pos="6979"/>
                <w:tab w:val="left" w:pos="12193"/>
              </w:tabs>
              <w:jc w:val="center"/>
              <w:rPr>
                <w:b/>
                <w:snapToGrid w:val="0"/>
                <w:color w:val="auto"/>
                <w:szCs w:val="21"/>
              </w:rPr>
            </w:pPr>
            <w:r>
              <w:rPr>
                <w:b/>
                <w:color w:val="auto"/>
                <w:szCs w:val="21"/>
              </w:rPr>
              <w:t>铅</w:t>
            </w:r>
          </w:p>
        </w:tc>
        <w:tc>
          <w:tcPr>
            <w:tcW w:w="354" w:type="pct"/>
            <w:tcBorders>
              <w:top w:val="single" w:color="auto" w:sz="12" w:space="0"/>
              <w:bottom w:val="single" w:color="auto" w:sz="6" w:space="0"/>
            </w:tcBorders>
            <w:noWrap w:val="0"/>
            <w:vAlign w:val="center"/>
          </w:tcPr>
          <w:p>
            <w:pPr>
              <w:tabs>
                <w:tab w:val="center" w:pos="6979"/>
                <w:tab w:val="left" w:pos="12193"/>
              </w:tabs>
              <w:jc w:val="center"/>
              <w:rPr>
                <w:b/>
                <w:snapToGrid w:val="0"/>
                <w:szCs w:val="21"/>
              </w:rPr>
            </w:pPr>
            <w:r>
              <w:rPr>
                <w:b/>
                <w:szCs w:val="21"/>
              </w:rPr>
              <w:t>镉</w:t>
            </w:r>
          </w:p>
        </w:tc>
        <w:tc>
          <w:tcPr>
            <w:tcW w:w="309" w:type="pct"/>
            <w:tcBorders>
              <w:top w:val="single" w:color="auto" w:sz="12" w:space="0"/>
              <w:bottom w:val="single" w:color="auto" w:sz="6" w:space="0"/>
            </w:tcBorders>
            <w:noWrap w:val="0"/>
            <w:vAlign w:val="center"/>
          </w:tcPr>
          <w:p>
            <w:pPr>
              <w:tabs>
                <w:tab w:val="center" w:pos="6979"/>
                <w:tab w:val="left" w:pos="12193"/>
              </w:tabs>
              <w:jc w:val="center"/>
              <w:rPr>
                <w:b/>
                <w:snapToGrid w:val="0"/>
                <w:szCs w:val="21"/>
              </w:rPr>
            </w:pPr>
            <w:r>
              <w:rPr>
                <w:b/>
                <w:szCs w:val="21"/>
              </w:rPr>
              <w:t>铁</w:t>
            </w:r>
          </w:p>
        </w:tc>
        <w:tc>
          <w:tcPr>
            <w:tcW w:w="354" w:type="pct"/>
            <w:tcBorders>
              <w:top w:val="single" w:color="auto" w:sz="12" w:space="0"/>
              <w:bottom w:val="single" w:color="auto" w:sz="6" w:space="0"/>
            </w:tcBorders>
            <w:noWrap w:val="0"/>
            <w:vAlign w:val="center"/>
          </w:tcPr>
          <w:p>
            <w:pPr>
              <w:tabs>
                <w:tab w:val="center" w:pos="6979"/>
                <w:tab w:val="left" w:pos="12193"/>
              </w:tabs>
              <w:ind w:left="207"/>
              <w:rPr>
                <w:b/>
                <w:szCs w:val="21"/>
              </w:rPr>
            </w:pPr>
            <w:bookmarkStart w:id="352" w:name="OLE_LINK3"/>
            <w:r>
              <w:rPr>
                <w:b/>
                <w:szCs w:val="21"/>
              </w:rPr>
              <w:t>氟化物</w:t>
            </w:r>
            <w:bookmarkEnd w:id="352"/>
          </w:p>
        </w:tc>
        <w:tc>
          <w:tcPr>
            <w:tcW w:w="362" w:type="pct"/>
            <w:tcBorders>
              <w:top w:val="single" w:color="auto" w:sz="12" w:space="0"/>
              <w:bottom w:val="single" w:color="auto" w:sz="6" w:space="0"/>
            </w:tcBorders>
            <w:noWrap w:val="0"/>
            <w:vAlign w:val="center"/>
          </w:tcPr>
          <w:p>
            <w:pPr>
              <w:tabs>
                <w:tab w:val="center" w:pos="6979"/>
                <w:tab w:val="left" w:pos="12193"/>
              </w:tabs>
              <w:ind w:left="207"/>
              <w:rPr>
                <w:b/>
                <w:szCs w:val="21"/>
              </w:rPr>
            </w:pPr>
            <w:r>
              <w:rPr>
                <w:b/>
                <w:szCs w:val="21"/>
              </w:rPr>
              <w:t>硫酸盐</w:t>
            </w:r>
          </w:p>
        </w:tc>
        <w:tc>
          <w:tcPr>
            <w:tcW w:w="357" w:type="pct"/>
            <w:tcBorders>
              <w:top w:val="single" w:color="auto" w:sz="12" w:space="0"/>
              <w:bottom w:val="single" w:color="auto" w:sz="6" w:space="0"/>
              <w:right w:val="single" w:color="auto" w:sz="12" w:space="0"/>
            </w:tcBorders>
            <w:noWrap w:val="0"/>
            <w:vAlign w:val="center"/>
          </w:tcPr>
          <w:p>
            <w:pPr>
              <w:tabs>
                <w:tab w:val="center" w:pos="6979"/>
                <w:tab w:val="left" w:pos="12193"/>
              </w:tabs>
              <w:ind w:left="207"/>
              <w:rPr>
                <w:b/>
                <w:szCs w:val="21"/>
              </w:rPr>
            </w:pPr>
            <w:r>
              <w:rPr>
                <w:b/>
                <w:szCs w:val="21"/>
              </w:rPr>
              <w:t>氰化物</w:t>
            </w:r>
          </w:p>
        </w:tc>
        <w:tc>
          <w:tcPr>
            <w:tcW w:w="357" w:type="pct"/>
            <w:tcBorders>
              <w:top w:val="single" w:color="auto" w:sz="12" w:space="0"/>
              <w:bottom w:val="single" w:color="auto" w:sz="6" w:space="0"/>
              <w:right w:val="single" w:color="auto" w:sz="12" w:space="0"/>
            </w:tcBorders>
            <w:noWrap w:val="0"/>
            <w:vAlign w:val="top"/>
          </w:tcPr>
          <w:p>
            <w:pPr>
              <w:tabs>
                <w:tab w:val="center" w:pos="6979"/>
                <w:tab w:val="left" w:pos="12193"/>
              </w:tabs>
              <w:ind w:left="207"/>
              <w:rPr>
                <w:b/>
                <w:szCs w:val="21"/>
              </w:rPr>
            </w:pPr>
            <w:r>
              <w:rPr>
                <w:rFonts w:hint="eastAsia"/>
                <w:b/>
                <w:szCs w:val="21"/>
              </w:rPr>
              <w:t>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362" w:type="pct"/>
            <w:vMerge w:val="restart"/>
            <w:tcBorders>
              <w:top w:val="single" w:color="auto" w:sz="6" w:space="0"/>
              <w:left w:val="single" w:color="auto" w:sz="12" w:space="0"/>
              <w:bottom w:val="single" w:color="auto" w:sz="6" w:space="0"/>
            </w:tcBorders>
            <w:noWrap w:val="0"/>
            <w:vAlign w:val="center"/>
          </w:tcPr>
          <w:p>
            <w:pPr>
              <w:jc w:val="center"/>
              <w:rPr>
                <w:rFonts w:hint="eastAsia" w:eastAsia="宋体"/>
                <w:szCs w:val="21"/>
                <w:lang w:eastAsia="zh-CN"/>
              </w:rPr>
            </w:pPr>
            <w:r>
              <w:rPr>
                <w:rFonts w:hint="eastAsia"/>
                <w:szCs w:val="21"/>
                <w:lang w:eastAsia="zh-CN"/>
              </w:rPr>
              <w:t>大邢庄</w:t>
            </w:r>
          </w:p>
        </w:tc>
        <w:tc>
          <w:tcPr>
            <w:tcW w:w="536" w:type="pct"/>
            <w:tcBorders>
              <w:top w:val="single" w:color="auto" w:sz="6" w:space="0"/>
              <w:bottom w:val="single" w:color="auto" w:sz="6" w:space="0"/>
            </w:tcBorders>
            <w:noWrap w:val="0"/>
            <w:vAlign w:val="center"/>
          </w:tcPr>
          <w:p>
            <w:pPr>
              <w:jc w:val="center"/>
              <w:rPr>
                <w:rFonts w:hint="eastAsia"/>
                <w:bCs/>
                <w:szCs w:val="21"/>
              </w:rPr>
            </w:pPr>
            <w:r>
              <w:rPr>
                <w:rFonts w:hint="eastAsia"/>
                <w:bCs/>
                <w:szCs w:val="21"/>
              </w:rPr>
              <w:t>数值</w:t>
            </w:r>
          </w:p>
        </w:tc>
        <w:tc>
          <w:tcPr>
            <w:tcW w:w="451" w:type="pct"/>
            <w:tcBorders>
              <w:top w:val="single" w:color="auto" w:sz="6" w:space="0"/>
              <w:bottom w:val="single" w:color="auto" w:sz="6" w:space="0"/>
              <w:right w:val="single" w:color="auto" w:sz="4" w:space="0"/>
            </w:tcBorders>
            <w:noWrap w:val="0"/>
            <w:vAlign w:val="center"/>
          </w:tcPr>
          <w:p>
            <w:pPr>
              <w:jc w:val="center"/>
            </w:pPr>
            <w:r>
              <w:rPr>
                <w:rFonts w:hint="eastAsia"/>
              </w:rPr>
              <w:t>未检出</w:t>
            </w:r>
          </w:p>
        </w:tc>
        <w:tc>
          <w:tcPr>
            <w:tcW w:w="368" w:type="pct"/>
            <w:tcBorders>
              <w:top w:val="single" w:color="auto" w:sz="6" w:space="0"/>
              <w:left w:val="single" w:color="auto" w:sz="4" w:space="0"/>
              <w:bottom w:val="single" w:color="auto" w:sz="6" w:space="0"/>
            </w:tcBorders>
            <w:noWrap w:val="0"/>
            <w:vAlign w:val="center"/>
          </w:tcPr>
          <w:p>
            <w:pPr>
              <w:jc w:val="center"/>
              <w:rPr>
                <w:rFonts w:hint="default" w:eastAsia="宋体"/>
                <w:lang w:val="en-US" w:eastAsia="zh-CN"/>
              </w:rPr>
            </w:pPr>
            <w:r>
              <w:rPr>
                <w:rFonts w:hint="eastAsia"/>
                <w:lang w:val="en-US" w:eastAsia="zh-CN"/>
              </w:rPr>
              <w:t>0.0014</w:t>
            </w:r>
          </w:p>
        </w:tc>
        <w:tc>
          <w:tcPr>
            <w:tcW w:w="360" w:type="pct"/>
            <w:tcBorders>
              <w:top w:val="single" w:color="auto" w:sz="6" w:space="0"/>
              <w:bottom w:val="single" w:color="auto" w:sz="6" w:space="0"/>
            </w:tcBorders>
            <w:noWrap w:val="0"/>
            <w:vAlign w:val="center"/>
          </w:tcPr>
          <w:p>
            <w:pPr>
              <w:jc w:val="center"/>
            </w:pPr>
            <w:r>
              <w:rPr>
                <w:rFonts w:hint="eastAsia"/>
              </w:rPr>
              <w:t>未检出</w:t>
            </w:r>
          </w:p>
        </w:tc>
        <w:tc>
          <w:tcPr>
            <w:tcW w:w="451" w:type="pct"/>
            <w:tcBorders>
              <w:top w:val="single" w:color="auto" w:sz="6" w:space="0"/>
              <w:bottom w:val="single" w:color="auto" w:sz="6" w:space="0"/>
            </w:tcBorders>
            <w:noWrap w:val="0"/>
            <w:vAlign w:val="center"/>
          </w:tcPr>
          <w:p>
            <w:pPr>
              <w:jc w:val="center"/>
            </w:pPr>
            <w:r>
              <w:rPr>
                <w:rFonts w:hint="eastAsia"/>
              </w:rPr>
              <w:t>未检出</w:t>
            </w:r>
          </w:p>
        </w:tc>
        <w:tc>
          <w:tcPr>
            <w:tcW w:w="372" w:type="pct"/>
            <w:tcBorders>
              <w:top w:val="single" w:color="auto" w:sz="6" w:space="0"/>
              <w:bottom w:val="single" w:color="auto" w:sz="6" w:space="0"/>
            </w:tcBorders>
            <w:noWrap w:val="0"/>
            <w:vAlign w:val="center"/>
          </w:tcPr>
          <w:p>
            <w:pPr>
              <w:jc w:val="center"/>
              <w:rPr>
                <w:rFonts w:hint="default" w:eastAsia="宋体"/>
                <w:color w:val="auto"/>
                <w:lang w:val="en-US" w:eastAsia="zh-CN"/>
              </w:rPr>
            </w:pPr>
            <w:r>
              <w:rPr>
                <w:rFonts w:hint="eastAsia"/>
                <w:color w:val="auto"/>
                <w:lang w:val="en-US" w:eastAsia="zh-CN"/>
              </w:rPr>
              <w:t>0.003</w:t>
            </w:r>
          </w:p>
        </w:tc>
        <w:tc>
          <w:tcPr>
            <w:tcW w:w="354"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0.0012</w:t>
            </w:r>
          </w:p>
        </w:tc>
        <w:tc>
          <w:tcPr>
            <w:tcW w:w="309" w:type="pct"/>
            <w:tcBorders>
              <w:top w:val="single" w:color="auto" w:sz="6" w:space="0"/>
              <w:bottom w:val="single" w:color="auto" w:sz="6" w:space="0"/>
            </w:tcBorders>
            <w:noWrap w:val="0"/>
            <w:vAlign w:val="center"/>
          </w:tcPr>
          <w:p>
            <w:pPr>
              <w:jc w:val="center"/>
            </w:pPr>
            <w:r>
              <w:rPr>
                <w:rFonts w:hint="eastAsia"/>
              </w:rPr>
              <w:t>未检出</w:t>
            </w:r>
          </w:p>
        </w:tc>
        <w:tc>
          <w:tcPr>
            <w:tcW w:w="354" w:type="pct"/>
            <w:tcBorders>
              <w:top w:val="single" w:color="auto" w:sz="6" w:space="0"/>
              <w:bottom w:val="single" w:color="auto" w:sz="6" w:space="0"/>
            </w:tcBorders>
            <w:noWrap w:val="0"/>
            <w:vAlign w:val="center"/>
          </w:tcPr>
          <w:p>
            <w:pPr>
              <w:jc w:val="center"/>
              <w:rPr>
                <w:rFonts w:hint="default" w:eastAsia="宋体"/>
                <w:bCs/>
                <w:szCs w:val="21"/>
                <w:lang w:val="en-US" w:eastAsia="zh-CN"/>
              </w:rPr>
            </w:pPr>
            <w:r>
              <w:rPr>
                <w:rFonts w:hint="eastAsia"/>
                <w:bCs/>
                <w:szCs w:val="21"/>
                <w:lang w:val="en-US" w:eastAsia="zh-CN"/>
              </w:rPr>
              <w:t>0.493</w:t>
            </w:r>
          </w:p>
        </w:tc>
        <w:tc>
          <w:tcPr>
            <w:tcW w:w="362" w:type="pct"/>
            <w:tcBorders>
              <w:top w:val="single" w:color="auto" w:sz="6" w:space="0"/>
              <w:bottom w:val="single" w:color="auto" w:sz="6" w:space="0"/>
            </w:tcBorders>
            <w:noWrap w:val="0"/>
            <w:vAlign w:val="center"/>
          </w:tcPr>
          <w:p>
            <w:pPr>
              <w:jc w:val="center"/>
              <w:rPr>
                <w:rFonts w:hint="default" w:eastAsia="宋体"/>
                <w:bCs/>
                <w:szCs w:val="21"/>
                <w:lang w:val="en-US" w:eastAsia="zh-CN"/>
              </w:rPr>
            </w:pPr>
            <w:r>
              <w:rPr>
                <w:rFonts w:hint="eastAsia"/>
                <w:bCs/>
                <w:szCs w:val="21"/>
                <w:lang w:val="en-US" w:eastAsia="zh-CN"/>
              </w:rPr>
              <w:t>14.8</w:t>
            </w:r>
          </w:p>
        </w:tc>
        <w:tc>
          <w:tcPr>
            <w:tcW w:w="357" w:type="pct"/>
            <w:tcBorders>
              <w:top w:val="single" w:color="auto" w:sz="6" w:space="0"/>
              <w:bottom w:val="single" w:color="auto" w:sz="6" w:space="0"/>
              <w:right w:val="single" w:color="auto" w:sz="12" w:space="0"/>
            </w:tcBorders>
            <w:noWrap w:val="0"/>
            <w:vAlign w:val="top"/>
          </w:tcPr>
          <w:p>
            <w:pPr>
              <w:jc w:val="center"/>
            </w:pPr>
            <w:r>
              <w:rPr>
                <w:rFonts w:hint="eastAsia"/>
              </w:rPr>
              <w:t>未检出</w:t>
            </w:r>
          </w:p>
        </w:tc>
        <w:tc>
          <w:tcPr>
            <w:tcW w:w="985" w:type="dxa"/>
            <w:tcBorders>
              <w:top w:val="single" w:color="auto" w:sz="6" w:space="0"/>
              <w:bottom w:val="single" w:color="auto" w:sz="6" w:space="0"/>
              <w:right w:val="single" w:color="auto" w:sz="12" w:space="0"/>
            </w:tcBorders>
            <w:noWrap w:val="0"/>
            <w:vAlign w:val="top"/>
          </w:tcPr>
          <w:p>
            <w:pPr>
              <w:jc w:val="center"/>
              <w:rPr>
                <w:szCs w:val="21"/>
              </w:rPr>
            </w:pPr>
            <w:r>
              <w:rPr>
                <w:rFonts w:hint="eastAsia"/>
              </w:rPr>
              <w:t>未检出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362" w:type="pct"/>
            <w:vMerge w:val="continue"/>
            <w:tcBorders>
              <w:top w:val="single" w:color="auto" w:sz="6" w:space="0"/>
              <w:left w:val="single" w:color="auto" w:sz="12" w:space="0"/>
              <w:bottom w:val="single" w:color="auto" w:sz="6" w:space="0"/>
            </w:tcBorders>
            <w:noWrap w:val="0"/>
            <w:vAlign w:val="center"/>
          </w:tcPr>
          <w:p>
            <w:pPr>
              <w:jc w:val="center"/>
              <w:rPr>
                <w:bCs/>
                <w:szCs w:val="21"/>
              </w:rPr>
            </w:pPr>
          </w:p>
        </w:tc>
        <w:tc>
          <w:tcPr>
            <w:tcW w:w="536" w:type="pct"/>
            <w:tcBorders>
              <w:top w:val="single" w:color="auto" w:sz="6" w:space="0"/>
              <w:bottom w:val="single" w:color="auto" w:sz="6" w:space="0"/>
            </w:tcBorders>
            <w:noWrap w:val="0"/>
            <w:vAlign w:val="center"/>
          </w:tcPr>
          <w:p>
            <w:pPr>
              <w:jc w:val="center"/>
              <w:rPr>
                <w:bCs/>
                <w:szCs w:val="21"/>
              </w:rPr>
            </w:pPr>
            <w:r>
              <w:rPr>
                <w:bCs/>
                <w:szCs w:val="21"/>
              </w:rPr>
              <w:t>超标率</w:t>
            </w:r>
          </w:p>
        </w:tc>
        <w:tc>
          <w:tcPr>
            <w:tcW w:w="451" w:type="pct"/>
            <w:tcBorders>
              <w:top w:val="single" w:color="auto" w:sz="6" w:space="0"/>
              <w:bottom w:val="single" w:color="auto" w:sz="6" w:space="0"/>
              <w:right w:val="single" w:color="auto" w:sz="4" w:space="0"/>
            </w:tcBorders>
            <w:noWrap w:val="0"/>
            <w:vAlign w:val="center"/>
          </w:tcPr>
          <w:p>
            <w:pPr>
              <w:jc w:val="center"/>
            </w:pPr>
            <w:r>
              <w:rPr>
                <w:szCs w:val="21"/>
              </w:rPr>
              <w:t>/</w:t>
            </w:r>
          </w:p>
        </w:tc>
        <w:tc>
          <w:tcPr>
            <w:tcW w:w="368" w:type="pct"/>
            <w:tcBorders>
              <w:top w:val="single" w:color="auto" w:sz="6" w:space="0"/>
              <w:left w:val="single" w:color="auto" w:sz="4" w:space="0"/>
              <w:bottom w:val="single" w:color="auto" w:sz="6" w:space="0"/>
            </w:tcBorders>
            <w:noWrap w:val="0"/>
            <w:vAlign w:val="center"/>
          </w:tcPr>
          <w:p>
            <w:pPr>
              <w:jc w:val="center"/>
            </w:pPr>
            <w:r>
              <w:rPr>
                <w:rFonts w:hint="eastAsia"/>
              </w:rPr>
              <w:t>/</w:t>
            </w:r>
          </w:p>
        </w:tc>
        <w:tc>
          <w:tcPr>
            <w:tcW w:w="360" w:type="pct"/>
            <w:tcBorders>
              <w:top w:val="single" w:color="auto" w:sz="6" w:space="0"/>
              <w:bottom w:val="single" w:color="auto" w:sz="6" w:space="0"/>
            </w:tcBorders>
            <w:noWrap w:val="0"/>
            <w:vAlign w:val="center"/>
          </w:tcPr>
          <w:p>
            <w:pPr>
              <w:jc w:val="center"/>
            </w:pPr>
            <w:r>
              <w:rPr>
                <w:rFonts w:hint="eastAsia"/>
              </w:rPr>
              <w:t>/</w:t>
            </w:r>
          </w:p>
        </w:tc>
        <w:tc>
          <w:tcPr>
            <w:tcW w:w="451" w:type="pct"/>
            <w:tcBorders>
              <w:top w:val="single" w:color="auto" w:sz="6" w:space="0"/>
              <w:bottom w:val="single" w:color="auto" w:sz="6" w:space="0"/>
            </w:tcBorders>
            <w:noWrap w:val="0"/>
            <w:vAlign w:val="center"/>
          </w:tcPr>
          <w:p>
            <w:pPr>
              <w:jc w:val="center"/>
            </w:pPr>
            <w:r>
              <w:rPr>
                <w:rFonts w:hint="eastAsia"/>
              </w:rPr>
              <w:t>/</w:t>
            </w:r>
          </w:p>
        </w:tc>
        <w:tc>
          <w:tcPr>
            <w:tcW w:w="372" w:type="pct"/>
            <w:tcBorders>
              <w:top w:val="single" w:color="auto" w:sz="6" w:space="0"/>
              <w:bottom w:val="single" w:color="auto" w:sz="6" w:space="0"/>
            </w:tcBorders>
            <w:noWrap w:val="0"/>
            <w:vAlign w:val="center"/>
          </w:tcPr>
          <w:p>
            <w:pPr>
              <w:jc w:val="center"/>
              <w:rPr>
                <w:color w:val="auto"/>
              </w:rPr>
            </w:pPr>
            <w:r>
              <w:rPr>
                <w:rFonts w:hint="eastAsia"/>
                <w:color w:val="auto"/>
              </w:rPr>
              <w:t>/</w:t>
            </w:r>
          </w:p>
        </w:tc>
        <w:tc>
          <w:tcPr>
            <w:tcW w:w="354" w:type="pct"/>
            <w:tcBorders>
              <w:top w:val="single" w:color="auto" w:sz="6" w:space="0"/>
              <w:bottom w:val="single" w:color="auto" w:sz="6" w:space="0"/>
            </w:tcBorders>
            <w:noWrap w:val="0"/>
            <w:vAlign w:val="center"/>
          </w:tcPr>
          <w:p>
            <w:pPr>
              <w:jc w:val="center"/>
            </w:pPr>
            <w:r>
              <w:rPr>
                <w:rFonts w:hint="eastAsia"/>
              </w:rPr>
              <w:t>/</w:t>
            </w:r>
          </w:p>
        </w:tc>
        <w:tc>
          <w:tcPr>
            <w:tcW w:w="309" w:type="pct"/>
            <w:tcBorders>
              <w:top w:val="single" w:color="auto" w:sz="6" w:space="0"/>
              <w:bottom w:val="single" w:color="auto" w:sz="6" w:space="0"/>
            </w:tcBorders>
            <w:noWrap w:val="0"/>
            <w:vAlign w:val="center"/>
          </w:tcPr>
          <w:p>
            <w:pPr>
              <w:jc w:val="center"/>
            </w:pPr>
            <w:r>
              <w:rPr>
                <w:rFonts w:hint="eastAsia"/>
              </w:rPr>
              <w:t>/</w:t>
            </w:r>
          </w:p>
        </w:tc>
        <w:tc>
          <w:tcPr>
            <w:tcW w:w="354" w:type="pct"/>
            <w:tcBorders>
              <w:top w:val="single" w:color="auto" w:sz="6" w:space="0"/>
              <w:bottom w:val="single" w:color="auto" w:sz="6" w:space="0"/>
            </w:tcBorders>
            <w:noWrap w:val="0"/>
            <w:vAlign w:val="center"/>
          </w:tcPr>
          <w:p>
            <w:pPr>
              <w:jc w:val="center"/>
              <w:rPr>
                <w:szCs w:val="21"/>
              </w:rPr>
            </w:pPr>
            <w:r>
              <w:rPr>
                <w:rFonts w:hint="eastAsia"/>
                <w:szCs w:val="21"/>
              </w:rPr>
              <w:t>0</w:t>
            </w:r>
          </w:p>
        </w:tc>
        <w:tc>
          <w:tcPr>
            <w:tcW w:w="362" w:type="pct"/>
            <w:tcBorders>
              <w:top w:val="single" w:color="auto" w:sz="6" w:space="0"/>
              <w:bottom w:val="single" w:color="auto" w:sz="6" w:space="0"/>
            </w:tcBorders>
            <w:noWrap w:val="0"/>
            <w:vAlign w:val="center"/>
          </w:tcPr>
          <w:p>
            <w:pPr>
              <w:jc w:val="center"/>
              <w:rPr>
                <w:szCs w:val="21"/>
              </w:rPr>
            </w:pPr>
            <w:r>
              <w:rPr>
                <w:rFonts w:hint="eastAsia"/>
                <w:szCs w:val="21"/>
              </w:rPr>
              <w:t>0</w:t>
            </w:r>
          </w:p>
        </w:tc>
        <w:tc>
          <w:tcPr>
            <w:tcW w:w="357" w:type="pct"/>
            <w:tcBorders>
              <w:top w:val="single" w:color="auto" w:sz="6" w:space="0"/>
              <w:bottom w:val="single" w:color="auto" w:sz="6" w:space="0"/>
              <w:right w:val="single" w:color="auto" w:sz="12" w:space="0"/>
            </w:tcBorders>
            <w:noWrap w:val="0"/>
            <w:vAlign w:val="top"/>
          </w:tcPr>
          <w:p>
            <w:pPr>
              <w:jc w:val="center"/>
            </w:pPr>
            <w:r>
              <w:rPr>
                <w:szCs w:val="21"/>
              </w:rPr>
              <w:t>/</w:t>
            </w:r>
          </w:p>
        </w:tc>
        <w:tc>
          <w:tcPr>
            <w:tcW w:w="985" w:type="dxa"/>
            <w:tcBorders>
              <w:top w:val="single" w:color="auto" w:sz="6" w:space="0"/>
              <w:bottom w:val="single" w:color="auto" w:sz="6" w:space="0"/>
              <w:right w:val="single" w:color="auto" w:sz="12" w:space="0"/>
            </w:tcBorders>
            <w:noWrap w:val="0"/>
            <w:vAlign w:val="top"/>
          </w:tcPr>
          <w:p>
            <w:pPr>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362" w:type="pct"/>
            <w:vMerge w:val="restart"/>
            <w:tcBorders>
              <w:top w:val="single" w:color="auto" w:sz="6" w:space="0"/>
              <w:left w:val="single" w:color="auto" w:sz="12" w:space="0"/>
              <w:bottom w:val="single" w:color="auto" w:sz="6" w:space="0"/>
            </w:tcBorders>
            <w:noWrap w:val="0"/>
            <w:vAlign w:val="center"/>
          </w:tcPr>
          <w:p>
            <w:pPr>
              <w:jc w:val="center"/>
              <w:rPr>
                <w:rFonts w:hint="default" w:eastAsia="宋体"/>
                <w:szCs w:val="21"/>
                <w:lang w:val="en-US" w:eastAsia="zh-CN"/>
              </w:rPr>
            </w:pPr>
            <w:r>
              <w:rPr>
                <w:rFonts w:hint="eastAsia"/>
                <w:szCs w:val="21"/>
                <w:lang w:val="en-US" w:eastAsia="zh-CN"/>
              </w:rPr>
              <w:t>后骆庄</w:t>
            </w:r>
          </w:p>
        </w:tc>
        <w:tc>
          <w:tcPr>
            <w:tcW w:w="536" w:type="pct"/>
            <w:tcBorders>
              <w:top w:val="single" w:color="auto" w:sz="6" w:space="0"/>
              <w:bottom w:val="single" w:color="auto" w:sz="6" w:space="0"/>
            </w:tcBorders>
            <w:noWrap w:val="0"/>
            <w:vAlign w:val="center"/>
          </w:tcPr>
          <w:p>
            <w:pPr>
              <w:jc w:val="center"/>
              <w:rPr>
                <w:rFonts w:hint="eastAsia"/>
                <w:bCs/>
                <w:szCs w:val="21"/>
              </w:rPr>
            </w:pPr>
            <w:r>
              <w:rPr>
                <w:rFonts w:hint="eastAsia"/>
                <w:bCs/>
                <w:szCs w:val="21"/>
              </w:rPr>
              <w:t>数值</w:t>
            </w:r>
          </w:p>
        </w:tc>
        <w:tc>
          <w:tcPr>
            <w:tcW w:w="451" w:type="pct"/>
            <w:tcBorders>
              <w:top w:val="single" w:color="auto" w:sz="6" w:space="0"/>
              <w:bottom w:val="single" w:color="auto" w:sz="6" w:space="0"/>
              <w:right w:val="single" w:color="auto" w:sz="4" w:space="0"/>
            </w:tcBorders>
            <w:noWrap w:val="0"/>
            <w:vAlign w:val="center"/>
          </w:tcPr>
          <w:p>
            <w:pPr>
              <w:jc w:val="center"/>
            </w:pPr>
            <w:r>
              <w:rPr>
                <w:rFonts w:hint="eastAsia"/>
              </w:rPr>
              <w:t>未检出</w:t>
            </w:r>
          </w:p>
        </w:tc>
        <w:tc>
          <w:tcPr>
            <w:tcW w:w="368" w:type="pct"/>
            <w:tcBorders>
              <w:top w:val="single" w:color="auto" w:sz="6" w:space="0"/>
              <w:left w:val="single" w:color="auto" w:sz="4" w:space="0"/>
              <w:bottom w:val="single" w:color="auto" w:sz="6" w:space="0"/>
            </w:tcBorders>
            <w:noWrap w:val="0"/>
            <w:vAlign w:val="center"/>
          </w:tcPr>
          <w:p>
            <w:pPr>
              <w:jc w:val="center"/>
              <w:rPr>
                <w:rFonts w:hint="default" w:eastAsia="宋体"/>
                <w:lang w:val="en-US" w:eastAsia="zh-CN"/>
              </w:rPr>
            </w:pPr>
            <w:r>
              <w:rPr>
                <w:rFonts w:hint="eastAsia"/>
                <w:lang w:val="en-US" w:eastAsia="zh-CN"/>
              </w:rPr>
              <w:t>0.0022</w:t>
            </w:r>
          </w:p>
        </w:tc>
        <w:tc>
          <w:tcPr>
            <w:tcW w:w="360" w:type="pct"/>
            <w:tcBorders>
              <w:top w:val="single" w:color="auto" w:sz="6" w:space="0"/>
              <w:bottom w:val="single" w:color="auto" w:sz="6" w:space="0"/>
            </w:tcBorders>
            <w:noWrap w:val="0"/>
            <w:vAlign w:val="center"/>
          </w:tcPr>
          <w:p>
            <w:pPr>
              <w:jc w:val="center"/>
            </w:pPr>
            <w:r>
              <w:rPr>
                <w:rFonts w:hint="eastAsia"/>
              </w:rPr>
              <w:t>未检出</w:t>
            </w:r>
          </w:p>
        </w:tc>
        <w:tc>
          <w:tcPr>
            <w:tcW w:w="451" w:type="pct"/>
            <w:tcBorders>
              <w:top w:val="single" w:color="auto" w:sz="6" w:space="0"/>
              <w:bottom w:val="single" w:color="auto" w:sz="6" w:space="0"/>
            </w:tcBorders>
            <w:noWrap w:val="0"/>
            <w:vAlign w:val="center"/>
          </w:tcPr>
          <w:p>
            <w:pPr>
              <w:jc w:val="center"/>
            </w:pPr>
            <w:r>
              <w:rPr>
                <w:rFonts w:hint="eastAsia"/>
              </w:rPr>
              <w:t>未检出</w:t>
            </w:r>
          </w:p>
        </w:tc>
        <w:tc>
          <w:tcPr>
            <w:tcW w:w="372" w:type="pct"/>
            <w:tcBorders>
              <w:top w:val="single" w:color="auto" w:sz="6" w:space="0"/>
              <w:bottom w:val="single" w:color="auto" w:sz="6" w:space="0"/>
            </w:tcBorders>
            <w:noWrap w:val="0"/>
            <w:vAlign w:val="center"/>
          </w:tcPr>
          <w:p>
            <w:pPr>
              <w:jc w:val="center"/>
              <w:rPr>
                <w:rFonts w:hint="default" w:eastAsia="宋体"/>
                <w:color w:val="auto"/>
                <w:lang w:val="en-US" w:eastAsia="zh-CN"/>
              </w:rPr>
            </w:pPr>
            <w:r>
              <w:rPr>
                <w:rFonts w:hint="eastAsia"/>
                <w:color w:val="auto"/>
                <w:lang w:val="en-US" w:eastAsia="zh-CN"/>
              </w:rPr>
              <w:t>0.004</w:t>
            </w:r>
          </w:p>
        </w:tc>
        <w:tc>
          <w:tcPr>
            <w:tcW w:w="354"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0.0015</w:t>
            </w:r>
          </w:p>
        </w:tc>
        <w:tc>
          <w:tcPr>
            <w:tcW w:w="309" w:type="pct"/>
            <w:tcBorders>
              <w:top w:val="single" w:color="auto" w:sz="6" w:space="0"/>
              <w:bottom w:val="single" w:color="auto" w:sz="6" w:space="0"/>
            </w:tcBorders>
            <w:noWrap w:val="0"/>
            <w:vAlign w:val="center"/>
          </w:tcPr>
          <w:p>
            <w:pPr>
              <w:jc w:val="center"/>
            </w:pPr>
            <w:r>
              <w:rPr>
                <w:rFonts w:hint="eastAsia"/>
              </w:rPr>
              <w:t>未检出</w:t>
            </w:r>
          </w:p>
        </w:tc>
        <w:tc>
          <w:tcPr>
            <w:tcW w:w="354" w:type="pct"/>
            <w:tcBorders>
              <w:top w:val="single" w:color="auto" w:sz="6" w:space="0"/>
              <w:bottom w:val="single" w:color="auto" w:sz="6" w:space="0"/>
            </w:tcBorders>
            <w:noWrap w:val="0"/>
            <w:vAlign w:val="center"/>
          </w:tcPr>
          <w:p>
            <w:pPr>
              <w:jc w:val="center"/>
              <w:rPr>
                <w:rFonts w:hint="default" w:eastAsia="宋体"/>
                <w:szCs w:val="21"/>
                <w:lang w:val="en-US" w:eastAsia="zh-CN"/>
              </w:rPr>
            </w:pPr>
            <w:r>
              <w:rPr>
                <w:rFonts w:hint="eastAsia"/>
                <w:bCs/>
                <w:szCs w:val="21"/>
                <w:lang w:val="en-US" w:eastAsia="zh-CN"/>
              </w:rPr>
              <w:t>0.466</w:t>
            </w:r>
          </w:p>
        </w:tc>
        <w:tc>
          <w:tcPr>
            <w:tcW w:w="362" w:type="pct"/>
            <w:tcBorders>
              <w:top w:val="single" w:color="auto" w:sz="6" w:space="0"/>
              <w:bottom w:val="single" w:color="auto" w:sz="6" w:space="0"/>
            </w:tcBorders>
            <w:noWrap w:val="0"/>
            <w:vAlign w:val="center"/>
          </w:tcPr>
          <w:p>
            <w:pPr>
              <w:jc w:val="center"/>
              <w:rPr>
                <w:rFonts w:hint="default" w:eastAsia="宋体"/>
                <w:szCs w:val="21"/>
                <w:lang w:val="en-US" w:eastAsia="zh-CN"/>
              </w:rPr>
            </w:pPr>
            <w:r>
              <w:rPr>
                <w:rFonts w:hint="eastAsia"/>
                <w:szCs w:val="21"/>
                <w:lang w:val="en-US" w:eastAsia="zh-CN"/>
              </w:rPr>
              <w:t>12.7</w:t>
            </w:r>
          </w:p>
        </w:tc>
        <w:tc>
          <w:tcPr>
            <w:tcW w:w="357" w:type="pct"/>
            <w:tcBorders>
              <w:top w:val="single" w:color="auto" w:sz="6" w:space="0"/>
              <w:bottom w:val="single" w:color="auto" w:sz="6" w:space="0"/>
              <w:right w:val="single" w:color="auto" w:sz="12" w:space="0"/>
            </w:tcBorders>
            <w:noWrap w:val="0"/>
            <w:vAlign w:val="top"/>
          </w:tcPr>
          <w:p>
            <w:pPr>
              <w:jc w:val="center"/>
            </w:pPr>
            <w:r>
              <w:rPr>
                <w:rFonts w:hint="eastAsia"/>
              </w:rPr>
              <w:t>未检出</w:t>
            </w:r>
          </w:p>
        </w:tc>
        <w:tc>
          <w:tcPr>
            <w:tcW w:w="985" w:type="dxa"/>
            <w:tcBorders>
              <w:top w:val="single" w:color="auto" w:sz="6" w:space="0"/>
              <w:bottom w:val="single" w:color="auto" w:sz="6" w:space="0"/>
              <w:right w:val="single" w:color="auto" w:sz="12" w:space="0"/>
            </w:tcBorders>
            <w:noWrap w:val="0"/>
            <w:vAlign w:val="top"/>
          </w:tcPr>
          <w:p>
            <w:pPr>
              <w:jc w:val="center"/>
              <w:rPr>
                <w:rFonts w:hint="eastAsia"/>
                <w:szCs w:val="21"/>
              </w:rPr>
            </w:pPr>
            <w:r>
              <w:rPr>
                <w:rFonts w:hint="eastAsia"/>
              </w:rPr>
              <w:t>未检出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362" w:type="pct"/>
            <w:vMerge w:val="continue"/>
            <w:tcBorders>
              <w:top w:val="single" w:color="auto" w:sz="6" w:space="0"/>
              <w:left w:val="single" w:color="auto" w:sz="12" w:space="0"/>
              <w:bottom w:val="single" w:color="auto" w:sz="6" w:space="0"/>
            </w:tcBorders>
            <w:noWrap w:val="0"/>
            <w:vAlign w:val="center"/>
          </w:tcPr>
          <w:p>
            <w:pPr>
              <w:jc w:val="center"/>
              <w:rPr>
                <w:bCs/>
                <w:szCs w:val="21"/>
              </w:rPr>
            </w:pPr>
          </w:p>
        </w:tc>
        <w:tc>
          <w:tcPr>
            <w:tcW w:w="536" w:type="pct"/>
            <w:tcBorders>
              <w:top w:val="single" w:color="auto" w:sz="6" w:space="0"/>
              <w:bottom w:val="single" w:color="auto" w:sz="6" w:space="0"/>
            </w:tcBorders>
            <w:noWrap w:val="0"/>
            <w:vAlign w:val="center"/>
          </w:tcPr>
          <w:p>
            <w:pPr>
              <w:jc w:val="center"/>
              <w:rPr>
                <w:bCs/>
                <w:szCs w:val="21"/>
              </w:rPr>
            </w:pPr>
            <w:r>
              <w:rPr>
                <w:bCs/>
                <w:szCs w:val="21"/>
              </w:rPr>
              <w:t>超标率</w:t>
            </w:r>
          </w:p>
        </w:tc>
        <w:tc>
          <w:tcPr>
            <w:tcW w:w="451" w:type="pct"/>
            <w:tcBorders>
              <w:top w:val="single" w:color="auto" w:sz="6" w:space="0"/>
              <w:bottom w:val="single" w:color="auto" w:sz="6" w:space="0"/>
              <w:right w:val="single" w:color="auto" w:sz="4" w:space="0"/>
            </w:tcBorders>
            <w:noWrap w:val="0"/>
            <w:vAlign w:val="center"/>
          </w:tcPr>
          <w:p>
            <w:pPr>
              <w:jc w:val="center"/>
            </w:pPr>
            <w:r>
              <w:rPr>
                <w:szCs w:val="21"/>
              </w:rPr>
              <w:t>/</w:t>
            </w:r>
          </w:p>
        </w:tc>
        <w:tc>
          <w:tcPr>
            <w:tcW w:w="368" w:type="pct"/>
            <w:tcBorders>
              <w:top w:val="single" w:color="auto" w:sz="6" w:space="0"/>
              <w:left w:val="single" w:color="auto" w:sz="4" w:space="0"/>
              <w:bottom w:val="single" w:color="auto" w:sz="6" w:space="0"/>
            </w:tcBorders>
            <w:noWrap w:val="0"/>
            <w:vAlign w:val="center"/>
          </w:tcPr>
          <w:p>
            <w:pPr>
              <w:jc w:val="center"/>
            </w:pPr>
            <w:r>
              <w:rPr>
                <w:rFonts w:hint="eastAsia"/>
              </w:rPr>
              <w:t>/</w:t>
            </w:r>
          </w:p>
        </w:tc>
        <w:tc>
          <w:tcPr>
            <w:tcW w:w="360" w:type="pct"/>
            <w:tcBorders>
              <w:top w:val="single" w:color="auto" w:sz="6" w:space="0"/>
              <w:bottom w:val="single" w:color="auto" w:sz="6" w:space="0"/>
            </w:tcBorders>
            <w:noWrap w:val="0"/>
            <w:vAlign w:val="center"/>
          </w:tcPr>
          <w:p>
            <w:pPr>
              <w:jc w:val="center"/>
            </w:pPr>
            <w:r>
              <w:rPr>
                <w:rFonts w:hint="eastAsia"/>
              </w:rPr>
              <w:t>/</w:t>
            </w:r>
          </w:p>
        </w:tc>
        <w:tc>
          <w:tcPr>
            <w:tcW w:w="451" w:type="pct"/>
            <w:tcBorders>
              <w:top w:val="single" w:color="auto" w:sz="6" w:space="0"/>
              <w:bottom w:val="single" w:color="auto" w:sz="6" w:space="0"/>
            </w:tcBorders>
            <w:noWrap w:val="0"/>
            <w:vAlign w:val="center"/>
          </w:tcPr>
          <w:p>
            <w:pPr>
              <w:jc w:val="center"/>
            </w:pPr>
            <w:r>
              <w:rPr>
                <w:rFonts w:hint="eastAsia"/>
              </w:rPr>
              <w:t>/</w:t>
            </w:r>
          </w:p>
        </w:tc>
        <w:tc>
          <w:tcPr>
            <w:tcW w:w="372" w:type="pct"/>
            <w:tcBorders>
              <w:top w:val="single" w:color="auto" w:sz="6" w:space="0"/>
              <w:bottom w:val="single" w:color="auto" w:sz="6" w:space="0"/>
            </w:tcBorders>
            <w:noWrap w:val="0"/>
            <w:vAlign w:val="center"/>
          </w:tcPr>
          <w:p>
            <w:pPr>
              <w:jc w:val="center"/>
              <w:rPr>
                <w:color w:val="auto"/>
              </w:rPr>
            </w:pPr>
            <w:r>
              <w:rPr>
                <w:rFonts w:hint="eastAsia"/>
                <w:color w:val="auto"/>
              </w:rPr>
              <w:t>/</w:t>
            </w:r>
          </w:p>
        </w:tc>
        <w:tc>
          <w:tcPr>
            <w:tcW w:w="354" w:type="pct"/>
            <w:tcBorders>
              <w:top w:val="single" w:color="auto" w:sz="6" w:space="0"/>
              <w:bottom w:val="single" w:color="auto" w:sz="6" w:space="0"/>
            </w:tcBorders>
            <w:noWrap w:val="0"/>
            <w:vAlign w:val="center"/>
          </w:tcPr>
          <w:p>
            <w:pPr>
              <w:jc w:val="center"/>
            </w:pPr>
            <w:r>
              <w:rPr>
                <w:rFonts w:hint="eastAsia"/>
              </w:rPr>
              <w:t>/</w:t>
            </w:r>
          </w:p>
        </w:tc>
        <w:tc>
          <w:tcPr>
            <w:tcW w:w="309" w:type="pct"/>
            <w:tcBorders>
              <w:top w:val="single" w:color="auto" w:sz="6" w:space="0"/>
              <w:bottom w:val="single" w:color="auto" w:sz="6" w:space="0"/>
            </w:tcBorders>
            <w:noWrap w:val="0"/>
            <w:vAlign w:val="center"/>
          </w:tcPr>
          <w:p>
            <w:pPr>
              <w:jc w:val="center"/>
            </w:pPr>
            <w:r>
              <w:rPr>
                <w:rFonts w:hint="eastAsia"/>
              </w:rPr>
              <w:t>/</w:t>
            </w:r>
          </w:p>
        </w:tc>
        <w:tc>
          <w:tcPr>
            <w:tcW w:w="354" w:type="pct"/>
            <w:tcBorders>
              <w:top w:val="single" w:color="auto" w:sz="6" w:space="0"/>
              <w:bottom w:val="single" w:color="auto" w:sz="6" w:space="0"/>
            </w:tcBorders>
            <w:noWrap w:val="0"/>
            <w:vAlign w:val="center"/>
          </w:tcPr>
          <w:p>
            <w:pPr>
              <w:jc w:val="center"/>
              <w:rPr>
                <w:szCs w:val="21"/>
              </w:rPr>
            </w:pPr>
            <w:r>
              <w:rPr>
                <w:rFonts w:hint="eastAsia"/>
                <w:szCs w:val="21"/>
              </w:rPr>
              <w:t>0</w:t>
            </w:r>
          </w:p>
        </w:tc>
        <w:tc>
          <w:tcPr>
            <w:tcW w:w="362" w:type="pct"/>
            <w:tcBorders>
              <w:top w:val="single" w:color="auto" w:sz="6" w:space="0"/>
              <w:bottom w:val="single" w:color="auto" w:sz="6" w:space="0"/>
            </w:tcBorders>
            <w:noWrap w:val="0"/>
            <w:vAlign w:val="center"/>
          </w:tcPr>
          <w:p>
            <w:pPr>
              <w:jc w:val="center"/>
              <w:rPr>
                <w:szCs w:val="21"/>
              </w:rPr>
            </w:pPr>
            <w:r>
              <w:rPr>
                <w:rFonts w:hint="eastAsia"/>
                <w:szCs w:val="21"/>
              </w:rPr>
              <w:t>0</w:t>
            </w:r>
          </w:p>
        </w:tc>
        <w:tc>
          <w:tcPr>
            <w:tcW w:w="357" w:type="pct"/>
            <w:tcBorders>
              <w:top w:val="single" w:color="auto" w:sz="6" w:space="0"/>
              <w:bottom w:val="single" w:color="auto" w:sz="6" w:space="0"/>
              <w:right w:val="single" w:color="auto" w:sz="12" w:space="0"/>
            </w:tcBorders>
            <w:noWrap w:val="0"/>
            <w:vAlign w:val="top"/>
          </w:tcPr>
          <w:p>
            <w:pPr>
              <w:jc w:val="center"/>
            </w:pPr>
            <w:r>
              <w:rPr>
                <w:szCs w:val="21"/>
              </w:rPr>
              <w:t>/</w:t>
            </w:r>
          </w:p>
        </w:tc>
        <w:tc>
          <w:tcPr>
            <w:tcW w:w="985" w:type="dxa"/>
            <w:tcBorders>
              <w:top w:val="single" w:color="auto" w:sz="6" w:space="0"/>
              <w:bottom w:val="single" w:color="auto" w:sz="6" w:space="0"/>
              <w:right w:val="single" w:color="auto" w:sz="12" w:space="0"/>
            </w:tcBorders>
            <w:noWrap w:val="0"/>
            <w:vAlign w:val="top"/>
          </w:tcPr>
          <w:p>
            <w:pPr>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362" w:type="pct"/>
            <w:vMerge w:val="restart"/>
            <w:tcBorders>
              <w:top w:val="single" w:color="auto" w:sz="6" w:space="0"/>
              <w:left w:val="single" w:color="auto" w:sz="12" w:space="0"/>
            </w:tcBorders>
            <w:noWrap w:val="0"/>
            <w:vAlign w:val="center"/>
          </w:tcPr>
          <w:p>
            <w:pPr>
              <w:jc w:val="center"/>
              <w:rPr>
                <w:bCs/>
                <w:szCs w:val="21"/>
              </w:rPr>
            </w:pPr>
            <w:r>
              <w:rPr>
                <w:rFonts w:hint="eastAsia"/>
                <w:bCs/>
                <w:szCs w:val="21"/>
              </w:rPr>
              <w:t>沼液消纳地</w:t>
            </w:r>
          </w:p>
        </w:tc>
        <w:tc>
          <w:tcPr>
            <w:tcW w:w="536" w:type="pct"/>
            <w:tcBorders>
              <w:top w:val="single" w:color="auto" w:sz="6" w:space="0"/>
              <w:bottom w:val="single" w:color="auto" w:sz="6" w:space="0"/>
            </w:tcBorders>
            <w:noWrap w:val="0"/>
            <w:vAlign w:val="center"/>
          </w:tcPr>
          <w:p>
            <w:pPr>
              <w:jc w:val="center"/>
              <w:rPr>
                <w:rFonts w:hint="eastAsia"/>
                <w:bCs/>
                <w:szCs w:val="21"/>
              </w:rPr>
            </w:pPr>
            <w:r>
              <w:rPr>
                <w:rFonts w:hint="eastAsia"/>
                <w:bCs/>
                <w:szCs w:val="21"/>
              </w:rPr>
              <w:t>数值</w:t>
            </w:r>
          </w:p>
        </w:tc>
        <w:tc>
          <w:tcPr>
            <w:tcW w:w="451" w:type="pct"/>
            <w:tcBorders>
              <w:top w:val="single" w:color="auto" w:sz="6" w:space="0"/>
              <w:bottom w:val="single" w:color="auto" w:sz="6" w:space="0"/>
              <w:right w:val="single" w:color="auto" w:sz="4" w:space="0"/>
            </w:tcBorders>
            <w:noWrap w:val="0"/>
            <w:vAlign w:val="center"/>
          </w:tcPr>
          <w:p>
            <w:pPr>
              <w:jc w:val="center"/>
            </w:pPr>
            <w:r>
              <w:rPr>
                <w:rFonts w:hint="eastAsia"/>
              </w:rPr>
              <w:t>未检出</w:t>
            </w:r>
          </w:p>
        </w:tc>
        <w:tc>
          <w:tcPr>
            <w:tcW w:w="368" w:type="pct"/>
            <w:tcBorders>
              <w:top w:val="single" w:color="auto" w:sz="6" w:space="0"/>
              <w:left w:val="single" w:color="auto" w:sz="4" w:space="0"/>
              <w:bottom w:val="single" w:color="auto" w:sz="6" w:space="0"/>
            </w:tcBorders>
            <w:noWrap w:val="0"/>
            <w:vAlign w:val="center"/>
          </w:tcPr>
          <w:p>
            <w:pPr>
              <w:jc w:val="center"/>
              <w:rPr>
                <w:rFonts w:hint="default" w:eastAsia="宋体"/>
                <w:lang w:val="en-US" w:eastAsia="zh-CN"/>
              </w:rPr>
            </w:pPr>
            <w:r>
              <w:rPr>
                <w:rFonts w:hint="eastAsia"/>
                <w:lang w:val="en-US" w:eastAsia="zh-CN"/>
              </w:rPr>
              <w:t>0.0020</w:t>
            </w:r>
          </w:p>
        </w:tc>
        <w:tc>
          <w:tcPr>
            <w:tcW w:w="360" w:type="pct"/>
            <w:tcBorders>
              <w:top w:val="single" w:color="auto" w:sz="6" w:space="0"/>
              <w:bottom w:val="single" w:color="auto" w:sz="6" w:space="0"/>
            </w:tcBorders>
            <w:noWrap w:val="0"/>
            <w:vAlign w:val="center"/>
          </w:tcPr>
          <w:p>
            <w:pPr>
              <w:jc w:val="center"/>
            </w:pPr>
            <w:r>
              <w:rPr>
                <w:rFonts w:hint="eastAsia"/>
              </w:rPr>
              <w:t>未检出</w:t>
            </w:r>
          </w:p>
        </w:tc>
        <w:tc>
          <w:tcPr>
            <w:tcW w:w="451" w:type="pct"/>
            <w:tcBorders>
              <w:top w:val="single" w:color="auto" w:sz="6" w:space="0"/>
              <w:bottom w:val="single" w:color="auto" w:sz="6" w:space="0"/>
            </w:tcBorders>
            <w:noWrap w:val="0"/>
            <w:vAlign w:val="center"/>
          </w:tcPr>
          <w:p>
            <w:pPr>
              <w:jc w:val="center"/>
            </w:pPr>
            <w:r>
              <w:rPr>
                <w:rFonts w:hint="eastAsia"/>
              </w:rPr>
              <w:t>未检出</w:t>
            </w:r>
          </w:p>
        </w:tc>
        <w:tc>
          <w:tcPr>
            <w:tcW w:w="372" w:type="pct"/>
            <w:tcBorders>
              <w:top w:val="single" w:color="auto" w:sz="6" w:space="0"/>
              <w:bottom w:val="single" w:color="auto" w:sz="6" w:space="0"/>
            </w:tcBorders>
            <w:noWrap w:val="0"/>
            <w:vAlign w:val="center"/>
          </w:tcPr>
          <w:p>
            <w:pPr>
              <w:jc w:val="center"/>
              <w:rPr>
                <w:rFonts w:hint="default" w:eastAsia="宋体"/>
                <w:color w:val="auto"/>
                <w:lang w:val="en-US" w:eastAsia="zh-CN"/>
              </w:rPr>
            </w:pPr>
            <w:r>
              <w:rPr>
                <w:rFonts w:hint="eastAsia"/>
                <w:color w:val="auto"/>
                <w:lang w:val="en-US" w:eastAsia="zh-CN"/>
              </w:rPr>
              <w:t>0.006</w:t>
            </w:r>
          </w:p>
        </w:tc>
        <w:tc>
          <w:tcPr>
            <w:tcW w:w="354"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0.0009</w:t>
            </w:r>
          </w:p>
        </w:tc>
        <w:tc>
          <w:tcPr>
            <w:tcW w:w="309" w:type="pct"/>
            <w:tcBorders>
              <w:top w:val="single" w:color="auto" w:sz="6" w:space="0"/>
              <w:bottom w:val="single" w:color="auto" w:sz="6" w:space="0"/>
            </w:tcBorders>
            <w:noWrap w:val="0"/>
            <w:vAlign w:val="center"/>
          </w:tcPr>
          <w:p>
            <w:pPr>
              <w:jc w:val="center"/>
            </w:pPr>
            <w:r>
              <w:rPr>
                <w:rFonts w:hint="eastAsia"/>
              </w:rPr>
              <w:t>未检出</w:t>
            </w:r>
          </w:p>
        </w:tc>
        <w:tc>
          <w:tcPr>
            <w:tcW w:w="354" w:type="pct"/>
            <w:tcBorders>
              <w:top w:val="single" w:color="auto" w:sz="6" w:space="0"/>
              <w:bottom w:val="single" w:color="auto" w:sz="6" w:space="0"/>
            </w:tcBorders>
            <w:noWrap w:val="0"/>
            <w:vAlign w:val="center"/>
          </w:tcPr>
          <w:p>
            <w:pPr>
              <w:jc w:val="center"/>
              <w:rPr>
                <w:rFonts w:hint="default" w:eastAsia="宋体"/>
                <w:szCs w:val="21"/>
                <w:lang w:val="en-US" w:eastAsia="zh-CN"/>
              </w:rPr>
            </w:pPr>
            <w:r>
              <w:rPr>
                <w:rFonts w:hint="eastAsia"/>
                <w:bCs/>
                <w:szCs w:val="21"/>
                <w:lang w:val="en-US" w:eastAsia="zh-CN"/>
              </w:rPr>
              <w:t>0.428</w:t>
            </w:r>
          </w:p>
        </w:tc>
        <w:tc>
          <w:tcPr>
            <w:tcW w:w="362" w:type="pct"/>
            <w:tcBorders>
              <w:top w:val="single" w:color="auto" w:sz="6" w:space="0"/>
              <w:bottom w:val="single" w:color="auto" w:sz="6" w:space="0"/>
            </w:tcBorders>
            <w:noWrap w:val="0"/>
            <w:vAlign w:val="center"/>
          </w:tcPr>
          <w:p>
            <w:pPr>
              <w:jc w:val="center"/>
              <w:rPr>
                <w:rFonts w:hint="default" w:eastAsia="宋体"/>
                <w:szCs w:val="21"/>
                <w:lang w:val="en-US" w:eastAsia="zh-CN"/>
              </w:rPr>
            </w:pPr>
            <w:r>
              <w:rPr>
                <w:rFonts w:hint="eastAsia"/>
                <w:szCs w:val="21"/>
                <w:lang w:val="en-US" w:eastAsia="zh-CN"/>
              </w:rPr>
              <w:t>15.3</w:t>
            </w:r>
          </w:p>
        </w:tc>
        <w:tc>
          <w:tcPr>
            <w:tcW w:w="357" w:type="pct"/>
            <w:tcBorders>
              <w:top w:val="single" w:color="auto" w:sz="6" w:space="0"/>
              <w:bottom w:val="single" w:color="auto" w:sz="6" w:space="0"/>
              <w:right w:val="single" w:color="auto" w:sz="12" w:space="0"/>
            </w:tcBorders>
            <w:noWrap w:val="0"/>
            <w:vAlign w:val="center"/>
          </w:tcPr>
          <w:p>
            <w:pPr>
              <w:jc w:val="center"/>
            </w:pPr>
            <w:r>
              <w:rPr>
                <w:rFonts w:hint="eastAsia"/>
              </w:rPr>
              <w:t>未检出</w:t>
            </w:r>
          </w:p>
        </w:tc>
        <w:tc>
          <w:tcPr>
            <w:tcW w:w="985" w:type="dxa"/>
            <w:tcBorders>
              <w:top w:val="single" w:color="auto" w:sz="6" w:space="0"/>
              <w:bottom w:val="single" w:color="auto" w:sz="6" w:space="0"/>
              <w:right w:val="single" w:color="auto" w:sz="12" w:space="0"/>
            </w:tcBorders>
            <w:noWrap w:val="0"/>
            <w:vAlign w:val="center"/>
          </w:tcPr>
          <w:p>
            <w:pPr>
              <w:jc w:val="center"/>
              <w:rPr>
                <w:rFonts w:hint="eastAsia"/>
                <w:szCs w:val="21"/>
              </w:rPr>
            </w:pPr>
            <w:r>
              <w:rPr>
                <w:rFonts w:hint="eastAsia"/>
              </w:rPr>
              <w:t>未检出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362" w:type="pct"/>
            <w:vMerge w:val="continue"/>
            <w:tcBorders>
              <w:left w:val="single" w:color="auto" w:sz="12" w:space="0"/>
              <w:bottom w:val="single" w:color="auto" w:sz="6" w:space="0"/>
            </w:tcBorders>
            <w:noWrap w:val="0"/>
            <w:vAlign w:val="center"/>
          </w:tcPr>
          <w:p>
            <w:pPr>
              <w:jc w:val="center"/>
              <w:rPr>
                <w:bCs/>
                <w:szCs w:val="21"/>
              </w:rPr>
            </w:pPr>
          </w:p>
        </w:tc>
        <w:tc>
          <w:tcPr>
            <w:tcW w:w="536" w:type="pct"/>
            <w:tcBorders>
              <w:top w:val="single" w:color="auto" w:sz="6" w:space="0"/>
              <w:bottom w:val="single" w:color="auto" w:sz="6" w:space="0"/>
            </w:tcBorders>
            <w:noWrap w:val="0"/>
            <w:vAlign w:val="center"/>
          </w:tcPr>
          <w:p>
            <w:pPr>
              <w:jc w:val="center"/>
              <w:rPr>
                <w:bCs/>
                <w:szCs w:val="21"/>
              </w:rPr>
            </w:pPr>
            <w:r>
              <w:rPr>
                <w:bCs/>
                <w:szCs w:val="21"/>
              </w:rPr>
              <w:t>超标率</w:t>
            </w:r>
          </w:p>
        </w:tc>
        <w:tc>
          <w:tcPr>
            <w:tcW w:w="451" w:type="pct"/>
            <w:tcBorders>
              <w:top w:val="single" w:color="auto" w:sz="6" w:space="0"/>
              <w:bottom w:val="single" w:color="auto" w:sz="6" w:space="0"/>
              <w:right w:val="single" w:color="auto" w:sz="4" w:space="0"/>
            </w:tcBorders>
            <w:noWrap w:val="0"/>
            <w:vAlign w:val="center"/>
          </w:tcPr>
          <w:p>
            <w:pPr>
              <w:jc w:val="center"/>
            </w:pPr>
            <w:r>
              <w:rPr>
                <w:szCs w:val="21"/>
              </w:rPr>
              <w:t>/</w:t>
            </w:r>
          </w:p>
        </w:tc>
        <w:tc>
          <w:tcPr>
            <w:tcW w:w="368" w:type="pct"/>
            <w:tcBorders>
              <w:top w:val="single" w:color="auto" w:sz="6" w:space="0"/>
              <w:left w:val="single" w:color="auto" w:sz="4" w:space="0"/>
              <w:bottom w:val="single" w:color="auto" w:sz="6" w:space="0"/>
            </w:tcBorders>
            <w:noWrap w:val="0"/>
            <w:vAlign w:val="center"/>
          </w:tcPr>
          <w:p>
            <w:pPr>
              <w:jc w:val="center"/>
            </w:pPr>
            <w:r>
              <w:rPr>
                <w:rFonts w:hint="eastAsia"/>
              </w:rPr>
              <w:t>/</w:t>
            </w:r>
          </w:p>
        </w:tc>
        <w:tc>
          <w:tcPr>
            <w:tcW w:w="360" w:type="pct"/>
            <w:tcBorders>
              <w:top w:val="single" w:color="auto" w:sz="6" w:space="0"/>
              <w:bottom w:val="single" w:color="auto" w:sz="6" w:space="0"/>
            </w:tcBorders>
            <w:noWrap w:val="0"/>
            <w:vAlign w:val="center"/>
          </w:tcPr>
          <w:p>
            <w:pPr>
              <w:jc w:val="center"/>
            </w:pPr>
            <w:r>
              <w:rPr>
                <w:rFonts w:hint="eastAsia"/>
              </w:rPr>
              <w:t>/</w:t>
            </w:r>
          </w:p>
        </w:tc>
        <w:tc>
          <w:tcPr>
            <w:tcW w:w="451" w:type="pct"/>
            <w:tcBorders>
              <w:top w:val="single" w:color="auto" w:sz="6" w:space="0"/>
              <w:bottom w:val="single" w:color="auto" w:sz="6" w:space="0"/>
            </w:tcBorders>
            <w:noWrap w:val="0"/>
            <w:vAlign w:val="center"/>
          </w:tcPr>
          <w:p>
            <w:pPr>
              <w:jc w:val="center"/>
            </w:pPr>
            <w:r>
              <w:rPr>
                <w:rFonts w:hint="eastAsia"/>
              </w:rPr>
              <w:t>/</w:t>
            </w:r>
          </w:p>
        </w:tc>
        <w:tc>
          <w:tcPr>
            <w:tcW w:w="372" w:type="pct"/>
            <w:tcBorders>
              <w:top w:val="single" w:color="auto" w:sz="6" w:space="0"/>
              <w:bottom w:val="single" w:color="auto" w:sz="6" w:space="0"/>
            </w:tcBorders>
            <w:noWrap w:val="0"/>
            <w:vAlign w:val="center"/>
          </w:tcPr>
          <w:p>
            <w:pPr>
              <w:jc w:val="center"/>
              <w:rPr>
                <w:color w:val="auto"/>
              </w:rPr>
            </w:pPr>
            <w:r>
              <w:rPr>
                <w:rFonts w:hint="eastAsia"/>
                <w:color w:val="auto"/>
              </w:rPr>
              <w:t>/</w:t>
            </w:r>
          </w:p>
        </w:tc>
        <w:tc>
          <w:tcPr>
            <w:tcW w:w="354" w:type="pct"/>
            <w:tcBorders>
              <w:top w:val="single" w:color="auto" w:sz="6" w:space="0"/>
              <w:bottom w:val="single" w:color="auto" w:sz="6" w:space="0"/>
            </w:tcBorders>
            <w:noWrap w:val="0"/>
            <w:vAlign w:val="center"/>
          </w:tcPr>
          <w:p>
            <w:pPr>
              <w:jc w:val="center"/>
            </w:pPr>
            <w:r>
              <w:rPr>
                <w:rFonts w:hint="eastAsia"/>
              </w:rPr>
              <w:t>/</w:t>
            </w:r>
          </w:p>
        </w:tc>
        <w:tc>
          <w:tcPr>
            <w:tcW w:w="309" w:type="pct"/>
            <w:tcBorders>
              <w:top w:val="single" w:color="auto" w:sz="6" w:space="0"/>
              <w:bottom w:val="single" w:color="auto" w:sz="6" w:space="0"/>
            </w:tcBorders>
            <w:noWrap w:val="0"/>
            <w:vAlign w:val="center"/>
          </w:tcPr>
          <w:p>
            <w:pPr>
              <w:jc w:val="center"/>
              <w:rPr>
                <w:kern w:val="2"/>
                <w:sz w:val="21"/>
                <w:szCs w:val="24"/>
                <w:lang w:val="en-US" w:eastAsia="zh-CN" w:bidi="ar-SA"/>
              </w:rPr>
            </w:pPr>
            <w:r>
              <w:rPr>
                <w:rFonts w:hint="eastAsia"/>
              </w:rPr>
              <w:t>/</w:t>
            </w:r>
          </w:p>
        </w:tc>
        <w:tc>
          <w:tcPr>
            <w:tcW w:w="354" w:type="pct"/>
            <w:tcBorders>
              <w:top w:val="single" w:color="auto" w:sz="6" w:space="0"/>
              <w:bottom w:val="single" w:color="auto" w:sz="6" w:space="0"/>
            </w:tcBorders>
            <w:noWrap w:val="0"/>
            <w:vAlign w:val="center"/>
          </w:tcPr>
          <w:p>
            <w:pPr>
              <w:jc w:val="center"/>
              <w:rPr>
                <w:szCs w:val="21"/>
              </w:rPr>
            </w:pPr>
            <w:r>
              <w:rPr>
                <w:rFonts w:hint="eastAsia"/>
                <w:szCs w:val="21"/>
              </w:rPr>
              <w:t>0</w:t>
            </w:r>
          </w:p>
        </w:tc>
        <w:tc>
          <w:tcPr>
            <w:tcW w:w="362" w:type="pct"/>
            <w:tcBorders>
              <w:top w:val="single" w:color="auto" w:sz="6" w:space="0"/>
              <w:bottom w:val="single" w:color="auto" w:sz="6" w:space="0"/>
            </w:tcBorders>
            <w:noWrap w:val="0"/>
            <w:vAlign w:val="center"/>
          </w:tcPr>
          <w:p>
            <w:pPr>
              <w:jc w:val="center"/>
              <w:rPr>
                <w:rFonts w:hint="eastAsia"/>
                <w:szCs w:val="21"/>
              </w:rPr>
            </w:pPr>
            <w:r>
              <w:rPr>
                <w:rFonts w:hint="eastAsia"/>
                <w:szCs w:val="21"/>
              </w:rPr>
              <w:t>0</w:t>
            </w:r>
          </w:p>
        </w:tc>
        <w:tc>
          <w:tcPr>
            <w:tcW w:w="357" w:type="pct"/>
            <w:tcBorders>
              <w:top w:val="single" w:color="auto" w:sz="6" w:space="0"/>
              <w:bottom w:val="single" w:color="auto" w:sz="6" w:space="0"/>
              <w:right w:val="single" w:color="auto" w:sz="12" w:space="0"/>
            </w:tcBorders>
            <w:noWrap w:val="0"/>
            <w:vAlign w:val="top"/>
          </w:tcPr>
          <w:p>
            <w:pPr>
              <w:jc w:val="center"/>
            </w:pPr>
            <w:r>
              <w:rPr>
                <w:szCs w:val="21"/>
              </w:rPr>
              <w:t>/</w:t>
            </w:r>
          </w:p>
        </w:tc>
        <w:tc>
          <w:tcPr>
            <w:tcW w:w="985" w:type="dxa"/>
            <w:tcBorders>
              <w:top w:val="single" w:color="auto" w:sz="6" w:space="0"/>
              <w:bottom w:val="single" w:color="auto" w:sz="6" w:space="0"/>
              <w:right w:val="single" w:color="auto" w:sz="12" w:space="0"/>
            </w:tcBorders>
            <w:noWrap w:val="0"/>
            <w:vAlign w:val="top"/>
          </w:tcPr>
          <w:p>
            <w:pPr>
              <w:jc w:val="center"/>
              <w:rPr>
                <w:rFonts w:hint="eastAsia"/>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362" w:type="pct"/>
            <w:tcBorders>
              <w:top w:val="single" w:color="auto" w:sz="6" w:space="0"/>
              <w:left w:val="single" w:color="auto" w:sz="12" w:space="0"/>
              <w:bottom w:val="single" w:color="auto" w:sz="12" w:space="0"/>
            </w:tcBorders>
            <w:noWrap w:val="0"/>
            <w:vAlign w:val="center"/>
          </w:tcPr>
          <w:p>
            <w:pPr>
              <w:jc w:val="center"/>
              <w:rPr>
                <w:bCs/>
                <w:szCs w:val="21"/>
              </w:rPr>
            </w:pPr>
            <w:r>
              <w:rPr>
                <w:bCs/>
                <w:szCs w:val="21"/>
              </w:rPr>
              <w:t>标准值</w:t>
            </w:r>
          </w:p>
        </w:tc>
        <w:tc>
          <w:tcPr>
            <w:tcW w:w="536" w:type="pct"/>
            <w:tcBorders>
              <w:top w:val="single" w:color="auto" w:sz="6" w:space="0"/>
              <w:bottom w:val="single" w:color="auto" w:sz="12" w:space="0"/>
            </w:tcBorders>
            <w:noWrap w:val="0"/>
            <w:vAlign w:val="center"/>
          </w:tcPr>
          <w:p>
            <w:pPr>
              <w:jc w:val="center"/>
              <w:rPr>
                <w:bCs/>
                <w:szCs w:val="21"/>
              </w:rPr>
            </w:pPr>
            <w:r>
              <w:rPr>
                <w:bCs/>
                <w:szCs w:val="21"/>
              </w:rPr>
              <w:t>/</w:t>
            </w:r>
          </w:p>
        </w:tc>
        <w:tc>
          <w:tcPr>
            <w:tcW w:w="451" w:type="pct"/>
            <w:tcBorders>
              <w:top w:val="single" w:color="auto" w:sz="6" w:space="0"/>
              <w:bottom w:val="single" w:color="auto" w:sz="12" w:space="0"/>
              <w:right w:val="single" w:color="auto" w:sz="4" w:space="0"/>
            </w:tcBorders>
            <w:noWrap w:val="0"/>
            <w:vAlign w:val="center"/>
          </w:tcPr>
          <w:p>
            <w:pPr>
              <w:jc w:val="center"/>
              <w:rPr>
                <w:bCs/>
                <w:szCs w:val="21"/>
              </w:rPr>
            </w:pPr>
            <w:r>
              <w:rPr>
                <w:bCs/>
                <w:szCs w:val="21"/>
              </w:rPr>
              <w:t>≤</w:t>
            </w:r>
            <w:r>
              <w:rPr>
                <w:szCs w:val="21"/>
              </w:rPr>
              <w:t>0.002</w:t>
            </w:r>
          </w:p>
        </w:tc>
        <w:tc>
          <w:tcPr>
            <w:tcW w:w="368" w:type="pct"/>
            <w:tcBorders>
              <w:top w:val="single" w:color="auto" w:sz="6" w:space="0"/>
              <w:left w:val="single" w:color="auto" w:sz="4" w:space="0"/>
              <w:bottom w:val="single" w:color="auto" w:sz="12" w:space="0"/>
            </w:tcBorders>
            <w:noWrap w:val="0"/>
            <w:vAlign w:val="center"/>
          </w:tcPr>
          <w:p>
            <w:pPr>
              <w:jc w:val="center"/>
              <w:rPr>
                <w:bCs/>
                <w:szCs w:val="21"/>
              </w:rPr>
            </w:pPr>
            <w:r>
              <w:rPr>
                <w:szCs w:val="21"/>
              </w:rPr>
              <w:t>≤0.01</w:t>
            </w:r>
          </w:p>
        </w:tc>
        <w:tc>
          <w:tcPr>
            <w:tcW w:w="360" w:type="pct"/>
            <w:tcBorders>
              <w:top w:val="single" w:color="auto" w:sz="6" w:space="0"/>
              <w:bottom w:val="single" w:color="auto" w:sz="12" w:space="0"/>
            </w:tcBorders>
            <w:noWrap w:val="0"/>
            <w:vAlign w:val="center"/>
          </w:tcPr>
          <w:p>
            <w:pPr>
              <w:jc w:val="center"/>
              <w:rPr>
                <w:rFonts w:hint="eastAsia" w:eastAsia="宋体"/>
                <w:bCs/>
                <w:szCs w:val="21"/>
                <w:lang w:eastAsia="zh-CN"/>
              </w:rPr>
            </w:pPr>
            <w:r>
              <w:rPr>
                <w:szCs w:val="21"/>
              </w:rPr>
              <w:t>≤</w:t>
            </w:r>
            <w:r>
              <w:rPr>
                <w:rFonts w:hint="eastAsia"/>
                <w:szCs w:val="21"/>
                <w:lang w:eastAsia="zh-CN"/>
              </w:rPr>
              <w:t>0.00089</w:t>
            </w:r>
          </w:p>
        </w:tc>
        <w:tc>
          <w:tcPr>
            <w:tcW w:w="451" w:type="pct"/>
            <w:tcBorders>
              <w:top w:val="single" w:color="auto" w:sz="6" w:space="0"/>
              <w:bottom w:val="single" w:color="auto" w:sz="12" w:space="0"/>
            </w:tcBorders>
            <w:noWrap w:val="0"/>
            <w:vAlign w:val="center"/>
          </w:tcPr>
          <w:p>
            <w:pPr>
              <w:jc w:val="center"/>
              <w:rPr>
                <w:szCs w:val="21"/>
              </w:rPr>
            </w:pPr>
            <w:r>
              <w:rPr>
                <w:bCs/>
                <w:szCs w:val="21"/>
              </w:rPr>
              <w:t>≤</w:t>
            </w:r>
            <w:r>
              <w:rPr>
                <w:szCs w:val="21"/>
              </w:rPr>
              <w:t>0.05</w:t>
            </w:r>
          </w:p>
        </w:tc>
        <w:tc>
          <w:tcPr>
            <w:tcW w:w="372" w:type="pct"/>
            <w:tcBorders>
              <w:top w:val="single" w:color="auto" w:sz="6" w:space="0"/>
              <w:bottom w:val="single" w:color="auto" w:sz="12" w:space="0"/>
            </w:tcBorders>
            <w:noWrap w:val="0"/>
            <w:vAlign w:val="center"/>
          </w:tcPr>
          <w:p>
            <w:pPr>
              <w:jc w:val="center"/>
              <w:rPr>
                <w:color w:val="FF0000"/>
                <w:szCs w:val="21"/>
              </w:rPr>
            </w:pPr>
            <w:r>
              <w:rPr>
                <w:bCs/>
                <w:color w:val="auto"/>
                <w:szCs w:val="21"/>
              </w:rPr>
              <w:t>≤</w:t>
            </w:r>
            <w:r>
              <w:rPr>
                <w:color w:val="auto"/>
                <w:szCs w:val="21"/>
              </w:rPr>
              <w:t>0.01</w:t>
            </w:r>
          </w:p>
        </w:tc>
        <w:tc>
          <w:tcPr>
            <w:tcW w:w="354" w:type="pct"/>
            <w:tcBorders>
              <w:top w:val="single" w:color="auto" w:sz="6" w:space="0"/>
              <w:bottom w:val="single" w:color="auto" w:sz="12" w:space="0"/>
            </w:tcBorders>
            <w:noWrap w:val="0"/>
            <w:vAlign w:val="center"/>
          </w:tcPr>
          <w:p>
            <w:pPr>
              <w:jc w:val="center"/>
              <w:rPr>
                <w:bCs/>
                <w:szCs w:val="21"/>
              </w:rPr>
            </w:pPr>
            <w:r>
              <w:rPr>
                <w:bCs/>
                <w:szCs w:val="21"/>
              </w:rPr>
              <w:t>≤</w:t>
            </w:r>
            <w:r>
              <w:rPr>
                <w:szCs w:val="21"/>
              </w:rPr>
              <w:t>0.005</w:t>
            </w:r>
          </w:p>
        </w:tc>
        <w:tc>
          <w:tcPr>
            <w:tcW w:w="309" w:type="pct"/>
            <w:tcBorders>
              <w:top w:val="single" w:color="auto" w:sz="6" w:space="0"/>
              <w:bottom w:val="single" w:color="auto" w:sz="12" w:space="0"/>
            </w:tcBorders>
            <w:noWrap w:val="0"/>
            <w:vAlign w:val="center"/>
          </w:tcPr>
          <w:p>
            <w:pPr>
              <w:jc w:val="center"/>
              <w:rPr>
                <w:szCs w:val="21"/>
              </w:rPr>
            </w:pPr>
            <w:r>
              <w:rPr>
                <w:szCs w:val="21"/>
              </w:rPr>
              <w:t>≤0.3</w:t>
            </w:r>
          </w:p>
        </w:tc>
        <w:tc>
          <w:tcPr>
            <w:tcW w:w="354" w:type="pct"/>
            <w:tcBorders>
              <w:top w:val="single" w:color="auto" w:sz="6" w:space="0"/>
              <w:bottom w:val="single" w:color="auto" w:sz="12" w:space="0"/>
            </w:tcBorders>
            <w:noWrap w:val="0"/>
            <w:vAlign w:val="center"/>
          </w:tcPr>
          <w:p>
            <w:pPr>
              <w:jc w:val="center"/>
              <w:rPr>
                <w:szCs w:val="21"/>
              </w:rPr>
            </w:pPr>
            <w:r>
              <w:rPr>
                <w:szCs w:val="21"/>
              </w:rPr>
              <w:t>≤1.0</w:t>
            </w:r>
          </w:p>
        </w:tc>
        <w:tc>
          <w:tcPr>
            <w:tcW w:w="362" w:type="pct"/>
            <w:tcBorders>
              <w:top w:val="single" w:color="auto" w:sz="6" w:space="0"/>
              <w:bottom w:val="single" w:color="auto" w:sz="12" w:space="0"/>
            </w:tcBorders>
            <w:noWrap w:val="0"/>
            <w:vAlign w:val="center"/>
          </w:tcPr>
          <w:p>
            <w:pPr>
              <w:jc w:val="center"/>
              <w:rPr>
                <w:szCs w:val="21"/>
              </w:rPr>
            </w:pPr>
            <w:r>
              <w:rPr>
                <w:szCs w:val="21"/>
              </w:rPr>
              <w:t>≤250</w:t>
            </w:r>
          </w:p>
        </w:tc>
        <w:tc>
          <w:tcPr>
            <w:tcW w:w="357" w:type="pct"/>
            <w:tcBorders>
              <w:top w:val="single" w:color="auto" w:sz="6" w:space="0"/>
              <w:bottom w:val="single" w:color="auto" w:sz="12" w:space="0"/>
              <w:right w:val="single" w:color="auto" w:sz="12" w:space="0"/>
            </w:tcBorders>
            <w:noWrap w:val="0"/>
            <w:vAlign w:val="center"/>
          </w:tcPr>
          <w:p>
            <w:pPr>
              <w:jc w:val="center"/>
              <w:rPr>
                <w:szCs w:val="21"/>
              </w:rPr>
            </w:pPr>
            <w:r>
              <w:rPr>
                <w:szCs w:val="21"/>
              </w:rPr>
              <w:t>≤0.05</w:t>
            </w:r>
          </w:p>
        </w:tc>
        <w:tc>
          <w:tcPr>
            <w:tcW w:w="357" w:type="pct"/>
            <w:tcBorders>
              <w:top w:val="single" w:color="auto" w:sz="6" w:space="0"/>
              <w:bottom w:val="single" w:color="auto" w:sz="12" w:space="0"/>
              <w:right w:val="single" w:color="auto" w:sz="12" w:space="0"/>
            </w:tcBorders>
            <w:noWrap w:val="0"/>
            <w:vAlign w:val="top"/>
          </w:tcPr>
          <w:p>
            <w:pPr>
              <w:jc w:val="center"/>
              <w:rPr>
                <w:szCs w:val="21"/>
              </w:rPr>
            </w:pPr>
            <w:r>
              <w:rPr>
                <w:szCs w:val="21"/>
              </w:rPr>
              <w:t>≤0.1</w:t>
            </w:r>
          </w:p>
        </w:tc>
      </w:tr>
    </w:tbl>
    <w:p>
      <w:pPr>
        <w:spacing w:after="72" w:afterLines="30" w:line="500" w:lineRule="exact"/>
        <w:jc w:val="center"/>
        <w:rPr>
          <w:b/>
          <w:sz w:val="24"/>
        </w:rPr>
      </w:pPr>
      <w:r>
        <w:rPr>
          <w:rFonts w:hint="eastAsia"/>
          <w:b/>
          <w:sz w:val="24"/>
        </w:rPr>
        <w:t>续</w:t>
      </w:r>
      <w:r>
        <w:rPr>
          <w:b/>
          <w:sz w:val="24"/>
        </w:rPr>
        <w:t>表</w:t>
      </w:r>
      <w:r>
        <w:rPr>
          <w:b/>
          <w:bCs/>
          <w:sz w:val="24"/>
        </w:rPr>
        <w:t>3.3-12</w:t>
      </w:r>
      <w:r>
        <w:rPr>
          <w:rFonts w:hint="eastAsia"/>
          <w:b/>
          <w:bCs/>
          <w:sz w:val="24"/>
        </w:rPr>
        <w:t>（2）</w:t>
      </w:r>
      <w:r>
        <w:rPr>
          <w:rFonts w:hint="eastAsia"/>
          <w:b/>
          <w:sz w:val="24"/>
        </w:rPr>
        <w:t xml:space="preserve">   </w:t>
      </w:r>
      <w:r>
        <w:rPr>
          <w:b/>
          <w:sz w:val="24"/>
        </w:rPr>
        <w:t>地下水水质监测统计及评价结果</w:t>
      </w:r>
      <w:r>
        <w:rPr>
          <w:rFonts w:hint="eastAsia"/>
          <w:b/>
          <w:sz w:val="24"/>
        </w:rPr>
        <w:t>一览表</w:t>
      </w:r>
      <w:r>
        <w:rPr>
          <w:b/>
          <w:sz w:val="24"/>
        </w:rPr>
        <w:t>（单位：mg/L）</w:t>
      </w:r>
    </w:p>
    <w:tbl>
      <w:tblPr>
        <w:tblStyle w:val="17"/>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7" w:type="dxa"/>
          <w:bottom w:w="0" w:type="dxa"/>
          <w:right w:w="57" w:type="dxa"/>
        </w:tblCellMar>
      </w:tblPr>
      <w:tblGrid>
        <w:gridCol w:w="1559"/>
        <w:gridCol w:w="2312"/>
        <w:gridCol w:w="1944"/>
        <w:gridCol w:w="1552"/>
        <w:gridCol w:w="1944"/>
        <w:gridCol w:w="1602"/>
        <w:gridCol w:w="1525"/>
        <w:gridCol w:w="133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blHeader/>
        </w:trPr>
        <w:tc>
          <w:tcPr>
            <w:tcW w:w="566" w:type="pct"/>
            <w:tcBorders>
              <w:top w:val="single" w:color="auto" w:sz="12" w:space="0"/>
              <w:left w:val="single" w:color="auto" w:sz="12" w:space="0"/>
              <w:bottom w:val="single" w:color="auto" w:sz="6" w:space="0"/>
            </w:tcBorders>
            <w:noWrap w:val="0"/>
            <w:vAlign w:val="center"/>
          </w:tcPr>
          <w:p>
            <w:pPr>
              <w:jc w:val="center"/>
              <w:rPr>
                <w:b/>
                <w:bCs/>
                <w:szCs w:val="21"/>
              </w:rPr>
            </w:pPr>
            <w:r>
              <w:rPr>
                <w:b/>
                <w:bCs/>
                <w:szCs w:val="21"/>
              </w:rPr>
              <w:t>监测点</w:t>
            </w:r>
          </w:p>
        </w:tc>
        <w:tc>
          <w:tcPr>
            <w:tcW w:w="839" w:type="pct"/>
            <w:tcBorders>
              <w:top w:val="single" w:color="auto" w:sz="12" w:space="0"/>
              <w:bottom w:val="single" w:color="auto" w:sz="6" w:space="0"/>
            </w:tcBorders>
            <w:noWrap w:val="0"/>
            <w:vAlign w:val="center"/>
          </w:tcPr>
          <w:p>
            <w:pPr>
              <w:jc w:val="center"/>
              <w:rPr>
                <w:b/>
                <w:bCs/>
                <w:szCs w:val="21"/>
              </w:rPr>
            </w:pPr>
            <w:r>
              <w:rPr>
                <w:b/>
                <w:bCs/>
                <w:szCs w:val="21"/>
              </w:rPr>
              <w:t>项目</w:t>
            </w:r>
          </w:p>
        </w:tc>
        <w:tc>
          <w:tcPr>
            <w:tcW w:w="705" w:type="pct"/>
            <w:tcBorders>
              <w:top w:val="single" w:color="auto" w:sz="12" w:space="0"/>
              <w:bottom w:val="single" w:color="auto" w:sz="6" w:space="0"/>
              <w:right w:val="single" w:color="auto" w:sz="4" w:space="0"/>
            </w:tcBorders>
            <w:noWrap w:val="0"/>
            <w:vAlign w:val="center"/>
          </w:tcPr>
          <w:p>
            <w:pPr>
              <w:tabs>
                <w:tab w:val="center" w:pos="6979"/>
                <w:tab w:val="left" w:pos="12193"/>
              </w:tabs>
              <w:jc w:val="center"/>
              <w:rPr>
                <w:rFonts w:hint="eastAsia" w:eastAsia="宋体"/>
                <w:b/>
                <w:snapToGrid w:val="0"/>
                <w:color w:val="auto"/>
                <w:szCs w:val="21"/>
                <w:lang w:eastAsia="zh-CN"/>
              </w:rPr>
            </w:pPr>
            <w:r>
              <w:rPr>
                <w:rFonts w:hint="eastAsia"/>
                <w:b/>
                <w:snapToGrid w:val="0"/>
                <w:color w:val="auto"/>
                <w:szCs w:val="21"/>
                <w:lang w:val="en-US" w:eastAsia="zh-CN"/>
              </w:rPr>
              <w:t>耗氧量</w:t>
            </w:r>
          </w:p>
        </w:tc>
        <w:tc>
          <w:tcPr>
            <w:tcW w:w="563" w:type="pct"/>
            <w:tcBorders>
              <w:top w:val="single" w:color="auto" w:sz="12" w:space="0"/>
              <w:bottom w:val="single" w:color="auto" w:sz="6" w:space="0"/>
            </w:tcBorders>
            <w:noWrap w:val="0"/>
            <w:vAlign w:val="center"/>
          </w:tcPr>
          <w:p>
            <w:pPr>
              <w:tabs>
                <w:tab w:val="center" w:pos="6979"/>
                <w:tab w:val="left" w:pos="12193"/>
              </w:tabs>
              <w:jc w:val="center"/>
              <w:rPr>
                <w:rFonts w:hint="eastAsia"/>
                <w:b/>
                <w:snapToGrid w:val="0"/>
                <w:szCs w:val="21"/>
              </w:rPr>
            </w:pPr>
            <w:r>
              <w:rPr>
                <w:rFonts w:hint="eastAsia"/>
                <w:b/>
                <w:snapToGrid w:val="0"/>
                <w:szCs w:val="21"/>
              </w:rPr>
              <w:t>镁</w:t>
            </w:r>
          </w:p>
        </w:tc>
        <w:tc>
          <w:tcPr>
            <w:tcW w:w="705" w:type="pct"/>
            <w:tcBorders>
              <w:top w:val="single" w:color="auto" w:sz="12" w:space="0"/>
              <w:bottom w:val="single" w:color="auto" w:sz="6" w:space="0"/>
            </w:tcBorders>
            <w:noWrap w:val="0"/>
            <w:vAlign w:val="center"/>
          </w:tcPr>
          <w:p>
            <w:pPr>
              <w:tabs>
                <w:tab w:val="center" w:pos="6979"/>
                <w:tab w:val="left" w:pos="12193"/>
              </w:tabs>
              <w:jc w:val="center"/>
              <w:rPr>
                <w:rFonts w:hint="eastAsia"/>
                <w:b/>
                <w:snapToGrid w:val="0"/>
                <w:szCs w:val="21"/>
              </w:rPr>
            </w:pPr>
            <w:r>
              <w:rPr>
                <w:rFonts w:hint="eastAsia"/>
                <w:b/>
                <w:szCs w:val="21"/>
              </w:rPr>
              <w:t>钾</w:t>
            </w:r>
          </w:p>
        </w:tc>
        <w:tc>
          <w:tcPr>
            <w:tcW w:w="581" w:type="pct"/>
            <w:tcBorders>
              <w:top w:val="single" w:color="auto" w:sz="12" w:space="0"/>
              <w:bottom w:val="single" w:color="auto" w:sz="6" w:space="0"/>
            </w:tcBorders>
            <w:noWrap w:val="0"/>
            <w:vAlign w:val="center"/>
          </w:tcPr>
          <w:p>
            <w:pPr>
              <w:tabs>
                <w:tab w:val="center" w:pos="6979"/>
                <w:tab w:val="left" w:pos="12193"/>
              </w:tabs>
              <w:jc w:val="center"/>
              <w:rPr>
                <w:rFonts w:hint="eastAsia"/>
                <w:b/>
                <w:snapToGrid w:val="0"/>
                <w:szCs w:val="21"/>
              </w:rPr>
            </w:pPr>
            <w:r>
              <w:rPr>
                <w:rFonts w:hint="eastAsia"/>
                <w:b/>
                <w:szCs w:val="21"/>
              </w:rPr>
              <w:t>钠</w:t>
            </w:r>
          </w:p>
        </w:tc>
        <w:tc>
          <w:tcPr>
            <w:tcW w:w="553" w:type="pct"/>
            <w:tcBorders>
              <w:top w:val="single" w:color="auto" w:sz="12" w:space="0"/>
              <w:bottom w:val="single" w:color="auto" w:sz="6" w:space="0"/>
            </w:tcBorders>
            <w:noWrap w:val="0"/>
            <w:vAlign w:val="center"/>
          </w:tcPr>
          <w:p>
            <w:pPr>
              <w:tabs>
                <w:tab w:val="center" w:pos="6979"/>
                <w:tab w:val="left" w:pos="12193"/>
              </w:tabs>
              <w:jc w:val="center"/>
              <w:rPr>
                <w:rFonts w:hint="eastAsia"/>
                <w:b/>
                <w:snapToGrid w:val="0"/>
                <w:szCs w:val="21"/>
              </w:rPr>
            </w:pPr>
            <w:r>
              <w:rPr>
                <w:rFonts w:hint="eastAsia"/>
                <w:b/>
                <w:szCs w:val="21"/>
              </w:rPr>
              <w:t>钙</w:t>
            </w:r>
          </w:p>
        </w:tc>
        <w:tc>
          <w:tcPr>
            <w:tcW w:w="483" w:type="pct"/>
            <w:tcBorders>
              <w:top w:val="single" w:color="auto" w:sz="12" w:space="0"/>
              <w:bottom w:val="single" w:color="auto" w:sz="6" w:space="0"/>
            </w:tcBorders>
            <w:noWrap w:val="0"/>
            <w:vAlign w:val="center"/>
          </w:tcPr>
          <w:p>
            <w:pPr>
              <w:tabs>
                <w:tab w:val="center" w:pos="6979"/>
                <w:tab w:val="left" w:pos="12193"/>
              </w:tabs>
              <w:jc w:val="center"/>
              <w:rPr>
                <w:rFonts w:hint="eastAsia"/>
                <w:b/>
                <w:snapToGrid w:val="0"/>
                <w:szCs w:val="21"/>
              </w:rPr>
            </w:pPr>
            <w:r>
              <w:rPr>
                <w:rFonts w:hint="eastAsia"/>
                <w:b/>
                <w:szCs w:val="21"/>
              </w:rPr>
              <w:t>水温</w:t>
            </w:r>
            <w:r>
              <w:rPr>
                <w:b/>
                <w:szCs w:val="21"/>
              </w:rPr>
              <w:t>（℃</w:t>
            </w:r>
            <w:r>
              <w:rPr>
                <w:rFonts w:hint="eastAsia"/>
                <w:b/>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6" w:type="pct"/>
            <w:vMerge w:val="restart"/>
            <w:tcBorders>
              <w:top w:val="single" w:color="auto" w:sz="6" w:space="0"/>
              <w:left w:val="single" w:color="auto" w:sz="12" w:space="0"/>
              <w:bottom w:val="single" w:color="auto" w:sz="6" w:space="0"/>
            </w:tcBorders>
            <w:noWrap w:val="0"/>
            <w:vAlign w:val="center"/>
          </w:tcPr>
          <w:p>
            <w:pPr>
              <w:jc w:val="center"/>
              <w:rPr>
                <w:rFonts w:hint="eastAsia" w:eastAsia="宋体"/>
                <w:szCs w:val="21"/>
                <w:lang w:eastAsia="zh-CN"/>
              </w:rPr>
            </w:pPr>
            <w:r>
              <w:rPr>
                <w:rFonts w:hint="eastAsia"/>
                <w:szCs w:val="21"/>
                <w:lang w:eastAsia="zh-CN"/>
              </w:rPr>
              <w:t>大邢庄</w:t>
            </w:r>
          </w:p>
        </w:tc>
        <w:tc>
          <w:tcPr>
            <w:tcW w:w="839" w:type="pct"/>
            <w:tcBorders>
              <w:top w:val="single" w:color="auto" w:sz="6" w:space="0"/>
              <w:bottom w:val="single" w:color="auto" w:sz="6" w:space="0"/>
            </w:tcBorders>
            <w:noWrap w:val="0"/>
            <w:vAlign w:val="center"/>
          </w:tcPr>
          <w:p>
            <w:pPr>
              <w:jc w:val="center"/>
              <w:rPr>
                <w:rFonts w:hint="eastAsia"/>
                <w:bCs/>
                <w:szCs w:val="21"/>
              </w:rPr>
            </w:pPr>
            <w:r>
              <w:rPr>
                <w:rFonts w:hint="eastAsia"/>
                <w:bCs/>
                <w:szCs w:val="21"/>
              </w:rPr>
              <w:t>数值</w:t>
            </w:r>
          </w:p>
        </w:tc>
        <w:tc>
          <w:tcPr>
            <w:tcW w:w="705" w:type="pct"/>
            <w:tcBorders>
              <w:top w:val="single" w:color="auto" w:sz="6" w:space="0"/>
              <w:bottom w:val="single" w:color="auto" w:sz="6" w:space="0"/>
              <w:right w:val="single" w:color="auto" w:sz="4" w:space="0"/>
            </w:tcBorders>
            <w:noWrap w:val="0"/>
            <w:vAlign w:val="center"/>
          </w:tcPr>
          <w:p>
            <w:pPr>
              <w:jc w:val="center"/>
              <w:rPr>
                <w:rFonts w:hint="default" w:eastAsia="宋体"/>
                <w:color w:val="auto"/>
                <w:lang w:val="en-US" w:eastAsia="zh-CN"/>
              </w:rPr>
            </w:pPr>
            <w:r>
              <w:rPr>
                <w:rFonts w:hint="eastAsia"/>
                <w:color w:val="auto"/>
                <w:lang w:val="en-US" w:eastAsia="zh-CN"/>
              </w:rPr>
              <w:t>1.0</w:t>
            </w:r>
          </w:p>
        </w:tc>
        <w:tc>
          <w:tcPr>
            <w:tcW w:w="563"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61</w:t>
            </w:r>
          </w:p>
        </w:tc>
        <w:tc>
          <w:tcPr>
            <w:tcW w:w="705"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13.6</w:t>
            </w:r>
          </w:p>
        </w:tc>
        <w:tc>
          <w:tcPr>
            <w:tcW w:w="581"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24.9</w:t>
            </w:r>
          </w:p>
        </w:tc>
        <w:tc>
          <w:tcPr>
            <w:tcW w:w="553"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89</w:t>
            </w:r>
          </w:p>
        </w:tc>
        <w:tc>
          <w:tcPr>
            <w:tcW w:w="483"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15.2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6" w:type="pct"/>
            <w:vMerge w:val="continue"/>
            <w:tcBorders>
              <w:top w:val="single" w:color="auto" w:sz="6" w:space="0"/>
              <w:left w:val="single" w:color="auto" w:sz="12" w:space="0"/>
              <w:bottom w:val="single" w:color="auto" w:sz="6" w:space="0"/>
            </w:tcBorders>
            <w:noWrap w:val="0"/>
            <w:vAlign w:val="center"/>
          </w:tcPr>
          <w:p>
            <w:pPr>
              <w:jc w:val="center"/>
              <w:rPr>
                <w:bCs/>
                <w:szCs w:val="21"/>
              </w:rPr>
            </w:pPr>
          </w:p>
        </w:tc>
        <w:tc>
          <w:tcPr>
            <w:tcW w:w="839" w:type="pct"/>
            <w:tcBorders>
              <w:top w:val="single" w:color="auto" w:sz="6" w:space="0"/>
              <w:bottom w:val="single" w:color="auto" w:sz="6" w:space="0"/>
            </w:tcBorders>
            <w:noWrap w:val="0"/>
            <w:vAlign w:val="center"/>
          </w:tcPr>
          <w:p>
            <w:pPr>
              <w:jc w:val="center"/>
              <w:rPr>
                <w:bCs/>
                <w:szCs w:val="21"/>
              </w:rPr>
            </w:pPr>
            <w:r>
              <w:rPr>
                <w:bCs/>
                <w:szCs w:val="21"/>
              </w:rPr>
              <w:t>超标率</w:t>
            </w:r>
          </w:p>
        </w:tc>
        <w:tc>
          <w:tcPr>
            <w:tcW w:w="705" w:type="pct"/>
            <w:tcBorders>
              <w:top w:val="single" w:color="auto" w:sz="6" w:space="0"/>
              <w:bottom w:val="single" w:color="auto" w:sz="6" w:space="0"/>
              <w:right w:val="single" w:color="auto" w:sz="4" w:space="0"/>
            </w:tcBorders>
            <w:noWrap w:val="0"/>
            <w:vAlign w:val="center"/>
          </w:tcPr>
          <w:p>
            <w:pPr>
              <w:jc w:val="center"/>
              <w:rPr>
                <w:color w:val="auto"/>
              </w:rPr>
            </w:pPr>
            <w:r>
              <w:rPr>
                <w:color w:val="auto"/>
                <w:szCs w:val="21"/>
              </w:rPr>
              <w:t>/</w:t>
            </w:r>
          </w:p>
        </w:tc>
        <w:tc>
          <w:tcPr>
            <w:tcW w:w="563" w:type="pct"/>
            <w:tcBorders>
              <w:top w:val="single" w:color="auto" w:sz="6" w:space="0"/>
              <w:bottom w:val="single" w:color="auto" w:sz="6" w:space="0"/>
            </w:tcBorders>
            <w:noWrap w:val="0"/>
            <w:vAlign w:val="center"/>
          </w:tcPr>
          <w:p>
            <w:pPr>
              <w:jc w:val="center"/>
            </w:pPr>
            <w:r>
              <w:rPr>
                <w:rFonts w:hint="eastAsia"/>
              </w:rPr>
              <w:t>/</w:t>
            </w:r>
          </w:p>
        </w:tc>
        <w:tc>
          <w:tcPr>
            <w:tcW w:w="705" w:type="pct"/>
            <w:tcBorders>
              <w:top w:val="single" w:color="auto" w:sz="6" w:space="0"/>
              <w:bottom w:val="single" w:color="auto" w:sz="6" w:space="0"/>
            </w:tcBorders>
            <w:noWrap w:val="0"/>
            <w:vAlign w:val="center"/>
          </w:tcPr>
          <w:p>
            <w:pPr>
              <w:jc w:val="center"/>
            </w:pPr>
            <w:r>
              <w:rPr>
                <w:rFonts w:hint="eastAsia"/>
              </w:rPr>
              <w:t>/</w:t>
            </w:r>
          </w:p>
        </w:tc>
        <w:tc>
          <w:tcPr>
            <w:tcW w:w="581" w:type="pct"/>
            <w:tcBorders>
              <w:top w:val="single" w:color="auto" w:sz="6" w:space="0"/>
              <w:bottom w:val="single" w:color="auto" w:sz="6" w:space="0"/>
            </w:tcBorders>
            <w:noWrap w:val="0"/>
            <w:vAlign w:val="center"/>
          </w:tcPr>
          <w:p>
            <w:pPr>
              <w:jc w:val="center"/>
            </w:pPr>
            <w:r>
              <w:rPr>
                <w:rFonts w:hint="eastAsia"/>
              </w:rPr>
              <w:t>/</w:t>
            </w:r>
          </w:p>
        </w:tc>
        <w:tc>
          <w:tcPr>
            <w:tcW w:w="553" w:type="pct"/>
            <w:tcBorders>
              <w:top w:val="single" w:color="auto" w:sz="6" w:space="0"/>
              <w:bottom w:val="single" w:color="auto" w:sz="6" w:space="0"/>
            </w:tcBorders>
            <w:noWrap w:val="0"/>
            <w:vAlign w:val="center"/>
          </w:tcPr>
          <w:p>
            <w:pPr>
              <w:jc w:val="center"/>
            </w:pPr>
            <w:r>
              <w:rPr>
                <w:rFonts w:hint="eastAsia"/>
              </w:rPr>
              <w:t>/</w:t>
            </w:r>
          </w:p>
        </w:tc>
        <w:tc>
          <w:tcPr>
            <w:tcW w:w="483" w:type="pct"/>
            <w:tcBorders>
              <w:top w:val="single" w:color="auto" w:sz="6" w:space="0"/>
              <w:bottom w:val="single" w:color="auto" w:sz="6" w:space="0"/>
            </w:tcBorders>
            <w:noWrap w:val="0"/>
            <w:vAlign w:val="center"/>
          </w:tcPr>
          <w:p>
            <w:pPr>
              <w:jc w:val="cente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6" w:type="pct"/>
            <w:vMerge w:val="restart"/>
            <w:tcBorders>
              <w:top w:val="single" w:color="auto" w:sz="6" w:space="0"/>
              <w:left w:val="single" w:color="auto" w:sz="12" w:space="0"/>
              <w:bottom w:val="single" w:color="auto" w:sz="6" w:space="0"/>
            </w:tcBorders>
            <w:noWrap w:val="0"/>
            <w:vAlign w:val="center"/>
          </w:tcPr>
          <w:p>
            <w:pPr>
              <w:jc w:val="center"/>
              <w:rPr>
                <w:rFonts w:hint="default" w:eastAsia="宋体"/>
                <w:szCs w:val="21"/>
                <w:lang w:val="en-US" w:eastAsia="zh-CN"/>
              </w:rPr>
            </w:pPr>
            <w:r>
              <w:rPr>
                <w:rFonts w:hint="eastAsia"/>
                <w:szCs w:val="21"/>
                <w:lang w:val="en-US" w:eastAsia="zh-CN"/>
              </w:rPr>
              <w:t>后骆村</w:t>
            </w:r>
          </w:p>
        </w:tc>
        <w:tc>
          <w:tcPr>
            <w:tcW w:w="839" w:type="pct"/>
            <w:tcBorders>
              <w:top w:val="single" w:color="auto" w:sz="6" w:space="0"/>
              <w:bottom w:val="single" w:color="auto" w:sz="6" w:space="0"/>
            </w:tcBorders>
            <w:noWrap w:val="0"/>
            <w:vAlign w:val="center"/>
          </w:tcPr>
          <w:p>
            <w:pPr>
              <w:jc w:val="center"/>
              <w:rPr>
                <w:rFonts w:hint="eastAsia"/>
                <w:bCs/>
                <w:szCs w:val="21"/>
              </w:rPr>
            </w:pPr>
            <w:r>
              <w:rPr>
                <w:rFonts w:hint="eastAsia"/>
                <w:bCs/>
                <w:szCs w:val="21"/>
              </w:rPr>
              <w:t>数值</w:t>
            </w:r>
          </w:p>
        </w:tc>
        <w:tc>
          <w:tcPr>
            <w:tcW w:w="705" w:type="pct"/>
            <w:tcBorders>
              <w:top w:val="single" w:color="auto" w:sz="6" w:space="0"/>
              <w:bottom w:val="single" w:color="auto" w:sz="6" w:space="0"/>
              <w:right w:val="single" w:color="auto" w:sz="4" w:space="0"/>
            </w:tcBorders>
            <w:noWrap w:val="0"/>
            <w:vAlign w:val="center"/>
          </w:tcPr>
          <w:p>
            <w:pPr>
              <w:jc w:val="center"/>
              <w:rPr>
                <w:rFonts w:hint="default" w:eastAsia="宋体"/>
                <w:color w:val="auto"/>
                <w:lang w:val="en-US" w:eastAsia="zh-CN"/>
              </w:rPr>
            </w:pPr>
            <w:r>
              <w:rPr>
                <w:rFonts w:hint="eastAsia"/>
                <w:color w:val="auto"/>
                <w:lang w:val="en-US" w:eastAsia="zh-CN"/>
              </w:rPr>
              <w:t>1.2</w:t>
            </w:r>
          </w:p>
        </w:tc>
        <w:tc>
          <w:tcPr>
            <w:tcW w:w="563"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52</w:t>
            </w:r>
          </w:p>
        </w:tc>
        <w:tc>
          <w:tcPr>
            <w:tcW w:w="705"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14.9</w:t>
            </w:r>
          </w:p>
        </w:tc>
        <w:tc>
          <w:tcPr>
            <w:tcW w:w="581"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22.8</w:t>
            </w:r>
          </w:p>
        </w:tc>
        <w:tc>
          <w:tcPr>
            <w:tcW w:w="553"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76</w:t>
            </w:r>
          </w:p>
        </w:tc>
        <w:tc>
          <w:tcPr>
            <w:tcW w:w="483"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15.3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6" w:type="pct"/>
            <w:vMerge w:val="continue"/>
            <w:tcBorders>
              <w:top w:val="single" w:color="auto" w:sz="6" w:space="0"/>
              <w:left w:val="single" w:color="auto" w:sz="12" w:space="0"/>
              <w:bottom w:val="single" w:color="auto" w:sz="6" w:space="0"/>
            </w:tcBorders>
            <w:noWrap w:val="0"/>
            <w:vAlign w:val="center"/>
          </w:tcPr>
          <w:p>
            <w:pPr>
              <w:jc w:val="center"/>
              <w:rPr>
                <w:bCs/>
                <w:szCs w:val="21"/>
              </w:rPr>
            </w:pPr>
          </w:p>
        </w:tc>
        <w:tc>
          <w:tcPr>
            <w:tcW w:w="839" w:type="pct"/>
            <w:tcBorders>
              <w:top w:val="single" w:color="auto" w:sz="6" w:space="0"/>
              <w:bottom w:val="single" w:color="auto" w:sz="6" w:space="0"/>
            </w:tcBorders>
            <w:noWrap w:val="0"/>
            <w:vAlign w:val="center"/>
          </w:tcPr>
          <w:p>
            <w:pPr>
              <w:jc w:val="center"/>
              <w:rPr>
                <w:bCs/>
                <w:szCs w:val="21"/>
              </w:rPr>
            </w:pPr>
            <w:r>
              <w:rPr>
                <w:bCs/>
                <w:szCs w:val="21"/>
              </w:rPr>
              <w:t>超标率</w:t>
            </w:r>
          </w:p>
        </w:tc>
        <w:tc>
          <w:tcPr>
            <w:tcW w:w="705" w:type="pct"/>
            <w:tcBorders>
              <w:top w:val="single" w:color="auto" w:sz="6" w:space="0"/>
              <w:bottom w:val="single" w:color="auto" w:sz="6" w:space="0"/>
              <w:right w:val="single" w:color="auto" w:sz="4" w:space="0"/>
            </w:tcBorders>
            <w:noWrap w:val="0"/>
            <w:vAlign w:val="center"/>
          </w:tcPr>
          <w:p>
            <w:pPr>
              <w:jc w:val="center"/>
              <w:rPr>
                <w:color w:val="auto"/>
              </w:rPr>
            </w:pPr>
            <w:r>
              <w:rPr>
                <w:color w:val="auto"/>
                <w:szCs w:val="21"/>
              </w:rPr>
              <w:t>/</w:t>
            </w:r>
          </w:p>
        </w:tc>
        <w:tc>
          <w:tcPr>
            <w:tcW w:w="563" w:type="pct"/>
            <w:tcBorders>
              <w:top w:val="single" w:color="auto" w:sz="6" w:space="0"/>
              <w:bottom w:val="single" w:color="auto" w:sz="6" w:space="0"/>
            </w:tcBorders>
            <w:noWrap w:val="0"/>
            <w:vAlign w:val="center"/>
          </w:tcPr>
          <w:p>
            <w:pPr>
              <w:jc w:val="center"/>
            </w:pPr>
            <w:r>
              <w:rPr>
                <w:rFonts w:hint="eastAsia"/>
              </w:rPr>
              <w:t>/</w:t>
            </w:r>
          </w:p>
        </w:tc>
        <w:tc>
          <w:tcPr>
            <w:tcW w:w="705" w:type="pct"/>
            <w:tcBorders>
              <w:top w:val="single" w:color="auto" w:sz="6" w:space="0"/>
              <w:bottom w:val="single" w:color="auto" w:sz="6" w:space="0"/>
            </w:tcBorders>
            <w:noWrap w:val="0"/>
            <w:vAlign w:val="center"/>
          </w:tcPr>
          <w:p>
            <w:pPr>
              <w:jc w:val="center"/>
            </w:pPr>
            <w:r>
              <w:rPr>
                <w:rFonts w:hint="eastAsia"/>
              </w:rPr>
              <w:t>/</w:t>
            </w:r>
          </w:p>
        </w:tc>
        <w:tc>
          <w:tcPr>
            <w:tcW w:w="581" w:type="pct"/>
            <w:tcBorders>
              <w:top w:val="single" w:color="auto" w:sz="6" w:space="0"/>
              <w:bottom w:val="single" w:color="auto" w:sz="6" w:space="0"/>
            </w:tcBorders>
            <w:noWrap w:val="0"/>
            <w:vAlign w:val="center"/>
          </w:tcPr>
          <w:p>
            <w:pPr>
              <w:jc w:val="center"/>
            </w:pPr>
            <w:r>
              <w:rPr>
                <w:rFonts w:hint="eastAsia"/>
              </w:rPr>
              <w:t>/</w:t>
            </w:r>
          </w:p>
        </w:tc>
        <w:tc>
          <w:tcPr>
            <w:tcW w:w="553" w:type="pct"/>
            <w:tcBorders>
              <w:top w:val="single" w:color="auto" w:sz="6" w:space="0"/>
              <w:bottom w:val="single" w:color="auto" w:sz="6" w:space="0"/>
            </w:tcBorders>
            <w:noWrap w:val="0"/>
            <w:vAlign w:val="center"/>
          </w:tcPr>
          <w:p>
            <w:pPr>
              <w:jc w:val="center"/>
            </w:pPr>
            <w:r>
              <w:rPr>
                <w:rFonts w:hint="eastAsia"/>
              </w:rPr>
              <w:t>/</w:t>
            </w:r>
          </w:p>
        </w:tc>
        <w:tc>
          <w:tcPr>
            <w:tcW w:w="483" w:type="pct"/>
            <w:tcBorders>
              <w:top w:val="single" w:color="auto" w:sz="6" w:space="0"/>
              <w:bottom w:val="single" w:color="auto" w:sz="6" w:space="0"/>
            </w:tcBorders>
            <w:noWrap w:val="0"/>
            <w:vAlign w:val="center"/>
          </w:tcPr>
          <w:p>
            <w:pPr>
              <w:jc w:val="cente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6" w:type="pct"/>
            <w:vMerge w:val="restart"/>
            <w:tcBorders>
              <w:top w:val="single" w:color="auto" w:sz="6" w:space="0"/>
              <w:left w:val="single" w:color="auto" w:sz="12" w:space="0"/>
            </w:tcBorders>
            <w:noWrap w:val="0"/>
            <w:vAlign w:val="center"/>
          </w:tcPr>
          <w:p>
            <w:pPr>
              <w:jc w:val="center"/>
              <w:rPr>
                <w:bCs/>
                <w:szCs w:val="21"/>
              </w:rPr>
            </w:pPr>
            <w:r>
              <w:rPr>
                <w:rFonts w:hint="eastAsia"/>
                <w:bCs/>
                <w:szCs w:val="21"/>
              </w:rPr>
              <w:t>沼液消纳地</w:t>
            </w:r>
          </w:p>
        </w:tc>
        <w:tc>
          <w:tcPr>
            <w:tcW w:w="839" w:type="pct"/>
            <w:tcBorders>
              <w:top w:val="single" w:color="auto" w:sz="6" w:space="0"/>
              <w:bottom w:val="single" w:color="auto" w:sz="6" w:space="0"/>
            </w:tcBorders>
            <w:noWrap w:val="0"/>
            <w:vAlign w:val="center"/>
          </w:tcPr>
          <w:p>
            <w:pPr>
              <w:jc w:val="center"/>
              <w:rPr>
                <w:rFonts w:hint="eastAsia"/>
                <w:bCs/>
                <w:szCs w:val="21"/>
              </w:rPr>
            </w:pPr>
            <w:r>
              <w:rPr>
                <w:rFonts w:hint="eastAsia"/>
                <w:bCs/>
                <w:szCs w:val="21"/>
              </w:rPr>
              <w:t>数值</w:t>
            </w:r>
          </w:p>
        </w:tc>
        <w:tc>
          <w:tcPr>
            <w:tcW w:w="705" w:type="pct"/>
            <w:tcBorders>
              <w:top w:val="single" w:color="auto" w:sz="6" w:space="0"/>
              <w:bottom w:val="single" w:color="auto" w:sz="6" w:space="0"/>
              <w:right w:val="single" w:color="auto" w:sz="4" w:space="0"/>
            </w:tcBorders>
            <w:noWrap w:val="0"/>
            <w:vAlign w:val="center"/>
          </w:tcPr>
          <w:p>
            <w:pPr>
              <w:jc w:val="center"/>
              <w:rPr>
                <w:rFonts w:hint="default" w:eastAsia="宋体"/>
                <w:color w:val="auto"/>
                <w:lang w:val="en-US" w:eastAsia="zh-CN"/>
              </w:rPr>
            </w:pPr>
            <w:r>
              <w:rPr>
                <w:rFonts w:hint="eastAsia"/>
                <w:color w:val="auto"/>
                <w:lang w:val="en-US" w:eastAsia="zh-CN"/>
              </w:rPr>
              <w:t>1.2</w:t>
            </w:r>
          </w:p>
        </w:tc>
        <w:tc>
          <w:tcPr>
            <w:tcW w:w="563"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54</w:t>
            </w:r>
          </w:p>
        </w:tc>
        <w:tc>
          <w:tcPr>
            <w:tcW w:w="705"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14.1</w:t>
            </w:r>
          </w:p>
        </w:tc>
        <w:tc>
          <w:tcPr>
            <w:tcW w:w="581"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25.1</w:t>
            </w:r>
          </w:p>
        </w:tc>
        <w:tc>
          <w:tcPr>
            <w:tcW w:w="553"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83</w:t>
            </w:r>
          </w:p>
        </w:tc>
        <w:tc>
          <w:tcPr>
            <w:tcW w:w="483"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15.3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6" w:type="pct"/>
            <w:vMerge w:val="continue"/>
            <w:tcBorders>
              <w:left w:val="single" w:color="auto" w:sz="12" w:space="0"/>
              <w:bottom w:val="single" w:color="auto" w:sz="6" w:space="0"/>
            </w:tcBorders>
            <w:noWrap w:val="0"/>
            <w:vAlign w:val="center"/>
          </w:tcPr>
          <w:p>
            <w:pPr>
              <w:jc w:val="center"/>
              <w:rPr>
                <w:bCs/>
                <w:szCs w:val="21"/>
              </w:rPr>
            </w:pPr>
          </w:p>
        </w:tc>
        <w:tc>
          <w:tcPr>
            <w:tcW w:w="839" w:type="pct"/>
            <w:tcBorders>
              <w:top w:val="single" w:color="auto" w:sz="6" w:space="0"/>
              <w:bottom w:val="single" w:color="auto" w:sz="6" w:space="0"/>
            </w:tcBorders>
            <w:noWrap w:val="0"/>
            <w:vAlign w:val="center"/>
          </w:tcPr>
          <w:p>
            <w:pPr>
              <w:jc w:val="center"/>
              <w:rPr>
                <w:bCs/>
                <w:szCs w:val="21"/>
              </w:rPr>
            </w:pPr>
            <w:r>
              <w:rPr>
                <w:bCs/>
                <w:szCs w:val="21"/>
              </w:rPr>
              <w:t>超标率</w:t>
            </w:r>
          </w:p>
        </w:tc>
        <w:tc>
          <w:tcPr>
            <w:tcW w:w="705" w:type="pct"/>
            <w:tcBorders>
              <w:top w:val="single" w:color="auto" w:sz="6" w:space="0"/>
              <w:bottom w:val="single" w:color="auto" w:sz="6" w:space="0"/>
              <w:right w:val="single" w:color="auto" w:sz="4" w:space="0"/>
            </w:tcBorders>
            <w:noWrap w:val="0"/>
            <w:vAlign w:val="center"/>
          </w:tcPr>
          <w:p>
            <w:pPr>
              <w:jc w:val="center"/>
              <w:rPr>
                <w:color w:val="auto"/>
              </w:rPr>
            </w:pPr>
            <w:r>
              <w:rPr>
                <w:color w:val="auto"/>
                <w:szCs w:val="21"/>
              </w:rPr>
              <w:t>/</w:t>
            </w:r>
          </w:p>
        </w:tc>
        <w:tc>
          <w:tcPr>
            <w:tcW w:w="563" w:type="pct"/>
            <w:tcBorders>
              <w:top w:val="single" w:color="auto" w:sz="6" w:space="0"/>
              <w:bottom w:val="single" w:color="auto" w:sz="6" w:space="0"/>
            </w:tcBorders>
            <w:noWrap w:val="0"/>
            <w:vAlign w:val="center"/>
          </w:tcPr>
          <w:p>
            <w:pPr>
              <w:jc w:val="center"/>
            </w:pPr>
            <w:r>
              <w:rPr>
                <w:rFonts w:hint="eastAsia"/>
              </w:rPr>
              <w:t>/</w:t>
            </w:r>
          </w:p>
        </w:tc>
        <w:tc>
          <w:tcPr>
            <w:tcW w:w="705" w:type="pct"/>
            <w:tcBorders>
              <w:top w:val="single" w:color="auto" w:sz="6" w:space="0"/>
              <w:bottom w:val="single" w:color="auto" w:sz="6" w:space="0"/>
            </w:tcBorders>
            <w:noWrap w:val="0"/>
            <w:vAlign w:val="center"/>
          </w:tcPr>
          <w:p>
            <w:pPr>
              <w:jc w:val="center"/>
            </w:pPr>
            <w:r>
              <w:rPr>
                <w:rFonts w:hint="eastAsia"/>
              </w:rPr>
              <w:t>/</w:t>
            </w:r>
          </w:p>
        </w:tc>
        <w:tc>
          <w:tcPr>
            <w:tcW w:w="581" w:type="pct"/>
            <w:tcBorders>
              <w:top w:val="single" w:color="auto" w:sz="6" w:space="0"/>
              <w:bottom w:val="single" w:color="auto" w:sz="6" w:space="0"/>
            </w:tcBorders>
            <w:noWrap w:val="0"/>
            <w:vAlign w:val="center"/>
          </w:tcPr>
          <w:p>
            <w:pPr>
              <w:jc w:val="center"/>
            </w:pPr>
            <w:r>
              <w:rPr>
                <w:rFonts w:hint="eastAsia"/>
              </w:rPr>
              <w:t>/</w:t>
            </w:r>
          </w:p>
        </w:tc>
        <w:tc>
          <w:tcPr>
            <w:tcW w:w="553" w:type="pct"/>
            <w:tcBorders>
              <w:top w:val="single" w:color="auto" w:sz="6" w:space="0"/>
              <w:bottom w:val="single" w:color="auto" w:sz="6" w:space="0"/>
            </w:tcBorders>
            <w:noWrap w:val="0"/>
            <w:vAlign w:val="center"/>
          </w:tcPr>
          <w:p>
            <w:pPr>
              <w:jc w:val="center"/>
            </w:pPr>
            <w:r>
              <w:rPr>
                <w:rFonts w:hint="eastAsia"/>
              </w:rPr>
              <w:t>/</w:t>
            </w:r>
          </w:p>
        </w:tc>
        <w:tc>
          <w:tcPr>
            <w:tcW w:w="483" w:type="pct"/>
            <w:tcBorders>
              <w:top w:val="single" w:color="auto" w:sz="6" w:space="0"/>
              <w:bottom w:val="single" w:color="auto" w:sz="6" w:space="0"/>
            </w:tcBorders>
            <w:noWrap w:val="0"/>
            <w:vAlign w:val="center"/>
          </w:tcPr>
          <w:p>
            <w:pPr>
              <w:jc w:val="center"/>
            </w:pPr>
            <w:r>
              <w:rPr>
                <w:rFonts w:hint="eastAsia"/>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566" w:type="pct"/>
            <w:tcBorders>
              <w:top w:val="single" w:color="auto" w:sz="6" w:space="0"/>
              <w:left w:val="single" w:color="auto" w:sz="12" w:space="0"/>
              <w:bottom w:val="single" w:color="auto" w:sz="12" w:space="0"/>
            </w:tcBorders>
            <w:noWrap w:val="0"/>
            <w:vAlign w:val="center"/>
          </w:tcPr>
          <w:p>
            <w:pPr>
              <w:jc w:val="center"/>
              <w:rPr>
                <w:bCs/>
                <w:szCs w:val="21"/>
              </w:rPr>
            </w:pPr>
            <w:r>
              <w:rPr>
                <w:bCs/>
                <w:szCs w:val="21"/>
              </w:rPr>
              <w:t>标准值</w:t>
            </w:r>
          </w:p>
        </w:tc>
        <w:tc>
          <w:tcPr>
            <w:tcW w:w="839" w:type="pct"/>
            <w:tcBorders>
              <w:top w:val="single" w:color="auto" w:sz="6" w:space="0"/>
              <w:bottom w:val="single" w:color="auto" w:sz="12" w:space="0"/>
            </w:tcBorders>
            <w:noWrap w:val="0"/>
            <w:vAlign w:val="center"/>
          </w:tcPr>
          <w:p>
            <w:pPr>
              <w:jc w:val="center"/>
              <w:rPr>
                <w:bCs/>
                <w:szCs w:val="21"/>
              </w:rPr>
            </w:pPr>
            <w:r>
              <w:rPr>
                <w:bCs/>
                <w:szCs w:val="21"/>
              </w:rPr>
              <w:t>/</w:t>
            </w:r>
          </w:p>
        </w:tc>
        <w:tc>
          <w:tcPr>
            <w:tcW w:w="705" w:type="pct"/>
            <w:tcBorders>
              <w:top w:val="single" w:color="auto" w:sz="6" w:space="0"/>
              <w:bottom w:val="single" w:color="auto" w:sz="12" w:space="0"/>
              <w:right w:val="single" w:color="auto" w:sz="4" w:space="0"/>
            </w:tcBorders>
            <w:noWrap w:val="0"/>
            <w:vAlign w:val="center"/>
          </w:tcPr>
          <w:p>
            <w:pPr>
              <w:jc w:val="center"/>
              <w:rPr>
                <w:rFonts w:hint="eastAsia"/>
                <w:bCs/>
                <w:color w:val="auto"/>
                <w:szCs w:val="21"/>
              </w:rPr>
            </w:pPr>
            <w:r>
              <w:rPr>
                <w:rFonts w:hint="eastAsia"/>
                <w:bCs/>
                <w:color w:val="auto"/>
                <w:szCs w:val="21"/>
              </w:rPr>
              <w:t>/</w:t>
            </w:r>
          </w:p>
        </w:tc>
        <w:tc>
          <w:tcPr>
            <w:tcW w:w="563" w:type="pct"/>
            <w:tcBorders>
              <w:top w:val="single" w:color="auto" w:sz="6" w:space="0"/>
              <w:bottom w:val="single" w:color="auto" w:sz="12" w:space="0"/>
            </w:tcBorders>
            <w:noWrap w:val="0"/>
            <w:vAlign w:val="center"/>
          </w:tcPr>
          <w:p>
            <w:pPr>
              <w:jc w:val="center"/>
              <w:rPr>
                <w:rFonts w:hint="eastAsia"/>
                <w:bCs/>
                <w:szCs w:val="21"/>
              </w:rPr>
            </w:pPr>
            <w:r>
              <w:rPr>
                <w:rFonts w:hint="eastAsia"/>
                <w:szCs w:val="21"/>
              </w:rPr>
              <w:t>/</w:t>
            </w:r>
          </w:p>
        </w:tc>
        <w:tc>
          <w:tcPr>
            <w:tcW w:w="705" w:type="pct"/>
            <w:tcBorders>
              <w:top w:val="single" w:color="auto" w:sz="6" w:space="0"/>
              <w:bottom w:val="single" w:color="auto" w:sz="12" w:space="0"/>
            </w:tcBorders>
            <w:noWrap w:val="0"/>
            <w:vAlign w:val="center"/>
          </w:tcPr>
          <w:p>
            <w:pPr>
              <w:jc w:val="center"/>
              <w:rPr>
                <w:rFonts w:hint="eastAsia"/>
                <w:szCs w:val="21"/>
              </w:rPr>
            </w:pPr>
            <w:r>
              <w:rPr>
                <w:rFonts w:hint="eastAsia"/>
                <w:bCs/>
                <w:szCs w:val="21"/>
              </w:rPr>
              <w:t>/</w:t>
            </w:r>
          </w:p>
        </w:tc>
        <w:tc>
          <w:tcPr>
            <w:tcW w:w="581" w:type="pct"/>
            <w:tcBorders>
              <w:top w:val="single" w:color="auto" w:sz="6" w:space="0"/>
              <w:bottom w:val="single" w:color="auto" w:sz="12" w:space="0"/>
            </w:tcBorders>
            <w:noWrap w:val="0"/>
            <w:vAlign w:val="center"/>
          </w:tcPr>
          <w:p>
            <w:pPr>
              <w:jc w:val="center"/>
              <w:rPr>
                <w:rFonts w:hint="eastAsia"/>
                <w:szCs w:val="21"/>
              </w:rPr>
            </w:pPr>
            <w:r>
              <w:rPr>
                <w:rFonts w:hint="eastAsia"/>
                <w:bCs/>
                <w:szCs w:val="21"/>
              </w:rPr>
              <w:t>/</w:t>
            </w:r>
          </w:p>
        </w:tc>
        <w:tc>
          <w:tcPr>
            <w:tcW w:w="553" w:type="pct"/>
            <w:tcBorders>
              <w:top w:val="single" w:color="auto" w:sz="6" w:space="0"/>
              <w:bottom w:val="single" w:color="auto" w:sz="12" w:space="0"/>
            </w:tcBorders>
            <w:noWrap w:val="0"/>
            <w:vAlign w:val="center"/>
          </w:tcPr>
          <w:p>
            <w:pPr>
              <w:jc w:val="center"/>
              <w:rPr>
                <w:rFonts w:hint="eastAsia"/>
                <w:bCs/>
                <w:szCs w:val="21"/>
              </w:rPr>
            </w:pPr>
            <w:r>
              <w:rPr>
                <w:rFonts w:hint="eastAsia"/>
                <w:bCs/>
                <w:szCs w:val="21"/>
              </w:rPr>
              <w:t>/</w:t>
            </w:r>
          </w:p>
        </w:tc>
        <w:tc>
          <w:tcPr>
            <w:tcW w:w="483" w:type="pct"/>
            <w:tcBorders>
              <w:top w:val="single" w:color="auto" w:sz="6" w:space="0"/>
              <w:bottom w:val="single" w:color="auto" w:sz="12" w:space="0"/>
            </w:tcBorders>
            <w:noWrap w:val="0"/>
            <w:vAlign w:val="center"/>
          </w:tcPr>
          <w:p>
            <w:pPr>
              <w:jc w:val="center"/>
              <w:rPr>
                <w:rFonts w:hint="eastAsia"/>
                <w:szCs w:val="21"/>
              </w:rPr>
            </w:pPr>
            <w:r>
              <w:rPr>
                <w:rFonts w:hint="eastAsia"/>
                <w:szCs w:val="21"/>
              </w:rPr>
              <w:t>/</w:t>
            </w:r>
          </w:p>
        </w:tc>
      </w:tr>
    </w:tbl>
    <w:p>
      <w:pPr>
        <w:spacing w:after="72" w:afterLines="30" w:line="500" w:lineRule="exact"/>
        <w:jc w:val="center"/>
        <w:rPr>
          <w:b/>
          <w:sz w:val="24"/>
        </w:rPr>
      </w:pPr>
      <w:r>
        <w:rPr>
          <w:rFonts w:hint="eastAsia"/>
          <w:b/>
          <w:sz w:val="24"/>
        </w:rPr>
        <w:t>续</w:t>
      </w:r>
      <w:r>
        <w:rPr>
          <w:b/>
          <w:sz w:val="24"/>
        </w:rPr>
        <w:t>表</w:t>
      </w:r>
      <w:r>
        <w:rPr>
          <w:b/>
          <w:bCs/>
          <w:sz w:val="24"/>
        </w:rPr>
        <w:t>3.3-12</w:t>
      </w:r>
      <w:r>
        <w:rPr>
          <w:rFonts w:hint="eastAsia"/>
          <w:b/>
          <w:bCs/>
          <w:sz w:val="24"/>
        </w:rPr>
        <w:t>（3）</w:t>
      </w:r>
      <w:r>
        <w:rPr>
          <w:rFonts w:hint="eastAsia"/>
          <w:b/>
          <w:sz w:val="24"/>
        </w:rPr>
        <w:t xml:space="preserve">   </w:t>
      </w:r>
      <w:r>
        <w:rPr>
          <w:b/>
          <w:sz w:val="24"/>
        </w:rPr>
        <w:t>地下水水质监测统计及评价结果</w:t>
      </w:r>
      <w:r>
        <w:rPr>
          <w:rFonts w:hint="eastAsia"/>
          <w:b/>
          <w:sz w:val="24"/>
        </w:rPr>
        <w:t>一览表</w:t>
      </w:r>
      <w:r>
        <w:rPr>
          <w:b/>
          <w:sz w:val="24"/>
        </w:rPr>
        <w:t>（单位：mg/L）</w:t>
      </w:r>
    </w:p>
    <w:tbl>
      <w:tblPr>
        <w:tblStyle w:val="17"/>
        <w:tblW w:w="4997"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57" w:type="dxa"/>
          <w:bottom w:w="0" w:type="dxa"/>
          <w:right w:w="57" w:type="dxa"/>
        </w:tblCellMar>
      </w:tblPr>
      <w:tblGrid>
        <w:gridCol w:w="3568"/>
        <w:gridCol w:w="3664"/>
        <w:gridCol w:w="3488"/>
        <w:gridCol w:w="304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blHeader/>
        </w:trPr>
        <w:tc>
          <w:tcPr>
            <w:tcW w:w="1295" w:type="pct"/>
            <w:tcBorders>
              <w:top w:val="single" w:color="auto" w:sz="12" w:space="0"/>
              <w:left w:val="single" w:color="auto" w:sz="12" w:space="0"/>
              <w:bottom w:val="single" w:color="auto" w:sz="6" w:space="0"/>
            </w:tcBorders>
            <w:noWrap w:val="0"/>
            <w:vAlign w:val="center"/>
          </w:tcPr>
          <w:p>
            <w:pPr>
              <w:jc w:val="center"/>
              <w:rPr>
                <w:b/>
                <w:bCs/>
                <w:szCs w:val="21"/>
              </w:rPr>
            </w:pPr>
            <w:r>
              <w:rPr>
                <w:b/>
                <w:bCs/>
                <w:szCs w:val="21"/>
              </w:rPr>
              <w:t>监测点</w:t>
            </w:r>
          </w:p>
        </w:tc>
        <w:tc>
          <w:tcPr>
            <w:tcW w:w="1330" w:type="pct"/>
            <w:tcBorders>
              <w:top w:val="single" w:color="auto" w:sz="12" w:space="0"/>
              <w:bottom w:val="single" w:color="auto" w:sz="6" w:space="0"/>
            </w:tcBorders>
            <w:noWrap w:val="0"/>
            <w:vAlign w:val="center"/>
          </w:tcPr>
          <w:p>
            <w:pPr>
              <w:tabs>
                <w:tab w:val="center" w:pos="6979"/>
                <w:tab w:val="left" w:pos="12193"/>
              </w:tabs>
              <w:jc w:val="center"/>
              <w:rPr>
                <w:rFonts w:hint="eastAsia"/>
                <w:b/>
                <w:snapToGrid w:val="0"/>
                <w:szCs w:val="21"/>
              </w:rPr>
            </w:pPr>
            <w:r>
              <w:rPr>
                <w:rFonts w:hint="eastAsia"/>
                <w:b/>
                <w:szCs w:val="21"/>
              </w:rPr>
              <w:t>井深（m）</w:t>
            </w:r>
          </w:p>
        </w:tc>
        <w:tc>
          <w:tcPr>
            <w:tcW w:w="1266" w:type="pct"/>
            <w:tcBorders>
              <w:top w:val="single" w:color="auto" w:sz="12" w:space="0"/>
              <w:bottom w:val="single" w:color="auto" w:sz="6" w:space="0"/>
            </w:tcBorders>
            <w:noWrap w:val="0"/>
            <w:vAlign w:val="center"/>
          </w:tcPr>
          <w:p>
            <w:pPr>
              <w:tabs>
                <w:tab w:val="center" w:pos="6979"/>
                <w:tab w:val="left" w:pos="12193"/>
              </w:tabs>
              <w:jc w:val="center"/>
              <w:rPr>
                <w:rFonts w:hint="eastAsia"/>
                <w:b/>
                <w:snapToGrid w:val="0"/>
                <w:szCs w:val="21"/>
              </w:rPr>
            </w:pPr>
            <w:r>
              <w:rPr>
                <w:rFonts w:hint="eastAsia"/>
                <w:b/>
                <w:szCs w:val="21"/>
              </w:rPr>
              <w:t>水位（井口下）（m）</w:t>
            </w:r>
          </w:p>
        </w:tc>
        <w:tc>
          <w:tcPr>
            <w:tcW w:w="1106" w:type="pct"/>
            <w:tcBorders>
              <w:top w:val="single" w:color="auto" w:sz="12" w:space="0"/>
              <w:bottom w:val="single" w:color="auto" w:sz="6" w:space="0"/>
            </w:tcBorders>
            <w:noWrap w:val="0"/>
            <w:vAlign w:val="center"/>
          </w:tcPr>
          <w:p>
            <w:pPr>
              <w:tabs>
                <w:tab w:val="center" w:pos="6979"/>
                <w:tab w:val="left" w:pos="12193"/>
              </w:tabs>
              <w:jc w:val="center"/>
              <w:rPr>
                <w:rFonts w:hint="eastAsia"/>
                <w:b/>
                <w:snapToGrid w:val="0"/>
                <w:szCs w:val="21"/>
              </w:rPr>
            </w:pPr>
            <w:r>
              <w:rPr>
                <w:rFonts w:hint="eastAsia"/>
                <w:b/>
                <w:szCs w:val="21"/>
              </w:rPr>
              <w:t>水温</w:t>
            </w:r>
            <w:r>
              <w:rPr>
                <w:b/>
                <w:szCs w:val="21"/>
              </w:rPr>
              <w:t>（℃</w:t>
            </w:r>
            <w:r>
              <w:rPr>
                <w:rFonts w:hint="eastAsia"/>
                <w:b/>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1295" w:type="pct"/>
            <w:tcBorders>
              <w:top w:val="single" w:color="auto" w:sz="6" w:space="0"/>
              <w:left w:val="single" w:color="auto" w:sz="12" w:space="0"/>
              <w:bottom w:val="single" w:color="auto" w:sz="6" w:space="0"/>
            </w:tcBorders>
            <w:noWrap w:val="0"/>
            <w:vAlign w:val="center"/>
          </w:tcPr>
          <w:p>
            <w:pPr>
              <w:jc w:val="center"/>
              <w:rPr>
                <w:rFonts w:hint="eastAsia" w:eastAsia="宋体"/>
                <w:szCs w:val="21"/>
                <w:lang w:eastAsia="zh-CN"/>
              </w:rPr>
            </w:pPr>
            <w:r>
              <w:rPr>
                <w:rFonts w:hint="eastAsia"/>
                <w:szCs w:val="21"/>
                <w:lang w:val="en-US" w:eastAsia="zh-CN"/>
              </w:rPr>
              <w:t>杨李庄</w:t>
            </w:r>
          </w:p>
        </w:tc>
        <w:tc>
          <w:tcPr>
            <w:tcW w:w="1330"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14.5</w:t>
            </w:r>
          </w:p>
        </w:tc>
        <w:tc>
          <w:tcPr>
            <w:tcW w:w="1266"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4.7</w:t>
            </w:r>
          </w:p>
        </w:tc>
        <w:tc>
          <w:tcPr>
            <w:tcW w:w="1106"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15.0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1295" w:type="pct"/>
            <w:tcBorders>
              <w:top w:val="single" w:color="auto" w:sz="6" w:space="0"/>
              <w:left w:val="single" w:color="auto" w:sz="12" w:space="0"/>
              <w:bottom w:val="single" w:color="auto" w:sz="6" w:space="0"/>
            </w:tcBorders>
            <w:noWrap w:val="0"/>
            <w:vAlign w:val="center"/>
          </w:tcPr>
          <w:p>
            <w:pPr>
              <w:jc w:val="center"/>
              <w:rPr>
                <w:rFonts w:hint="eastAsia" w:eastAsia="宋体"/>
                <w:szCs w:val="21"/>
                <w:lang w:eastAsia="zh-CN"/>
              </w:rPr>
            </w:pPr>
            <w:r>
              <w:rPr>
                <w:rFonts w:hint="eastAsia"/>
                <w:szCs w:val="21"/>
                <w:lang w:val="en-US" w:eastAsia="zh-CN"/>
              </w:rPr>
              <w:t>谢寨村</w:t>
            </w:r>
          </w:p>
        </w:tc>
        <w:tc>
          <w:tcPr>
            <w:tcW w:w="1330"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14.2</w:t>
            </w:r>
          </w:p>
        </w:tc>
        <w:tc>
          <w:tcPr>
            <w:tcW w:w="1266"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4.4</w:t>
            </w:r>
          </w:p>
        </w:tc>
        <w:tc>
          <w:tcPr>
            <w:tcW w:w="1106"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15.2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trPr>
        <w:tc>
          <w:tcPr>
            <w:tcW w:w="1295" w:type="pct"/>
            <w:tcBorders>
              <w:top w:val="single" w:color="auto" w:sz="6" w:space="0"/>
              <w:left w:val="single" w:color="auto" w:sz="12" w:space="0"/>
            </w:tcBorders>
            <w:noWrap w:val="0"/>
            <w:vAlign w:val="center"/>
          </w:tcPr>
          <w:p>
            <w:pPr>
              <w:jc w:val="center"/>
              <w:rPr>
                <w:bCs/>
                <w:szCs w:val="21"/>
              </w:rPr>
            </w:pPr>
            <w:r>
              <w:rPr>
                <w:rFonts w:hint="eastAsia"/>
                <w:szCs w:val="21"/>
                <w:lang w:val="en-US" w:eastAsia="zh-CN"/>
              </w:rPr>
              <w:t>大周庄</w:t>
            </w:r>
          </w:p>
        </w:tc>
        <w:tc>
          <w:tcPr>
            <w:tcW w:w="1330"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14.6</w:t>
            </w:r>
          </w:p>
        </w:tc>
        <w:tc>
          <w:tcPr>
            <w:tcW w:w="1266"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4.8</w:t>
            </w:r>
          </w:p>
        </w:tc>
        <w:tc>
          <w:tcPr>
            <w:tcW w:w="1106" w:type="pct"/>
            <w:tcBorders>
              <w:top w:val="single" w:color="auto" w:sz="6" w:space="0"/>
              <w:bottom w:val="single" w:color="auto" w:sz="6" w:space="0"/>
            </w:tcBorders>
            <w:noWrap w:val="0"/>
            <w:vAlign w:val="center"/>
          </w:tcPr>
          <w:p>
            <w:pPr>
              <w:jc w:val="center"/>
              <w:rPr>
                <w:rFonts w:hint="default" w:eastAsia="宋体"/>
                <w:lang w:val="en-US" w:eastAsia="zh-CN"/>
              </w:rPr>
            </w:pPr>
            <w:r>
              <w:rPr>
                <w:rFonts w:hint="eastAsia"/>
                <w:lang w:val="en-US" w:eastAsia="zh-CN"/>
              </w:rPr>
              <w:t>15.0</w:t>
            </w:r>
          </w:p>
        </w:tc>
      </w:tr>
    </w:tbl>
    <w:p>
      <w:pPr>
        <w:spacing w:after="72" w:afterLines="30" w:line="500" w:lineRule="exact"/>
        <w:jc w:val="center"/>
        <w:rPr>
          <w:bCs/>
          <w:sz w:val="24"/>
        </w:rPr>
      </w:pPr>
      <w:r>
        <w:rPr>
          <w:bCs/>
          <w:sz w:val="24"/>
        </w:rPr>
        <w:t>根据上表可知：场区及周边村庄地下水环境质量现状均能满足《地下水质量标准》（GB/T14848-2017）Ⅲ类标准限值的要求。</w:t>
      </w:r>
    </w:p>
    <w:p>
      <w:pPr>
        <w:spacing w:after="72" w:afterLines="30" w:line="500" w:lineRule="exact"/>
        <w:jc w:val="center"/>
        <w:rPr>
          <w:b/>
          <w:sz w:val="24"/>
        </w:rPr>
      </w:pPr>
    </w:p>
    <w:p>
      <w:pPr>
        <w:spacing w:after="72" w:afterLines="30" w:line="500" w:lineRule="exact"/>
        <w:jc w:val="center"/>
        <w:rPr>
          <w:b/>
          <w:sz w:val="24"/>
        </w:rPr>
      </w:pPr>
    </w:p>
    <w:p>
      <w:pPr>
        <w:sectPr>
          <w:footerReference r:id="rId13" w:type="default"/>
          <w:pgSz w:w="16838" w:h="11906" w:orient="landscape"/>
          <w:pgMar w:top="1588" w:right="1588" w:bottom="1588" w:left="1588" w:header="851" w:footer="992" w:gutter="0"/>
          <w:pgNumType w:fmt="numberInDash"/>
          <w:cols w:space="720" w:num="1"/>
          <w:docGrid w:linePitch="312" w:charSpace="0"/>
        </w:sectPr>
      </w:pPr>
    </w:p>
    <w:p>
      <w:pPr>
        <w:pStyle w:val="2"/>
        <w:spacing w:before="0" w:after="0" w:line="520" w:lineRule="exact"/>
        <w:rPr>
          <w:rFonts w:eastAsia="黑体"/>
          <w:b w:val="0"/>
          <w:sz w:val="24"/>
          <w:szCs w:val="24"/>
        </w:rPr>
      </w:pPr>
      <w:bookmarkStart w:id="353" w:name="_Toc468366615"/>
      <w:bookmarkStart w:id="354" w:name="_Toc413829644"/>
      <w:bookmarkStart w:id="355" w:name="_Toc406663011"/>
      <w:r>
        <w:rPr>
          <w:rFonts w:eastAsia="黑体"/>
          <w:b w:val="0"/>
          <w:sz w:val="24"/>
          <w:szCs w:val="24"/>
        </w:rPr>
        <w:t>3.3.4声环境质量现状监测与评价</w:t>
      </w:r>
      <w:bookmarkEnd w:id="353"/>
      <w:bookmarkEnd w:id="354"/>
      <w:bookmarkEnd w:id="355"/>
    </w:p>
    <w:p>
      <w:pPr>
        <w:spacing w:line="500" w:lineRule="exact"/>
        <w:rPr>
          <w:b/>
          <w:sz w:val="24"/>
        </w:rPr>
      </w:pPr>
      <w:bookmarkStart w:id="356" w:name="_Toc413829645"/>
      <w:bookmarkStart w:id="357" w:name="_Toc406663012"/>
      <w:r>
        <w:rPr>
          <w:b/>
          <w:sz w:val="24"/>
        </w:rPr>
        <w:t>3.3.4.1监测布点、频率及时间</w:t>
      </w:r>
      <w:bookmarkEnd w:id="356"/>
      <w:bookmarkEnd w:id="357"/>
    </w:p>
    <w:p>
      <w:pPr>
        <w:autoSpaceDE w:val="0"/>
        <w:autoSpaceDN w:val="0"/>
        <w:adjustRightInd w:val="0"/>
        <w:spacing w:line="480" w:lineRule="exact"/>
        <w:ind w:firstLine="424" w:firstLineChars="177"/>
        <w:jc w:val="left"/>
        <w:rPr>
          <w:sz w:val="24"/>
        </w:rPr>
      </w:pPr>
      <w:r>
        <w:rPr>
          <w:sz w:val="24"/>
        </w:rPr>
        <w:t>根据场址周围环境特点及敏感点分布情况，本次评价共设4个声环境监测点，布点位置见表3.3-13。</w:t>
      </w:r>
    </w:p>
    <w:p>
      <w:pPr>
        <w:spacing w:after="72" w:afterLines="30" w:line="500" w:lineRule="exact"/>
        <w:jc w:val="center"/>
        <w:rPr>
          <w:b/>
          <w:sz w:val="24"/>
        </w:rPr>
      </w:pPr>
      <w:r>
        <w:rPr>
          <w:b/>
          <w:sz w:val="24"/>
        </w:rPr>
        <w:t>表3.3-13      声环境现状监测情况</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7"/>
        <w:gridCol w:w="1258"/>
        <w:gridCol w:w="1523"/>
        <w:gridCol w:w="1108"/>
        <w:gridCol w:w="1260"/>
        <w:gridCol w:w="1279"/>
        <w:gridCol w:w="17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777" w:type="dxa"/>
            <w:noWrap w:val="0"/>
            <w:vAlign w:val="center"/>
          </w:tcPr>
          <w:p>
            <w:pPr>
              <w:autoSpaceDE w:val="0"/>
              <w:autoSpaceDN w:val="0"/>
              <w:adjustRightInd w:val="0"/>
              <w:spacing w:line="360" w:lineRule="exact"/>
              <w:jc w:val="center"/>
              <w:rPr>
                <w:b/>
                <w:szCs w:val="21"/>
              </w:rPr>
            </w:pPr>
            <w:r>
              <w:rPr>
                <w:b/>
                <w:szCs w:val="21"/>
              </w:rPr>
              <w:t>序号</w:t>
            </w:r>
          </w:p>
        </w:tc>
        <w:tc>
          <w:tcPr>
            <w:tcW w:w="1258" w:type="dxa"/>
            <w:noWrap w:val="0"/>
            <w:vAlign w:val="center"/>
          </w:tcPr>
          <w:p>
            <w:pPr>
              <w:autoSpaceDE w:val="0"/>
              <w:autoSpaceDN w:val="0"/>
              <w:adjustRightInd w:val="0"/>
              <w:spacing w:line="360" w:lineRule="exact"/>
              <w:jc w:val="center"/>
              <w:rPr>
                <w:b/>
                <w:szCs w:val="21"/>
              </w:rPr>
            </w:pPr>
            <w:r>
              <w:rPr>
                <w:b/>
                <w:szCs w:val="21"/>
              </w:rPr>
              <w:t>监测点</w:t>
            </w:r>
          </w:p>
        </w:tc>
        <w:tc>
          <w:tcPr>
            <w:tcW w:w="1523" w:type="dxa"/>
            <w:noWrap w:val="0"/>
            <w:vAlign w:val="center"/>
          </w:tcPr>
          <w:p>
            <w:pPr>
              <w:autoSpaceDE w:val="0"/>
              <w:autoSpaceDN w:val="0"/>
              <w:adjustRightInd w:val="0"/>
              <w:spacing w:line="360" w:lineRule="exact"/>
              <w:jc w:val="center"/>
              <w:rPr>
                <w:b/>
                <w:szCs w:val="21"/>
              </w:rPr>
            </w:pPr>
            <w:r>
              <w:rPr>
                <w:b/>
                <w:szCs w:val="21"/>
              </w:rPr>
              <w:t>监测点位置</w:t>
            </w:r>
          </w:p>
        </w:tc>
        <w:tc>
          <w:tcPr>
            <w:tcW w:w="1108" w:type="dxa"/>
            <w:noWrap w:val="0"/>
            <w:vAlign w:val="center"/>
          </w:tcPr>
          <w:p>
            <w:pPr>
              <w:autoSpaceDE w:val="0"/>
              <w:autoSpaceDN w:val="0"/>
              <w:adjustRightInd w:val="0"/>
              <w:spacing w:line="360" w:lineRule="exact"/>
              <w:jc w:val="center"/>
              <w:rPr>
                <w:b/>
                <w:szCs w:val="21"/>
              </w:rPr>
            </w:pPr>
            <w:r>
              <w:rPr>
                <w:b/>
                <w:szCs w:val="21"/>
              </w:rPr>
              <w:t>功 能</w:t>
            </w:r>
          </w:p>
        </w:tc>
        <w:tc>
          <w:tcPr>
            <w:tcW w:w="1260" w:type="dxa"/>
            <w:noWrap w:val="0"/>
            <w:vAlign w:val="center"/>
          </w:tcPr>
          <w:p>
            <w:pPr>
              <w:autoSpaceDE w:val="0"/>
              <w:autoSpaceDN w:val="0"/>
              <w:adjustRightInd w:val="0"/>
              <w:spacing w:line="360" w:lineRule="exact"/>
              <w:jc w:val="center"/>
              <w:rPr>
                <w:b/>
                <w:szCs w:val="21"/>
              </w:rPr>
            </w:pPr>
            <w:r>
              <w:rPr>
                <w:b/>
                <w:szCs w:val="21"/>
              </w:rPr>
              <w:t>监测因子</w:t>
            </w:r>
          </w:p>
        </w:tc>
        <w:tc>
          <w:tcPr>
            <w:tcW w:w="1279" w:type="dxa"/>
            <w:noWrap w:val="0"/>
            <w:vAlign w:val="center"/>
          </w:tcPr>
          <w:p>
            <w:pPr>
              <w:autoSpaceDE w:val="0"/>
              <w:autoSpaceDN w:val="0"/>
              <w:adjustRightInd w:val="0"/>
              <w:spacing w:line="360" w:lineRule="exact"/>
              <w:jc w:val="center"/>
              <w:rPr>
                <w:b/>
                <w:szCs w:val="21"/>
              </w:rPr>
            </w:pPr>
            <w:r>
              <w:rPr>
                <w:b/>
                <w:szCs w:val="21"/>
              </w:rPr>
              <w:t>监测频率</w:t>
            </w:r>
          </w:p>
        </w:tc>
        <w:tc>
          <w:tcPr>
            <w:tcW w:w="1741" w:type="dxa"/>
            <w:noWrap w:val="0"/>
            <w:vAlign w:val="center"/>
          </w:tcPr>
          <w:p>
            <w:pPr>
              <w:autoSpaceDE w:val="0"/>
              <w:autoSpaceDN w:val="0"/>
              <w:adjustRightInd w:val="0"/>
              <w:spacing w:line="360" w:lineRule="exact"/>
              <w:jc w:val="center"/>
              <w:rPr>
                <w:b/>
                <w:szCs w:val="21"/>
              </w:rPr>
            </w:pPr>
            <w:r>
              <w:rPr>
                <w:b/>
                <w:szCs w:val="21"/>
              </w:rPr>
              <w:t>监测方法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777" w:type="dxa"/>
            <w:noWrap w:val="0"/>
            <w:vAlign w:val="center"/>
          </w:tcPr>
          <w:p>
            <w:pPr>
              <w:autoSpaceDE w:val="0"/>
              <w:autoSpaceDN w:val="0"/>
              <w:adjustRightInd w:val="0"/>
              <w:spacing w:line="360" w:lineRule="exact"/>
              <w:jc w:val="center"/>
              <w:rPr>
                <w:szCs w:val="21"/>
              </w:rPr>
            </w:pPr>
            <w:r>
              <w:rPr>
                <w:szCs w:val="21"/>
              </w:rPr>
              <w:t>1</w:t>
            </w:r>
          </w:p>
        </w:tc>
        <w:tc>
          <w:tcPr>
            <w:tcW w:w="1258" w:type="dxa"/>
            <w:noWrap w:val="0"/>
            <w:vAlign w:val="center"/>
          </w:tcPr>
          <w:p>
            <w:pPr>
              <w:autoSpaceDE w:val="0"/>
              <w:autoSpaceDN w:val="0"/>
              <w:adjustRightInd w:val="0"/>
              <w:spacing w:line="360" w:lineRule="exact"/>
              <w:jc w:val="center"/>
              <w:rPr>
                <w:szCs w:val="21"/>
              </w:rPr>
            </w:pPr>
            <w:r>
              <w:rPr>
                <w:szCs w:val="21"/>
              </w:rPr>
              <w:t>东场界</w:t>
            </w:r>
          </w:p>
        </w:tc>
        <w:tc>
          <w:tcPr>
            <w:tcW w:w="1523" w:type="dxa"/>
            <w:vMerge w:val="restart"/>
            <w:noWrap w:val="0"/>
            <w:vAlign w:val="center"/>
          </w:tcPr>
          <w:p>
            <w:pPr>
              <w:autoSpaceDE w:val="0"/>
              <w:autoSpaceDN w:val="0"/>
              <w:adjustRightInd w:val="0"/>
              <w:spacing w:line="360" w:lineRule="exact"/>
              <w:jc w:val="center"/>
              <w:rPr>
                <w:szCs w:val="21"/>
              </w:rPr>
            </w:pPr>
            <w:r>
              <w:rPr>
                <w:szCs w:val="21"/>
              </w:rPr>
              <w:t>场界外1m处</w:t>
            </w:r>
          </w:p>
        </w:tc>
        <w:tc>
          <w:tcPr>
            <w:tcW w:w="1108" w:type="dxa"/>
            <w:vMerge w:val="restart"/>
            <w:noWrap w:val="0"/>
            <w:vAlign w:val="center"/>
          </w:tcPr>
          <w:p>
            <w:pPr>
              <w:autoSpaceDE w:val="0"/>
              <w:autoSpaceDN w:val="0"/>
              <w:adjustRightInd w:val="0"/>
              <w:spacing w:line="360" w:lineRule="exact"/>
              <w:jc w:val="center"/>
              <w:rPr>
                <w:szCs w:val="21"/>
              </w:rPr>
            </w:pPr>
            <w:r>
              <w:rPr>
                <w:szCs w:val="21"/>
              </w:rPr>
              <w:t>场界噪声值</w:t>
            </w:r>
          </w:p>
        </w:tc>
        <w:tc>
          <w:tcPr>
            <w:tcW w:w="1260" w:type="dxa"/>
            <w:vMerge w:val="restart"/>
            <w:noWrap w:val="0"/>
            <w:vAlign w:val="center"/>
          </w:tcPr>
          <w:p>
            <w:pPr>
              <w:autoSpaceDE w:val="0"/>
              <w:autoSpaceDN w:val="0"/>
              <w:adjustRightInd w:val="0"/>
              <w:spacing w:line="360" w:lineRule="exact"/>
              <w:jc w:val="center"/>
              <w:rPr>
                <w:szCs w:val="21"/>
              </w:rPr>
            </w:pPr>
            <w:r>
              <w:rPr>
                <w:szCs w:val="21"/>
              </w:rPr>
              <w:t>等效声级</w:t>
            </w:r>
          </w:p>
        </w:tc>
        <w:tc>
          <w:tcPr>
            <w:tcW w:w="1279" w:type="dxa"/>
            <w:vMerge w:val="restart"/>
            <w:noWrap w:val="0"/>
            <w:vAlign w:val="center"/>
          </w:tcPr>
          <w:p>
            <w:pPr>
              <w:autoSpaceDE w:val="0"/>
              <w:autoSpaceDN w:val="0"/>
              <w:adjustRightInd w:val="0"/>
              <w:spacing w:line="360" w:lineRule="exact"/>
              <w:jc w:val="center"/>
              <w:rPr>
                <w:szCs w:val="21"/>
              </w:rPr>
            </w:pPr>
            <w:r>
              <w:rPr>
                <w:szCs w:val="21"/>
              </w:rPr>
              <w:t>连续监测两天，每天昼夜各1次</w:t>
            </w:r>
          </w:p>
        </w:tc>
        <w:tc>
          <w:tcPr>
            <w:tcW w:w="1741" w:type="dxa"/>
            <w:vMerge w:val="restart"/>
            <w:noWrap w:val="0"/>
            <w:vAlign w:val="center"/>
          </w:tcPr>
          <w:p>
            <w:pPr>
              <w:autoSpaceDE w:val="0"/>
              <w:autoSpaceDN w:val="0"/>
              <w:adjustRightInd w:val="0"/>
              <w:spacing w:line="360" w:lineRule="exact"/>
              <w:jc w:val="center"/>
              <w:rPr>
                <w:szCs w:val="21"/>
              </w:rPr>
            </w:pPr>
            <w:r>
              <w:rPr>
                <w:szCs w:val="21"/>
              </w:rPr>
              <w:t>按GB3096-2008执行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777" w:type="dxa"/>
            <w:noWrap w:val="0"/>
            <w:vAlign w:val="center"/>
          </w:tcPr>
          <w:p>
            <w:pPr>
              <w:autoSpaceDE w:val="0"/>
              <w:autoSpaceDN w:val="0"/>
              <w:adjustRightInd w:val="0"/>
              <w:spacing w:line="360" w:lineRule="exact"/>
              <w:jc w:val="center"/>
              <w:rPr>
                <w:szCs w:val="21"/>
              </w:rPr>
            </w:pPr>
            <w:r>
              <w:rPr>
                <w:szCs w:val="21"/>
              </w:rPr>
              <w:t>2</w:t>
            </w:r>
          </w:p>
        </w:tc>
        <w:tc>
          <w:tcPr>
            <w:tcW w:w="1258" w:type="dxa"/>
            <w:noWrap w:val="0"/>
            <w:vAlign w:val="center"/>
          </w:tcPr>
          <w:p>
            <w:pPr>
              <w:autoSpaceDE w:val="0"/>
              <w:autoSpaceDN w:val="0"/>
              <w:adjustRightInd w:val="0"/>
              <w:spacing w:line="360" w:lineRule="exact"/>
              <w:jc w:val="center"/>
              <w:rPr>
                <w:szCs w:val="21"/>
              </w:rPr>
            </w:pPr>
            <w:r>
              <w:rPr>
                <w:szCs w:val="21"/>
              </w:rPr>
              <w:t>南场界</w:t>
            </w:r>
          </w:p>
        </w:tc>
        <w:tc>
          <w:tcPr>
            <w:tcW w:w="1523" w:type="dxa"/>
            <w:vMerge w:val="continue"/>
            <w:noWrap w:val="0"/>
            <w:vAlign w:val="center"/>
          </w:tcPr>
          <w:p>
            <w:pPr>
              <w:autoSpaceDE w:val="0"/>
              <w:autoSpaceDN w:val="0"/>
              <w:adjustRightInd w:val="0"/>
              <w:spacing w:line="360" w:lineRule="exact"/>
              <w:jc w:val="center"/>
              <w:rPr>
                <w:szCs w:val="21"/>
              </w:rPr>
            </w:pPr>
          </w:p>
        </w:tc>
        <w:tc>
          <w:tcPr>
            <w:tcW w:w="1108" w:type="dxa"/>
            <w:vMerge w:val="continue"/>
            <w:noWrap w:val="0"/>
            <w:vAlign w:val="center"/>
          </w:tcPr>
          <w:p>
            <w:pPr>
              <w:autoSpaceDE w:val="0"/>
              <w:autoSpaceDN w:val="0"/>
              <w:adjustRightInd w:val="0"/>
              <w:spacing w:line="360" w:lineRule="exact"/>
              <w:jc w:val="center"/>
              <w:rPr>
                <w:szCs w:val="21"/>
              </w:rPr>
            </w:pPr>
          </w:p>
        </w:tc>
        <w:tc>
          <w:tcPr>
            <w:tcW w:w="1260" w:type="dxa"/>
            <w:vMerge w:val="continue"/>
            <w:noWrap w:val="0"/>
            <w:vAlign w:val="center"/>
          </w:tcPr>
          <w:p>
            <w:pPr>
              <w:autoSpaceDE w:val="0"/>
              <w:autoSpaceDN w:val="0"/>
              <w:adjustRightInd w:val="0"/>
              <w:spacing w:line="360" w:lineRule="exact"/>
              <w:jc w:val="center"/>
              <w:rPr>
                <w:szCs w:val="21"/>
              </w:rPr>
            </w:pPr>
          </w:p>
        </w:tc>
        <w:tc>
          <w:tcPr>
            <w:tcW w:w="1279" w:type="dxa"/>
            <w:vMerge w:val="continue"/>
            <w:noWrap w:val="0"/>
            <w:vAlign w:val="center"/>
          </w:tcPr>
          <w:p>
            <w:pPr>
              <w:autoSpaceDE w:val="0"/>
              <w:autoSpaceDN w:val="0"/>
              <w:adjustRightInd w:val="0"/>
              <w:spacing w:line="360" w:lineRule="exact"/>
              <w:jc w:val="center"/>
              <w:rPr>
                <w:szCs w:val="21"/>
              </w:rPr>
            </w:pPr>
          </w:p>
        </w:tc>
        <w:tc>
          <w:tcPr>
            <w:tcW w:w="1741" w:type="dxa"/>
            <w:vMerge w:val="continue"/>
            <w:noWrap w:val="0"/>
            <w:vAlign w:val="center"/>
          </w:tcPr>
          <w:p>
            <w:pPr>
              <w:autoSpaceDE w:val="0"/>
              <w:autoSpaceDN w:val="0"/>
              <w:adjustRightInd w:val="0"/>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73" w:hRule="atLeast"/>
          <w:jc w:val="center"/>
        </w:trPr>
        <w:tc>
          <w:tcPr>
            <w:tcW w:w="777" w:type="dxa"/>
            <w:noWrap w:val="0"/>
            <w:vAlign w:val="center"/>
          </w:tcPr>
          <w:p>
            <w:pPr>
              <w:autoSpaceDE w:val="0"/>
              <w:autoSpaceDN w:val="0"/>
              <w:adjustRightInd w:val="0"/>
              <w:spacing w:line="360" w:lineRule="exact"/>
              <w:jc w:val="center"/>
              <w:rPr>
                <w:szCs w:val="21"/>
              </w:rPr>
            </w:pPr>
            <w:r>
              <w:rPr>
                <w:szCs w:val="21"/>
              </w:rPr>
              <w:t>3</w:t>
            </w:r>
          </w:p>
        </w:tc>
        <w:tc>
          <w:tcPr>
            <w:tcW w:w="1258" w:type="dxa"/>
            <w:noWrap w:val="0"/>
            <w:vAlign w:val="center"/>
          </w:tcPr>
          <w:p>
            <w:pPr>
              <w:autoSpaceDE w:val="0"/>
              <w:autoSpaceDN w:val="0"/>
              <w:adjustRightInd w:val="0"/>
              <w:spacing w:line="360" w:lineRule="exact"/>
              <w:jc w:val="center"/>
              <w:rPr>
                <w:szCs w:val="21"/>
              </w:rPr>
            </w:pPr>
            <w:r>
              <w:rPr>
                <w:szCs w:val="21"/>
              </w:rPr>
              <w:t>西场界</w:t>
            </w:r>
          </w:p>
        </w:tc>
        <w:tc>
          <w:tcPr>
            <w:tcW w:w="1523" w:type="dxa"/>
            <w:vMerge w:val="continue"/>
            <w:noWrap w:val="0"/>
            <w:vAlign w:val="center"/>
          </w:tcPr>
          <w:p>
            <w:pPr>
              <w:autoSpaceDE w:val="0"/>
              <w:autoSpaceDN w:val="0"/>
              <w:adjustRightInd w:val="0"/>
              <w:spacing w:line="360" w:lineRule="exact"/>
              <w:jc w:val="center"/>
              <w:rPr>
                <w:szCs w:val="21"/>
              </w:rPr>
            </w:pPr>
          </w:p>
        </w:tc>
        <w:tc>
          <w:tcPr>
            <w:tcW w:w="1108" w:type="dxa"/>
            <w:vMerge w:val="continue"/>
            <w:noWrap w:val="0"/>
            <w:vAlign w:val="center"/>
          </w:tcPr>
          <w:p>
            <w:pPr>
              <w:autoSpaceDE w:val="0"/>
              <w:autoSpaceDN w:val="0"/>
              <w:adjustRightInd w:val="0"/>
              <w:spacing w:line="360" w:lineRule="exact"/>
              <w:jc w:val="center"/>
              <w:rPr>
                <w:szCs w:val="21"/>
              </w:rPr>
            </w:pPr>
          </w:p>
        </w:tc>
        <w:tc>
          <w:tcPr>
            <w:tcW w:w="1260" w:type="dxa"/>
            <w:vMerge w:val="continue"/>
            <w:noWrap w:val="0"/>
            <w:vAlign w:val="center"/>
          </w:tcPr>
          <w:p>
            <w:pPr>
              <w:autoSpaceDE w:val="0"/>
              <w:autoSpaceDN w:val="0"/>
              <w:adjustRightInd w:val="0"/>
              <w:spacing w:line="360" w:lineRule="exact"/>
              <w:jc w:val="center"/>
              <w:rPr>
                <w:szCs w:val="21"/>
              </w:rPr>
            </w:pPr>
          </w:p>
        </w:tc>
        <w:tc>
          <w:tcPr>
            <w:tcW w:w="1279" w:type="dxa"/>
            <w:vMerge w:val="continue"/>
            <w:noWrap w:val="0"/>
            <w:vAlign w:val="center"/>
          </w:tcPr>
          <w:p>
            <w:pPr>
              <w:autoSpaceDE w:val="0"/>
              <w:autoSpaceDN w:val="0"/>
              <w:adjustRightInd w:val="0"/>
              <w:spacing w:line="360" w:lineRule="exact"/>
              <w:jc w:val="center"/>
              <w:rPr>
                <w:szCs w:val="21"/>
              </w:rPr>
            </w:pPr>
          </w:p>
        </w:tc>
        <w:tc>
          <w:tcPr>
            <w:tcW w:w="1741" w:type="dxa"/>
            <w:vMerge w:val="continue"/>
            <w:noWrap w:val="0"/>
            <w:vAlign w:val="center"/>
          </w:tcPr>
          <w:p>
            <w:pPr>
              <w:autoSpaceDE w:val="0"/>
              <w:autoSpaceDN w:val="0"/>
              <w:adjustRightInd w:val="0"/>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77" w:type="dxa"/>
            <w:noWrap w:val="0"/>
            <w:vAlign w:val="center"/>
          </w:tcPr>
          <w:p>
            <w:pPr>
              <w:autoSpaceDE w:val="0"/>
              <w:autoSpaceDN w:val="0"/>
              <w:adjustRightInd w:val="0"/>
              <w:spacing w:line="360" w:lineRule="exact"/>
              <w:jc w:val="center"/>
              <w:rPr>
                <w:szCs w:val="21"/>
              </w:rPr>
            </w:pPr>
            <w:r>
              <w:rPr>
                <w:szCs w:val="21"/>
              </w:rPr>
              <w:t>4</w:t>
            </w:r>
          </w:p>
        </w:tc>
        <w:tc>
          <w:tcPr>
            <w:tcW w:w="1258" w:type="dxa"/>
            <w:noWrap w:val="0"/>
            <w:vAlign w:val="center"/>
          </w:tcPr>
          <w:p>
            <w:pPr>
              <w:autoSpaceDE w:val="0"/>
              <w:autoSpaceDN w:val="0"/>
              <w:adjustRightInd w:val="0"/>
              <w:spacing w:line="360" w:lineRule="exact"/>
              <w:jc w:val="center"/>
              <w:rPr>
                <w:szCs w:val="21"/>
              </w:rPr>
            </w:pPr>
            <w:r>
              <w:rPr>
                <w:szCs w:val="21"/>
              </w:rPr>
              <w:t>北场界</w:t>
            </w:r>
          </w:p>
        </w:tc>
        <w:tc>
          <w:tcPr>
            <w:tcW w:w="1523" w:type="dxa"/>
            <w:vMerge w:val="continue"/>
            <w:noWrap w:val="0"/>
            <w:vAlign w:val="center"/>
          </w:tcPr>
          <w:p>
            <w:pPr>
              <w:autoSpaceDE w:val="0"/>
              <w:autoSpaceDN w:val="0"/>
              <w:adjustRightInd w:val="0"/>
              <w:spacing w:line="360" w:lineRule="exact"/>
              <w:jc w:val="center"/>
              <w:rPr>
                <w:szCs w:val="21"/>
              </w:rPr>
            </w:pPr>
          </w:p>
        </w:tc>
        <w:tc>
          <w:tcPr>
            <w:tcW w:w="1108" w:type="dxa"/>
            <w:vMerge w:val="continue"/>
            <w:noWrap w:val="0"/>
            <w:vAlign w:val="center"/>
          </w:tcPr>
          <w:p>
            <w:pPr>
              <w:autoSpaceDE w:val="0"/>
              <w:autoSpaceDN w:val="0"/>
              <w:adjustRightInd w:val="0"/>
              <w:spacing w:line="360" w:lineRule="exact"/>
              <w:jc w:val="center"/>
              <w:rPr>
                <w:szCs w:val="21"/>
              </w:rPr>
            </w:pPr>
          </w:p>
        </w:tc>
        <w:tc>
          <w:tcPr>
            <w:tcW w:w="1260" w:type="dxa"/>
            <w:vMerge w:val="continue"/>
            <w:noWrap w:val="0"/>
            <w:vAlign w:val="center"/>
          </w:tcPr>
          <w:p>
            <w:pPr>
              <w:autoSpaceDE w:val="0"/>
              <w:autoSpaceDN w:val="0"/>
              <w:adjustRightInd w:val="0"/>
              <w:spacing w:line="360" w:lineRule="exact"/>
              <w:jc w:val="center"/>
              <w:rPr>
                <w:szCs w:val="21"/>
              </w:rPr>
            </w:pPr>
          </w:p>
        </w:tc>
        <w:tc>
          <w:tcPr>
            <w:tcW w:w="1279" w:type="dxa"/>
            <w:vMerge w:val="continue"/>
            <w:noWrap w:val="0"/>
            <w:vAlign w:val="center"/>
          </w:tcPr>
          <w:p>
            <w:pPr>
              <w:autoSpaceDE w:val="0"/>
              <w:autoSpaceDN w:val="0"/>
              <w:adjustRightInd w:val="0"/>
              <w:spacing w:line="360" w:lineRule="exact"/>
              <w:jc w:val="center"/>
              <w:rPr>
                <w:szCs w:val="21"/>
              </w:rPr>
            </w:pPr>
          </w:p>
        </w:tc>
        <w:tc>
          <w:tcPr>
            <w:tcW w:w="1741" w:type="dxa"/>
            <w:vMerge w:val="continue"/>
            <w:noWrap w:val="0"/>
            <w:vAlign w:val="center"/>
          </w:tcPr>
          <w:p>
            <w:pPr>
              <w:autoSpaceDE w:val="0"/>
              <w:autoSpaceDN w:val="0"/>
              <w:adjustRightInd w:val="0"/>
              <w:spacing w:line="360" w:lineRule="exact"/>
              <w:jc w:val="center"/>
              <w:rPr>
                <w:szCs w:val="21"/>
              </w:rPr>
            </w:pPr>
          </w:p>
        </w:tc>
      </w:tr>
    </w:tbl>
    <w:p>
      <w:pPr>
        <w:autoSpaceDE w:val="0"/>
        <w:autoSpaceDN w:val="0"/>
        <w:adjustRightInd w:val="0"/>
        <w:spacing w:line="520" w:lineRule="exact"/>
        <w:ind w:firstLine="480" w:firstLineChars="200"/>
        <w:jc w:val="left"/>
        <w:rPr>
          <w:b/>
          <w:sz w:val="24"/>
        </w:rPr>
      </w:pPr>
      <w:r>
        <w:rPr>
          <w:sz w:val="24"/>
        </w:rPr>
        <w:t>监测时间：噪声监测由</w:t>
      </w:r>
      <w:r>
        <w:rPr>
          <w:rFonts w:hint="eastAsia"/>
          <w:kern w:val="0"/>
          <w:sz w:val="24"/>
          <w:lang w:eastAsia="zh-CN"/>
        </w:rPr>
        <w:t>河南金诺源环境检测有限公司</w:t>
      </w:r>
      <w:r>
        <w:rPr>
          <w:sz w:val="24"/>
        </w:rPr>
        <w:t>于</w:t>
      </w:r>
      <w:r>
        <w:rPr>
          <w:rFonts w:hint="eastAsia"/>
          <w:sz w:val="24"/>
          <w:lang w:eastAsia="zh-CN"/>
        </w:rPr>
        <w:t>2021年03月08日～03月09日</w:t>
      </w:r>
      <w:r>
        <w:rPr>
          <w:sz w:val="24"/>
        </w:rPr>
        <w:t>进行监测。</w:t>
      </w:r>
    </w:p>
    <w:p>
      <w:pPr>
        <w:spacing w:line="500" w:lineRule="exact"/>
        <w:rPr>
          <w:b/>
          <w:sz w:val="24"/>
        </w:rPr>
      </w:pPr>
      <w:bookmarkStart w:id="358" w:name="_Toc413829646"/>
      <w:bookmarkStart w:id="359" w:name="_Toc406663013"/>
      <w:r>
        <w:rPr>
          <w:b/>
          <w:sz w:val="24"/>
        </w:rPr>
        <w:t>3.3.4.2评价标准</w:t>
      </w:r>
      <w:bookmarkEnd w:id="358"/>
      <w:bookmarkEnd w:id="359"/>
    </w:p>
    <w:p>
      <w:pPr>
        <w:autoSpaceDE w:val="0"/>
        <w:autoSpaceDN w:val="0"/>
        <w:adjustRightInd w:val="0"/>
        <w:spacing w:line="520" w:lineRule="exact"/>
        <w:ind w:firstLine="424" w:firstLineChars="177"/>
        <w:jc w:val="left"/>
        <w:rPr>
          <w:sz w:val="24"/>
        </w:rPr>
      </w:pPr>
      <w:r>
        <w:rPr>
          <w:sz w:val="24"/>
        </w:rPr>
        <w:t>本次声环境质量现状评价执行《声环境质量标准》（GB3096-2008）中</w:t>
      </w:r>
      <w:r>
        <w:rPr>
          <w:rFonts w:hint="eastAsia"/>
          <w:sz w:val="24"/>
        </w:rPr>
        <w:t>2</w:t>
      </w:r>
      <w:r>
        <w:rPr>
          <w:sz w:val="24"/>
        </w:rPr>
        <w:t>类标准，具体见表3.3-14。</w:t>
      </w:r>
    </w:p>
    <w:p>
      <w:pPr>
        <w:spacing w:after="72" w:afterLines="30" w:line="500" w:lineRule="exact"/>
        <w:jc w:val="center"/>
        <w:rPr>
          <w:b/>
          <w:sz w:val="24"/>
        </w:rPr>
      </w:pPr>
      <w:r>
        <w:rPr>
          <w:b/>
          <w:sz w:val="24"/>
        </w:rPr>
        <w:t>表3.3-14    声环境质量现状评价标准      单位：dB(A)</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982"/>
        <w:gridCol w:w="2982"/>
        <w:gridCol w:w="29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982" w:type="dxa"/>
            <w:noWrap w:val="0"/>
            <w:vAlign w:val="center"/>
          </w:tcPr>
          <w:p>
            <w:pPr>
              <w:autoSpaceDE w:val="0"/>
              <w:autoSpaceDN w:val="0"/>
              <w:adjustRightInd w:val="0"/>
              <w:jc w:val="center"/>
              <w:rPr>
                <w:b/>
                <w:szCs w:val="21"/>
              </w:rPr>
            </w:pPr>
            <w:r>
              <w:rPr>
                <w:b/>
                <w:szCs w:val="21"/>
              </w:rPr>
              <w:t>项目</w:t>
            </w:r>
          </w:p>
        </w:tc>
        <w:tc>
          <w:tcPr>
            <w:tcW w:w="2982" w:type="dxa"/>
            <w:noWrap w:val="0"/>
            <w:vAlign w:val="center"/>
          </w:tcPr>
          <w:p>
            <w:pPr>
              <w:autoSpaceDE w:val="0"/>
              <w:autoSpaceDN w:val="0"/>
              <w:adjustRightInd w:val="0"/>
              <w:jc w:val="center"/>
              <w:rPr>
                <w:b/>
                <w:szCs w:val="21"/>
              </w:rPr>
            </w:pPr>
            <w:r>
              <w:rPr>
                <w:b/>
                <w:szCs w:val="21"/>
              </w:rPr>
              <w:t>昼间</w:t>
            </w:r>
          </w:p>
        </w:tc>
        <w:tc>
          <w:tcPr>
            <w:tcW w:w="2982" w:type="dxa"/>
            <w:noWrap w:val="0"/>
            <w:vAlign w:val="center"/>
          </w:tcPr>
          <w:p>
            <w:pPr>
              <w:autoSpaceDE w:val="0"/>
              <w:autoSpaceDN w:val="0"/>
              <w:adjustRightInd w:val="0"/>
              <w:jc w:val="center"/>
              <w:rPr>
                <w:b/>
                <w:szCs w:val="21"/>
              </w:rPr>
            </w:pPr>
            <w:r>
              <w:rPr>
                <w:b/>
                <w:szCs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2982" w:type="dxa"/>
            <w:noWrap w:val="0"/>
            <w:vAlign w:val="center"/>
          </w:tcPr>
          <w:p>
            <w:pPr>
              <w:jc w:val="center"/>
              <w:rPr>
                <w:szCs w:val="21"/>
              </w:rPr>
            </w:pPr>
            <w:r>
              <w:rPr>
                <w:rFonts w:hint="eastAsia"/>
                <w:szCs w:val="21"/>
              </w:rPr>
              <w:t>2</w:t>
            </w:r>
            <w:r>
              <w:rPr>
                <w:szCs w:val="21"/>
              </w:rPr>
              <w:t>类标准限值</w:t>
            </w:r>
          </w:p>
        </w:tc>
        <w:tc>
          <w:tcPr>
            <w:tcW w:w="2982" w:type="dxa"/>
            <w:noWrap w:val="0"/>
            <w:vAlign w:val="center"/>
          </w:tcPr>
          <w:p>
            <w:pPr>
              <w:jc w:val="center"/>
              <w:rPr>
                <w:szCs w:val="21"/>
              </w:rPr>
            </w:pPr>
            <w:r>
              <w:rPr>
                <w:rFonts w:hint="eastAsia"/>
                <w:szCs w:val="21"/>
              </w:rPr>
              <w:t>60</w:t>
            </w:r>
          </w:p>
        </w:tc>
        <w:tc>
          <w:tcPr>
            <w:tcW w:w="2982" w:type="dxa"/>
            <w:noWrap w:val="0"/>
            <w:vAlign w:val="center"/>
          </w:tcPr>
          <w:p>
            <w:pPr>
              <w:jc w:val="center"/>
              <w:rPr>
                <w:szCs w:val="21"/>
              </w:rPr>
            </w:pPr>
            <w:r>
              <w:rPr>
                <w:rFonts w:hint="eastAsia"/>
                <w:szCs w:val="21"/>
              </w:rPr>
              <w:t>50</w:t>
            </w:r>
          </w:p>
        </w:tc>
      </w:tr>
    </w:tbl>
    <w:p>
      <w:pPr>
        <w:spacing w:line="500" w:lineRule="exact"/>
        <w:rPr>
          <w:b/>
          <w:sz w:val="24"/>
        </w:rPr>
      </w:pPr>
      <w:bookmarkStart w:id="360" w:name="_Toc406663014"/>
      <w:bookmarkStart w:id="361" w:name="_Toc413829647"/>
      <w:r>
        <w:rPr>
          <w:b/>
          <w:sz w:val="24"/>
        </w:rPr>
        <w:t>3.3.4.3监测结果</w:t>
      </w:r>
      <w:bookmarkEnd w:id="360"/>
      <w:bookmarkEnd w:id="361"/>
    </w:p>
    <w:p>
      <w:pPr>
        <w:autoSpaceDE w:val="0"/>
        <w:autoSpaceDN w:val="0"/>
        <w:adjustRightInd w:val="0"/>
        <w:spacing w:line="520" w:lineRule="exact"/>
        <w:ind w:firstLine="424" w:firstLineChars="177"/>
        <w:jc w:val="left"/>
        <w:rPr>
          <w:sz w:val="24"/>
        </w:rPr>
      </w:pPr>
      <w:r>
        <w:rPr>
          <w:sz w:val="24"/>
        </w:rPr>
        <w:t>监测结果见表3.3-15。</w:t>
      </w:r>
    </w:p>
    <w:p>
      <w:pPr>
        <w:spacing w:after="72" w:afterLines="30" w:line="500" w:lineRule="exact"/>
        <w:jc w:val="center"/>
        <w:rPr>
          <w:b/>
          <w:sz w:val="24"/>
        </w:rPr>
      </w:pPr>
      <w:r>
        <w:rPr>
          <w:b/>
          <w:sz w:val="24"/>
        </w:rPr>
        <w:t>表3.3-15      声环境现状监测结果统计表      单位：dB(A)</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37"/>
        <w:gridCol w:w="2236"/>
        <w:gridCol w:w="2237"/>
        <w:gridCol w:w="22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85" w:hRule="atLeast"/>
          <w:tblHeader/>
          <w:jc w:val="center"/>
        </w:trPr>
        <w:tc>
          <w:tcPr>
            <w:tcW w:w="2237" w:type="dxa"/>
            <w:noWrap w:val="0"/>
            <w:vAlign w:val="center"/>
          </w:tcPr>
          <w:p>
            <w:pPr>
              <w:jc w:val="center"/>
              <w:rPr>
                <w:b/>
                <w:szCs w:val="21"/>
              </w:rPr>
            </w:pPr>
            <w:r>
              <w:rPr>
                <w:b/>
                <w:szCs w:val="21"/>
              </w:rPr>
              <w:t>监测点位</w:t>
            </w:r>
          </w:p>
        </w:tc>
        <w:tc>
          <w:tcPr>
            <w:tcW w:w="2236" w:type="dxa"/>
            <w:noWrap w:val="0"/>
            <w:vAlign w:val="center"/>
          </w:tcPr>
          <w:p>
            <w:pPr>
              <w:jc w:val="center"/>
              <w:rPr>
                <w:b/>
                <w:szCs w:val="21"/>
              </w:rPr>
            </w:pPr>
            <w:r>
              <w:rPr>
                <w:b/>
                <w:szCs w:val="21"/>
              </w:rPr>
              <w:t>昼间</w:t>
            </w:r>
          </w:p>
        </w:tc>
        <w:tc>
          <w:tcPr>
            <w:tcW w:w="2237" w:type="dxa"/>
            <w:noWrap w:val="0"/>
            <w:vAlign w:val="center"/>
          </w:tcPr>
          <w:p>
            <w:pPr>
              <w:jc w:val="center"/>
              <w:rPr>
                <w:b/>
                <w:szCs w:val="21"/>
              </w:rPr>
            </w:pPr>
            <w:r>
              <w:rPr>
                <w:b/>
                <w:szCs w:val="21"/>
              </w:rPr>
              <w:t>夜间</w:t>
            </w:r>
          </w:p>
        </w:tc>
        <w:tc>
          <w:tcPr>
            <w:tcW w:w="2236" w:type="dxa"/>
            <w:noWrap w:val="0"/>
            <w:vAlign w:val="center"/>
          </w:tcPr>
          <w:p>
            <w:pPr>
              <w:jc w:val="center"/>
              <w:rPr>
                <w:b/>
                <w:szCs w:val="21"/>
              </w:rPr>
            </w:pPr>
            <w:r>
              <w:rPr>
                <w:b/>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237" w:type="dxa"/>
            <w:noWrap w:val="0"/>
            <w:vAlign w:val="center"/>
          </w:tcPr>
          <w:p>
            <w:pPr>
              <w:jc w:val="center"/>
              <w:rPr>
                <w:szCs w:val="21"/>
              </w:rPr>
            </w:pPr>
            <w:r>
              <w:rPr>
                <w:szCs w:val="21"/>
              </w:rPr>
              <w:t>东场界</w:t>
            </w:r>
          </w:p>
        </w:tc>
        <w:tc>
          <w:tcPr>
            <w:tcW w:w="2236" w:type="dxa"/>
            <w:noWrap w:val="0"/>
            <w:vAlign w:val="center"/>
          </w:tcPr>
          <w:p>
            <w:pPr>
              <w:jc w:val="center"/>
              <w:rPr>
                <w:rFonts w:hint="default" w:eastAsia="宋体"/>
                <w:szCs w:val="21"/>
                <w:lang w:val="en-US" w:eastAsia="zh-CN"/>
              </w:rPr>
            </w:pPr>
            <w:r>
              <w:rPr>
                <w:rFonts w:hint="eastAsia"/>
                <w:szCs w:val="21"/>
              </w:rPr>
              <w:t>5</w:t>
            </w:r>
            <w:r>
              <w:rPr>
                <w:rFonts w:hint="eastAsia"/>
                <w:szCs w:val="21"/>
                <w:lang w:val="en-US" w:eastAsia="zh-CN"/>
              </w:rPr>
              <w:t>3.1</w:t>
            </w:r>
            <w:r>
              <w:rPr>
                <w:rFonts w:hint="eastAsia"/>
                <w:szCs w:val="21"/>
              </w:rPr>
              <w:t>-53</w:t>
            </w:r>
            <w:r>
              <w:rPr>
                <w:rFonts w:hint="eastAsia"/>
                <w:szCs w:val="21"/>
                <w:lang w:val="en-US" w:eastAsia="zh-CN"/>
              </w:rPr>
              <w:t>.3</w:t>
            </w:r>
          </w:p>
        </w:tc>
        <w:tc>
          <w:tcPr>
            <w:tcW w:w="2237" w:type="dxa"/>
            <w:noWrap w:val="0"/>
            <w:vAlign w:val="center"/>
          </w:tcPr>
          <w:p>
            <w:pPr>
              <w:jc w:val="center"/>
              <w:rPr>
                <w:rFonts w:hint="default" w:eastAsia="宋体"/>
                <w:szCs w:val="21"/>
                <w:lang w:val="en-US" w:eastAsia="zh-CN"/>
              </w:rPr>
            </w:pPr>
            <w:r>
              <w:rPr>
                <w:rFonts w:hint="eastAsia"/>
                <w:szCs w:val="21"/>
              </w:rPr>
              <w:t>43</w:t>
            </w:r>
            <w:r>
              <w:rPr>
                <w:rFonts w:hint="eastAsia"/>
                <w:szCs w:val="21"/>
                <w:lang w:val="en-US" w:eastAsia="zh-CN"/>
              </w:rPr>
              <w:t>.1</w:t>
            </w:r>
            <w:r>
              <w:rPr>
                <w:rFonts w:hint="eastAsia"/>
                <w:szCs w:val="21"/>
              </w:rPr>
              <w:t>-4</w:t>
            </w:r>
            <w:r>
              <w:rPr>
                <w:rFonts w:hint="eastAsia"/>
                <w:szCs w:val="21"/>
                <w:lang w:val="en-US" w:eastAsia="zh-CN"/>
              </w:rPr>
              <w:t>3.5</w:t>
            </w:r>
          </w:p>
        </w:tc>
        <w:tc>
          <w:tcPr>
            <w:tcW w:w="2236" w:type="dxa"/>
            <w:noWrap w:val="0"/>
            <w:vAlign w:val="center"/>
          </w:tcPr>
          <w:p>
            <w:pPr>
              <w:jc w:val="center"/>
              <w:rPr>
                <w:szCs w:val="21"/>
              </w:rPr>
            </w:pPr>
            <w:r>
              <w:rPr>
                <w:szCs w:val="21"/>
              </w:rPr>
              <w:t>场界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237" w:type="dxa"/>
            <w:noWrap w:val="0"/>
            <w:vAlign w:val="center"/>
          </w:tcPr>
          <w:p>
            <w:pPr>
              <w:jc w:val="center"/>
              <w:rPr>
                <w:szCs w:val="21"/>
              </w:rPr>
            </w:pPr>
            <w:r>
              <w:rPr>
                <w:szCs w:val="21"/>
              </w:rPr>
              <w:t>南场界</w:t>
            </w:r>
          </w:p>
        </w:tc>
        <w:tc>
          <w:tcPr>
            <w:tcW w:w="2236" w:type="dxa"/>
            <w:noWrap w:val="0"/>
            <w:vAlign w:val="center"/>
          </w:tcPr>
          <w:p>
            <w:pPr>
              <w:jc w:val="center"/>
              <w:rPr>
                <w:rFonts w:hint="default" w:eastAsia="宋体"/>
                <w:szCs w:val="21"/>
                <w:lang w:val="en-US" w:eastAsia="zh-CN"/>
              </w:rPr>
            </w:pPr>
            <w:r>
              <w:rPr>
                <w:rFonts w:hint="eastAsia"/>
                <w:szCs w:val="21"/>
              </w:rPr>
              <w:t>5</w:t>
            </w:r>
            <w:r>
              <w:rPr>
                <w:rFonts w:hint="eastAsia"/>
                <w:szCs w:val="21"/>
                <w:lang w:val="en-US" w:eastAsia="zh-CN"/>
              </w:rPr>
              <w:t>3.9-54.0</w:t>
            </w:r>
          </w:p>
        </w:tc>
        <w:tc>
          <w:tcPr>
            <w:tcW w:w="2237" w:type="dxa"/>
            <w:noWrap w:val="0"/>
            <w:vAlign w:val="center"/>
          </w:tcPr>
          <w:p>
            <w:pPr>
              <w:jc w:val="center"/>
              <w:rPr>
                <w:rFonts w:hint="default" w:eastAsia="宋体"/>
                <w:szCs w:val="21"/>
                <w:lang w:val="en-US" w:eastAsia="zh-CN"/>
              </w:rPr>
            </w:pPr>
            <w:r>
              <w:rPr>
                <w:rFonts w:hint="eastAsia"/>
                <w:szCs w:val="21"/>
                <w:lang w:val="en-US" w:eastAsia="zh-CN"/>
              </w:rPr>
              <w:t>43.8-44.2</w:t>
            </w:r>
          </w:p>
        </w:tc>
        <w:tc>
          <w:tcPr>
            <w:tcW w:w="2236" w:type="dxa"/>
            <w:noWrap w:val="0"/>
            <w:vAlign w:val="center"/>
          </w:tcPr>
          <w:p>
            <w:pPr>
              <w:jc w:val="center"/>
              <w:rPr>
                <w:szCs w:val="21"/>
              </w:rPr>
            </w:pPr>
            <w:r>
              <w:rPr>
                <w:szCs w:val="21"/>
              </w:rPr>
              <w:t>场界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237" w:type="dxa"/>
            <w:noWrap w:val="0"/>
            <w:vAlign w:val="center"/>
          </w:tcPr>
          <w:p>
            <w:pPr>
              <w:jc w:val="center"/>
              <w:rPr>
                <w:szCs w:val="21"/>
              </w:rPr>
            </w:pPr>
            <w:r>
              <w:rPr>
                <w:szCs w:val="21"/>
              </w:rPr>
              <w:t>西场界</w:t>
            </w:r>
          </w:p>
        </w:tc>
        <w:tc>
          <w:tcPr>
            <w:tcW w:w="2236" w:type="dxa"/>
            <w:noWrap w:val="0"/>
            <w:vAlign w:val="center"/>
          </w:tcPr>
          <w:p>
            <w:pPr>
              <w:jc w:val="center"/>
              <w:rPr>
                <w:rFonts w:hint="default" w:eastAsia="宋体"/>
                <w:szCs w:val="21"/>
                <w:lang w:val="en-US" w:eastAsia="zh-CN"/>
              </w:rPr>
            </w:pPr>
            <w:r>
              <w:rPr>
                <w:rFonts w:hint="eastAsia"/>
                <w:szCs w:val="21"/>
                <w:lang w:val="en-US" w:eastAsia="zh-CN"/>
              </w:rPr>
              <w:t>52.8-53.2</w:t>
            </w:r>
          </w:p>
        </w:tc>
        <w:tc>
          <w:tcPr>
            <w:tcW w:w="2237" w:type="dxa"/>
            <w:noWrap w:val="0"/>
            <w:vAlign w:val="center"/>
          </w:tcPr>
          <w:p>
            <w:pPr>
              <w:jc w:val="center"/>
              <w:rPr>
                <w:rFonts w:hint="default" w:eastAsia="宋体"/>
                <w:szCs w:val="21"/>
                <w:lang w:val="en-US" w:eastAsia="zh-CN"/>
              </w:rPr>
            </w:pPr>
            <w:r>
              <w:rPr>
                <w:rFonts w:hint="eastAsia"/>
                <w:szCs w:val="21"/>
                <w:lang w:val="en-US" w:eastAsia="zh-CN"/>
              </w:rPr>
              <w:t>42.5-43.4</w:t>
            </w:r>
          </w:p>
        </w:tc>
        <w:tc>
          <w:tcPr>
            <w:tcW w:w="2236" w:type="dxa"/>
            <w:noWrap w:val="0"/>
            <w:vAlign w:val="center"/>
          </w:tcPr>
          <w:p>
            <w:pPr>
              <w:jc w:val="center"/>
              <w:rPr>
                <w:szCs w:val="21"/>
              </w:rPr>
            </w:pPr>
            <w:r>
              <w:rPr>
                <w:szCs w:val="21"/>
              </w:rPr>
              <w:t>场界</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237" w:type="dxa"/>
            <w:noWrap w:val="0"/>
            <w:vAlign w:val="center"/>
          </w:tcPr>
          <w:p>
            <w:pPr>
              <w:jc w:val="center"/>
              <w:rPr>
                <w:szCs w:val="21"/>
              </w:rPr>
            </w:pPr>
            <w:r>
              <w:rPr>
                <w:szCs w:val="21"/>
              </w:rPr>
              <w:t>北场界</w:t>
            </w:r>
          </w:p>
        </w:tc>
        <w:tc>
          <w:tcPr>
            <w:tcW w:w="2236" w:type="dxa"/>
            <w:noWrap w:val="0"/>
            <w:vAlign w:val="center"/>
          </w:tcPr>
          <w:p>
            <w:pPr>
              <w:jc w:val="center"/>
              <w:rPr>
                <w:rFonts w:hint="default" w:eastAsia="宋体"/>
                <w:szCs w:val="21"/>
                <w:lang w:val="en-US" w:eastAsia="zh-CN"/>
              </w:rPr>
            </w:pPr>
            <w:r>
              <w:rPr>
                <w:rFonts w:hint="eastAsia"/>
                <w:szCs w:val="21"/>
                <w:lang w:val="en-US" w:eastAsia="zh-CN"/>
              </w:rPr>
              <w:t>52.7-52.9</w:t>
            </w:r>
          </w:p>
        </w:tc>
        <w:tc>
          <w:tcPr>
            <w:tcW w:w="2237" w:type="dxa"/>
            <w:noWrap w:val="0"/>
            <w:vAlign w:val="center"/>
          </w:tcPr>
          <w:p>
            <w:pPr>
              <w:jc w:val="center"/>
              <w:rPr>
                <w:rFonts w:hint="default" w:eastAsia="宋体"/>
                <w:szCs w:val="21"/>
                <w:lang w:val="en-US" w:eastAsia="zh-CN"/>
              </w:rPr>
            </w:pPr>
            <w:r>
              <w:rPr>
                <w:rFonts w:hint="eastAsia"/>
                <w:szCs w:val="21"/>
                <w:lang w:val="en-US" w:eastAsia="zh-CN"/>
              </w:rPr>
              <w:t>42.2-43.0</w:t>
            </w:r>
          </w:p>
        </w:tc>
        <w:tc>
          <w:tcPr>
            <w:tcW w:w="2236" w:type="dxa"/>
            <w:noWrap w:val="0"/>
            <w:vAlign w:val="center"/>
          </w:tcPr>
          <w:p>
            <w:pPr>
              <w:jc w:val="center"/>
              <w:rPr>
                <w:szCs w:val="21"/>
              </w:rPr>
            </w:pPr>
            <w:r>
              <w:rPr>
                <w:szCs w:val="21"/>
              </w:rPr>
              <w:t>场界</w:t>
            </w:r>
          </w:p>
        </w:tc>
      </w:tr>
    </w:tbl>
    <w:p>
      <w:pPr>
        <w:autoSpaceDE w:val="0"/>
        <w:autoSpaceDN w:val="0"/>
        <w:adjustRightInd w:val="0"/>
        <w:spacing w:line="520" w:lineRule="exact"/>
        <w:ind w:firstLine="424" w:firstLineChars="177"/>
        <w:jc w:val="left"/>
        <w:rPr>
          <w:sz w:val="24"/>
        </w:rPr>
      </w:pPr>
      <w:r>
        <w:rPr>
          <w:sz w:val="24"/>
        </w:rPr>
        <w:t>由表3.3-15的监测结果可知，场址四周场界昼、夜噪声监测值均可以满足《声环境质量标准》(GB3096-2008)</w:t>
      </w:r>
      <w:r>
        <w:rPr>
          <w:rFonts w:hint="eastAsia"/>
          <w:sz w:val="24"/>
        </w:rPr>
        <w:t>2</w:t>
      </w:r>
      <w:r>
        <w:rPr>
          <w:sz w:val="24"/>
        </w:rPr>
        <w:t>类标准要求。</w:t>
      </w:r>
    </w:p>
    <w:p>
      <w:pPr>
        <w:pStyle w:val="2"/>
        <w:spacing w:before="0" w:after="0" w:line="520" w:lineRule="exact"/>
        <w:rPr>
          <w:rFonts w:eastAsia="黑体"/>
          <w:b w:val="0"/>
          <w:sz w:val="24"/>
          <w:szCs w:val="24"/>
        </w:rPr>
      </w:pPr>
      <w:bookmarkStart w:id="362" w:name="_Toc413829648"/>
      <w:bookmarkStart w:id="363" w:name="_Toc406663015"/>
      <w:bookmarkStart w:id="364" w:name="_Toc468366616"/>
      <w:r>
        <w:rPr>
          <w:rFonts w:eastAsia="黑体"/>
          <w:b w:val="0"/>
          <w:sz w:val="24"/>
          <w:szCs w:val="24"/>
        </w:rPr>
        <w:t>3.3.5土壤现状监测与评价</w:t>
      </w:r>
      <w:bookmarkEnd w:id="362"/>
      <w:bookmarkEnd w:id="363"/>
      <w:bookmarkEnd w:id="364"/>
    </w:p>
    <w:p>
      <w:pPr>
        <w:autoSpaceDE w:val="0"/>
        <w:autoSpaceDN w:val="0"/>
        <w:adjustRightInd w:val="0"/>
        <w:spacing w:line="520" w:lineRule="exact"/>
        <w:ind w:firstLine="424" w:firstLineChars="177"/>
        <w:jc w:val="left"/>
        <w:rPr>
          <w:bCs/>
          <w:sz w:val="24"/>
        </w:rPr>
      </w:pPr>
      <w:r>
        <w:rPr>
          <w:bCs/>
          <w:sz w:val="24"/>
        </w:rPr>
        <w:t>根据场址周围环境特点及敏感点分布情况，本次监测在沼液消纳区土壤设</w:t>
      </w:r>
      <w:r>
        <w:rPr>
          <w:rFonts w:hint="eastAsia"/>
          <w:bCs/>
          <w:sz w:val="24"/>
        </w:rPr>
        <w:t>2</w:t>
      </w:r>
      <w:r>
        <w:rPr>
          <w:bCs/>
          <w:sz w:val="24"/>
        </w:rPr>
        <w:t>个土壤监测点</w:t>
      </w:r>
      <w:r>
        <w:rPr>
          <w:rFonts w:hint="eastAsia"/>
          <w:bCs/>
          <w:sz w:val="24"/>
        </w:rPr>
        <w:t>、项目区设1个土壤监测点</w:t>
      </w:r>
      <w:r>
        <w:rPr>
          <w:bCs/>
          <w:sz w:val="24"/>
        </w:rPr>
        <w:t>，采取土壤层为0-</w:t>
      </w:r>
      <w:r>
        <w:rPr>
          <w:rFonts w:hint="eastAsia"/>
          <w:bCs/>
          <w:sz w:val="24"/>
        </w:rPr>
        <w:t>0.2m</w:t>
      </w:r>
      <w:r>
        <w:rPr>
          <w:bCs/>
          <w:sz w:val="24"/>
        </w:rPr>
        <w:t>的土壤进行监测。</w:t>
      </w:r>
      <w:r>
        <w:rPr>
          <w:rFonts w:hint="eastAsia"/>
          <w:bCs/>
          <w:sz w:val="24"/>
        </w:rPr>
        <w:t>监</w:t>
      </w:r>
      <w:r>
        <w:rPr>
          <w:bCs/>
          <w:sz w:val="24"/>
        </w:rPr>
        <w:t>测由</w:t>
      </w:r>
      <w:r>
        <w:rPr>
          <w:rFonts w:hint="eastAsia"/>
          <w:kern w:val="0"/>
          <w:sz w:val="24"/>
          <w:lang w:eastAsia="zh-CN"/>
        </w:rPr>
        <w:t>河南金诺源环境检测有限公司</w:t>
      </w:r>
      <w:r>
        <w:rPr>
          <w:bCs/>
          <w:sz w:val="24"/>
        </w:rPr>
        <w:t>于20</w:t>
      </w:r>
      <w:r>
        <w:rPr>
          <w:rFonts w:hint="eastAsia"/>
          <w:bCs/>
          <w:sz w:val="24"/>
        </w:rPr>
        <w:t>2</w:t>
      </w:r>
      <w:r>
        <w:rPr>
          <w:rFonts w:hint="eastAsia"/>
          <w:bCs/>
          <w:sz w:val="24"/>
          <w:lang w:val="en-US" w:eastAsia="zh-CN"/>
        </w:rPr>
        <w:t>1</w:t>
      </w:r>
      <w:r>
        <w:rPr>
          <w:bCs/>
          <w:sz w:val="24"/>
        </w:rPr>
        <w:t>年</w:t>
      </w:r>
      <w:r>
        <w:rPr>
          <w:rFonts w:hint="eastAsia"/>
          <w:bCs/>
          <w:sz w:val="24"/>
          <w:lang w:val="en-US" w:eastAsia="zh-CN"/>
        </w:rPr>
        <w:t>3</w:t>
      </w:r>
      <w:r>
        <w:rPr>
          <w:bCs/>
          <w:sz w:val="24"/>
        </w:rPr>
        <w:t>月0</w:t>
      </w:r>
      <w:r>
        <w:rPr>
          <w:rFonts w:hint="eastAsia"/>
          <w:bCs/>
          <w:sz w:val="24"/>
          <w:lang w:val="en-US" w:eastAsia="zh-CN"/>
        </w:rPr>
        <w:t>8</w:t>
      </w:r>
      <w:r>
        <w:rPr>
          <w:bCs/>
          <w:sz w:val="24"/>
        </w:rPr>
        <w:t>日进行监测。</w:t>
      </w:r>
    </w:p>
    <w:p>
      <w:pPr>
        <w:spacing w:line="500" w:lineRule="exact"/>
        <w:rPr>
          <w:b/>
          <w:sz w:val="24"/>
        </w:rPr>
      </w:pPr>
      <w:bookmarkStart w:id="365" w:name="_Toc413829649"/>
      <w:bookmarkStart w:id="366" w:name="_Toc406663016"/>
      <w:r>
        <w:rPr>
          <w:b/>
          <w:sz w:val="24"/>
        </w:rPr>
        <w:t>3.3.5.1监测布点、因子及监测时间</w:t>
      </w:r>
      <w:bookmarkEnd w:id="365"/>
      <w:bookmarkEnd w:id="366"/>
    </w:p>
    <w:p>
      <w:pPr>
        <w:autoSpaceDE w:val="0"/>
        <w:autoSpaceDN w:val="0"/>
        <w:adjustRightInd w:val="0"/>
        <w:spacing w:line="520" w:lineRule="exact"/>
        <w:ind w:firstLine="424" w:firstLineChars="177"/>
        <w:jc w:val="left"/>
        <w:rPr>
          <w:bCs/>
          <w:sz w:val="24"/>
        </w:rPr>
      </w:pPr>
      <w:r>
        <w:rPr>
          <w:bCs/>
          <w:sz w:val="24"/>
        </w:rPr>
        <w:t>监测项目主要包括pH、汞、砷、铜、铅、</w:t>
      </w:r>
      <w:r>
        <w:rPr>
          <w:rFonts w:hint="eastAsia"/>
          <w:bCs/>
          <w:sz w:val="24"/>
        </w:rPr>
        <w:t>铬、镉、镍、</w:t>
      </w:r>
      <w:r>
        <w:rPr>
          <w:bCs/>
          <w:sz w:val="24"/>
        </w:rPr>
        <w:t>锌</w:t>
      </w:r>
      <w:r>
        <w:rPr>
          <w:rFonts w:hint="eastAsia"/>
          <w:bCs/>
          <w:sz w:val="24"/>
        </w:rPr>
        <w:t>、土壤含盐量</w:t>
      </w:r>
      <w:r>
        <w:rPr>
          <w:bCs/>
          <w:sz w:val="24"/>
        </w:rPr>
        <w:t>共</w:t>
      </w:r>
      <w:r>
        <w:rPr>
          <w:rFonts w:hint="eastAsia"/>
          <w:bCs/>
          <w:sz w:val="24"/>
        </w:rPr>
        <w:t>10</w:t>
      </w:r>
      <w:r>
        <w:rPr>
          <w:bCs/>
          <w:sz w:val="24"/>
        </w:rPr>
        <w:t>个监测因子。</w:t>
      </w:r>
    </w:p>
    <w:p>
      <w:pPr>
        <w:spacing w:line="500" w:lineRule="exact"/>
        <w:rPr>
          <w:b/>
          <w:sz w:val="24"/>
        </w:rPr>
      </w:pPr>
      <w:bookmarkStart w:id="367" w:name="_Toc413829650"/>
      <w:bookmarkStart w:id="368" w:name="_Toc406663017"/>
      <w:r>
        <w:rPr>
          <w:b/>
          <w:sz w:val="24"/>
        </w:rPr>
        <w:t>3.3.5.2评价标准及方法</w:t>
      </w:r>
      <w:bookmarkEnd w:id="367"/>
      <w:bookmarkEnd w:id="368"/>
    </w:p>
    <w:p>
      <w:pPr>
        <w:spacing w:line="500" w:lineRule="exact"/>
        <w:ind w:firstLine="600" w:firstLineChars="250"/>
        <w:rPr>
          <w:bCs/>
          <w:sz w:val="24"/>
        </w:rPr>
      </w:pPr>
      <w:r>
        <w:rPr>
          <w:bCs/>
          <w:sz w:val="24"/>
        </w:rPr>
        <w:t>土壤现状中各监测因子执行《土壤环境质量</w:t>
      </w:r>
      <w:r>
        <w:rPr>
          <w:rFonts w:hint="eastAsia"/>
          <w:bCs/>
          <w:sz w:val="24"/>
        </w:rPr>
        <w:t xml:space="preserve"> 农用地土壤污染风险管控</w:t>
      </w:r>
      <w:r>
        <w:rPr>
          <w:bCs/>
          <w:sz w:val="24"/>
        </w:rPr>
        <w:t>标准</w:t>
      </w:r>
      <w:r>
        <w:rPr>
          <w:rFonts w:hint="eastAsia"/>
          <w:bCs/>
          <w:sz w:val="24"/>
        </w:rPr>
        <w:t>（试行）</w:t>
      </w:r>
      <w:r>
        <w:rPr>
          <w:bCs/>
          <w:sz w:val="24"/>
        </w:rPr>
        <w:t>》（GB15618-2018）表1相关标准。见表3.3-16。</w:t>
      </w:r>
    </w:p>
    <w:p>
      <w:pPr>
        <w:spacing w:after="72" w:afterLines="30" w:line="500" w:lineRule="exact"/>
        <w:jc w:val="center"/>
        <w:rPr>
          <w:b/>
          <w:sz w:val="24"/>
        </w:rPr>
      </w:pPr>
      <w:r>
        <w:rPr>
          <w:b/>
          <w:sz w:val="24"/>
        </w:rPr>
        <w:t xml:space="preserve">表3.3-16      </w:t>
      </w:r>
      <w:r>
        <w:rPr>
          <w:rFonts w:hint="eastAsia"/>
          <w:b/>
          <w:sz w:val="24"/>
        </w:rPr>
        <w:t>农用地</w:t>
      </w:r>
      <w:r>
        <w:rPr>
          <w:b/>
          <w:sz w:val="24"/>
        </w:rPr>
        <w:t>土壤</w:t>
      </w:r>
      <w:r>
        <w:rPr>
          <w:rFonts w:hint="eastAsia"/>
          <w:b/>
          <w:sz w:val="24"/>
        </w:rPr>
        <w:t>污染风险筛选值（基本项目）</w:t>
      </w:r>
      <w:r>
        <w:rPr>
          <w:b/>
          <w:sz w:val="24"/>
        </w:rPr>
        <w:t xml:space="preserve">  </w:t>
      </w:r>
      <w:r>
        <w:rPr>
          <w:b/>
          <w:szCs w:val="21"/>
        </w:rPr>
        <w:t>（单位：mg/kg）</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28" w:type="dxa"/>
          <w:left w:w="108" w:type="dxa"/>
          <w:bottom w:w="28" w:type="dxa"/>
          <w:right w:w="108" w:type="dxa"/>
        </w:tblCellMar>
      </w:tblPr>
      <w:tblGrid>
        <w:gridCol w:w="1078"/>
        <w:gridCol w:w="1417"/>
        <w:gridCol w:w="1168"/>
        <w:gridCol w:w="2117"/>
        <w:gridCol w:w="1987"/>
        <w:gridCol w:w="113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108" w:type="dxa"/>
            <w:bottom w:w="28" w:type="dxa"/>
            <w:right w:w="108" w:type="dxa"/>
          </w:tblCellMar>
        </w:tblPrEx>
        <w:trPr>
          <w:cantSplit/>
          <w:trHeight w:val="454" w:hRule="exact"/>
          <w:jc w:val="center"/>
        </w:trPr>
        <w:tc>
          <w:tcPr>
            <w:tcW w:w="1078" w:type="dxa"/>
            <w:tcBorders>
              <w:top w:val="single" w:color="auto" w:sz="12" w:space="0"/>
              <w:left w:val="single" w:color="auto" w:sz="12" w:space="0"/>
              <w:bottom w:val="single" w:color="auto" w:sz="4" w:space="0"/>
              <w:right w:val="single" w:color="auto" w:sz="4" w:space="0"/>
            </w:tcBorders>
            <w:noWrap w:val="0"/>
            <w:tcMar>
              <w:top w:w="0" w:type="dxa"/>
              <w:left w:w="108" w:type="dxa"/>
              <w:bottom w:w="0" w:type="dxa"/>
              <w:right w:w="108" w:type="dxa"/>
            </w:tcMar>
            <w:vAlign w:val="center"/>
          </w:tcPr>
          <w:p>
            <w:pPr>
              <w:jc w:val="center"/>
              <w:rPr>
                <w:bCs/>
                <w:szCs w:val="21"/>
              </w:rPr>
            </w:pPr>
            <w:r>
              <w:rPr>
                <w:bCs/>
                <w:szCs w:val="21"/>
              </w:rPr>
              <w:t>序号</w:t>
            </w:r>
          </w:p>
        </w:tc>
        <w:tc>
          <w:tcPr>
            <w:tcW w:w="1417" w:type="dxa"/>
            <w:tcBorders>
              <w:top w:val="single" w:color="auto" w:sz="12" w:space="0"/>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jc w:val="center"/>
              <w:rPr>
                <w:bCs/>
                <w:szCs w:val="21"/>
              </w:rPr>
            </w:pPr>
            <w:r>
              <w:rPr>
                <w:bCs/>
                <w:szCs w:val="21"/>
              </w:rPr>
              <w:t>项目</w:t>
            </w:r>
          </w:p>
        </w:tc>
        <w:tc>
          <w:tcPr>
            <w:tcW w:w="6406" w:type="dxa"/>
            <w:gridSpan w:val="4"/>
            <w:tcBorders>
              <w:top w:val="single" w:color="auto" w:sz="12" w:space="0"/>
              <w:left w:val="single" w:color="auto" w:sz="4" w:space="0"/>
              <w:bottom w:val="single" w:color="auto" w:sz="4" w:space="0"/>
              <w:right w:val="single" w:color="auto" w:sz="12" w:space="0"/>
            </w:tcBorders>
            <w:noWrap w:val="0"/>
            <w:tcMar>
              <w:top w:w="0" w:type="dxa"/>
              <w:left w:w="108" w:type="dxa"/>
              <w:bottom w:w="0" w:type="dxa"/>
              <w:right w:w="108" w:type="dxa"/>
            </w:tcMar>
            <w:vAlign w:val="center"/>
          </w:tcPr>
          <w:p>
            <w:pPr>
              <w:jc w:val="center"/>
              <w:rPr>
                <w:bCs/>
                <w:szCs w:val="21"/>
              </w:rPr>
            </w:pPr>
            <w:r>
              <w:rPr>
                <w:bCs/>
                <w:szCs w:val="21"/>
              </w:rPr>
              <w:t>风险筛选值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108" w:type="dxa"/>
            <w:bottom w:w="28" w:type="dxa"/>
            <w:right w:w="108" w:type="dxa"/>
          </w:tblCellMar>
        </w:tblPrEx>
        <w:trPr>
          <w:cantSplit/>
          <w:trHeight w:val="454" w:hRule="exact"/>
          <w:jc w:val="center"/>
        </w:trPr>
        <w:tc>
          <w:tcPr>
            <w:tcW w:w="1078" w:type="dxa"/>
            <w:tcBorders>
              <w:top w:val="single" w:color="auto" w:sz="4" w:space="0"/>
              <w:left w:val="single" w:color="auto" w:sz="12" w:space="0"/>
              <w:bottom w:val="single" w:color="auto" w:sz="4" w:space="0"/>
              <w:right w:val="single" w:color="auto" w:sz="4" w:space="0"/>
            </w:tcBorders>
            <w:noWrap w:val="0"/>
            <w:vAlign w:val="center"/>
          </w:tcPr>
          <w:p>
            <w:pPr>
              <w:jc w:val="center"/>
              <w:rPr>
                <w:szCs w:val="21"/>
              </w:rPr>
            </w:pPr>
            <w:r>
              <w:rPr>
                <w:szCs w:val="21"/>
              </w:rPr>
              <w:t>1</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pH</w:t>
            </w:r>
          </w:p>
        </w:tc>
        <w:tc>
          <w:tcPr>
            <w:tcW w:w="1168"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pH≤5.5</w:t>
            </w:r>
          </w:p>
        </w:tc>
        <w:tc>
          <w:tcPr>
            <w:tcW w:w="2117"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5.5＜pH≤6.5</w:t>
            </w:r>
          </w:p>
        </w:tc>
        <w:tc>
          <w:tcPr>
            <w:tcW w:w="1987" w:type="dxa"/>
            <w:tcBorders>
              <w:top w:val="single" w:color="auto" w:sz="4" w:space="0"/>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jc w:val="center"/>
              <w:rPr>
                <w:szCs w:val="21"/>
              </w:rPr>
            </w:pPr>
            <w:r>
              <w:rPr>
                <w:szCs w:val="21"/>
              </w:rPr>
              <w:t>6.5＜pH≤7.5</w:t>
            </w:r>
          </w:p>
        </w:tc>
        <w:tc>
          <w:tcPr>
            <w:tcW w:w="1134" w:type="dxa"/>
            <w:tcBorders>
              <w:top w:val="single" w:color="auto" w:sz="4" w:space="0"/>
              <w:left w:val="single" w:color="auto" w:sz="4" w:space="0"/>
              <w:bottom w:val="single" w:color="auto" w:sz="4" w:space="0"/>
              <w:right w:val="single" w:color="auto" w:sz="12" w:space="0"/>
            </w:tcBorders>
            <w:noWrap w:val="0"/>
            <w:tcMar>
              <w:top w:w="0" w:type="dxa"/>
              <w:left w:w="108" w:type="dxa"/>
              <w:bottom w:w="0" w:type="dxa"/>
              <w:right w:w="108" w:type="dxa"/>
            </w:tcMar>
            <w:vAlign w:val="center"/>
          </w:tcPr>
          <w:p>
            <w:pPr>
              <w:jc w:val="center"/>
              <w:rPr>
                <w:szCs w:val="21"/>
              </w:rPr>
            </w:pPr>
            <w:r>
              <w:rPr>
                <w:szCs w:val="21"/>
              </w:rPr>
              <w:t>pH&gt;7.5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108" w:type="dxa"/>
            <w:bottom w:w="28" w:type="dxa"/>
            <w:right w:w="108" w:type="dxa"/>
          </w:tblCellMar>
        </w:tblPrEx>
        <w:trPr>
          <w:cantSplit/>
          <w:trHeight w:val="454" w:hRule="exact"/>
          <w:jc w:val="center"/>
        </w:trPr>
        <w:tc>
          <w:tcPr>
            <w:tcW w:w="1078" w:type="dxa"/>
            <w:tcBorders>
              <w:top w:val="single" w:color="auto" w:sz="4" w:space="0"/>
              <w:left w:val="single" w:color="auto" w:sz="12" w:space="0"/>
              <w:bottom w:val="single" w:color="auto" w:sz="4" w:space="0"/>
              <w:right w:val="single" w:color="auto" w:sz="4" w:space="0"/>
            </w:tcBorders>
            <w:noWrap w:val="0"/>
            <w:vAlign w:val="center"/>
          </w:tcPr>
          <w:p>
            <w:pPr>
              <w:jc w:val="center"/>
              <w:rPr>
                <w:szCs w:val="21"/>
              </w:rPr>
            </w:pPr>
            <w:r>
              <w:rPr>
                <w:szCs w:val="21"/>
              </w:rPr>
              <w:t>2</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铜</w:t>
            </w:r>
          </w:p>
        </w:tc>
        <w:tc>
          <w:tcPr>
            <w:tcW w:w="1168"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50</w:t>
            </w:r>
          </w:p>
        </w:tc>
        <w:tc>
          <w:tcPr>
            <w:tcW w:w="2117"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50</w:t>
            </w:r>
          </w:p>
        </w:tc>
        <w:tc>
          <w:tcPr>
            <w:tcW w:w="1987" w:type="dxa"/>
            <w:tcBorders>
              <w:top w:val="single" w:color="auto" w:sz="4" w:space="0"/>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jc w:val="center"/>
              <w:rPr>
                <w:szCs w:val="21"/>
              </w:rPr>
            </w:pPr>
            <w:r>
              <w:rPr>
                <w:szCs w:val="21"/>
              </w:rPr>
              <w:t>100</w:t>
            </w:r>
          </w:p>
        </w:tc>
        <w:tc>
          <w:tcPr>
            <w:tcW w:w="1134" w:type="dxa"/>
            <w:tcBorders>
              <w:top w:val="single" w:color="auto" w:sz="4" w:space="0"/>
              <w:left w:val="single" w:color="auto" w:sz="4" w:space="0"/>
              <w:bottom w:val="single" w:color="auto" w:sz="4" w:space="0"/>
              <w:right w:val="single" w:color="auto" w:sz="12" w:space="0"/>
            </w:tcBorders>
            <w:noWrap w:val="0"/>
            <w:tcMar>
              <w:top w:w="0" w:type="dxa"/>
              <w:left w:w="108" w:type="dxa"/>
              <w:bottom w:w="0" w:type="dxa"/>
              <w:right w:w="108" w:type="dxa"/>
            </w:tcMar>
            <w:vAlign w:val="center"/>
          </w:tcPr>
          <w:p>
            <w:pPr>
              <w:jc w:val="center"/>
              <w:rPr>
                <w:szCs w:val="21"/>
              </w:rPr>
            </w:pPr>
            <w:r>
              <w:rPr>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108" w:type="dxa"/>
            <w:bottom w:w="28" w:type="dxa"/>
            <w:right w:w="108" w:type="dxa"/>
          </w:tblCellMar>
        </w:tblPrEx>
        <w:trPr>
          <w:cantSplit/>
          <w:trHeight w:val="454" w:hRule="exact"/>
          <w:jc w:val="center"/>
        </w:trPr>
        <w:tc>
          <w:tcPr>
            <w:tcW w:w="1078" w:type="dxa"/>
            <w:tcBorders>
              <w:top w:val="single" w:color="auto" w:sz="4" w:space="0"/>
              <w:left w:val="single" w:color="auto" w:sz="12" w:space="0"/>
              <w:bottom w:val="single" w:color="auto" w:sz="4" w:space="0"/>
              <w:right w:val="single" w:color="auto" w:sz="4" w:space="0"/>
            </w:tcBorders>
            <w:noWrap w:val="0"/>
            <w:vAlign w:val="center"/>
          </w:tcPr>
          <w:p>
            <w:pPr>
              <w:jc w:val="center"/>
              <w:rPr>
                <w:szCs w:val="21"/>
              </w:rPr>
            </w:pPr>
            <w:r>
              <w:rPr>
                <w:szCs w:val="21"/>
              </w:rPr>
              <w:t>3</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镉</w:t>
            </w:r>
          </w:p>
        </w:tc>
        <w:tc>
          <w:tcPr>
            <w:tcW w:w="1168"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0.3</w:t>
            </w:r>
          </w:p>
        </w:tc>
        <w:tc>
          <w:tcPr>
            <w:tcW w:w="2117"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0.30</w:t>
            </w:r>
          </w:p>
        </w:tc>
        <w:tc>
          <w:tcPr>
            <w:tcW w:w="1987" w:type="dxa"/>
            <w:tcBorders>
              <w:top w:val="single" w:color="auto" w:sz="4" w:space="0"/>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jc w:val="center"/>
              <w:rPr>
                <w:szCs w:val="21"/>
              </w:rPr>
            </w:pPr>
            <w:r>
              <w:rPr>
                <w:szCs w:val="21"/>
              </w:rPr>
              <w:t>0.30</w:t>
            </w:r>
          </w:p>
        </w:tc>
        <w:tc>
          <w:tcPr>
            <w:tcW w:w="1134" w:type="dxa"/>
            <w:tcBorders>
              <w:top w:val="single" w:color="auto" w:sz="4" w:space="0"/>
              <w:left w:val="single" w:color="auto" w:sz="4" w:space="0"/>
              <w:bottom w:val="single" w:color="auto" w:sz="4" w:space="0"/>
              <w:right w:val="single" w:color="auto" w:sz="12" w:space="0"/>
            </w:tcBorders>
            <w:noWrap w:val="0"/>
            <w:tcMar>
              <w:top w:w="0" w:type="dxa"/>
              <w:left w:w="108" w:type="dxa"/>
              <w:bottom w:w="0" w:type="dxa"/>
              <w:right w:w="108" w:type="dxa"/>
            </w:tcMar>
            <w:vAlign w:val="center"/>
          </w:tcPr>
          <w:p>
            <w:pPr>
              <w:jc w:val="center"/>
              <w:rPr>
                <w:szCs w:val="21"/>
              </w:rPr>
            </w:pPr>
            <w:r>
              <w:rPr>
                <w:szCs w:val="21"/>
              </w:rPr>
              <w:t>0.60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108" w:type="dxa"/>
            <w:bottom w:w="28" w:type="dxa"/>
            <w:right w:w="108" w:type="dxa"/>
          </w:tblCellMar>
        </w:tblPrEx>
        <w:trPr>
          <w:cantSplit/>
          <w:trHeight w:val="454" w:hRule="exact"/>
          <w:jc w:val="center"/>
        </w:trPr>
        <w:tc>
          <w:tcPr>
            <w:tcW w:w="1078" w:type="dxa"/>
            <w:tcBorders>
              <w:top w:val="single" w:color="auto" w:sz="4" w:space="0"/>
              <w:left w:val="single" w:color="auto" w:sz="12" w:space="0"/>
              <w:bottom w:val="single" w:color="auto" w:sz="4" w:space="0"/>
              <w:right w:val="single" w:color="auto" w:sz="4" w:space="0"/>
            </w:tcBorders>
            <w:noWrap w:val="0"/>
            <w:vAlign w:val="center"/>
          </w:tcPr>
          <w:p>
            <w:pPr>
              <w:jc w:val="center"/>
              <w:rPr>
                <w:szCs w:val="21"/>
              </w:rPr>
            </w:pPr>
            <w:r>
              <w:rPr>
                <w:szCs w:val="21"/>
              </w:rPr>
              <w:t>4</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汞</w:t>
            </w:r>
          </w:p>
        </w:tc>
        <w:tc>
          <w:tcPr>
            <w:tcW w:w="1168"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1.3</w:t>
            </w:r>
          </w:p>
        </w:tc>
        <w:tc>
          <w:tcPr>
            <w:tcW w:w="2117"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1.8</w:t>
            </w:r>
          </w:p>
        </w:tc>
        <w:tc>
          <w:tcPr>
            <w:tcW w:w="1987" w:type="dxa"/>
            <w:tcBorders>
              <w:top w:val="single" w:color="auto" w:sz="4" w:space="0"/>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jc w:val="center"/>
              <w:rPr>
                <w:szCs w:val="21"/>
              </w:rPr>
            </w:pPr>
            <w:r>
              <w:rPr>
                <w:szCs w:val="21"/>
              </w:rPr>
              <w:t>2.4</w:t>
            </w:r>
          </w:p>
        </w:tc>
        <w:tc>
          <w:tcPr>
            <w:tcW w:w="1134" w:type="dxa"/>
            <w:tcBorders>
              <w:top w:val="single" w:color="auto" w:sz="4" w:space="0"/>
              <w:left w:val="single" w:color="auto" w:sz="4" w:space="0"/>
              <w:bottom w:val="single" w:color="auto" w:sz="4" w:space="0"/>
              <w:right w:val="single" w:color="auto" w:sz="12" w:space="0"/>
            </w:tcBorders>
            <w:noWrap w:val="0"/>
            <w:tcMar>
              <w:top w:w="0" w:type="dxa"/>
              <w:left w:w="108" w:type="dxa"/>
              <w:bottom w:w="0" w:type="dxa"/>
              <w:right w:w="108" w:type="dxa"/>
            </w:tcMar>
            <w:vAlign w:val="center"/>
          </w:tcPr>
          <w:p>
            <w:pPr>
              <w:jc w:val="center"/>
              <w:rPr>
                <w:szCs w:val="21"/>
              </w:rPr>
            </w:pPr>
            <w:r>
              <w:rPr>
                <w:szCs w:val="21"/>
              </w:rPr>
              <w:t>3.4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108" w:type="dxa"/>
            <w:bottom w:w="28" w:type="dxa"/>
            <w:right w:w="108" w:type="dxa"/>
          </w:tblCellMar>
        </w:tblPrEx>
        <w:trPr>
          <w:cantSplit/>
          <w:trHeight w:val="454" w:hRule="exact"/>
          <w:jc w:val="center"/>
        </w:trPr>
        <w:tc>
          <w:tcPr>
            <w:tcW w:w="1078" w:type="dxa"/>
            <w:tcBorders>
              <w:top w:val="single" w:color="auto" w:sz="4" w:space="0"/>
              <w:left w:val="single" w:color="auto" w:sz="12" w:space="0"/>
              <w:bottom w:val="single" w:color="auto" w:sz="4" w:space="0"/>
              <w:right w:val="single" w:color="auto" w:sz="4" w:space="0"/>
            </w:tcBorders>
            <w:noWrap w:val="0"/>
            <w:vAlign w:val="center"/>
          </w:tcPr>
          <w:p>
            <w:pPr>
              <w:jc w:val="center"/>
              <w:rPr>
                <w:szCs w:val="21"/>
              </w:rPr>
            </w:pPr>
            <w:r>
              <w:rPr>
                <w:szCs w:val="21"/>
              </w:rPr>
              <w:t>5</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砷</w:t>
            </w:r>
          </w:p>
        </w:tc>
        <w:tc>
          <w:tcPr>
            <w:tcW w:w="1168"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40</w:t>
            </w:r>
          </w:p>
        </w:tc>
        <w:tc>
          <w:tcPr>
            <w:tcW w:w="2117"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40</w:t>
            </w:r>
          </w:p>
        </w:tc>
        <w:tc>
          <w:tcPr>
            <w:tcW w:w="1987" w:type="dxa"/>
            <w:tcBorders>
              <w:top w:val="single" w:color="auto" w:sz="4" w:space="0"/>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jc w:val="center"/>
              <w:rPr>
                <w:szCs w:val="21"/>
              </w:rPr>
            </w:pPr>
            <w:r>
              <w:rPr>
                <w:szCs w:val="21"/>
              </w:rPr>
              <w:t>30</w:t>
            </w:r>
          </w:p>
        </w:tc>
        <w:tc>
          <w:tcPr>
            <w:tcW w:w="1134" w:type="dxa"/>
            <w:tcBorders>
              <w:top w:val="single" w:color="auto" w:sz="4" w:space="0"/>
              <w:left w:val="single" w:color="auto" w:sz="4" w:space="0"/>
              <w:bottom w:val="single" w:color="auto" w:sz="4" w:space="0"/>
              <w:right w:val="single" w:color="auto" w:sz="12" w:space="0"/>
            </w:tcBorders>
            <w:noWrap w:val="0"/>
            <w:tcMar>
              <w:top w:w="0" w:type="dxa"/>
              <w:left w:w="108" w:type="dxa"/>
              <w:bottom w:w="0" w:type="dxa"/>
              <w:right w:w="108" w:type="dxa"/>
            </w:tcMar>
            <w:vAlign w:val="center"/>
          </w:tcPr>
          <w:p>
            <w:pPr>
              <w:jc w:val="center"/>
              <w:rPr>
                <w:szCs w:val="21"/>
              </w:rPr>
            </w:pPr>
            <w:r>
              <w:rPr>
                <w:szCs w:val="21"/>
              </w:rPr>
              <w:t>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108" w:type="dxa"/>
            <w:bottom w:w="28" w:type="dxa"/>
            <w:right w:w="108" w:type="dxa"/>
          </w:tblCellMar>
        </w:tblPrEx>
        <w:trPr>
          <w:cantSplit/>
          <w:trHeight w:val="454" w:hRule="exact"/>
          <w:jc w:val="center"/>
        </w:trPr>
        <w:tc>
          <w:tcPr>
            <w:tcW w:w="1078" w:type="dxa"/>
            <w:tcBorders>
              <w:top w:val="single" w:color="auto" w:sz="4" w:space="0"/>
              <w:left w:val="single" w:color="auto" w:sz="12" w:space="0"/>
              <w:bottom w:val="single" w:color="auto" w:sz="4" w:space="0"/>
              <w:right w:val="single" w:color="auto" w:sz="4" w:space="0"/>
            </w:tcBorders>
            <w:noWrap w:val="0"/>
            <w:vAlign w:val="center"/>
          </w:tcPr>
          <w:p>
            <w:pPr>
              <w:jc w:val="center"/>
              <w:rPr>
                <w:szCs w:val="21"/>
              </w:rPr>
            </w:pPr>
            <w:r>
              <w:rPr>
                <w:szCs w:val="21"/>
              </w:rPr>
              <w:t>6</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铅</w:t>
            </w:r>
          </w:p>
        </w:tc>
        <w:tc>
          <w:tcPr>
            <w:tcW w:w="1168"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70</w:t>
            </w:r>
          </w:p>
        </w:tc>
        <w:tc>
          <w:tcPr>
            <w:tcW w:w="2117"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90</w:t>
            </w:r>
          </w:p>
        </w:tc>
        <w:tc>
          <w:tcPr>
            <w:tcW w:w="1987" w:type="dxa"/>
            <w:tcBorders>
              <w:top w:val="single" w:color="auto" w:sz="4" w:space="0"/>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jc w:val="center"/>
              <w:rPr>
                <w:szCs w:val="21"/>
              </w:rPr>
            </w:pPr>
            <w:r>
              <w:rPr>
                <w:szCs w:val="21"/>
              </w:rPr>
              <w:t>120</w:t>
            </w:r>
          </w:p>
        </w:tc>
        <w:tc>
          <w:tcPr>
            <w:tcW w:w="1134" w:type="dxa"/>
            <w:tcBorders>
              <w:top w:val="single" w:color="auto" w:sz="4" w:space="0"/>
              <w:left w:val="single" w:color="auto" w:sz="4" w:space="0"/>
              <w:bottom w:val="single" w:color="auto" w:sz="4" w:space="0"/>
              <w:right w:val="single" w:color="auto" w:sz="12" w:space="0"/>
            </w:tcBorders>
            <w:noWrap w:val="0"/>
            <w:tcMar>
              <w:top w:w="0" w:type="dxa"/>
              <w:left w:w="108" w:type="dxa"/>
              <w:bottom w:w="0" w:type="dxa"/>
              <w:right w:w="108" w:type="dxa"/>
            </w:tcMar>
            <w:vAlign w:val="center"/>
          </w:tcPr>
          <w:p>
            <w:pPr>
              <w:jc w:val="center"/>
              <w:rPr>
                <w:szCs w:val="21"/>
              </w:rPr>
            </w:pPr>
            <w:r>
              <w:rPr>
                <w:szCs w:val="21"/>
              </w:rPr>
              <w:t>170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108" w:type="dxa"/>
            <w:bottom w:w="28" w:type="dxa"/>
            <w:right w:w="108" w:type="dxa"/>
          </w:tblCellMar>
        </w:tblPrEx>
        <w:trPr>
          <w:cantSplit/>
          <w:trHeight w:val="454" w:hRule="exact"/>
          <w:jc w:val="center"/>
        </w:trPr>
        <w:tc>
          <w:tcPr>
            <w:tcW w:w="1078" w:type="dxa"/>
            <w:tcBorders>
              <w:top w:val="single" w:color="auto" w:sz="4" w:space="0"/>
              <w:left w:val="single" w:color="auto" w:sz="12" w:space="0"/>
              <w:bottom w:val="single" w:color="auto" w:sz="4" w:space="0"/>
              <w:right w:val="single" w:color="auto" w:sz="4" w:space="0"/>
            </w:tcBorders>
            <w:noWrap w:val="0"/>
            <w:vAlign w:val="center"/>
          </w:tcPr>
          <w:p>
            <w:pPr>
              <w:jc w:val="center"/>
              <w:rPr>
                <w:szCs w:val="21"/>
              </w:rPr>
            </w:pPr>
            <w:r>
              <w:rPr>
                <w:szCs w:val="21"/>
              </w:rPr>
              <w:t>7</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铬</w:t>
            </w:r>
          </w:p>
        </w:tc>
        <w:tc>
          <w:tcPr>
            <w:tcW w:w="1168"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150</w:t>
            </w:r>
          </w:p>
        </w:tc>
        <w:tc>
          <w:tcPr>
            <w:tcW w:w="2117"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150</w:t>
            </w:r>
          </w:p>
        </w:tc>
        <w:tc>
          <w:tcPr>
            <w:tcW w:w="1987" w:type="dxa"/>
            <w:tcBorders>
              <w:top w:val="single" w:color="auto" w:sz="4" w:space="0"/>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jc w:val="center"/>
              <w:rPr>
                <w:szCs w:val="21"/>
              </w:rPr>
            </w:pPr>
            <w:r>
              <w:rPr>
                <w:szCs w:val="21"/>
              </w:rPr>
              <w:t>200</w:t>
            </w:r>
          </w:p>
        </w:tc>
        <w:tc>
          <w:tcPr>
            <w:tcW w:w="1134" w:type="dxa"/>
            <w:tcBorders>
              <w:top w:val="single" w:color="auto" w:sz="4" w:space="0"/>
              <w:left w:val="single" w:color="auto" w:sz="4" w:space="0"/>
              <w:bottom w:val="single" w:color="auto" w:sz="4" w:space="0"/>
              <w:right w:val="single" w:color="auto" w:sz="12" w:space="0"/>
            </w:tcBorders>
            <w:noWrap w:val="0"/>
            <w:tcMar>
              <w:top w:w="0" w:type="dxa"/>
              <w:left w:w="108" w:type="dxa"/>
              <w:bottom w:w="0" w:type="dxa"/>
              <w:right w:w="108" w:type="dxa"/>
            </w:tcMar>
            <w:vAlign w:val="center"/>
          </w:tcPr>
          <w:p>
            <w:pPr>
              <w:jc w:val="center"/>
              <w:rPr>
                <w:szCs w:val="21"/>
              </w:rPr>
            </w:pPr>
            <w:r>
              <w:rPr>
                <w:szCs w:val="21"/>
              </w:rPr>
              <w:t>250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108" w:type="dxa"/>
            <w:bottom w:w="28" w:type="dxa"/>
            <w:right w:w="108" w:type="dxa"/>
          </w:tblCellMar>
        </w:tblPrEx>
        <w:trPr>
          <w:cantSplit/>
          <w:trHeight w:val="454" w:hRule="exact"/>
          <w:jc w:val="center"/>
        </w:trPr>
        <w:tc>
          <w:tcPr>
            <w:tcW w:w="1078" w:type="dxa"/>
            <w:tcBorders>
              <w:top w:val="single" w:color="auto" w:sz="4" w:space="0"/>
              <w:left w:val="single" w:color="auto" w:sz="12" w:space="0"/>
              <w:bottom w:val="single" w:color="auto" w:sz="4" w:space="0"/>
              <w:right w:val="single" w:color="auto" w:sz="4" w:space="0"/>
            </w:tcBorders>
            <w:noWrap w:val="0"/>
            <w:vAlign w:val="center"/>
          </w:tcPr>
          <w:p>
            <w:pPr>
              <w:jc w:val="center"/>
              <w:rPr>
                <w:szCs w:val="21"/>
              </w:rPr>
            </w:pPr>
            <w:r>
              <w:rPr>
                <w:szCs w:val="21"/>
              </w:rPr>
              <w:t>8</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锌</w:t>
            </w:r>
          </w:p>
        </w:tc>
        <w:tc>
          <w:tcPr>
            <w:tcW w:w="1168"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200</w:t>
            </w:r>
          </w:p>
        </w:tc>
        <w:tc>
          <w:tcPr>
            <w:tcW w:w="2117" w:type="dxa"/>
            <w:tcBorders>
              <w:top w:val="single" w:color="auto" w:sz="4" w:space="0"/>
              <w:left w:val="single" w:color="auto" w:sz="4" w:space="0"/>
              <w:bottom w:val="single" w:color="auto" w:sz="4" w:space="0"/>
              <w:right w:val="single" w:color="auto" w:sz="4" w:space="0"/>
            </w:tcBorders>
            <w:noWrap w:val="0"/>
            <w:vAlign w:val="center"/>
          </w:tcPr>
          <w:p>
            <w:pPr>
              <w:jc w:val="center"/>
              <w:rPr>
                <w:szCs w:val="21"/>
              </w:rPr>
            </w:pPr>
            <w:r>
              <w:rPr>
                <w:szCs w:val="21"/>
              </w:rPr>
              <w:t>200</w:t>
            </w:r>
          </w:p>
        </w:tc>
        <w:tc>
          <w:tcPr>
            <w:tcW w:w="1987" w:type="dxa"/>
            <w:tcBorders>
              <w:top w:val="single" w:color="auto" w:sz="4" w:space="0"/>
              <w:left w:val="single" w:color="auto" w:sz="4" w:space="0"/>
              <w:bottom w:val="single" w:color="auto" w:sz="4" w:space="0"/>
              <w:right w:val="single" w:color="auto" w:sz="4" w:space="0"/>
            </w:tcBorders>
            <w:noWrap w:val="0"/>
            <w:tcMar>
              <w:top w:w="0" w:type="dxa"/>
              <w:left w:w="108" w:type="dxa"/>
              <w:bottom w:w="0" w:type="dxa"/>
              <w:right w:w="108" w:type="dxa"/>
            </w:tcMar>
            <w:vAlign w:val="center"/>
          </w:tcPr>
          <w:p>
            <w:pPr>
              <w:jc w:val="center"/>
              <w:rPr>
                <w:szCs w:val="21"/>
              </w:rPr>
            </w:pPr>
            <w:r>
              <w:rPr>
                <w:szCs w:val="21"/>
              </w:rPr>
              <w:t>250</w:t>
            </w:r>
          </w:p>
        </w:tc>
        <w:tc>
          <w:tcPr>
            <w:tcW w:w="1134" w:type="dxa"/>
            <w:tcBorders>
              <w:top w:val="single" w:color="auto" w:sz="4" w:space="0"/>
              <w:left w:val="single" w:color="auto" w:sz="4" w:space="0"/>
              <w:bottom w:val="single" w:color="auto" w:sz="4" w:space="0"/>
              <w:right w:val="single" w:color="auto" w:sz="12" w:space="0"/>
            </w:tcBorders>
            <w:noWrap w:val="0"/>
            <w:tcMar>
              <w:top w:w="0" w:type="dxa"/>
              <w:left w:w="108" w:type="dxa"/>
              <w:bottom w:w="0" w:type="dxa"/>
              <w:right w:w="108" w:type="dxa"/>
            </w:tcMar>
            <w:vAlign w:val="center"/>
          </w:tcPr>
          <w:p>
            <w:pPr>
              <w:jc w:val="center"/>
              <w:rPr>
                <w:szCs w:val="21"/>
              </w:rPr>
            </w:pPr>
            <w:r>
              <w:rPr>
                <w:szCs w:val="21"/>
              </w:rPr>
              <w:t>300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108" w:type="dxa"/>
            <w:bottom w:w="28" w:type="dxa"/>
            <w:right w:w="108" w:type="dxa"/>
          </w:tblCellMar>
        </w:tblPrEx>
        <w:trPr>
          <w:cantSplit/>
          <w:trHeight w:val="454" w:hRule="exact"/>
          <w:jc w:val="center"/>
        </w:trPr>
        <w:tc>
          <w:tcPr>
            <w:tcW w:w="1078" w:type="dxa"/>
            <w:tcBorders>
              <w:top w:val="single" w:color="auto" w:sz="4" w:space="0"/>
              <w:left w:val="single" w:color="auto" w:sz="12" w:space="0"/>
              <w:bottom w:val="single" w:color="auto" w:sz="12" w:space="0"/>
              <w:right w:val="single" w:color="auto" w:sz="4" w:space="0"/>
            </w:tcBorders>
            <w:noWrap w:val="0"/>
            <w:vAlign w:val="center"/>
          </w:tcPr>
          <w:p>
            <w:pPr>
              <w:jc w:val="center"/>
              <w:rPr>
                <w:szCs w:val="21"/>
              </w:rPr>
            </w:pPr>
            <w:r>
              <w:rPr>
                <w:szCs w:val="21"/>
              </w:rPr>
              <w:t>9</w:t>
            </w:r>
          </w:p>
        </w:tc>
        <w:tc>
          <w:tcPr>
            <w:tcW w:w="1417" w:type="dxa"/>
            <w:tcBorders>
              <w:top w:val="single" w:color="auto" w:sz="4" w:space="0"/>
              <w:left w:val="single" w:color="auto" w:sz="4" w:space="0"/>
              <w:bottom w:val="single" w:color="auto" w:sz="12" w:space="0"/>
              <w:right w:val="single" w:color="auto" w:sz="4" w:space="0"/>
            </w:tcBorders>
            <w:noWrap w:val="0"/>
            <w:vAlign w:val="center"/>
          </w:tcPr>
          <w:p>
            <w:pPr>
              <w:jc w:val="center"/>
              <w:rPr>
                <w:szCs w:val="21"/>
              </w:rPr>
            </w:pPr>
            <w:r>
              <w:rPr>
                <w:szCs w:val="21"/>
              </w:rPr>
              <w:t>镍</w:t>
            </w:r>
          </w:p>
        </w:tc>
        <w:tc>
          <w:tcPr>
            <w:tcW w:w="1168" w:type="dxa"/>
            <w:tcBorders>
              <w:top w:val="single" w:color="auto" w:sz="4" w:space="0"/>
              <w:left w:val="single" w:color="auto" w:sz="4" w:space="0"/>
              <w:bottom w:val="single" w:color="auto" w:sz="12" w:space="0"/>
              <w:right w:val="single" w:color="auto" w:sz="4" w:space="0"/>
            </w:tcBorders>
            <w:noWrap w:val="0"/>
            <w:vAlign w:val="center"/>
          </w:tcPr>
          <w:p>
            <w:pPr>
              <w:jc w:val="center"/>
              <w:rPr>
                <w:szCs w:val="21"/>
              </w:rPr>
            </w:pPr>
            <w:r>
              <w:rPr>
                <w:szCs w:val="21"/>
              </w:rPr>
              <w:t>60</w:t>
            </w:r>
          </w:p>
        </w:tc>
        <w:tc>
          <w:tcPr>
            <w:tcW w:w="2117" w:type="dxa"/>
            <w:tcBorders>
              <w:top w:val="single" w:color="auto" w:sz="4" w:space="0"/>
              <w:left w:val="single" w:color="auto" w:sz="4" w:space="0"/>
              <w:bottom w:val="single" w:color="auto" w:sz="12" w:space="0"/>
              <w:right w:val="single" w:color="auto" w:sz="4" w:space="0"/>
            </w:tcBorders>
            <w:noWrap w:val="0"/>
            <w:vAlign w:val="center"/>
          </w:tcPr>
          <w:p>
            <w:pPr>
              <w:jc w:val="center"/>
              <w:rPr>
                <w:szCs w:val="21"/>
              </w:rPr>
            </w:pPr>
            <w:r>
              <w:rPr>
                <w:szCs w:val="21"/>
              </w:rPr>
              <w:t>70</w:t>
            </w:r>
          </w:p>
        </w:tc>
        <w:tc>
          <w:tcPr>
            <w:tcW w:w="1987" w:type="dxa"/>
            <w:tcBorders>
              <w:top w:val="single" w:color="auto" w:sz="4" w:space="0"/>
              <w:left w:val="single" w:color="auto" w:sz="4" w:space="0"/>
              <w:bottom w:val="single" w:color="auto" w:sz="12" w:space="0"/>
              <w:right w:val="single" w:color="auto" w:sz="4" w:space="0"/>
            </w:tcBorders>
            <w:noWrap w:val="0"/>
            <w:tcMar>
              <w:top w:w="0" w:type="dxa"/>
              <w:left w:w="108" w:type="dxa"/>
              <w:bottom w:w="0" w:type="dxa"/>
              <w:right w:w="108" w:type="dxa"/>
            </w:tcMar>
            <w:vAlign w:val="center"/>
          </w:tcPr>
          <w:p>
            <w:pPr>
              <w:jc w:val="center"/>
              <w:rPr>
                <w:szCs w:val="21"/>
              </w:rPr>
            </w:pPr>
            <w:r>
              <w:rPr>
                <w:szCs w:val="21"/>
              </w:rPr>
              <w:t>100</w:t>
            </w:r>
          </w:p>
        </w:tc>
        <w:tc>
          <w:tcPr>
            <w:tcW w:w="1134" w:type="dxa"/>
            <w:tcBorders>
              <w:top w:val="single" w:color="auto" w:sz="4" w:space="0"/>
              <w:left w:val="single" w:color="auto" w:sz="4" w:space="0"/>
              <w:bottom w:val="single" w:color="auto" w:sz="12" w:space="0"/>
              <w:right w:val="single" w:color="auto" w:sz="12" w:space="0"/>
            </w:tcBorders>
            <w:noWrap w:val="0"/>
            <w:tcMar>
              <w:top w:w="0" w:type="dxa"/>
              <w:left w:w="108" w:type="dxa"/>
              <w:bottom w:w="0" w:type="dxa"/>
              <w:right w:w="108" w:type="dxa"/>
            </w:tcMar>
            <w:vAlign w:val="center"/>
          </w:tcPr>
          <w:p>
            <w:pPr>
              <w:jc w:val="center"/>
              <w:rPr>
                <w:szCs w:val="21"/>
              </w:rPr>
            </w:pPr>
            <w:r>
              <w:rPr>
                <w:szCs w:val="21"/>
              </w:rPr>
              <w:t>190</w:t>
            </w:r>
          </w:p>
        </w:tc>
      </w:tr>
    </w:tbl>
    <w:p>
      <w:pPr>
        <w:spacing w:line="500" w:lineRule="exact"/>
        <w:rPr>
          <w:b/>
          <w:sz w:val="24"/>
        </w:rPr>
      </w:pPr>
      <w:bookmarkStart w:id="369" w:name="_Toc406663018"/>
      <w:bookmarkStart w:id="370" w:name="_Toc413829651"/>
      <w:r>
        <w:rPr>
          <w:b/>
          <w:sz w:val="24"/>
        </w:rPr>
        <w:t>3.3.5.3监测统计及评价结果</w:t>
      </w:r>
      <w:bookmarkEnd w:id="369"/>
      <w:bookmarkEnd w:id="370"/>
    </w:p>
    <w:p>
      <w:pPr>
        <w:autoSpaceDE w:val="0"/>
        <w:autoSpaceDN w:val="0"/>
        <w:adjustRightInd w:val="0"/>
        <w:spacing w:line="500" w:lineRule="exact"/>
        <w:ind w:firstLine="424" w:firstLineChars="177"/>
        <w:jc w:val="left"/>
        <w:rPr>
          <w:bCs/>
          <w:sz w:val="24"/>
        </w:rPr>
      </w:pPr>
      <w:r>
        <w:rPr>
          <w:bCs/>
          <w:sz w:val="24"/>
        </w:rPr>
        <w:t>土壤环境现状监测统计及评价结果见表3.3-17。</w:t>
      </w:r>
    </w:p>
    <w:p>
      <w:pPr>
        <w:spacing w:after="72" w:afterLines="30" w:line="500" w:lineRule="exact"/>
        <w:jc w:val="center"/>
        <w:rPr>
          <w:b/>
          <w:sz w:val="24"/>
        </w:rPr>
      </w:pPr>
    </w:p>
    <w:p>
      <w:pPr>
        <w:spacing w:after="72" w:afterLines="30" w:line="500" w:lineRule="exact"/>
        <w:jc w:val="center"/>
        <w:rPr>
          <w:b/>
          <w:sz w:val="24"/>
        </w:rPr>
      </w:pPr>
    </w:p>
    <w:p>
      <w:pPr>
        <w:spacing w:after="72" w:afterLines="30" w:line="500" w:lineRule="exact"/>
        <w:jc w:val="center"/>
        <w:rPr>
          <w:b/>
          <w:sz w:val="24"/>
        </w:rPr>
      </w:pPr>
    </w:p>
    <w:p>
      <w:pPr>
        <w:spacing w:after="72" w:afterLines="30" w:line="500" w:lineRule="exact"/>
        <w:jc w:val="center"/>
        <w:rPr>
          <w:b/>
          <w:sz w:val="24"/>
        </w:rPr>
      </w:pPr>
      <w:r>
        <w:rPr>
          <w:b/>
          <w:sz w:val="24"/>
        </w:rPr>
        <w:t xml:space="preserve">表3.3-17     土壤环境现状监测统计及评价结果表   </w:t>
      </w:r>
      <w:r>
        <w:rPr>
          <w:b/>
          <w:szCs w:val="21"/>
        </w:rPr>
        <w:t>单位：mg/kg,pH除外</w:t>
      </w:r>
    </w:p>
    <w:tbl>
      <w:tblPr>
        <w:tblStyle w:val="17"/>
        <w:tblW w:w="4906"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59"/>
        <w:gridCol w:w="1345"/>
        <w:gridCol w:w="831"/>
        <w:gridCol w:w="556"/>
        <w:gridCol w:w="686"/>
        <w:gridCol w:w="671"/>
        <w:gridCol w:w="732"/>
        <w:gridCol w:w="625"/>
        <w:gridCol w:w="625"/>
        <w:gridCol w:w="625"/>
        <w:gridCol w:w="625"/>
        <w:gridCol w:w="6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436" w:type="pct"/>
            <w:vMerge w:val="restart"/>
            <w:noWrap w:val="0"/>
            <w:vAlign w:val="center"/>
          </w:tcPr>
          <w:p>
            <w:pPr>
              <w:contextualSpacing/>
              <w:jc w:val="center"/>
              <w:rPr>
                <w:b/>
                <w:bCs/>
                <w:szCs w:val="21"/>
              </w:rPr>
            </w:pPr>
          </w:p>
          <w:p>
            <w:pPr>
              <w:contextualSpacing/>
              <w:jc w:val="center"/>
              <w:rPr>
                <w:rFonts w:hint="eastAsia"/>
                <w:b/>
                <w:bCs/>
                <w:szCs w:val="21"/>
              </w:rPr>
            </w:pPr>
            <w:r>
              <w:rPr>
                <w:rFonts w:hint="eastAsia"/>
                <w:b/>
                <w:bCs/>
                <w:szCs w:val="21"/>
              </w:rPr>
              <w:t>检测</w:t>
            </w:r>
            <w:r>
              <w:rPr>
                <w:b/>
                <w:bCs/>
                <w:szCs w:val="21"/>
              </w:rPr>
              <w:t>点位</w:t>
            </w:r>
          </w:p>
        </w:tc>
        <w:tc>
          <w:tcPr>
            <w:tcW w:w="772" w:type="pct"/>
            <w:vMerge w:val="restart"/>
            <w:noWrap w:val="0"/>
            <w:tcMar>
              <w:top w:w="0" w:type="dxa"/>
              <w:left w:w="28" w:type="dxa"/>
              <w:bottom w:w="0" w:type="dxa"/>
              <w:right w:w="28" w:type="dxa"/>
            </w:tcMar>
            <w:vAlign w:val="center"/>
          </w:tcPr>
          <w:p>
            <w:pPr>
              <w:contextualSpacing/>
              <w:jc w:val="center"/>
              <w:rPr>
                <w:b/>
                <w:bCs/>
                <w:szCs w:val="21"/>
              </w:rPr>
            </w:pPr>
            <w:r>
              <w:rPr>
                <w:b/>
                <w:bCs/>
                <w:szCs w:val="21"/>
              </w:rPr>
              <w:t>监测内容</w:t>
            </w:r>
          </w:p>
        </w:tc>
        <w:tc>
          <w:tcPr>
            <w:tcW w:w="477" w:type="pct"/>
            <w:noWrap w:val="0"/>
            <w:tcMar>
              <w:top w:w="0" w:type="dxa"/>
              <w:left w:w="28" w:type="dxa"/>
              <w:bottom w:w="0" w:type="dxa"/>
              <w:right w:w="28" w:type="dxa"/>
            </w:tcMar>
            <w:vAlign w:val="center"/>
          </w:tcPr>
          <w:p>
            <w:pPr>
              <w:contextualSpacing/>
              <w:jc w:val="center"/>
              <w:rPr>
                <w:b/>
                <w:bCs/>
                <w:szCs w:val="21"/>
              </w:rPr>
            </w:pPr>
            <w:r>
              <w:rPr>
                <w:b/>
                <w:bCs/>
                <w:szCs w:val="21"/>
              </w:rPr>
              <w:t>项目</w:t>
            </w:r>
          </w:p>
        </w:tc>
        <w:tc>
          <w:tcPr>
            <w:tcW w:w="319" w:type="pct"/>
            <w:noWrap w:val="0"/>
            <w:tcMar>
              <w:top w:w="0" w:type="dxa"/>
              <w:left w:w="28" w:type="dxa"/>
              <w:bottom w:w="0" w:type="dxa"/>
              <w:right w:w="28" w:type="dxa"/>
            </w:tcMar>
            <w:vAlign w:val="center"/>
          </w:tcPr>
          <w:p>
            <w:pPr>
              <w:contextualSpacing/>
              <w:jc w:val="center"/>
              <w:rPr>
                <w:b/>
                <w:bCs/>
                <w:szCs w:val="21"/>
              </w:rPr>
            </w:pPr>
            <w:r>
              <w:rPr>
                <w:b/>
                <w:bCs/>
                <w:szCs w:val="21"/>
              </w:rPr>
              <w:t>pH</w:t>
            </w:r>
          </w:p>
        </w:tc>
        <w:tc>
          <w:tcPr>
            <w:tcW w:w="394" w:type="pct"/>
            <w:noWrap w:val="0"/>
            <w:tcMar>
              <w:top w:w="0" w:type="dxa"/>
              <w:left w:w="28" w:type="dxa"/>
              <w:bottom w:w="0" w:type="dxa"/>
              <w:right w:w="28" w:type="dxa"/>
            </w:tcMar>
            <w:vAlign w:val="center"/>
          </w:tcPr>
          <w:p>
            <w:pPr>
              <w:contextualSpacing/>
              <w:jc w:val="center"/>
              <w:rPr>
                <w:b/>
                <w:bCs/>
                <w:szCs w:val="21"/>
              </w:rPr>
            </w:pPr>
            <w:r>
              <w:rPr>
                <w:b/>
                <w:bCs/>
                <w:szCs w:val="21"/>
              </w:rPr>
              <w:t>镉</w:t>
            </w:r>
          </w:p>
        </w:tc>
        <w:tc>
          <w:tcPr>
            <w:tcW w:w="385" w:type="pct"/>
            <w:noWrap w:val="0"/>
            <w:tcMar>
              <w:top w:w="0" w:type="dxa"/>
              <w:left w:w="28" w:type="dxa"/>
              <w:bottom w:w="0" w:type="dxa"/>
              <w:right w:w="28" w:type="dxa"/>
            </w:tcMar>
            <w:vAlign w:val="center"/>
          </w:tcPr>
          <w:p>
            <w:pPr>
              <w:contextualSpacing/>
              <w:jc w:val="center"/>
              <w:rPr>
                <w:b/>
                <w:bCs/>
                <w:szCs w:val="21"/>
              </w:rPr>
            </w:pPr>
            <w:r>
              <w:rPr>
                <w:b/>
                <w:bCs/>
                <w:szCs w:val="21"/>
              </w:rPr>
              <w:t>铬</w:t>
            </w:r>
          </w:p>
        </w:tc>
        <w:tc>
          <w:tcPr>
            <w:tcW w:w="420" w:type="pct"/>
            <w:noWrap w:val="0"/>
            <w:tcMar>
              <w:top w:w="0" w:type="dxa"/>
              <w:left w:w="28" w:type="dxa"/>
              <w:bottom w:w="0" w:type="dxa"/>
              <w:right w:w="28" w:type="dxa"/>
            </w:tcMar>
            <w:vAlign w:val="center"/>
          </w:tcPr>
          <w:p>
            <w:pPr>
              <w:contextualSpacing/>
              <w:jc w:val="center"/>
              <w:rPr>
                <w:b/>
                <w:bCs/>
                <w:szCs w:val="21"/>
              </w:rPr>
            </w:pPr>
            <w:r>
              <w:rPr>
                <w:b/>
                <w:bCs/>
                <w:szCs w:val="21"/>
              </w:rPr>
              <w:t>汞</w:t>
            </w:r>
          </w:p>
        </w:tc>
        <w:tc>
          <w:tcPr>
            <w:tcW w:w="359" w:type="pct"/>
            <w:noWrap w:val="0"/>
            <w:tcMar>
              <w:top w:w="0" w:type="dxa"/>
              <w:left w:w="28" w:type="dxa"/>
              <w:bottom w:w="0" w:type="dxa"/>
              <w:right w:w="28" w:type="dxa"/>
            </w:tcMar>
            <w:vAlign w:val="center"/>
          </w:tcPr>
          <w:p>
            <w:pPr>
              <w:contextualSpacing/>
              <w:jc w:val="center"/>
              <w:rPr>
                <w:b/>
                <w:bCs/>
                <w:szCs w:val="21"/>
              </w:rPr>
            </w:pPr>
            <w:r>
              <w:rPr>
                <w:b/>
                <w:bCs/>
                <w:szCs w:val="21"/>
              </w:rPr>
              <w:t>砷</w:t>
            </w:r>
          </w:p>
        </w:tc>
        <w:tc>
          <w:tcPr>
            <w:tcW w:w="359" w:type="pct"/>
            <w:noWrap w:val="0"/>
            <w:tcMar>
              <w:top w:w="0" w:type="dxa"/>
              <w:left w:w="28" w:type="dxa"/>
              <w:bottom w:w="0" w:type="dxa"/>
              <w:right w:w="28" w:type="dxa"/>
            </w:tcMar>
            <w:vAlign w:val="center"/>
          </w:tcPr>
          <w:p>
            <w:pPr>
              <w:contextualSpacing/>
              <w:jc w:val="center"/>
              <w:rPr>
                <w:b/>
                <w:bCs/>
                <w:szCs w:val="21"/>
              </w:rPr>
            </w:pPr>
            <w:r>
              <w:rPr>
                <w:b/>
                <w:bCs/>
                <w:szCs w:val="21"/>
              </w:rPr>
              <w:t>铅</w:t>
            </w:r>
          </w:p>
        </w:tc>
        <w:tc>
          <w:tcPr>
            <w:tcW w:w="359" w:type="pct"/>
            <w:noWrap w:val="0"/>
            <w:tcMar>
              <w:top w:w="0" w:type="dxa"/>
              <w:left w:w="28" w:type="dxa"/>
              <w:bottom w:w="0" w:type="dxa"/>
              <w:right w:w="28" w:type="dxa"/>
            </w:tcMar>
            <w:vAlign w:val="center"/>
          </w:tcPr>
          <w:p>
            <w:pPr>
              <w:contextualSpacing/>
              <w:jc w:val="center"/>
              <w:rPr>
                <w:b/>
                <w:bCs/>
                <w:szCs w:val="21"/>
              </w:rPr>
            </w:pPr>
            <w:r>
              <w:rPr>
                <w:b/>
                <w:bCs/>
                <w:szCs w:val="21"/>
              </w:rPr>
              <w:t>铜</w:t>
            </w:r>
          </w:p>
        </w:tc>
        <w:tc>
          <w:tcPr>
            <w:tcW w:w="359" w:type="pct"/>
            <w:noWrap w:val="0"/>
            <w:tcMar>
              <w:top w:w="0" w:type="dxa"/>
              <w:left w:w="28" w:type="dxa"/>
              <w:bottom w:w="0" w:type="dxa"/>
              <w:right w:w="28" w:type="dxa"/>
            </w:tcMar>
            <w:vAlign w:val="center"/>
          </w:tcPr>
          <w:p>
            <w:pPr>
              <w:contextualSpacing/>
              <w:jc w:val="center"/>
              <w:rPr>
                <w:b/>
                <w:bCs/>
                <w:szCs w:val="21"/>
              </w:rPr>
            </w:pPr>
            <w:r>
              <w:rPr>
                <w:b/>
                <w:bCs/>
                <w:szCs w:val="21"/>
              </w:rPr>
              <w:t>锌</w:t>
            </w:r>
          </w:p>
        </w:tc>
        <w:tc>
          <w:tcPr>
            <w:tcW w:w="355" w:type="pct"/>
            <w:noWrap w:val="0"/>
            <w:tcMar>
              <w:top w:w="0" w:type="dxa"/>
              <w:left w:w="28" w:type="dxa"/>
              <w:bottom w:w="0" w:type="dxa"/>
              <w:right w:w="28" w:type="dxa"/>
            </w:tcMar>
            <w:vAlign w:val="center"/>
          </w:tcPr>
          <w:p>
            <w:pPr>
              <w:contextualSpacing/>
              <w:jc w:val="center"/>
              <w:rPr>
                <w:b/>
                <w:bCs/>
                <w:szCs w:val="21"/>
              </w:rPr>
            </w:pPr>
            <w:r>
              <w:rPr>
                <w:b/>
                <w:bCs/>
                <w:szCs w:val="21"/>
              </w:rPr>
              <w:t>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tblHeader/>
          <w:jc w:val="center"/>
        </w:trPr>
        <w:tc>
          <w:tcPr>
            <w:tcW w:w="436" w:type="pct"/>
            <w:vMerge w:val="continue"/>
            <w:noWrap w:val="0"/>
            <w:vAlign w:val="center"/>
          </w:tcPr>
          <w:p>
            <w:pPr>
              <w:contextualSpacing/>
              <w:jc w:val="center"/>
              <w:rPr>
                <w:szCs w:val="21"/>
              </w:rPr>
            </w:pPr>
          </w:p>
        </w:tc>
        <w:tc>
          <w:tcPr>
            <w:tcW w:w="772" w:type="pct"/>
            <w:vMerge w:val="continue"/>
            <w:noWrap w:val="0"/>
            <w:tcMar>
              <w:top w:w="0" w:type="dxa"/>
              <w:left w:w="28" w:type="dxa"/>
              <w:bottom w:w="0" w:type="dxa"/>
              <w:right w:w="28" w:type="dxa"/>
            </w:tcMar>
            <w:vAlign w:val="center"/>
          </w:tcPr>
          <w:p>
            <w:pPr>
              <w:contextualSpacing/>
              <w:jc w:val="center"/>
              <w:rPr>
                <w:szCs w:val="21"/>
              </w:rPr>
            </w:pPr>
          </w:p>
        </w:tc>
        <w:tc>
          <w:tcPr>
            <w:tcW w:w="477" w:type="pct"/>
            <w:noWrap w:val="0"/>
            <w:tcMar>
              <w:top w:w="0" w:type="dxa"/>
              <w:left w:w="28" w:type="dxa"/>
              <w:bottom w:w="0" w:type="dxa"/>
              <w:right w:w="28" w:type="dxa"/>
            </w:tcMar>
            <w:vAlign w:val="center"/>
          </w:tcPr>
          <w:p>
            <w:pPr>
              <w:contextualSpacing/>
              <w:jc w:val="center"/>
              <w:rPr>
                <w:szCs w:val="21"/>
              </w:rPr>
            </w:pPr>
            <w:r>
              <w:rPr>
                <w:szCs w:val="21"/>
              </w:rPr>
              <w:t>标准</w:t>
            </w:r>
          </w:p>
        </w:tc>
        <w:tc>
          <w:tcPr>
            <w:tcW w:w="319" w:type="pct"/>
            <w:noWrap w:val="0"/>
            <w:tcMar>
              <w:top w:w="0" w:type="dxa"/>
              <w:left w:w="28" w:type="dxa"/>
              <w:bottom w:w="0" w:type="dxa"/>
              <w:right w:w="28" w:type="dxa"/>
            </w:tcMar>
            <w:vAlign w:val="center"/>
          </w:tcPr>
          <w:p>
            <w:pPr>
              <w:contextualSpacing/>
              <w:jc w:val="center"/>
              <w:rPr>
                <w:szCs w:val="21"/>
              </w:rPr>
            </w:pPr>
            <w:r>
              <w:rPr>
                <w:rFonts w:hint="eastAsia"/>
                <w:szCs w:val="21"/>
              </w:rPr>
              <w:t>＞</w:t>
            </w:r>
            <w:r>
              <w:rPr>
                <w:szCs w:val="21"/>
              </w:rPr>
              <w:t>7.5</w:t>
            </w:r>
          </w:p>
        </w:tc>
        <w:tc>
          <w:tcPr>
            <w:tcW w:w="394" w:type="pct"/>
            <w:noWrap w:val="0"/>
            <w:tcMar>
              <w:top w:w="0" w:type="dxa"/>
              <w:left w:w="28" w:type="dxa"/>
              <w:bottom w:w="0" w:type="dxa"/>
              <w:right w:w="28" w:type="dxa"/>
            </w:tcMar>
            <w:vAlign w:val="center"/>
          </w:tcPr>
          <w:p>
            <w:pPr>
              <w:contextualSpacing/>
              <w:jc w:val="center"/>
              <w:rPr>
                <w:szCs w:val="21"/>
              </w:rPr>
            </w:pPr>
            <w:r>
              <w:rPr>
                <w:szCs w:val="21"/>
              </w:rPr>
              <w:t>≤0.6</w:t>
            </w:r>
          </w:p>
        </w:tc>
        <w:tc>
          <w:tcPr>
            <w:tcW w:w="385" w:type="pct"/>
            <w:noWrap w:val="0"/>
            <w:tcMar>
              <w:top w:w="0" w:type="dxa"/>
              <w:left w:w="28" w:type="dxa"/>
              <w:bottom w:w="0" w:type="dxa"/>
              <w:right w:w="28" w:type="dxa"/>
            </w:tcMar>
            <w:vAlign w:val="center"/>
          </w:tcPr>
          <w:p>
            <w:pPr>
              <w:contextualSpacing/>
              <w:jc w:val="center"/>
              <w:rPr>
                <w:szCs w:val="21"/>
              </w:rPr>
            </w:pPr>
            <w:r>
              <w:rPr>
                <w:szCs w:val="21"/>
              </w:rPr>
              <w:t>≤250</w:t>
            </w:r>
          </w:p>
        </w:tc>
        <w:tc>
          <w:tcPr>
            <w:tcW w:w="420" w:type="pct"/>
            <w:noWrap w:val="0"/>
            <w:tcMar>
              <w:top w:w="0" w:type="dxa"/>
              <w:left w:w="28" w:type="dxa"/>
              <w:bottom w:w="0" w:type="dxa"/>
              <w:right w:w="28" w:type="dxa"/>
            </w:tcMar>
            <w:vAlign w:val="center"/>
          </w:tcPr>
          <w:p>
            <w:pPr>
              <w:contextualSpacing/>
              <w:jc w:val="center"/>
              <w:rPr>
                <w:szCs w:val="21"/>
              </w:rPr>
            </w:pPr>
            <w:r>
              <w:rPr>
                <w:szCs w:val="21"/>
              </w:rPr>
              <w:t>≤1.0</w:t>
            </w:r>
          </w:p>
        </w:tc>
        <w:tc>
          <w:tcPr>
            <w:tcW w:w="359" w:type="pct"/>
            <w:noWrap w:val="0"/>
            <w:tcMar>
              <w:top w:w="0" w:type="dxa"/>
              <w:left w:w="28" w:type="dxa"/>
              <w:bottom w:w="0" w:type="dxa"/>
              <w:right w:w="28" w:type="dxa"/>
            </w:tcMar>
            <w:vAlign w:val="center"/>
          </w:tcPr>
          <w:p>
            <w:pPr>
              <w:contextualSpacing/>
              <w:jc w:val="center"/>
              <w:rPr>
                <w:szCs w:val="21"/>
              </w:rPr>
            </w:pPr>
            <w:r>
              <w:rPr>
                <w:szCs w:val="21"/>
              </w:rPr>
              <w:t>≤25</w:t>
            </w:r>
          </w:p>
        </w:tc>
        <w:tc>
          <w:tcPr>
            <w:tcW w:w="359" w:type="pct"/>
            <w:noWrap w:val="0"/>
            <w:tcMar>
              <w:top w:w="0" w:type="dxa"/>
              <w:left w:w="28" w:type="dxa"/>
              <w:bottom w:w="0" w:type="dxa"/>
              <w:right w:w="28" w:type="dxa"/>
            </w:tcMar>
            <w:vAlign w:val="center"/>
          </w:tcPr>
          <w:p>
            <w:pPr>
              <w:contextualSpacing/>
              <w:jc w:val="center"/>
              <w:rPr>
                <w:szCs w:val="21"/>
              </w:rPr>
            </w:pPr>
            <w:r>
              <w:rPr>
                <w:szCs w:val="21"/>
              </w:rPr>
              <w:t>≤170</w:t>
            </w:r>
          </w:p>
        </w:tc>
        <w:tc>
          <w:tcPr>
            <w:tcW w:w="359" w:type="pct"/>
            <w:noWrap w:val="0"/>
            <w:tcMar>
              <w:top w:w="0" w:type="dxa"/>
              <w:left w:w="28" w:type="dxa"/>
              <w:bottom w:w="0" w:type="dxa"/>
              <w:right w:w="28" w:type="dxa"/>
            </w:tcMar>
            <w:vAlign w:val="center"/>
          </w:tcPr>
          <w:p>
            <w:pPr>
              <w:contextualSpacing/>
              <w:jc w:val="center"/>
              <w:rPr>
                <w:szCs w:val="21"/>
              </w:rPr>
            </w:pPr>
            <w:r>
              <w:rPr>
                <w:szCs w:val="21"/>
              </w:rPr>
              <w:t>≤100</w:t>
            </w:r>
          </w:p>
        </w:tc>
        <w:tc>
          <w:tcPr>
            <w:tcW w:w="359" w:type="pct"/>
            <w:noWrap w:val="0"/>
            <w:tcMar>
              <w:top w:w="0" w:type="dxa"/>
              <w:left w:w="28" w:type="dxa"/>
              <w:bottom w:w="0" w:type="dxa"/>
              <w:right w:w="28" w:type="dxa"/>
            </w:tcMar>
            <w:vAlign w:val="center"/>
          </w:tcPr>
          <w:p>
            <w:pPr>
              <w:contextualSpacing/>
              <w:jc w:val="center"/>
              <w:rPr>
                <w:szCs w:val="21"/>
              </w:rPr>
            </w:pPr>
            <w:r>
              <w:rPr>
                <w:szCs w:val="21"/>
              </w:rPr>
              <w:t>≤300</w:t>
            </w:r>
          </w:p>
        </w:tc>
        <w:tc>
          <w:tcPr>
            <w:tcW w:w="355" w:type="pct"/>
            <w:noWrap w:val="0"/>
            <w:tcMar>
              <w:top w:w="0" w:type="dxa"/>
              <w:left w:w="28" w:type="dxa"/>
              <w:bottom w:w="0" w:type="dxa"/>
              <w:right w:w="28" w:type="dxa"/>
            </w:tcMar>
            <w:vAlign w:val="center"/>
          </w:tcPr>
          <w:p>
            <w:pPr>
              <w:contextualSpacing/>
              <w:jc w:val="center"/>
              <w:rPr>
                <w:szCs w:val="21"/>
              </w:rPr>
            </w:pPr>
            <w:r>
              <w:rPr>
                <w:szCs w:val="21"/>
              </w:rPr>
              <w:t>≤190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6" w:type="pct"/>
            <w:vMerge w:val="restart"/>
            <w:noWrap w:val="0"/>
            <w:vAlign w:val="center"/>
          </w:tcPr>
          <w:p>
            <w:pPr>
              <w:ind w:left="-105" w:leftChars="-50" w:right="-105" w:rightChars="-50"/>
              <w:contextualSpacing/>
              <w:jc w:val="center"/>
              <w:rPr>
                <w:szCs w:val="21"/>
              </w:rPr>
            </w:pPr>
            <w:r>
              <w:rPr>
                <w:rFonts w:hint="eastAsia"/>
                <w:szCs w:val="21"/>
              </w:rPr>
              <w:t>1#项目厂区内西部</w:t>
            </w:r>
          </w:p>
        </w:tc>
        <w:tc>
          <w:tcPr>
            <w:tcW w:w="772" w:type="pct"/>
            <w:vMerge w:val="restart"/>
            <w:noWrap w:val="0"/>
            <w:tcMar>
              <w:top w:w="0" w:type="dxa"/>
              <w:left w:w="28" w:type="dxa"/>
              <w:bottom w:w="0" w:type="dxa"/>
              <w:right w:w="28" w:type="dxa"/>
            </w:tcMar>
            <w:vAlign w:val="center"/>
          </w:tcPr>
          <w:p>
            <w:pPr>
              <w:ind w:left="-105" w:leftChars="-50" w:right="-105" w:rightChars="-50"/>
              <w:contextualSpacing/>
              <w:jc w:val="center"/>
              <w:rPr>
                <w:szCs w:val="21"/>
              </w:rPr>
            </w:pPr>
            <w:r>
              <w:rPr>
                <w:szCs w:val="21"/>
              </w:rPr>
              <w:t>0-</w:t>
            </w:r>
            <w:r>
              <w:rPr>
                <w:rFonts w:hint="eastAsia"/>
                <w:szCs w:val="21"/>
              </w:rPr>
              <w:t>0.2</w:t>
            </w:r>
            <w:r>
              <w:rPr>
                <w:szCs w:val="21"/>
              </w:rPr>
              <w:t>m土壤</w:t>
            </w:r>
          </w:p>
        </w:tc>
        <w:tc>
          <w:tcPr>
            <w:tcW w:w="477" w:type="pct"/>
            <w:noWrap w:val="0"/>
            <w:tcMar>
              <w:top w:w="0" w:type="dxa"/>
              <w:left w:w="28" w:type="dxa"/>
              <w:bottom w:w="0" w:type="dxa"/>
              <w:right w:w="28" w:type="dxa"/>
            </w:tcMar>
            <w:vAlign w:val="center"/>
          </w:tcPr>
          <w:p>
            <w:pPr>
              <w:ind w:left="-105" w:leftChars="-50" w:right="-105" w:rightChars="-50"/>
              <w:contextualSpacing/>
              <w:jc w:val="center"/>
              <w:rPr>
                <w:szCs w:val="21"/>
              </w:rPr>
            </w:pPr>
            <w:r>
              <w:rPr>
                <w:szCs w:val="21"/>
              </w:rPr>
              <w:t>监测值</w:t>
            </w:r>
          </w:p>
        </w:tc>
        <w:tc>
          <w:tcPr>
            <w:tcW w:w="319" w:type="pct"/>
            <w:noWrap w:val="0"/>
            <w:tcMar>
              <w:top w:w="0" w:type="dxa"/>
              <w:left w:w="28" w:type="dxa"/>
              <w:bottom w:w="0" w:type="dxa"/>
              <w:right w:w="28" w:type="dxa"/>
            </w:tcMar>
            <w:vAlign w:val="center"/>
          </w:tcPr>
          <w:p>
            <w:pPr>
              <w:jc w:val="center"/>
              <w:rPr>
                <w:rFonts w:hint="default" w:eastAsia="宋体"/>
                <w:szCs w:val="21"/>
                <w:lang w:val="en-US" w:eastAsia="zh-CN" w:bidi="ar"/>
              </w:rPr>
            </w:pPr>
            <w:r>
              <w:rPr>
                <w:rFonts w:hint="eastAsia"/>
                <w:szCs w:val="21"/>
                <w:lang w:val="en-US" w:eastAsia="zh-CN" w:bidi="ar"/>
              </w:rPr>
              <w:t>7.09</w:t>
            </w:r>
          </w:p>
        </w:tc>
        <w:tc>
          <w:tcPr>
            <w:tcW w:w="394" w:type="pct"/>
            <w:noWrap w:val="0"/>
            <w:tcMar>
              <w:top w:w="0" w:type="dxa"/>
              <w:left w:w="28" w:type="dxa"/>
              <w:bottom w:w="0" w:type="dxa"/>
              <w:right w:w="28" w:type="dxa"/>
            </w:tcMar>
            <w:vAlign w:val="center"/>
          </w:tcPr>
          <w:p>
            <w:pPr>
              <w:jc w:val="center"/>
              <w:textAlignment w:val="center"/>
              <w:rPr>
                <w:rFonts w:hint="default" w:eastAsia="宋体"/>
                <w:szCs w:val="21"/>
                <w:lang w:val="en-US" w:eastAsia="zh-CN"/>
              </w:rPr>
            </w:pPr>
            <w:r>
              <w:rPr>
                <w:rFonts w:hint="eastAsia"/>
                <w:szCs w:val="21"/>
                <w:lang w:val="en-US" w:eastAsia="zh-CN"/>
              </w:rPr>
              <w:t>0.07</w:t>
            </w:r>
          </w:p>
        </w:tc>
        <w:tc>
          <w:tcPr>
            <w:tcW w:w="385" w:type="pct"/>
            <w:noWrap w:val="0"/>
            <w:tcMar>
              <w:top w:w="0" w:type="dxa"/>
              <w:left w:w="28" w:type="dxa"/>
              <w:bottom w:w="0" w:type="dxa"/>
              <w:right w:w="28" w:type="dxa"/>
            </w:tcMar>
            <w:vAlign w:val="center"/>
          </w:tcPr>
          <w:p>
            <w:pPr>
              <w:jc w:val="center"/>
              <w:textAlignment w:val="center"/>
              <w:rPr>
                <w:rFonts w:hint="default" w:eastAsia="宋体"/>
                <w:szCs w:val="21"/>
                <w:lang w:val="en-US" w:eastAsia="zh-CN" w:bidi="ar"/>
              </w:rPr>
            </w:pPr>
            <w:r>
              <w:rPr>
                <w:rFonts w:hint="eastAsia"/>
                <w:szCs w:val="21"/>
                <w:lang w:val="en-US" w:eastAsia="zh-CN" w:bidi="ar"/>
              </w:rPr>
              <w:t>24.1</w:t>
            </w:r>
          </w:p>
        </w:tc>
        <w:tc>
          <w:tcPr>
            <w:tcW w:w="420" w:type="pct"/>
            <w:noWrap w:val="0"/>
            <w:tcMar>
              <w:top w:w="0" w:type="dxa"/>
              <w:left w:w="28" w:type="dxa"/>
              <w:bottom w:w="0" w:type="dxa"/>
              <w:right w:w="28" w:type="dxa"/>
            </w:tcMar>
            <w:vAlign w:val="center"/>
          </w:tcPr>
          <w:p>
            <w:pPr>
              <w:jc w:val="center"/>
              <w:textAlignment w:val="center"/>
              <w:rPr>
                <w:rFonts w:hint="default" w:eastAsia="宋体"/>
                <w:szCs w:val="21"/>
                <w:lang w:val="en-US" w:eastAsia="zh-CN"/>
              </w:rPr>
            </w:pPr>
            <w:r>
              <w:rPr>
                <w:rFonts w:hint="eastAsia"/>
                <w:szCs w:val="21"/>
                <w:lang w:val="en-US" w:eastAsia="zh-CN"/>
              </w:rPr>
              <w:t>0.068</w:t>
            </w:r>
          </w:p>
        </w:tc>
        <w:tc>
          <w:tcPr>
            <w:tcW w:w="359" w:type="pct"/>
            <w:noWrap w:val="0"/>
            <w:tcMar>
              <w:top w:w="0" w:type="dxa"/>
              <w:left w:w="28" w:type="dxa"/>
              <w:bottom w:w="0" w:type="dxa"/>
              <w:right w:w="28" w:type="dxa"/>
            </w:tcMar>
            <w:vAlign w:val="center"/>
          </w:tcPr>
          <w:p>
            <w:pPr>
              <w:jc w:val="center"/>
              <w:textAlignment w:val="center"/>
              <w:rPr>
                <w:rFonts w:hint="default" w:eastAsia="宋体"/>
                <w:szCs w:val="21"/>
                <w:lang w:val="en-US" w:eastAsia="zh-CN"/>
              </w:rPr>
            </w:pPr>
            <w:r>
              <w:rPr>
                <w:rFonts w:hint="eastAsia"/>
                <w:szCs w:val="21"/>
                <w:lang w:val="en-US" w:eastAsia="zh-CN"/>
              </w:rPr>
              <w:t>13.4</w:t>
            </w:r>
          </w:p>
        </w:tc>
        <w:tc>
          <w:tcPr>
            <w:tcW w:w="359" w:type="pct"/>
            <w:noWrap w:val="0"/>
            <w:tcMar>
              <w:top w:w="0" w:type="dxa"/>
              <w:left w:w="28" w:type="dxa"/>
              <w:bottom w:w="0" w:type="dxa"/>
              <w:right w:w="28" w:type="dxa"/>
            </w:tcMar>
            <w:vAlign w:val="center"/>
          </w:tcPr>
          <w:p>
            <w:pPr>
              <w:jc w:val="center"/>
              <w:rPr>
                <w:rFonts w:hint="default" w:eastAsia="宋体"/>
                <w:szCs w:val="21"/>
                <w:lang w:val="en-US" w:eastAsia="zh-CN"/>
              </w:rPr>
            </w:pPr>
            <w:r>
              <w:rPr>
                <w:rFonts w:hint="eastAsia"/>
                <w:szCs w:val="21"/>
                <w:lang w:val="en-US" w:eastAsia="zh-CN"/>
              </w:rPr>
              <w:t>25.6</w:t>
            </w:r>
          </w:p>
        </w:tc>
        <w:tc>
          <w:tcPr>
            <w:tcW w:w="359" w:type="pct"/>
            <w:noWrap w:val="0"/>
            <w:tcMar>
              <w:top w:w="0" w:type="dxa"/>
              <w:left w:w="28" w:type="dxa"/>
              <w:bottom w:w="0" w:type="dxa"/>
              <w:right w:w="28" w:type="dxa"/>
            </w:tcMar>
            <w:vAlign w:val="center"/>
          </w:tcPr>
          <w:p>
            <w:pPr>
              <w:jc w:val="center"/>
              <w:textAlignment w:val="center"/>
              <w:rPr>
                <w:rFonts w:hint="default" w:eastAsia="宋体"/>
                <w:szCs w:val="21"/>
                <w:lang w:val="en-US" w:eastAsia="zh-CN"/>
              </w:rPr>
            </w:pPr>
            <w:r>
              <w:rPr>
                <w:rFonts w:hint="eastAsia"/>
                <w:szCs w:val="21"/>
                <w:lang w:val="en-US" w:eastAsia="zh-CN"/>
              </w:rPr>
              <w:t>24</w:t>
            </w:r>
          </w:p>
        </w:tc>
        <w:tc>
          <w:tcPr>
            <w:tcW w:w="359" w:type="pct"/>
            <w:noWrap w:val="0"/>
            <w:tcMar>
              <w:top w:w="0" w:type="dxa"/>
              <w:left w:w="28" w:type="dxa"/>
              <w:bottom w:w="0" w:type="dxa"/>
              <w:right w:w="28" w:type="dxa"/>
            </w:tcMar>
            <w:vAlign w:val="center"/>
          </w:tcPr>
          <w:p>
            <w:pPr>
              <w:jc w:val="center"/>
              <w:textAlignment w:val="center"/>
              <w:rPr>
                <w:rFonts w:hint="default" w:eastAsia="宋体"/>
                <w:szCs w:val="21"/>
                <w:lang w:val="en-US" w:eastAsia="zh-CN"/>
              </w:rPr>
            </w:pPr>
            <w:r>
              <w:rPr>
                <w:rFonts w:hint="eastAsia"/>
                <w:szCs w:val="21"/>
                <w:lang w:val="en-US" w:eastAsia="zh-CN"/>
              </w:rPr>
              <w:t>52.7</w:t>
            </w:r>
          </w:p>
        </w:tc>
        <w:tc>
          <w:tcPr>
            <w:tcW w:w="355" w:type="pct"/>
            <w:noWrap w:val="0"/>
            <w:tcMar>
              <w:top w:w="0" w:type="dxa"/>
              <w:left w:w="28" w:type="dxa"/>
              <w:bottom w:w="0" w:type="dxa"/>
              <w:right w:w="28" w:type="dxa"/>
            </w:tcMar>
            <w:vAlign w:val="center"/>
          </w:tcPr>
          <w:p>
            <w:pPr>
              <w:jc w:val="center"/>
              <w:textAlignment w:val="center"/>
              <w:rPr>
                <w:rFonts w:hint="default" w:eastAsia="宋体"/>
                <w:szCs w:val="21"/>
                <w:lang w:val="en-US" w:eastAsia="zh-CN" w:bidi="ar"/>
              </w:rPr>
            </w:pPr>
            <w:r>
              <w:rPr>
                <w:rFonts w:hint="eastAsia"/>
                <w:szCs w:val="21"/>
                <w:lang w:val="en-US" w:eastAsia="zh-CN" w:bidi="ar"/>
              </w:rPr>
              <w:t>23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6" w:type="pct"/>
            <w:vMerge w:val="continue"/>
            <w:noWrap w:val="0"/>
            <w:vAlign w:val="center"/>
          </w:tcPr>
          <w:p>
            <w:pPr>
              <w:ind w:left="-105" w:leftChars="-50" w:right="-105" w:rightChars="-50"/>
              <w:contextualSpacing/>
              <w:jc w:val="center"/>
              <w:rPr>
                <w:szCs w:val="21"/>
              </w:rPr>
            </w:pPr>
          </w:p>
        </w:tc>
        <w:tc>
          <w:tcPr>
            <w:tcW w:w="772" w:type="pct"/>
            <w:vMerge w:val="continue"/>
            <w:noWrap w:val="0"/>
            <w:tcMar>
              <w:top w:w="0" w:type="dxa"/>
              <w:left w:w="28" w:type="dxa"/>
              <w:bottom w:w="0" w:type="dxa"/>
              <w:right w:w="28" w:type="dxa"/>
            </w:tcMar>
            <w:vAlign w:val="center"/>
          </w:tcPr>
          <w:p>
            <w:pPr>
              <w:ind w:left="-105" w:leftChars="-50" w:right="-105" w:rightChars="-50"/>
              <w:contextualSpacing/>
              <w:jc w:val="center"/>
              <w:rPr>
                <w:szCs w:val="21"/>
              </w:rPr>
            </w:pPr>
          </w:p>
        </w:tc>
        <w:tc>
          <w:tcPr>
            <w:tcW w:w="477" w:type="pct"/>
            <w:noWrap w:val="0"/>
            <w:tcMar>
              <w:top w:w="0" w:type="dxa"/>
              <w:left w:w="28" w:type="dxa"/>
              <w:bottom w:w="0" w:type="dxa"/>
              <w:right w:w="28" w:type="dxa"/>
            </w:tcMar>
            <w:vAlign w:val="center"/>
          </w:tcPr>
          <w:p>
            <w:pPr>
              <w:ind w:left="-105" w:leftChars="-50" w:right="-105" w:rightChars="-50"/>
              <w:contextualSpacing/>
              <w:jc w:val="center"/>
              <w:rPr>
                <w:szCs w:val="21"/>
              </w:rPr>
            </w:pPr>
            <w:r>
              <w:rPr>
                <w:szCs w:val="21"/>
              </w:rPr>
              <w:t>超标倍数</w:t>
            </w:r>
          </w:p>
        </w:tc>
        <w:tc>
          <w:tcPr>
            <w:tcW w:w="319" w:type="pct"/>
            <w:noWrap w:val="0"/>
            <w:tcMar>
              <w:top w:w="0" w:type="dxa"/>
              <w:left w:w="28" w:type="dxa"/>
              <w:bottom w:w="0" w:type="dxa"/>
              <w:right w:w="28" w:type="dxa"/>
            </w:tcMar>
            <w:vAlign w:val="center"/>
          </w:tcPr>
          <w:p>
            <w:pPr>
              <w:jc w:val="center"/>
            </w:pPr>
            <w:r>
              <w:rPr>
                <w:rFonts w:hint="eastAsia"/>
                <w:szCs w:val="21"/>
              </w:rPr>
              <w:t>/</w:t>
            </w:r>
          </w:p>
        </w:tc>
        <w:tc>
          <w:tcPr>
            <w:tcW w:w="394" w:type="pct"/>
            <w:noWrap w:val="0"/>
            <w:tcMar>
              <w:top w:w="0" w:type="dxa"/>
              <w:left w:w="28" w:type="dxa"/>
              <w:bottom w:w="0" w:type="dxa"/>
              <w:right w:w="28" w:type="dxa"/>
            </w:tcMar>
            <w:vAlign w:val="center"/>
          </w:tcPr>
          <w:p>
            <w:pPr>
              <w:jc w:val="center"/>
            </w:pPr>
            <w:r>
              <w:rPr>
                <w:rFonts w:hint="eastAsia"/>
                <w:szCs w:val="21"/>
              </w:rPr>
              <w:t>0</w:t>
            </w:r>
          </w:p>
        </w:tc>
        <w:tc>
          <w:tcPr>
            <w:tcW w:w="385" w:type="pct"/>
            <w:noWrap w:val="0"/>
            <w:tcMar>
              <w:top w:w="0" w:type="dxa"/>
              <w:left w:w="28" w:type="dxa"/>
              <w:bottom w:w="0" w:type="dxa"/>
              <w:right w:w="28" w:type="dxa"/>
            </w:tcMar>
            <w:vAlign w:val="center"/>
          </w:tcPr>
          <w:p>
            <w:pPr>
              <w:jc w:val="center"/>
            </w:pPr>
            <w:r>
              <w:rPr>
                <w:rFonts w:hint="eastAsia"/>
                <w:szCs w:val="21"/>
              </w:rPr>
              <w:t>0</w:t>
            </w:r>
          </w:p>
        </w:tc>
        <w:tc>
          <w:tcPr>
            <w:tcW w:w="420" w:type="pct"/>
            <w:noWrap w:val="0"/>
            <w:tcMar>
              <w:top w:w="0" w:type="dxa"/>
              <w:left w:w="28" w:type="dxa"/>
              <w:bottom w:w="0" w:type="dxa"/>
              <w:right w:w="28" w:type="dxa"/>
            </w:tcMar>
            <w:vAlign w:val="center"/>
          </w:tcPr>
          <w:p>
            <w:pPr>
              <w:jc w:val="center"/>
            </w:pPr>
            <w:r>
              <w:rPr>
                <w:rFonts w:hint="eastAsia"/>
                <w:szCs w:val="21"/>
              </w:rPr>
              <w:t>0</w:t>
            </w:r>
          </w:p>
        </w:tc>
        <w:tc>
          <w:tcPr>
            <w:tcW w:w="359" w:type="pct"/>
            <w:noWrap w:val="0"/>
            <w:tcMar>
              <w:top w:w="0" w:type="dxa"/>
              <w:left w:w="28" w:type="dxa"/>
              <w:bottom w:w="0" w:type="dxa"/>
              <w:right w:w="28" w:type="dxa"/>
            </w:tcMar>
            <w:vAlign w:val="center"/>
          </w:tcPr>
          <w:p>
            <w:pPr>
              <w:jc w:val="center"/>
            </w:pPr>
            <w:r>
              <w:rPr>
                <w:rFonts w:hint="eastAsia"/>
                <w:szCs w:val="21"/>
              </w:rPr>
              <w:t>0</w:t>
            </w:r>
          </w:p>
        </w:tc>
        <w:tc>
          <w:tcPr>
            <w:tcW w:w="359" w:type="pct"/>
            <w:noWrap w:val="0"/>
            <w:tcMar>
              <w:top w:w="0" w:type="dxa"/>
              <w:left w:w="28" w:type="dxa"/>
              <w:bottom w:w="0" w:type="dxa"/>
              <w:right w:w="28" w:type="dxa"/>
            </w:tcMar>
            <w:vAlign w:val="center"/>
          </w:tcPr>
          <w:p>
            <w:pPr>
              <w:jc w:val="center"/>
            </w:pPr>
            <w:r>
              <w:rPr>
                <w:rFonts w:hint="eastAsia"/>
                <w:szCs w:val="21"/>
              </w:rPr>
              <w:t>0</w:t>
            </w:r>
          </w:p>
        </w:tc>
        <w:tc>
          <w:tcPr>
            <w:tcW w:w="359" w:type="pct"/>
            <w:noWrap w:val="0"/>
            <w:tcMar>
              <w:top w:w="0" w:type="dxa"/>
              <w:left w:w="28" w:type="dxa"/>
              <w:bottom w:w="0" w:type="dxa"/>
              <w:right w:w="28" w:type="dxa"/>
            </w:tcMar>
            <w:vAlign w:val="center"/>
          </w:tcPr>
          <w:p>
            <w:pPr>
              <w:jc w:val="center"/>
            </w:pPr>
            <w:r>
              <w:rPr>
                <w:rFonts w:hint="eastAsia"/>
                <w:szCs w:val="21"/>
              </w:rPr>
              <w:t>0</w:t>
            </w:r>
          </w:p>
        </w:tc>
        <w:tc>
          <w:tcPr>
            <w:tcW w:w="359" w:type="pct"/>
            <w:noWrap w:val="0"/>
            <w:tcMar>
              <w:top w:w="0" w:type="dxa"/>
              <w:left w:w="28" w:type="dxa"/>
              <w:bottom w:w="0" w:type="dxa"/>
              <w:right w:w="28" w:type="dxa"/>
            </w:tcMar>
            <w:vAlign w:val="center"/>
          </w:tcPr>
          <w:p>
            <w:pPr>
              <w:jc w:val="center"/>
            </w:pPr>
            <w:r>
              <w:rPr>
                <w:rFonts w:hint="eastAsia"/>
                <w:szCs w:val="21"/>
              </w:rPr>
              <w:t>0</w:t>
            </w:r>
          </w:p>
        </w:tc>
        <w:tc>
          <w:tcPr>
            <w:tcW w:w="355" w:type="pct"/>
            <w:noWrap w:val="0"/>
            <w:tcMar>
              <w:top w:w="0" w:type="dxa"/>
              <w:left w:w="28" w:type="dxa"/>
              <w:bottom w:w="0" w:type="dxa"/>
              <w:right w:w="28" w:type="dxa"/>
            </w:tcMar>
            <w:vAlign w:val="center"/>
          </w:tcPr>
          <w:p>
            <w:pPr>
              <w:jc w:val="center"/>
            </w:pPr>
            <w:r>
              <w:rPr>
                <w:rFonts w:hint="eastAsia"/>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6" w:type="pct"/>
            <w:vMerge w:val="restart"/>
            <w:noWrap w:val="0"/>
            <w:vAlign w:val="center"/>
          </w:tcPr>
          <w:p>
            <w:pPr>
              <w:ind w:left="-105" w:leftChars="-50" w:right="-105" w:rightChars="-50"/>
              <w:contextualSpacing/>
              <w:jc w:val="center"/>
              <w:rPr>
                <w:szCs w:val="21"/>
              </w:rPr>
            </w:pPr>
            <w:r>
              <w:rPr>
                <w:rFonts w:hint="eastAsia"/>
                <w:szCs w:val="21"/>
              </w:rPr>
              <w:t>2#沼液消纳地（厂区东侧外1km范围内）</w:t>
            </w:r>
          </w:p>
        </w:tc>
        <w:tc>
          <w:tcPr>
            <w:tcW w:w="772" w:type="pct"/>
            <w:vMerge w:val="restart"/>
            <w:noWrap w:val="0"/>
            <w:tcMar>
              <w:top w:w="0" w:type="dxa"/>
              <w:left w:w="28" w:type="dxa"/>
              <w:bottom w:w="0" w:type="dxa"/>
              <w:right w:w="28" w:type="dxa"/>
            </w:tcMar>
            <w:vAlign w:val="center"/>
          </w:tcPr>
          <w:p>
            <w:pPr>
              <w:ind w:left="-105" w:leftChars="-50" w:right="-105" w:rightChars="-50"/>
              <w:contextualSpacing/>
              <w:jc w:val="center"/>
              <w:rPr>
                <w:szCs w:val="21"/>
              </w:rPr>
            </w:pPr>
            <w:r>
              <w:rPr>
                <w:szCs w:val="21"/>
              </w:rPr>
              <w:t>0-</w:t>
            </w:r>
            <w:r>
              <w:rPr>
                <w:rFonts w:hint="eastAsia"/>
                <w:szCs w:val="21"/>
              </w:rPr>
              <w:t>0.2</w:t>
            </w:r>
            <w:r>
              <w:rPr>
                <w:szCs w:val="21"/>
              </w:rPr>
              <w:t>m土壤</w:t>
            </w:r>
          </w:p>
        </w:tc>
        <w:tc>
          <w:tcPr>
            <w:tcW w:w="477" w:type="pct"/>
            <w:noWrap w:val="0"/>
            <w:tcMar>
              <w:top w:w="0" w:type="dxa"/>
              <w:left w:w="28" w:type="dxa"/>
              <w:bottom w:w="0" w:type="dxa"/>
              <w:right w:w="28" w:type="dxa"/>
            </w:tcMar>
            <w:vAlign w:val="center"/>
          </w:tcPr>
          <w:p>
            <w:pPr>
              <w:ind w:left="-105" w:leftChars="-50" w:right="-105" w:rightChars="-50"/>
              <w:contextualSpacing/>
              <w:jc w:val="center"/>
              <w:rPr>
                <w:szCs w:val="21"/>
              </w:rPr>
            </w:pPr>
            <w:r>
              <w:rPr>
                <w:szCs w:val="21"/>
              </w:rPr>
              <w:t>监测值</w:t>
            </w:r>
          </w:p>
        </w:tc>
        <w:tc>
          <w:tcPr>
            <w:tcW w:w="319" w:type="pct"/>
            <w:noWrap w:val="0"/>
            <w:tcMar>
              <w:top w:w="0" w:type="dxa"/>
              <w:left w:w="28" w:type="dxa"/>
              <w:bottom w:w="0" w:type="dxa"/>
              <w:right w:w="28" w:type="dxa"/>
            </w:tcMar>
            <w:vAlign w:val="center"/>
          </w:tcPr>
          <w:p>
            <w:pPr>
              <w:jc w:val="center"/>
              <w:rPr>
                <w:rFonts w:hint="default" w:eastAsia="宋体"/>
                <w:szCs w:val="21"/>
                <w:lang w:val="en-US" w:eastAsia="zh-CN"/>
              </w:rPr>
            </w:pPr>
            <w:r>
              <w:rPr>
                <w:rFonts w:hint="eastAsia"/>
                <w:szCs w:val="21"/>
                <w:lang w:val="en-US" w:eastAsia="zh-CN"/>
              </w:rPr>
              <w:t>7.06</w:t>
            </w:r>
          </w:p>
        </w:tc>
        <w:tc>
          <w:tcPr>
            <w:tcW w:w="394" w:type="pct"/>
            <w:noWrap w:val="0"/>
            <w:tcMar>
              <w:top w:w="0" w:type="dxa"/>
              <w:left w:w="28" w:type="dxa"/>
              <w:bottom w:w="0" w:type="dxa"/>
              <w:right w:w="28" w:type="dxa"/>
            </w:tcMar>
            <w:vAlign w:val="center"/>
          </w:tcPr>
          <w:p>
            <w:pPr>
              <w:jc w:val="center"/>
              <w:textAlignment w:val="center"/>
              <w:rPr>
                <w:rFonts w:hint="default" w:eastAsia="宋体"/>
                <w:szCs w:val="21"/>
                <w:lang w:val="en-US" w:eastAsia="zh-CN"/>
              </w:rPr>
            </w:pPr>
            <w:r>
              <w:rPr>
                <w:rFonts w:hint="eastAsia"/>
                <w:szCs w:val="21"/>
                <w:lang w:val="en-US" w:eastAsia="zh-CN"/>
              </w:rPr>
              <w:t>0.06</w:t>
            </w:r>
          </w:p>
        </w:tc>
        <w:tc>
          <w:tcPr>
            <w:tcW w:w="385" w:type="pct"/>
            <w:noWrap w:val="0"/>
            <w:tcMar>
              <w:top w:w="0" w:type="dxa"/>
              <w:left w:w="28" w:type="dxa"/>
              <w:bottom w:w="0" w:type="dxa"/>
              <w:right w:w="28" w:type="dxa"/>
            </w:tcMar>
            <w:vAlign w:val="center"/>
          </w:tcPr>
          <w:p>
            <w:pPr>
              <w:jc w:val="center"/>
              <w:textAlignment w:val="center"/>
              <w:rPr>
                <w:rFonts w:hint="default" w:eastAsia="宋体"/>
                <w:szCs w:val="21"/>
                <w:lang w:val="en-US" w:eastAsia="zh-CN"/>
              </w:rPr>
            </w:pPr>
            <w:r>
              <w:rPr>
                <w:rFonts w:hint="eastAsia"/>
                <w:szCs w:val="21"/>
                <w:lang w:val="en-US" w:eastAsia="zh-CN"/>
              </w:rPr>
              <w:t>24.6</w:t>
            </w:r>
          </w:p>
        </w:tc>
        <w:tc>
          <w:tcPr>
            <w:tcW w:w="420" w:type="pct"/>
            <w:noWrap w:val="0"/>
            <w:tcMar>
              <w:top w:w="0" w:type="dxa"/>
              <w:left w:w="28" w:type="dxa"/>
              <w:bottom w:w="0" w:type="dxa"/>
              <w:right w:w="28" w:type="dxa"/>
            </w:tcMar>
            <w:vAlign w:val="center"/>
          </w:tcPr>
          <w:p>
            <w:pPr>
              <w:jc w:val="center"/>
              <w:textAlignment w:val="center"/>
              <w:rPr>
                <w:rFonts w:hint="default" w:eastAsia="宋体"/>
                <w:szCs w:val="21"/>
                <w:lang w:val="en-US" w:eastAsia="zh-CN"/>
              </w:rPr>
            </w:pPr>
            <w:r>
              <w:rPr>
                <w:rFonts w:hint="eastAsia"/>
                <w:szCs w:val="21"/>
              </w:rPr>
              <w:t>0.0</w:t>
            </w:r>
            <w:r>
              <w:rPr>
                <w:rFonts w:hint="eastAsia"/>
                <w:szCs w:val="21"/>
                <w:lang w:val="en-US" w:eastAsia="zh-CN"/>
              </w:rPr>
              <w:t>66</w:t>
            </w:r>
          </w:p>
        </w:tc>
        <w:tc>
          <w:tcPr>
            <w:tcW w:w="359" w:type="pct"/>
            <w:noWrap w:val="0"/>
            <w:tcMar>
              <w:top w:w="0" w:type="dxa"/>
              <w:left w:w="28" w:type="dxa"/>
              <w:bottom w:w="0" w:type="dxa"/>
              <w:right w:w="28" w:type="dxa"/>
            </w:tcMar>
            <w:vAlign w:val="center"/>
          </w:tcPr>
          <w:p>
            <w:pPr>
              <w:jc w:val="center"/>
              <w:textAlignment w:val="center"/>
              <w:rPr>
                <w:rFonts w:hint="default" w:eastAsia="宋体"/>
                <w:szCs w:val="21"/>
                <w:lang w:val="en-US" w:eastAsia="zh-CN"/>
              </w:rPr>
            </w:pPr>
            <w:r>
              <w:rPr>
                <w:rFonts w:hint="eastAsia"/>
                <w:szCs w:val="21"/>
                <w:lang w:val="en-US" w:eastAsia="zh-CN"/>
              </w:rPr>
              <w:t>12.7</w:t>
            </w:r>
          </w:p>
        </w:tc>
        <w:tc>
          <w:tcPr>
            <w:tcW w:w="359" w:type="pct"/>
            <w:noWrap w:val="0"/>
            <w:tcMar>
              <w:top w:w="0" w:type="dxa"/>
              <w:left w:w="28" w:type="dxa"/>
              <w:bottom w:w="0" w:type="dxa"/>
              <w:right w:w="28" w:type="dxa"/>
            </w:tcMar>
            <w:vAlign w:val="center"/>
          </w:tcPr>
          <w:p>
            <w:pPr>
              <w:jc w:val="center"/>
              <w:rPr>
                <w:rFonts w:hint="default" w:eastAsia="宋体"/>
                <w:szCs w:val="21"/>
                <w:lang w:val="en-US" w:eastAsia="zh-CN"/>
              </w:rPr>
            </w:pPr>
            <w:r>
              <w:rPr>
                <w:rFonts w:hint="eastAsia"/>
                <w:szCs w:val="21"/>
                <w:lang w:val="en-US" w:eastAsia="zh-CN"/>
              </w:rPr>
              <w:t>25.0</w:t>
            </w:r>
          </w:p>
        </w:tc>
        <w:tc>
          <w:tcPr>
            <w:tcW w:w="359" w:type="pct"/>
            <w:noWrap w:val="0"/>
            <w:tcMar>
              <w:top w:w="0" w:type="dxa"/>
              <w:left w:w="28" w:type="dxa"/>
              <w:bottom w:w="0" w:type="dxa"/>
              <w:right w:w="28" w:type="dxa"/>
            </w:tcMar>
            <w:vAlign w:val="center"/>
          </w:tcPr>
          <w:p>
            <w:pPr>
              <w:jc w:val="center"/>
              <w:textAlignment w:val="center"/>
              <w:rPr>
                <w:rFonts w:hint="default" w:eastAsia="宋体"/>
                <w:szCs w:val="21"/>
                <w:lang w:val="en-US" w:eastAsia="zh-CN"/>
              </w:rPr>
            </w:pPr>
            <w:r>
              <w:rPr>
                <w:rFonts w:hint="eastAsia"/>
                <w:szCs w:val="21"/>
                <w:lang w:val="en-US" w:eastAsia="zh-CN"/>
              </w:rPr>
              <w:t>22</w:t>
            </w:r>
          </w:p>
        </w:tc>
        <w:tc>
          <w:tcPr>
            <w:tcW w:w="359" w:type="pct"/>
            <w:noWrap w:val="0"/>
            <w:tcMar>
              <w:top w:w="0" w:type="dxa"/>
              <w:left w:w="28" w:type="dxa"/>
              <w:bottom w:w="0" w:type="dxa"/>
              <w:right w:w="28" w:type="dxa"/>
            </w:tcMar>
            <w:vAlign w:val="center"/>
          </w:tcPr>
          <w:p>
            <w:pPr>
              <w:jc w:val="center"/>
              <w:textAlignment w:val="center"/>
              <w:rPr>
                <w:rFonts w:hint="default" w:eastAsia="宋体"/>
                <w:szCs w:val="21"/>
                <w:lang w:val="en-US" w:eastAsia="zh-CN"/>
              </w:rPr>
            </w:pPr>
            <w:r>
              <w:rPr>
                <w:rFonts w:hint="eastAsia"/>
                <w:szCs w:val="21"/>
                <w:lang w:val="en-US" w:eastAsia="zh-CN"/>
              </w:rPr>
              <w:t>51.4</w:t>
            </w:r>
          </w:p>
        </w:tc>
        <w:tc>
          <w:tcPr>
            <w:tcW w:w="355" w:type="pct"/>
            <w:noWrap w:val="0"/>
            <w:tcMar>
              <w:top w:w="0" w:type="dxa"/>
              <w:left w:w="28" w:type="dxa"/>
              <w:bottom w:w="0" w:type="dxa"/>
              <w:right w:w="28" w:type="dxa"/>
            </w:tcMar>
            <w:vAlign w:val="center"/>
          </w:tcPr>
          <w:p>
            <w:pPr>
              <w:jc w:val="center"/>
              <w:textAlignment w:val="center"/>
              <w:rPr>
                <w:rFonts w:hint="default" w:eastAsia="宋体"/>
                <w:szCs w:val="21"/>
                <w:lang w:val="en-US" w:eastAsia="zh-CN" w:bidi="ar"/>
              </w:rPr>
            </w:pPr>
            <w:r>
              <w:rPr>
                <w:rFonts w:hint="eastAsia"/>
                <w:szCs w:val="21"/>
                <w:lang w:val="en-US" w:eastAsia="zh-CN" w:bidi="ar"/>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2" w:hRule="atLeast"/>
          <w:jc w:val="center"/>
        </w:trPr>
        <w:tc>
          <w:tcPr>
            <w:tcW w:w="436" w:type="pct"/>
            <w:vMerge w:val="continue"/>
            <w:noWrap w:val="0"/>
            <w:vAlign w:val="center"/>
          </w:tcPr>
          <w:p>
            <w:pPr>
              <w:ind w:left="-105" w:leftChars="-50" w:right="-105" w:rightChars="-50"/>
              <w:contextualSpacing/>
              <w:jc w:val="center"/>
              <w:rPr>
                <w:szCs w:val="21"/>
              </w:rPr>
            </w:pPr>
          </w:p>
        </w:tc>
        <w:tc>
          <w:tcPr>
            <w:tcW w:w="772" w:type="pct"/>
            <w:vMerge w:val="continue"/>
            <w:noWrap w:val="0"/>
            <w:tcMar>
              <w:top w:w="0" w:type="dxa"/>
              <w:left w:w="28" w:type="dxa"/>
              <w:bottom w:w="0" w:type="dxa"/>
              <w:right w:w="28" w:type="dxa"/>
            </w:tcMar>
            <w:vAlign w:val="center"/>
          </w:tcPr>
          <w:p>
            <w:pPr>
              <w:ind w:left="-105" w:leftChars="-50" w:right="-105" w:rightChars="-50"/>
              <w:contextualSpacing/>
              <w:jc w:val="center"/>
              <w:rPr>
                <w:szCs w:val="21"/>
              </w:rPr>
            </w:pPr>
          </w:p>
        </w:tc>
        <w:tc>
          <w:tcPr>
            <w:tcW w:w="477" w:type="pct"/>
            <w:noWrap w:val="0"/>
            <w:tcMar>
              <w:top w:w="0" w:type="dxa"/>
              <w:left w:w="28" w:type="dxa"/>
              <w:bottom w:w="0" w:type="dxa"/>
              <w:right w:w="28" w:type="dxa"/>
            </w:tcMar>
            <w:vAlign w:val="center"/>
          </w:tcPr>
          <w:p>
            <w:pPr>
              <w:ind w:left="-105" w:leftChars="-50" w:right="-105" w:rightChars="-50"/>
              <w:contextualSpacing/>
              <w:jc w:val="center"/>
              <w:rPr>
                <w:szCs w:val="21"/>
              </w:rPr>
            </w:pPr>
            <w:r>
              <w:rPr>
                <w:szCs w:val="21"/>
              </w:rPr>
              <w:t>超标倍数</w:t>
            </w:r>
          </w:p>
        </w:tc>
        <w:tc>
          <w:tcPr>
            <w:tcW w:w="319" w:type="pct"/>
            <w:noWrap w:val="0"/>
            <w:tcMar>
              <w:top w:w="0" w:type="dxa"/>
              <w:left w:w="28" w:type="dxa"/>
              <w:bottom w:w="0" w:type="dxa"/>
              <w:right w:w="28" w:type="dxa"/>
            </w:tcMar>
            <w:vAlign w:val="center"/>
          </w:tcPr>
          <w:p>
            <w:pPr>
              <w:jc w:val="center"/>
              <w:rPr>
                <w:b/>
              </w:rPr>
            </w:pPr>
            <w:r>
              <w:rPr>
                <w:rFonts w:hint="eastAsia"/>
                <w:b/>
                <w:szCs w:val="21"/>
              </w:rPr>
              <w:t>/</w:t>
            </w:r>
          </w:p>
        </w:tc>
        <w:tc>
          <w:tcPr>
            <w:tcW w:w="394" w:type="pct"/>
            <w:noWrap w:val="0"/>
            <w:tcMar>
              <w:top w:w="0" w:type="dxa"/>
              <w:left w:w="28" w:type="dxa"/>
              <w:bottom w:w="0" w:type="dxa"/>
              <w:right w:w="28" w:type="dxa"/>
            </w:tcMar>
            <w:vAlign w:val="center"/>
          </w:tcPr>
          <w:p>
            <w:pPr>
              <w:jc w:val="center"/>
            </w:pPr>
            <w:r>
              <w:rPr>
                <w:rFonts w:hint="eastAsia"/>
                <w:szCs w:val="21"/>
              </w:rPr>
              <w:t>0</w:t>
            </w:r>
          </w:p>
        </w:tc>
        <w:tc>
          <w:tcPr>
            <w:tcW w:w="385" w:type="pct"/>
            <w:noWrap w:val="0"/>
            <w:tcMar>
              <w:top w:w="0" w:type="dxa"/>
              <w:left w:w="28" w:type="dxa"/>
              <w:bottom w:w="0" w:type="dxa"/>
              <w:right w:w="28" w:type="dxa"/>
            </w:tcMar>
            <w:vAlign w:val="center"/>
          </w:tcPr>
          <w:p>
            <w:pPr>
              <w:jc w:val="center"/>
            </w:pPr>
            <w:r>
              <w:rPr>
                <w:rFonts w:hint="eastAsia"/>
                <w:szCs w:val="21"/>
              </w:rPr>
              <w:t>0</w:t>
            </w:r>
          </w:p>
        </w:tc>
        <w:tc>
          <w:tcPr>
            <w:tcW w:w="420" w:type="pct"/>
            <w:noWrap w:val="0"/>
            <w:tcMar>
              <w:top w:w="0" w:type="dxa"/>
              <w:left w:w="28" w:type="dxa"/>
              <w:bottom w:w="0" w:type="dxa"/>
              <w:right w:w="28" w:type="dxa"/>
            </w:tcMar>
            <w:vAlign w:val="center"/>
          </w:tcPr>
          <w:p>
            <w:pPr>
              <w:jc w:val="center"/>
            </w:pPr>
            <w:r>
              <w:rPr>
                <w:rFonts w:hint="eastAsia"/>
                <w:szCs w:val="21"/>
              </w:rPr>
              <w:t>0</w:t>
            </w:r>
          </w:p>
        </w:tc>
        <w:tc>
          <w:tcPr>
            <w:tcW w:w="359" w:type="pct"/>
            <w:noWrap w:val="0"/>
            <w:tcMar>
              <w:top w:w="0" w:type="dxa"/>
              <w:left w:w="28" w:type="dxa"/>
              <w:bottom w:w="0" w:type="dxa"/>
              <w:right w:w="28" w:type="dxa"/>
            </w:tcMar>
            <w:vAlign w:val="center"/>
          </w:tcPr>
          <w:p>
            <w:pPr>
              <w:jc w:val="center"/>
            </w:pPr>
            <w:r>
              <w:rPr>
                <w:szCs w:val="21"/>
              </w:rPr>
              <w:t>0</w:t>
            </w:r>
          </w:p>
        </w:tc>
        <w:tc>
          <w:tcPr>
            <w:tcW w:w="359" w:type="pct"/>
            <w:noWrap w:val="0"/>
            <w:tcMar>
              <w:top w:w="0" w:type="dxa"/>
              <w:left w:w="28" w:type="dxa"/>
              <w:bottom w:w="0" w:type="dxa"/>
              <w:right w:w="28" w:type="dxa"/>
            </w:tcMar>
            <w:vAlign w:val="center"/>
          </w:tcPr>
          <w:p>
            <w:pPr>
              <w:jc w:val="center"/>
            </w:pPr>
            <w:r>
              <w:rPr>
                <w:rFonts w:hint="eastAsia"/>
                <w:szCs w:val="21"/>
              </w:rPr>
              <w:t>0</w:t>
            </w:r>
          </w:p>
        </w:tc>
        <w:tc>
          <w:tcPr>
            <w:tcW w:w="359" w:type="pct"/>
            <w:noWrap w:val="0"/>
            <w:tcMar>
              <w:top w:w="0" w:type="dxa"/>
              <w:left w:w="28" w:type="dxa"/>
              <w:bottom w:w="0" w:type="dxa"/>
              <w:right w:w="28" w:type="dxa"/>
            </w:tcMar>
            <w:vAlign w:val="center"/>
          </w:tcPr>
          <w:p>
            <w:pPr>
              <w:jc w:val="center"/>
            </w:pPr>
            <w:r>
              <w:rPr>
                <w:rFonts w:hint="eastAsia"/>
                <w:szCs w:val="21"/>
              </w:rPr>
              <w:t>0</w:t>
            </w:r>
          </w:p>
        </w:tc>
        <w:tc>
          <w:tcPr>
            <w:tcW w:w="359" w:type="pct"/>
            <w:noWrap w:val="0"/>
            <w:tcMar>
              <w:top w:w="0" w:type="dxa"/>
              <w:left w:w="28" w:type="dxa"/>
              <w:bottom w:w="0" w:type="dxa"/>
              <w:right w:w="28" w:type="dxa"/>
            </w:tcMar>
            <w:vAlign w:val="center"/>
          </w:tcPr>
          <w:p>
            <w:pPr>
              <w:jc w:val="center"/>
            </w:pPr>
            <w:r>
              <w:rPr>
                <w:rFonts w:hint="eastAsia"/>
                <w:szCs w:val="21"/>
              </w:rPr>
              <w:t>0</w:t>
            </w:r>
          </w:p>
        </w:tc>
        <w:tc>
          <w:tcPr>
            <w:tcW w:w="355" w:type="pct"/>
            <w:noWrap w:val="0"/>
            <w:tcMar>
              <w:top w:w="0" w:type="dxa"/>
              <w:left w:w="28" w:type="dxa"/>
              <w:bottom w:w="0" w:type="dxa"/>
              <w:right w:w="28" w:type="dxa"/>
            </w:tcMar>
            <w:vAlign w:val="center"/>
          </w:tcPr>
          <w:p>
            <w:pPr>
              <w:jc w:val="center"/>
            </w:pPr>
            <w:r>
              <w:rPr>
                <w:rFonts w:hint="eastAsia"/>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6" w:type="pct"/>
            <w:vMerge w:val="restart"/>
            <w:noWrap w:val="0"/>
            <w:vAlign w:val="center"/>
          </w:tcPr>
          <w:p>
            <w:pPr>
              <w:ind w:left="-105" w:leftChars="-50" w:right="-105" w:rightChars="-50"/>
              <w:contextualSpacing/>
              <w:jc w:val="center"/>
              <w:rPr>
                <w:szCs w:val="21"/>
              </w:rPr>
            </w:pPr>
            <w:r>
              <w:rPr>
                <w:rFonts w:hint="eastAsia"/>
                <w:szCs w:val="21"/>
              </w:rPr>
              <w:t>3#沼液消纳地（厂区南侧外1km范围内）</w:t>
            </w:r>
          </w:p>
        </w:tc>
        <w:tc>
          <w:tcPr>
            <w:tcW w:w="772" w:type="pct"/>
            <w:vMerge w:val="restart"/>
            <w:noWrap w:val="0"/>
            <w:tcMar>
              <w:top w:w="0" w:type="dxa"/>
              <w:left w:w="28" w:type="dxa"/>
              <w:bottom w:w="0" w:type="dxa"/>
              <w:right w:w="28" w:type="dxa"/>
            </w:tcMar>
            <w:vAlign w:val="center"/>
          </w:tcPr>
          <w:p>
            <w:pPr>
              <w:ind w:left="-105" w:leftChars="-50" w:right="-105" w:rightChars="-50"/>
              <w:contextualSpacing/>
              <w:jc w:val="center"/>
              <w:rPr>
                <w:szCs w:val="21"/>
              </w:rPr>
            </w:pPr>
            <w:r>
              <w:rPr>
                <w:szCs w:val="21"/>
              </w:rPr>
              <w:t>0-</w:t>
            </w:r>
            <w:r>
              <w:rPr>
                <w:rFonts w:hint="eastAsia"/>
                <w:szCs w:val="21"/>
              </w:rPr>
              <w:t>0.2</w:t>
            </w:r>
            <w:r>
              <w:rPr>
                <w:szCs w:val="21"/>
              </w:rPr>
              <w:t>m土壤</w:t>
            </w:r>
          </w:p>
        </w:tc>
        <w:tc>
          <w:tcPr>
            <w:tcW w:w="477" w:type="pct"/>
            <w:noWrap w:val="0"/>
            <w:tcMar>
              <w:top w:w="0" w:type="dxa"/>
              <w:left w:w="28" w:type="dxa"/>
              <w:bottom w:w="0" w:type="dxa"/>
              <w:right w:w="28" w:type="dxa"/>
            </w:tcMar>
            <w:vAlign w:val="center"/>
          </w:tcPr>
          <w:p>
            <w:pPr>
              <w:ind w:left="-105" w:leftChars="-50" w:right="-105" w:rightChars="-50"/>
              <w:contextualSpacing/>
              <w:jc w:val="center"/>
              <w:rPr>
                <w:szCs w:val="21"/>
              </w:rPr>
            </w:pPr>
            <w:r>
              <w:rPr>
                <w:szCs w:val="21"/>
              </w:rPr>
              <w:t>监测值</w:t>
            </w:r>
          </w:p>
        </w:tc>
        <w:tc>
          <w:tcPr>
            <w:tcW w:w="319" w:type="pct"/>
            <w:noWrap w:val="0"/>
            <w:tcMar>
              <w:top w:w="0" w:type="dxa"/>
              <w:left w:w="28" w:type="dxa"/>
              <w:bottom w:w="0" w:type="dxa"/>
              <w:right w:w="28" w:type="dxa"/>
            </w:tcMar>
            <w:vAlign w:val="center"/>
          </w:tcPr>
          <w:p>
            <w:pPr>
              <w:jc w:val="center"/>
              <w:rPr>
                <w:rFonts w:hint="default" w:eastAsia="宋体"/>
                <w:szCs w:val="21"/>
                <w:lang w:val="en-US" w:eastAsia="zh-CN"/>
              </w:rPr>
            </w:pPr>
            <w:r>
              <w:rPr>
                <w:rFonts w:hint="eastAsia"/>
                <w:szCs w:val="21"/>
                <w:lang w:val="en-US" w:eastAsia="zh-CN"/>
              </w:rPr>
              <w:t>7.05</w:t>
            </w:r>
          </w:p>
        </w:tc>
        <w:tc>
          <w:tcPr>
            <w:tcW w:w="394" w:type="pct"/>
            <w:noWrap w:val="0"/>
            <w:tcMar>
              <w:top w:w="0" w:type="dxa"/>
              <w:left w:w="28" w:type="dxa"/>
              <w:bottom w:w="0" w:type="dxa"/>
              <w:right w:w="28" w:type="dxa"/>
            </w:tcMar>
            <w:vAlign w:val="center"/>
          </w:tcPr>
          <w:p>
            <w:pPr>
              <w:jc w:val="center"/>
              <w:textAlignment w:val="center"/>
              <w:rPr>
                <w:rFonts w:hint="default" w:eastAsia="宋体"/>
                <w:szCs w:val="21"/>
                <w:lang w:val="en-US" w:eastAsia="zh-CN"/>
              </w:rPr>
            </w:pPr>
            <w:r>
              <w:rPr>
                <w:rFonts w:hint="eastAsia"/>
                <w:szCs w:val="21"/>
                <w:lang w:val="en-US" w:eastAsia="zh-CN"/>
              </w:rPr>
              <w:t>0.06</w:t>
            </w:r>
          </w:p>
        </w:tc>
        <w:tc>
          <w:tcPr>
            <w:tcW w:w="385" w:type="pct"/>
            <w:noWrap w:val="0"/>
            <w:tcMar>
              <w:top w:w="0" w:type="dxa"/>
              <w:left w:w="28" w:type="dxa"/>
              <w:bottom w:w="0" w:type="dxa"/>
              <w:right w:w="28" w:type="dxa"/>
            </w:tcMar>
            <w:vAlign w:val="center"/>
          </w:tcPr>
          <w:p>
            <w:pPr>
              <w:jc w:val="center"/>
              <w:textAlignment w:val="center"/>
              <w:rPr>
                <w:rFonts w:hint="default" w:eastAsia="宋体"/>
                <w:szCs w:val="21"/>
                <w:lang w:val="en-US" w:eastAsia="zh-CN"/>
              </w:rPr>
            </w:pPr>
            <w:r>
              <w:rPr>
                <w:rFonts w:hint="eastAsia"/>
                <w:szCs w:val="21"/>
                <w:lang w:val="en-US" w:eastAsia="zh-CN"/>
              </w:rPr>
              <w:t>25.8</w:t>
            </w:r>
          </w:p>
        </w:tc>
        <w:tc>
          <w:tcPr>
            <w:tcW w:w="420" w:type="pct"/>
            <w:noWrap w:val="0"/>
            <w:tcMar>
              <w:top w:w="0" w:type="dxa"/>
              <w:left w:w="28" w:type="dxa"/>
              <w:bottom w:w="0" w:type="dxa"/>
              <w:right w:w="28" w:type="dxa"/>
            </w:tcMar>
            <w:vAlign w:val="center"/>
          </w:tcPr>
          <w:p>
            <w:pPr>
              <w:jc w:val="center"/>
              <w:textAlignment w:val="center"/>
              <w:rPr>
                <w:rFonts w:hint="default" w:eastAsia="宋体"/>
                <w:szCs w:val="21"/>
                <w:lang w:val="en-US" w:eastAsia="zh-CN"/>
              </w:rPr>
            </w:pPr>
            <w:r>
              <w:rPr>
                <w:rFonts w:hint="eastAsia"/>
                <w:szCs w:val="21"/>
              </w:rPr>
              <w:t>0.0</w:t>
            </w:r>
            <w:r>
              <w:rPr>
                <w:rFonts w:hint="eastAsia"/>
                <w:szCs w:val="21"/>
                <w:lang w:val="en-US" w:eastAsia="zh-CN"/>
              </w:rPr>
              <w:t>72</w:t>
            </w:r>
          </w:p>
        </w:tc>
        <w:tc>
          <w:tcPr>
            <w:tcW w:w="359" w:type="pct"/>
            <w:noWrap w:val="0"/>
            <w:tcMar>
              <w:top w:w="0" w:type="dxa"/>
              <w:left w:w="28" w:type="dxa"/>
              <w:bottom w:w="0" w:type="dxa"/>
              <w:right w:w="28" w:type="dxa"/>
            </w:tcMar>
            <w:vAlign w:val="center"/>
          </w:tcPr>
          <w:p>
            <w:pPr>
              <w:jc w:val="center"/>
              <w:textAlignment w:val="center"/>
              <w:rPr>
                <w:rFonts w:hint="default" w:eastAsia="宋体"/>
                <w:szCs w:val="21"/>
                <w:lang w:val="en-US" w:eastAsia="zh-CN"/>
              </w:rPr>
            </w:pPr>
            <w:r>
              <w:rPr>
                <w:rFonts w:hint="eastAsia"/>
                <w:szCs w:val="21"/>
                <w:lang w:val="en-US" w:eastAsia="zh-CN"/>
              </w:rPr>
              <w:t>12.3</w:t>
            </w:r>
          </w:p>
        </w:tc>
        <w:tc>
          <w:tcPr>
            <w:tcW w:w="359" w:type="pct"/>
            <w:noWrap w:val="0"/>
            <w:tcMar>
              <w:top w:w="0" w:type="dxa"/>
              <w:left w:w="28" w:type="dxa"/>
              <w:bottom w:w="0" w:type="dxa"/>
              <w:right w:w="28" w:type="dxa"/>
            </w:tcMar>
            <w:vAlign w:val="center"/>
          </w:tcPr>
          <w:p>
            <w:pPr>
              <w:jc w:val="center"/>
              <w:rPr>
                <w:rFonts w:hint="default" w:eastAsia="宋体"/>
                <w:szCs w:val="21"/>
                <w:lang w:val="en-US" w:eastAsia="zh-CN"/>
              </w:rPr>
            </w:pPr>
            <w:r>
              <w:rPr>
                <w:rFonts w:hint="eastAsia"/>
                <w:szCs w:val="21"/>
                <w:lang w:val="en-US" w:eastAsia="zh-CN"/>
              </w:rPr>
              <w:t>25.8</w:t>
            </w:r>
          </w:p>
        </w:tc>
        <w:tc>
          <w:tcPr>
            <w:tcW w:w="359" w:type="pct"/>
            <w:noWrap w:val="0"/>
            <w:tcMar>
              <w:top w:w="0" w:type="dxa"/>
              <w:left w:w="28" w:type="dxa"/>
              <w:bottom w:w="0" w:type="dxa"/>
              <w:right w:w="28" w:type="dxa"/>
            </w:tcMar>
            <w:vAlign w:val="center"/>
          </w:tcPr>
          <w:p>
            <w:pPr>
              <w:jc w:val="center"/>
              <w:textAlignment w:val="center"/>
              <w:rPr>
                <w:rFonts w:hint="default" w:eastAsia="宋体"/>
                <w:szCs w:val="21"/>
                <w:lang w:val="en-US" w:eastAsia="zh-CN"/>
              </w:rPr>
            </w:pPr>
            <w:r>
              <w:rPr>
                <w:rFonts w:hint="eastAsia"/>
                <w:szCs w:val="21"/>
                <w:lang w:val="en-US" w:eastAsia="zh-CN"/>
              </w:rPr>
              <w:t>20</w:t>
            </w:r>
          </w:p>
        </w:tc>
        <w:tc>
          <w:tcPr>
            <w:tcW w:w="359" w:type="pct"/>
            <w:noWrap w:val="0"/>
            <w:tcMar>
              <w:top w:w="0" w:type="dxa"/>
              <w:left w:w="28" w:type="dxa"/>
              <w:bottom w:w="0" w:type="dxa"/>
              <w:right w:w="28" w:type="dxa"/>
            </w:tcMar>
            <w:vAlign w:val="center"/>
          </w:tcPr>
          <w:p>
            <w:pPr>
              <w:jc w:val="center"/>
              <w:textAlignment w:val="center"/>
              <w:rPr>
                <w:rFonts w:hint="default" w:eastAsia="宋体"/>
                <w:szCs w:val="21"/>
                <w:lang w:val="en-US" w:eastAsia="zh-CN"/>
              </w:rPr>
            </w:pPr>
            <w:r>
              <w:rPr>
                <w:rFonts w:hint="eastAsia"/>
                <w:szCs w:val="21"/>
                <w:lang w:val="en-US" w:eastAsia="zh-CN"/>
              </w:rPr>
              <w:t>51.9</w:t>
            </w:r>
          </w:p>
        </w:tc>
        <w:tc>
          <w:tcPr>
            <w:tcW w:w="355" w:type="pct"/>
            <w:noWrap w:val="0"/>
            <w:tcMar>
              <w:top w:w="0" w:type="dxa"/>
              <w:left w:w="28" w:type="dxa"/>
              <w:bottom w:w="0" w:type="dxa"/>
              <w:right w:w="28" w:type="dxa"/>
            </w:tcMar>
            <w:vAlign w:val="center"/>
          </w:tcPr>
          <w:p>
            <w:pPr>
              <w:jc w:val="center"/>
              <w:textAlignment w:val="center"/>
              <w:rPr>
                <w:rFonts w:hint="eastAsia" w:eastAsia="宋体"/>
                <w:szCs w:val="21"/>
                <w:lang w:eastAsia="zh-CN" w:bidi="ar"/>
              </w:rPr>
            </w:pPr>
            <w:r>
              <w:rPr>
                <w:rFonts w:hint="eastAsia"/>
                <w:szCs w:val="21"/>
                <w:lang w:bidi="ar"/>
              </w:rPr>
              <w:t>2</w:t>
            </w:r>
            <w:r>
              <w:rPr>
                <w:rFonts w:hint="eastAsia"/>
                <w:szCs w:val="21"/>
                <w:lang w:val="en-US" w:eastAsia="zh-CN" w:bidi="ar"/>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436" w:type="pct"/>
            <w:vMerge w:val="continue"/>
            <w:noWrap w:val="0"/>
            <w:vAlign w:val="center"/>
          </w:tcPr>
          <w:p>
            <w:pPr>
              <w:ind w:left="-105" w:leftChars="-50" w:right="-105" w:rightChars="-50"/>
              <w:contextualSpacing/>
              <w:jc w:val="center"/>
              <w:rPr>
                <w:szCs w:val="21"/>
              </w:rPr>
            </w:pPr>
          </w:p>
        </w:tc>
        <w:tc>
          <w:tcPr>
            <w:tcW w:w="772" w:type="pct"/>
            <w:vMerge w:val="continue"/>
            <w:noWrap w:val="0"/>
            <w:tcMar>
              <w:top w:w="0" w:type="dxa"/>
              <w:left w:w="28" w:type="dxa"/>
              <w:bottom w:w="0" w:type="dxa"/>
              <w:right w:w="28" w:type="dxa"/>
            </w:tcMar>
            <w:vAlign w:val="center"/>
          </w:tcPr>
          <w:p>
            <w:pPr>
              <w:ind w:left="-105" w:leftChars="-50" w:right="-105" w:rightChars="-50"/>
              <w:contextualSpacing/>
              <w:jc w:val="center"/>
              <w:rPr>
                <w:szCs w:val="21"/>
              </w:rPr>
            </w:pPr>
          </w:p>
        </w:tc>
        <w:tc>
          <w:tcPr>
            <w:tcW w:w="477" w:type="pct"/>
            <w:noWrap w:val="0"/>
            <w:tcMar>
              <w:top w:w="0" w:type="dxa"/>
              <w:left w:w="28" w:type="dxa"/>
              <w:bottom w:w="0" w:type="dxa"/>
              <w:right w:w="28" w:type="dxa"/>
            </w:tcMar>
            <w:vAlign w:val="center"/>
          </w:tcPr>
          <w:p>
            <w:pPr>
              <w:ind w:left="-105" w:leftChars="-50" w:right="-105" w:rightChars="-50"/>
              <w:contextualSpacing/>
              <w:jc w:val="center"/>
              <w:rPr>
                <w:szCs w:val="21"/>
              </w:rPr>
            </w:pPr>
            <w:r>
              <w:rPr>
                <w:szCs w:val="21"/>
              </w:rPr>
              <w:t>超标倍数</w:t>
            </w:r>
          </w:p>
        </w:tc>
        <w:tc>
          <w:tcPr>
            <w:tcW w:w="319" w:type="pct"/>
            <w:noWrap w:val="0"/>
            <w:tcMar>
              <w:top w:w="0" w:type="dxa"/>
              <w:left w:w="28" w:type="dxa"/>
              <w:bottom w:w="0" w:type="dxa"/>
              <w:right w:w="28" w:type="dxa"/>
            </w:tcMar>
            <w:vAlign w:val="center"/>
          </w:tcPr>
          <w:p>
            <w:pPr>
              <w:jc w:val="center"/>
              <w:rPr>
                <w:b/>
              </w:rPr>
            </w:pPr>
            <w:r>
              <w:rPr>
                <w:rFonts w:hint="eastAsia"/>
                <w:b/>
                <w:szCs w:val="21"/>
              </w:rPr>
              <w:t>/</w:t>
            </w:r>
          </w:p>
        </w:tc>
        <w:tc>
          <w:tcPr>
            <w:tcW w:w="394" w:type="pct"/>
            <w:noWrap w:val="0"/>
            <w:tcMar>
              <w:top w:w="0" w:type="dxa"/>
              <w:left w:w="28" w:type="dxa"/>
              <w:bottom w:w="0" w:type="dxa"/>
              <w:right w:w="28" w:type="dxa"/>
            </w:tcMar>
            <w:vAlign w:val="center"/>
          </w:tcPr>
          <w:p>
            <w:pPr>
              <w:jc w:val="center"/>
            </w:pPr>
            <w:r>
              <w:rPr>
                <w:rFonts w:hint="eastAsia"/>
                <w:szCs w:val="21"/>
              </w:rPr>
              <w:t>0</w:t>
            </w:r>
          </w:p>
        </w:tc>
        <w:tc>
          <w:tcPr>
            <w:tcW w:w="385" w:type="pct"/>
            <w:noWrap w:val="0"/>
            <w:tcMar>
              <w:top w:w="0" w:type="dxa"/>
              <w:left w:w="28" w:type="dxa"/>
              <w:bottom w:w="0" w:type="dxa"/>
              <w:right w:w="28" w:type="dxa"/>
            </w:tcMar>
            <w:vAlign w:val="center"/>
          </w:tcPr>
          <w:p>
            <w:pPr>
              <w:jc w:val="center"/>
            </w:pPr>
            <w:r>
              <w:rPr>
                <w:rFonts w:hint="eastAsia"/>
                <w:szCs w:val="21"/>
              </w:rPr>
              <w:t>0</w:t>
            </w:r>
          </w:p>
        </w:tc>
        <w:tc>
          <w:tcPr>
            <w:tcW w:w="420" w:type="pct"/>
            <w:noWrap w:val="0"/>
            <w:tcMar>
              <w:top w:w="0" w:type="dxa"/>
              <w:left w:w="28" w:type="dxa"/>
              <w:bottom w:w="0" w:type="dxa"/>
              <w:right w:w="28" w:type="dxa"/>
            </w:tcMar>
            <w:vAlign w:val="center"/>
          </w:tcPr>
          <w:p>
            <w:pPr>
              <w:jc w:val="center"/>
            </w:pPr>
            <w:r>
              <w:rPr>
                <w:rFonts w:hint="eastAsia"/>
                <w:szCs w:val="21"/>
              </w:rPr>
              <w:t>0</w:t>
            </w:r>
          </w:p>
        </w:tc>
        <w:tc>
          <w:tcPr>
            <w:tcW w:w="359" w:type="pct"/>
            <w:noWrap w:val="0"/>
            <w:tcMar>
              <w:top w:w="0" w:type="dxa"/>
              <w:left w:w="28" w:type="dxa"/>
              <w:bottom w:w="0" w:type="dxa"/>
              <w:right w:w="28" w:type="dxa"/>
            </w:tcMar>
            <w:vAlign w:val="center"/>
          </w:tcPr>
          <w:p>
            <w:pPr>
              <w:jc w:val="center"/>
            </w:pPr>
            <w:r>
              <w:rPr>
                <w:rFonts w:hint="eastAsia"/>
                <w:szCs w:val="21"/>
              </w:rPr>
              <w:t>0</w:t>
            </w:r>
          </w:p>
        </w:tc>
        <w:tc>
          <w:tcPr>
            <w:tcW w:w="359" w:type="pct"/>
            <w:noWrap w:val="0"/>
            <w:tcMar>
              <w:top w:w="0" w:type="dxa"/>
              <w:left w:w="28" w:type="dxa"/>
              <w:bottom w:w="0" w:type="dxa"/>
              <w:right w:w="28" w:type="dxa"/>
            </w:tcMar>
            <w:vAlign w:val="center"/>
          </w:tcPr>
          <w:p>
            <w:pPr>
              <w:jc w:val="center"/>
            </w:pPr>
            <w:r>
              <w:rPr>
                <w:rFonts w:hint="eastAsia"/>
                <w:szCs w:val="21"/>
              </w:rPr>
              <w:t>0</w:t>
            </w:r>
          </w:p>
        </w:tc>
        <w:tc>
          <w:tcPr>
            <w:tcW w:w="359" w:type="pct"/>
            <w:noWrap w:val="0"/>
            <w:tcMar>
              <w:top w:w="0" w:type="dxa"/>
              <w:left w:w="28" w:type="dxa"/>
              <w:bottom w:w="0" w:type="dxa"/>
              <w:right w:w="28" w:type="dxa"/>
            </w:tcMar>
            <w:vAlign w:val="center"/>
          </w:tcPr>
          <w:p>
            <w:pPr>
              <w:jc w:val="center"/>
            </w:pPr>
            <w:r>
              <w:rPr>
                <w:rFonts w:hint="eastAsia"/>
                <w:szCs w:val="21"/>
              </w:rPr>
              <w:t>0</w:t>
            </w:r>
          </w:p>
        </w:tc>
        <w:tc>
          <w:tcPr>
            <w:tcW w:w="359" w:type="pct"/>
            <w:noWrap w:val="0"/>
            <w:tcMar>
              <w:top w:w="0" w:type="dxa"/>
              <w:left w:w="28" w:type="dxa"/>
              <w:bottom w:w="0" w:type="dxa"/>
              <w:right w:w="28" w:type="dxa"/>
            </w:tcMar>
            <w:vAlign w:val="center"/>
          </w:tcPr>
          <w:p>
            <w:pPr>
              <w:jc w:val="center"/>
            </w:pPr>
            <w:r>
              <w:rPr>
                <w:rFonts w:hint="eastAsia"/>
                <w:szCs w:val="21"/>
              </w:rPr>
              <w:t>0</w:t>
            </w:r>
          </w:p>
        </w:tc>
        <w:tc>
          <w:tcPr>
            <w:tcW w:w="355" w:type="pct"/>
            <w:noWrap w:val="0"/>
            <w:tcMar>
              <w:top w:w="0" w:type="dxa"/>
              <w:left w:w="28" w:type="dxa"/>
              <w:bottom w:w="0" w:type="dxa"/>
              <w:right w:w="28" w:type="dxa"/>
            </w:tcMar>
            <w:vAlign w:val="center"/>
          </w:tcPr>
          <w:p>
            <w:pPr>
              <w:jc w:val="center"/>
            </w:pPr>
            <w:r>
              <w:rPr>
                <w:rFonts w:hint="eastAsia"/>
                <w:szCs w:val="21"/>
              </w:rPr>
              <w:t>0</w:t>
            </w:r>
          </w:p>
        </w:tc>
      </w:tr>
    </w:tbl>
    <w:p>
      <w:pPr>
        <w:autoSpaceDE w:val="0"/>
        <w:autoSpaceDN w:val="0"/>
        <w:adjustRightInd w:val="0"/>
        <w:spacing w:line="520" w:lineRule="exact"/>
        <w:ind w:firstLine="480" w:firstLineChars="200"/>
        <w:rPr>
          <w:rFonts w:hint="eastAsia"/>
          <w:sz w:val="24"/>
        </w:rPr>
      </w:pPr>
      <w:r>
        <w:rPr>
          <w:sz w:val="24"/>
        </w:rPr>
        <w:t>由上表可知，</w:t>
      </w:r>
      <w:r>
        <w:rPr>
          <w:rFonts w:hint="eastAsia"/>
          <w:sz w:val="24"/>
        </w:rPr>
        <w:t>厂区</w:t>
      </w:r>
      <w:r>
        <w:rPr>
          <w:sz w:val="24"/>
        </w:rPr>
        <w:t>沼液消纳地</w:t>
      </w:r>
      <w:r>
        <w:rPr>
          <w:rFonts w:hint="eastAsia"/>
          <w:sz w:val="24"/>
        </w:rPr>
        <w:t>0</w:t>
      </w:r>
      <w:r>
        <w:rPr>
          <w:sz w:val="24"/>
        </w:rPr>
        <w:t>-10.2m</w:t>
      </w:r>
      <w:r>
        <w:rPr>
          <w:rFonts w:hint="eastAsia"/>
          <w:sz w:val="24"/>
        </w:rPr>
        <w:t>土壤</w:t>
      </w:r>
      <w:r>
        <w:rPr>
          <w:sz w:val="24"/>
        </w:rPr>
        <w:t>，各项检测因子均能满足</w:t>
      </w:r>
      <w:r>
        <w:rPr>
          <w:bCs/>
          <w:sz w:val="24"/>
        </w:rPr>
        <w:t>《土壤环境质量</w:t>
      </w:r>
      <w:r>
        <w:rPr>
          <w:rFonts w:hint="eastAsia"/>
          <w:bCs/>
          <w:sz w:val="24"/>
        </w:rPr>
        <w:t xml:space="preserve"> 农用地土壤污染风险管控</w:t>
      </w:r>
      <w:r>
        <w:rPr>
          <w:bCs/>
          <w:sz w:val="24"/>
        </w:rPr>
        <w:t>标准</w:t>
      </w:r>
      <w:r>
        <w:rPr>
          <w:rFonts w:hint="eastAsia"/>
          <w:bCs/>
          <w:sz w:val="24"/>
        </w:rPr>
        <w:t>（试行）</w:t>
      </w:r>
      <w:r>
        <w:rPr>
          <w:bCs/>
          <w:sz w:val="24"/>
        </w:rPr>
        <w:t>》（GB15618-2018）表1相关标准</w:t>
      </w:r>
      <w:r>
        <w:rPr>
          <w:sz w:val="24"/>
        </w:rPr>
        <w:t>。</w:t>
      </w:r>
    </w:p>
    <w:p>
      <w:pPr>
        <w:snapToGrid w:val="0"/>
        <w:spacing w:line="520" w:lineRule="exact"/>
        <w:outlineLvl w:val="1"/>
        <w:rPr>
          <w:rFonts w:eastAsia="黑体"/>
          <w:bCs/>
          <w:sz w:val="28"/>
          <w:szCs w:val="28"/>
        </w:rPr>
      </w:pPr>
      <w:bookmarkStart w:id="371" w:name="_Toc472009599"/>
      <w:bookmarkStart w:id="372" w:name="_Toc26935"/>
      <w:r>
        <w:rPr>
          <w:rFonts w:eastAsia="黑体"/>
          <w:bCs/>
          <w:sz w:val="28"/>
          <w:szCs w:val="28"/>
        </w:rPr>
        <w:t>3.4区域污染源调查</w:t>
      </w:r>
      <w:bookmarkEnd w:id="371"/>
      <w:bookmarkEnd w:id="372"/>
    </w:p>
    <w:p>
      <w:pPr>
        <w:spacing w:line="520" w:lineRule="exact"/>
        <w:ind w:firstLine="480" w:firstLineChars="200"/>
        <w:rPr>
          <w:sz w:val="24"/>
        </w:rPr>
        <w:sectPr>
          <w:footerReference r:id="rId14" w:type="default"/>
          <w:type w:val="continuous"/>
          <w:pgSz w:w="11906" w:h="16838"/>
          <w:pgMar w:top="1588" w:right="1588" w:bottom="1588" w:left="1588" w:header="851" w:footer="992" w:gutter="0"/>
          <w:pgNumType w:fmt="numberInDash"/>
          <w:cols w:space="720" w:num="1"/>
          <w:docGrid w:linePitch="312" w:charSpace="0"/>
        </w:sectPr>
      </w:pPr>
      <w:r>
        <w:rPr>
          <w:sz w:val="24"/>
        </w:rPr>
        <w:t>经调查，项目区周围无工业、养殖污染源存在。</w:t>
      </w:r>
    </w:p>
    <w:p>
      <w:pPr>
        <w:spacing w:line="520" w:lineRule="exact"/>
        <w:ind w:firstLine="432"/>
        <w:rPr>
          <w:sz w:val="24"/>
        </w:rPr>
      </w:pPr>
    </w:p>
    <w:p>
      <w:pPr>
        <w:rPr>
          <w:rFonts w:eastAsia="黑体"/>
          <w:b/>
        </w:rPr>
      </w:pPr>
    </w:p>
    <w:p>
      <w:pPr>
        <w:rPr>
          <w:rFonts w:eastAsia="黑体"/>
          <w:b/>
        </w:rPr>
      </w:pPr>
    </w:p>
    <w:p>
      <w:pPr>
        <w:rPr>
          <w:rFonts w:eastAsia="黑体"/>
          <w:b/>
        </w:rPr>
      </w:pPr>
    </w:p>
    <w:p>
      <w:pPr>
        <w:rPr>
          <w:rFonts w:eastAsia="黑体"/>
          <w:b/>
        </w:rPr>
      </w:pPr>
    </w:p>
    <w:p>
      <w:pPr>
        <w:rPr>
          <w:rFonts w:eastAsia="黑体"/>
          <w:b/>
        </w:rPr>
      </w:pPr>
    </w:p>
    <w:p>
      <w:pPr>
        <w:rPr>
          <w:rFonts w:eastAsia="黑体"/>
          <w:b/>
        </w:rPr>
      </w:pPr>
    </w:p>
    <w:p>
      <w:pPr>
        <w:rPr>
          <w:rFonts w:eastAsia="黑体"/>
          <w:b/>
        </w:rPr>
      </w:pPr>
    </w:p>
    <w:p>
      <w:pPr>
        <w:rPr>
          <w:rFonts w:eastAsia="黑体"/>
          <w:b/>
        </w:rPr>
      </w:pPr>
    </w:p>
    <w:p>
      <w:pPr>
        <w:rPr>
          <w:rFonts w:eastAsia="黑体"/>
          <w:b/>
        </w:rPr>
      </w:pPr>
    </w:p>
    <w:p>
      <w:pPr>
        <w:rPr>
          <w:rFonts w:eastAsia="黑体"/>
          <w:b/>
        </w:rPr>
      </w:pPr>
    </w:p>
    <w:p>
      <w:pPr>
        <w:rPr>
          <w:rFonts w:eastAsia="黑体"/>
          <w:b/>
        </w:rPr>
      </w:pPr>
    </w:p>
    <w:p>
      <w:pPr>
        <w:rPr>
          <w:rFonts w:eastAsia="黑体"/>
          <w:b/>
        </w:rPr>
        <w:sectPr>
          <w:footerReference r:id="rId15" w:type="default"/>
          <w:type w:val="continuous"/>
          <w:pgSz w:w="11906" w:h="16838"/>
          <w:pgMar w:top="1588" w:right="1588" w:bottom="1588" w:left="1588" w:header="851" w:footer="992" w:gutter="0"/>
          <w:pgNumType w:fmt="numberInDash"/>
          <w:cols w:space="720" w:num="1"/>
          <w:docGrid w:linePitch="312" w:charSpace="0"/>
        </w:sectPr>
      </w:pPr>
    </w:p>
    <w:p>
      <w:pPr>
        <w:keepNext/>
        <w:keepLines/>
        <w:pageBreakBefore/>
        <w:spacing w:before="360" w:after="360" w:line="520" w:lineRule="exact"/>
        <w:jc w:val="center"/>
        <w:outlineLvl w:val="0"/>
        <w:rPr>
          <w:b/>
          <w:sz w:val="44"/>
          <w:szCs w:val="44"/>
        </w:rPr>
      </w:pPr>
      <w:bookmarkStart w:id="373" w:name="_Toc413053003"/>
      <w:bookmarkEnd w:id="373"/>
      <w:bookmarkStart w:id="374" w:name="_Toc406847740"/>
      <w:bookmarkEnd w:id="374"/>
      <w:bookmarkStart w:id="375" w:name="_Toc472009600"/>
      <w:bookmarkStart w:id="376" w:name="_Toc18556"/>
      <w:r>
        <w:rPr>
          <w:b/>
          <w:kern w:val="0"/>
          <w:sz w:val="44"/>
          <w:szCs w:val="44"/>
          <w:lang w:bidi="ar"/>
        </w:rPr>
        <w:t>第</w:t>
      </w:r>
      <w:bookmarkEnd w:id="375"/>
      <w:r>
        <w:rPr>
          <w:b/>
          <w:kern w:val="0"/>
          <w:sz w:val="44"/>
          <w:szCs w:val="44"/>
          <w:lang w:bidi="ar"/>
        </w:rPr>
        <w:t>四章  环境影响预测与评价</w:t>
      </w:r>
      <w:bookmarkEnd w:id="376"/>
    </w:p>
    <w:p>
      <w:pPr>
        <w:snapToGrid w:val="0"/>
        <w:spacing w:line="520" w:lineRule="exact"/>
        <w:outlineLvl w:val="1"/>
        <w:rPr>
          <w:rFonts w:eastAsia="黑体"/>
          <w:bCs/>
          <w:sz w:val="28"/>
          <w:szCs w:val="28"/>
        </w:rPr>
      </w:pPr>
      <w:bookmarkStart w:id="377" w:name="_Toc413053004"/>
      <w:bookmarkEnd w:id="377"/>
      <w:bookmarkStart w:id="378" w:name="_Toc406847741"/>
      <w:bookmarkEnd w:id="378"/>
      <w:bookmarkStart w:id="379" w:name="_Toc29938"/>
      <w:r>
        <w:rPr>
          <w:rFonts w:hint="eastAsia" w:eastAsia="黑体"/>
          <w:bCs/>
          <w:sz w:val="28"/>
          <w:szCs w:val="28"/>
        </w:rPr>
        <w:t>4.</w:t>
      </w:r>
      <w:r>
        <w:rPr>
          <w:rFonts w:eastAsia="黑体"/>
          <w:bCs/>
          <w:sz w:val="28"/>
          <w:szCs w:val="28"/>
        </w:rPr>
        <w:t>1 施工期环境影响分析</w:t>
      </w:r>
      <w:bookmarkEnd w:id="379"/>
    </w:p>
    <w:p>
      <w:pPr>
        <w:spacing w:line="520" w:lineRule="exact"/>
        <w:ind w:firstLine="480" w:firstLineChars="200"/>
        <w:rPr>
          <w:sz w:val="24"/>
        </w:rPr>
      </w:pPr>
      <w:r>
        <w:rPr>
          <w:kern w:val="0"/>
          <w:sz w:val="24"/>
          <w:lang w:bidi="ar"/>
        </w:rPr>
        <w:t>本项目建设地点位于</w:t>
      </w:r>
      <w:r>
        <w:rPr>
          <w:rFonts w:hint="eastAsia"/>
          <w:sz w:val="24"/>
          <w:lang w:eastAsia="zh-CN"/>
        </w:rPr>
        <w:t>正阳县汝南埠镇大温寺王店</w:t>
      </w:r>
      <w:r>
        <w:rPr>
          <w:kern w:val="0"/>
          <w:sz w:val="24"/>
          <w:lang w:bidi="ar"/>
        </w:rPr>
        <w:t>，总占地面积</w:t>
      </w:r>
      <w:r>
        <w:rPr>
          <w:rFonts w:hint="eastAsia"/>
          <w:iCs/>
          <w:kern w:val="0"/>
          <w:sz w:val="24"/>
          <w:lang w:eastAsia="zh-CN" w:bidi="ar"/>
        </w:rPr>
        <w:t>17831.57</w:t>
      </w:r>
      <w:r>
        <w:rPr>
          <w:bCs/>
          <w:kern w:val="0"/>
          <w:sz w:val="24"/>
          <w:lang w:bidi="ar"/>
        </w:rPr>
        <w:t>m</w:t>
      </w:r>
      <w:r>
        <w:rPr>
          <w:bCs/>
          <w:kern w:val="0"/>
          <w:sz w:val="24"/>
          <w:vertAlign w:val="superscript"/>
          <w:lang w:bidi="ar"/>
        </w:rPr>
        <w:t>2</w:t>
      </w:r>
      <w:r>
        <w:rPr>
          <w:kern w:val="0"/>
          <w:sz w:val="24"/>
          <w:lang w:bidi="ar"/>
        </w:rPr>
        <w:t>，</w:t>
      </w:r>
      <w:r>
        <w:rPr>
          <w:rFonts w:hint="eastAsia"/>
          <w:kern w:val="0"/>
          <w:sz w:val="24"/>
          <w:lang w:bidi="ar"/>
        </w:rPr>
        <w:t>新建</w:t>
      </w:r>
      <w:r>
        <w:rPr>
          <w:rFonts w:hint="eastAsia"/>
          <w:kern w:val="0"/>
          <w:sz w:val="24"/>
          <w:lang w:eastAsia="zh-CN" w:bidi="ar"/>
        </w:rPr>
        <w:t>10栋</w:t>
      </w:r>
      <w:r>
        <w:rPr>
          <w:rFonts w:hint="eastAsia"/>
          <w:kern w:val="0"/>
          <w:sz w:val="24"/>
          <w:lang w:bidi="ar"/>
        </w:rPr>
        <w:t>育肥猪舍，建设工期计划6个月。</w:t>
      </w:r>
      <w:r>
        <w:rPr>
          <w:kern w:val="0"/>
          <w:sz w:val="24"/>
          <w:lang w:bidi="ar"/>
        </w:rPr>
        <w:t>施工内容主要包括场地平整，土建、附属设施的新建、设备安装等。施工期间对环境的影响主要是扬尘、废水、施工噪声、建筑垃圾及生态影响等。</w:t>
      </w:r>
    </w:p>
    <w:p>
      <w:pPr>
        <w:pStyle w:val="2"/>
        <w:spacing w:before="0" w:after="0" w:line="520" w:lineRule="exact"/>
        <w:rPr>
          <w:rFonts w:eastAsia="黑体"/>
          <w:b w:val="0"/>
          <w:sz w:val="24"/>
          <w:szCs w:val="24"/>
        </w:rPr>
      </w:pPr>
      <w:bookmarkStart w:id="380" w:name="_Toc413053005"/>
      <w:bookmarkEnd w:id="380"/>
      <w:bookmarkStart w:id="381" w:name="_Toc95280008"/>
      <w:bookmarkEnd w:id="381"/>
      <w:bookmarkStart w:id="382" w:name="_Toc148502308"/>
      <w:bookmarkEnd w:id="382"/>
      <w:bookmarkStart w:id="383" w:name="_Toc148502223"/>
      <w:bookmarkEnd w:id="383"/>
      <w:bookmarkStart w:id="384" w:name="_Toc148515624"/>
      <w:bookmarkEnd w:id="384"/>
      <w:bookmarkStart w:id="385" w:name="_Toc153134044"/>
      <w:bookmarkEnd w:id="385"/>
      <w:bookmarkStart w:id="386" w:name="_Toc406847742"/>
      <w:bookmarkEnd w:id="386"/>
      <w:bookmarkStart w:id="387" w:name="_Toc311380300"/>
      <w:bookmarkEnd w:id="387"/>
      <w:bookmarkStart w:id="388" w:name="_Toc319910885"/>
      <w:bookmarkEnd w:id="388"/>
      <w:bookmarkStart w:id="389" w:name="_Toc311379467"/>
      <w:bookmarkEnd w:id="389"/>
      <w:bookmarkStart w:id="390" w:name="_Toc148502648"/>
      <w:bookmarkEnd w:id="390"/>
      <w:bookmarkStart w:id="391" w:name="_Toc522113039"/>
      <w:r>
        <w:rPr>
          <w:rFonts w:eastAsia="黑体"/>
          <w:b w:val="0"/>
          <w:sz w:val="24"/>
          <w:szCs w:val="24"/>
        </w:rPr>
        <w:t>4</w:t>
      </w:r>
      <w:bookmarkEnd w:id="391"/>
      <w:r>
        <w:rPr>
          <w:rFonts w:eastAsia="黑体"/>
          <w:b w:val="0"/>
          <w:sz w:val="24"/>
          <w:szCs w:val="24"/>
        </w:rPr>
        <w:t>.1.1施工期大气环境影响分析</w:t>
      </w:r>
    </w:p>
    <w:p>
      <w:pPr>
        <w:spacing w:line="500" w:lineRule="exact"/>
        <w:rPr>
          <w:sz w:val="24"/>
        </w:rPr>
      </w:pPr>
      <w:bookmarkStart w:id="392" w:name="_Toc319910886"/>
      <w:bookmarkEnd w:id="392"/>
      <w:bookmarkStart w:id="393" w:name="_Toc311379468"/>
      <w:bookmarkEnd w:id="393"/>
      <w:bookmarkStart w:id="394" w:name="_Toc311380301"/>
      <w:r>
        <w:rPr>
          <w:b/>
          <w:kern w:val="0"/>
          <w:sz w:val="24"/>
          <w:lang w:bidi="ar"/>
        </w:rPr>
        <w:t>4</w:t>
      </w:r>
      <w:bookmarkEnd w:id="394"/>
      <w:r>
        <w:rPr>
          <w:b/>
          <w:kern w:val="0"/>
          <w:sz w:val="24"/>
          <w:lang w:bidi="ar"/>
        </w:rPr>
        <w:t>.1.1.1施工车辆尾气</w:t>
      </w:r>
      <w:r>
        <w:rPr>
          <w:kern w:val="0"/>
          <w:sz w:val="24"/>
          <w:lang w:bidi="ar"/>
        </w:rPr>
        <w:tab/>
      </w:r>
    </w:p>
    <w:p>
      <w:pPr>
        <w:spacing w:line="520" w:lineRule="exact"/>
        <w:ind w:firstLine="480" w:firstLineChars="200"/>
        <w:rPr>
          <w:sz w:val="24"/>
        </w:rPr>
      </w:pPr>
      <w:r>
        <w:rPr>
          <w:kern w:val="0"/>
          <w:sz w:val="24"/>
          <w:lang w:bidi="ar"/>
        </w:rPr>
        <w:t>施工过程中各种施工车辆（如装载机、自卸汽车、挖土机等）会产生施工车辆尾气，其污染物主要为CO、SO</w:t>
      </w:r>
      <w:r>
        <w:rPr>
          <w:kern w:val="0"/>
          <w:sz w:val="24"/>
          <w:vertAlign w:val="subscript"/>
          <w:lang w:bidi="ar"/>
        </w:rPr>
        <w:t>2</w:t>
      </w:r>
      <w:r>
        <w:rPr>
          <w:kern w:val="0"/>
          <w:sz w:val="24"/>
          <w:lang w:bidi="ar"/>
        </w:rPr>
        <w:t>、NO</w:t>
      </w:r>
      <w:r>
        <w:rPr>
          <w:kern w:val="0"/>
          <w:sz w:val="24"/>
          <w:vertAlign w:val="subscript"/>
          <w:lang w:bidi="ar"/>
        </w:rPr>
        <w:t>X</w:t>
      </w:r>
      <w:r>
        <w:rPr>
          <w:kern w:val="0"/>
          <w:sz w:val="24"/>
          <w:lang w:bidi="ar"/>
        </w:rPr>
        <w:t>等。</w:t>
      </w:r>
    </w:p>
    <w:p>
      <w:pPr>
        <w:spacing w:line="520" w:lineRule="exact"/>
        <w:ind w:firstLine="480" w:firstLineChars="200"/>
        <w:rPr>
          <w:sz w:val="24"/>
        </w:rPr>
      </w:pPr>
      <w:r>
        <w:rPr>
          <w:kern w:val="0"/>
          <w:sz w:val="24"/>
          <w:lang w:bidi="ar"/>
        </w:rPr>
        <w:t>防治措施：</w:t>
      </w:r>
    </w:p>
    <w:p>
      <w:pPr>
        <w:spacing w:line="520" w:lineRule="exact"/>
        <w:ind w:firstLine="480" w:firstLineChars="200"/>
        <w:rPr>
          <w:sz w:val="24"/>
        </w:rPr>
      </w:pPr>
      <w:r>
        <w:rPr>
          <w:kern w:val="0"/>
          <w:sz w:val="24"/>
          <w:lang w:bidi="ar"/>
        </w:rPr>
        <w:t>（1）参与施工的各种车辆和作业机械，应有尾气年检合格证；</w:t>
      </w:r>
    </w:p>
    <w:p>
      <w:pPr>
        <w:spacing w:line="520" w:lineRule="exact"/>
        <w:ind w:firstLine="480" w:firstLineChars="200"/>
        <w:rPr>
          <w:sz w:val="24"/>
        </w:rPr>
      </w:pPr>
      <w:r>
        <w:rPr>
          <w:kern w:val="0"/>
          <w:sz w:val="24"/>
          <w:lang w:bidi="ar"/>
        </w:rPr>
        <w:t>（2）在使用期间要保证其正常运行，经常检修保养，防止非正常运行造成尾气超标排放。</w:t>
      </w:r>
    </w:p>
    <w:p>
      <w:pPr>
        <w:spacing w:line="500" w:lineRule="exact"/>
        <w:rPr>
          <w:b/>
          <w:sz w:val="24"/>
        </w:rPr>
      </w:pPr>
      <w:bookmarkStart w:id="395" w:name="_Toc319910887"/>
      <w:bookmarkEnd w:id="395"/>
      <w:bookmarkStart w:id="396" w:name="_Toc311380302"/>
      <w:bookmarkEnd w:id="396"/>
      <w:bookmarkStart w:id="397" w:name="_Toc311379469"/>
      <w:r>
        <w:rPr>
          <w:b/>
          <w:kern w:val="0"/>
          <w:sz w:val="24"/>
          <w:lang w:bidi="ar"/>
        </w:rPr>
        <w:t>4</w:t>
      </w:r>
      <w:bookmarkEnd w:id="397"/>
      <w:r>
        <w:rPr>
          <w:b/>
          <w:kern w:val="0"/>
          <w:sz w:val="24"/>
          <w:lang w:bidi="ar"/>
        </w:rPr>
        <w:t>.1.1.2施工扬尘</w:t>
      </w:r>
    </w:p>
    <w:p>
      <w:pPr>
        <w:pStyle w:val="30"/>
        <w:spacing w:line="520" w:lineRule="exact"/>
        <w:ind w:firstLine="480"/>
        <w:rPr>
          <w:rFonts w:hint="eastAsia" w:ascii="Times New Roman" w:hAnsi="Times New Roman" w:eastAsia="宋体"/>
          <w:spacing w:val="0"/>
          <w:sz w:val="24"/>
          <w:szCs w:val="24"/>
          <w:lang w:bidi="ar"/>
        </w:rPr>
      </w:pPr>
      <w:bookmarkStart w:id="398" w:name="_Toc413053006"/>
      <w:r>
        <w:rPr>
          <w:rFonts w:hint="eastAsia" w:ascii="Times New Roman" w:hAnsi="Times New Roman" w:eastAsia="宋体"/>
          <w:spacing w:val="0"/>
          <w:sz w:val="24"/>
          <w:szCs w:val="24"/>
          <w:lang w:bidi="ar"/>
        </w:rPr>
        <w:t>本项目施工期废气主要为施工扬尘，施工扬尘主要来自以下几个方面：①运输车辆运行时产生的道路扬尘；②车辆运输过程中散落的砂石、土等材料产生的二次扬尘；③露天堆放的建材及裸露的施工区表层产生的扬尘；④建材的装卸、搅拌过程中产生的扬尘。</w:t>
      </w:r>
    </w:p>
    <w:p>
      <w:pPr>
        <w:pStyle w:val="30"/>
        <w:spacing w:line="520" w:lineRule="exact"/>
        <w:ind w:firstLine="480"/>
        <w:rPr>
          <w:rFonts w:hint="eastAsia" w:ascii="Times New Roman" w:hAnsi="Times New Roman" w:eastAsia="宋体"/>
          <w:spacing w:val="0"/>
          <w:sz w:val="24"/>
          <w:szCs w:val="24"/>
          <w:lang w:bidi="ar"/>
        </w:rPr>
      </w:pPr>
      <w:r>
        <w:rPr>
          <w:rFonts w:hint="eastAsia" w:ascii="Times New Roman" w:hAnsi="Times New Roman" w:eastAsia="宋体"/>
          <w:spacing w:val="0"/>
          <w:sz w:val="24"/>
          <w:szCs w:val="24"/>
          <w:lang w:bidi="ar"/>
        </w:rPr>
        <w:t>扬尘对附近的大气环境和居民带来不利的影响，因此必须采取合理可行的控制措施，尽量减轻污染程度，缩小影响范围。其主要对策有：</w:t>
      </w:r>
    </w:p>
    <w:p>
      <w:pPr>
        <w:pStyle w:val="30"/>
        <w:spacing w:line="520" w:lineRule="exact"/>
        <w:ind w:firstLine="480"/>
        <w:rPr>
          <w:rFonts w:hint="eastAsia" w:ascii="Times New Roman" w:hAnsi="Times New Roman" w:eastAsia="宋体"/>
          <w:spacing w:val="0"/>
          <w:sz w:val="24"/>
          <w:szCs w:val="24"/>
          <w:lang w:bidi="ar"/>
        </w:rPr>
      </w:pPr>
      <w:r>
        <w:rPr>
          <w:rFonts w:hint="eastAsia" w:ascii="Times New Roman" w:hAnsi="Times New Roman" w:eastAsia="宋体"/>
          <w:spacing w:val="0"/>
          <w:sz w:val="24"/>
          <w:szCs w:val="24"/>
          <w:lang w:bidi="ar"/>
        </w:rPr>
        <w:t>（1）对施工现场进行科学管理，砂石料应统一堆放，水泥应设专门库房堆放，减少搬运环节，搬运时轻举轻放，防止包装袋破裂。</w:t>
      </w:r>
    </w:p>
    <w:p>
      <w:pPr>
        <w:pStyle w:val="30"/>
        <w:spacing w:line="520" w:lineRule="exact"/>
        <w:ind w:firstLine="480"/>
        <w:rPr>
          <w:rFonts w:hint="eastAsia" w:ascii="Times New Roman" w:hAnsi="Times New Roman" w:eastAsia="宋体"/>
          <w:spacing w:val="0"/>
          <w:sz w:val="24"/>
          <w:szCs w:val="24"/>
          <w:lang w:bidi="ar"/>
        </w:rPr>
      </w:pPr>
      <w:r>
        <w:rPr>
          <w:rFonts w:hint="eastAsia" w:ascii="Times New Roman" w:hAnsi="Times New Roman" w:eastAsia="宋体"/>
          <w:spacing w:val="0"/>
          <w:sz w:val="24"/>
          <w:szCs w:val="24"/>
          <w:lang w:bidi="ar"/>
        </w:rPr>
        <w:t>（2）开挖时，对作业面适当喷水，使其保持一定的湿度，以减少扬尘量。而且建筑材料和建筑垃圾应及时运走。</w:t>
      </w:r>
    </w:p>
    <w:p>
      <w:pPr>
        <w:pStyle w:val="30"/>
        <w:spacing w:line="520" w:lineRule="exact"/>
        <w:ind w:firstLine="480"/>
        <w:rPr>
          <w:rFonts w:hint="eastAsia" w:ascii="Times New Roman" w:hAnsi="Times New Roman" w:eastAsia="宋体"/>
          <w:spacing w:val="0"/>
          <w:sz w:val="24"/>
          <w:szCs w:val="24"/>
          <w:lang w:bidi="ar"/>
        </w:rPr>
      </w:pPr>
      <w:r>
        <w:rPr>
          <w:rFonts w:hint="eastAsia" w:ascii="Times New Roman" w:hAnsi="Times New Roman" w:eastAsia="宋体"/>
          <w:spacing w:val="0"/>
          <w:sz w:val="24"/>
          <w:szCs w:val="24"/>
          <w:lang w:bidi="ar"/>
        </w:rPr>
        <w:t>根据河南省环境保护厅关于发布《河南省建筑扬尘排污量抽样测算办法》 （暂行）的公告（第二批）中相关规定，扬尘基本排放量测算如下：施工场地、施工道路的扬尘可用洒水和清扫措施予以抑止。如果只洒水清扫，可使扬尘量减少70%~80%，如洒水清扫后再洒水，抑尘效率达90%以上。有关试验表明，在施工场地每天洒水抑尘作业4~5次，其扬尘造成的TSP污染距离可缩小到20~50m范围内。</w:t>
      </w:r>
    </w:p>
    <w:p>
      <w:pPr>
        <w:pStyle w:val="30"/>
        <w:spacing w:line="520" w:lineRule="exact"/>
        <w:ind w:firstLine="480"/>
        <w:rPr>
          <w:rFonts w:hint="eastAsia" w:ascii="Times New Roman" w:hAnsi="Times New Roman" w:eastAsia="宋体"/>
          <w:spacing w:val="0"/>
          <w:sz w:val="24"/>
          <w:szCs w:val="24"/>
          <w:lang w:bidi="ar"/>
        </w:rPr>
      </w:pPr>
      <w:r>
        <w:rPr>
          <w:rFonts w:hint="eastAsia" w:ascii="Times New Roman" w:hAnsi="Times New Roman" w:eastAsia="宋体"/>
          <w:spacing w:val="0"/>
          <w:sz w:val="24"/>
          <w:szCs w:val="24"/>
          <w:lang w:bidi="ar"/>
        </w:rPr>
        <w:t>（3）谨防运输车辆装载过满，并采取遮盖、密闭措施，减少其沿途抛洒，并及时清扫散落在路面的泥土和灰尘，冲洗轮胎，定时洒水压尘，减少运输过程中的扬尘。</w:t>
      </w:r>
    </w:p>
    <w:p>
      <w:pPr>
        <w:pStyle w:val="30"/>
        <w:spacing w:line="520" w:lineRule="exact"/>
        <w:ind w:firstLine="480"/>
        <w:rPr>
          <w:rFonts w:hint="eastAsia" w:ascii="Times New Roman" w:hAnsi="Times New Roman" w:eastAsia="宋体"/>
          <w:spacing w:val="0"/>
          <w:sz w:val="24"/>
          <w:szCs w:val="24"/>
          <w:lang w:bidi="ar"/>
        </w:rPr>
      </w:pPr>
      <w:r>
        <w:rPr>
          <w:rFonts w:hint="eastAsia" w:ascii="Times New Roman" w:hAnsi="Times New Roman" w:eastAsia="宋体"/>
          <w:spacing w:val="0"/>
          <w:sz w:val="24"/>
          <w:szCs w:val="24"/>
          <w:lang w:bidi="ar"/>
        </w:rPr>
        <w:t>（4）施工现场要围栏或部分围栏，减少施工扬尘扩散范围。</w:t>
      </w:r>
    </w:p>
    <w:p>
      <w:pPr>
        <w:pStyle w:val="30"/>
        <w:spacing w:line="520" w:lineRule="exact"/>
        <w:ind w:firstLine="480"/>
        <w:rPr>
          <w:rFonts w:hint="eastAsia" w:ascii="Times New Roman" w:hAnsi="Times New Roman" w:eastAsia="宋体"/>
          <w:spacing w:val="0"/>
          <w:sz w:val="24"/>
          <w:szCs w:val="24"/>
          <w:lang w:bidi="ar"/>
        </w:rPr>
      </w:pPr>
      <w:r>
        <w:rPr>
          <w:rFonts w:hint="eastAsia" w:ascii="Times New Roman" w:hAnsi="Times New Roman" w:eastAsia="宋体"/>
          <w:spacing w:val="0"/>
          <w:sz w:val="24"/>
          <w:szCs w:val="24"/>
          <w:lang w:bidi="ar"/>
        </w:rPr>
        <w:t>（5）风速过大时停止施工，对堆放的砂石等建筑材料进行遮盖处理。</w:t>
      </w:r>
    </w:p>
    <w:p>
      <w:pPr>
        <w:pStyle w:val="30"/>
        <w:spacing w:line="520" w:lineRule="exact"/>
        <w:ind w:firstLine="200" w:firstLineChars="0"/>
        <w:rPr>
          <w:rFonts w:hint="eastAsia" w:ascii="Times New Roman" w:hAnsi="宋体" w:eastAsia="宋体"/>
          <w:spacing w:val="0"/>
          <w:sz w:val="24"/>
          <w:szCs w:val="20"/>
        </w:rPr>
      </w:pPr>
      <w:r>
        <w:rPr>
          <w:rFonts w:hint="eastAsia" w:ascii="Times New Roman" w:hAnsi="Times New Roman" w:eastAsia="宋体"/>
          <w:spacing w:val="0"/>
          <w:sz w:val="24"/>
          <w:szCs w:val="24"/>
          <w:lang w:bidi="ar"/>
        </w:rPr>
        <w:t>通过采取以上防治措施，施工弃土及时回填，砂料、石灰、水泥等堆放时应采用篷布遮盖，运输道路采取洒水等措施后，厂界周围环境空气质量可以满足二级标准要求。项目周围500m范围内无敏感点，距项目最近敏感点为东侧505m处的叶楼村，项目施工扬尘不会对周边敏感点造成太大影响</w:t>
      </w:r>
      <w:r>
        <w:rPr>
          <w:rFonts w:hint="eastAsia" w:ascii="Times New Roman" w:hAnsi="宋体" w:eastAsia="宋体"/>
          <w:spacing w:val="0"/>
          <w:sz w:val="24"/>
          <w:szCs w:val="20"/>
        </w:rPr>
        <w:t>。</w:t>
      </w:r>
    </w:p>
    <w:p>
      <w:pPr>
        <w:pStyle w:val="2"/>
        <w:spacing w:before="0" w:after="0" w:line="520" w:lineRule="exact"/>
        <w:rPr>
          <w:rFonts w:eastAsia="黑体"/>
          <w:b w:val="0"/>
          <w:sz w:val="24"/>
          <w:szCs w:val="24"/>
        </w:rPr>
      </w:pPr>
      <w:r>
        <w:rPr>
          <w:rFonts w:eastAsia="黑体"/>
          <w:b w:val="0"/>
          <w:sz w:val="24"/>
          <w:szCs w:val="24"/>
        </w:rPr>
        <w:t>4</w:t>
      </w:r>
      <w:bookmarkEnd w:id="398"/>
      <w:r>
        <w:rPr>
          <w:rFonts w:eastAsia="黑体"/>
          <w:b w:val="0"/>
          <w:sz w:val="24"/>
          <w:szCs w:val="24"/>
        </w:rPr>
        <w:t>.1.2施工期噪声环境影响分析</w:t>
      </w:r>
    </w:p>
    <w:p>
      <w:pPr>
        <w:spacing w:line="500" w:lineRule="exact"/>
        <w:rPr>
          <w:b/>
          <w:sz w:val="24"/>
        </w:rPr>
      </w:pPr>
      <w:r>
        <w:rPr>
          <w:b/>
          <w:kern w:val="0"/>
          <w:sz w:val="24"/>
          <w:lang w:bidi="ar"/>
        </w:rPr>
        <w:t>4.1.2.1施工期噪声种类及源强</w:t>
      </w:r>
    </w:p>
    <w:p>
      <w:pPr>
        <w:spacing w:line="520" w:lineRule="exact"/>
        <w:ind w:firstLine="480" w:firstLineChars="200"/>
        <w:rPr>
          <w:sz w:val="24"/>
        </w:rPr>
      </w:pPr>
      <w:r>
        <w:rPr>
          <w:kern w:val="0"/>
          <w:sz w:val="24"/>
          <w:lang w:bidi="ar"/>
        </w:rPr>
        <w:t>施工期的噪声主要可分为机械噪声、施工作业噪声和施工车辆噪声。机械噪声主要由施工机械所造成，如挖土机、推土机等，多为点声源；施工作业噪声主要指一些零星的敲打声、装卸车辆的撞击声、吆喝声、拆装模板的撞击声等，多为瞬间噪声；施工车辆的噪声属于交通噪声。在这些施工噪声中对周围声环境影响最大的是机械噪声。主要施工机械的噪声源强见表4.1-1。</w:t>
      </w:r>
    </w:p>
    <w:p>
      <w:pPr>
        <w:spacing w:after="93" w:afterLines="30" w:line="500" w:lineRule="exact"/>
        <w:jc w:val="center"/>
        <w:rPr>
          <w:b/>
          <w:sz w:val="24"/>
        </w:rPr>
      </w:pPr>
      <w:r>
        <w:rPr>
          <w:b/>
          <w:kern w:val="0"/>
          <w:sz w:val="24"/>
          <w:lang w:bidi="ar"/>
        </w:rPr>
        <w:t xml:space="preserve">表4.1-1      主要施工机械设备的噪声声级  </w:t>
      </w:r>
    </w:p>
    <w:tbl>
      <w:tblPr>
        <w:tblStyle w:val="1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099"/>
        <w:gridCol w:w="2099"/>
        <w:gridCol w:w="2356"/>
        <w:gridCol w:w="239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9" w:type="dxa"/>
            <w:noWrap w:val="0"/>
            <w:vAlign w:val="center"/>
          </w:tcPr>
          <w:p>
            <w:pPr>
              <w:spacing w:line="360" w:lineRule="exact"/>
              <w:jc w:val="center"/>
              <w:rPr>
                <w:b/>
                <w:szCs w:val="21"/>
              </w:rPr>
            </w:pPr>
            <w:r>
              <w:rPr>
                <w:b/>
                <w:kern w:val="0"/>
                <w:szCs w:val="21"/>
                <w:lang w:bidi="ar"/>
              </w:rPr>
              <w:t>序号</w:t>
            </w:r>
          </w:p>
        </w:tc>
        <w:tc>
          <w:tcPr>
            <w:tcW w:w="2099" w:type="dxa"/>
            <w:noWrap w:val="0"/>
            <w:vAlign w:val="center"/>
          </w:tcPr>
          <w:p>
            <w:pPr>
              <w:spacing w:line="360" w:lineRule="exact"/>
              <w:jc w:val="center"/>
              <w:rPr>
                <w:b/>
                <w:szCs w:val="21"/>
              </w:rPr>
            </w:pPr>
            <w:r>
              <w:rPr>
                <w:b/>
                <w:kern w:val="0"/>
                <w:szCs w:val="21"/>
                <w:lang w:bidi="ar"/>
              </w:rPr>
              <w:t>施工机械</w:t>
            </w:r>
          </w:p>
        </w:tc>
        <w:tc>
          <w:tcPr>
            <w:tcW w:w="2356" w:type="dxa"/>
            <w:noWrap w:val="0"/>
            <w:vAlign w:val="center"/>
          </w:tcPr>
          <w:p>
            <w:pPr>
              <w:spacing w:line="360" w:lineRule="exact"/>
              <w:jc w:val="center"/>
              <w:rPr>
                <w:b/>
                <w:szCs w:val="21"/>
              </w:rPr>
            </w:pPr>
            <w:r>
              <w:rPr>
                <w:b/>
                <w:kern w:val="0"/>
                <w:szCs w:val="21"/>
                <w:lang w:bidi="ar"/>
              </w:rPr>
              <w:t>测量声级dB(A)</w:t>
            </w:r>
          </w:p>
        </w:tc>
        <w:tc>
          <w:tcPr>
            <w:tcW w:w="2392" w:type="dxa"/>
            <w:noWrap w:val="0"/>
            <w:vAlign w:val="center"/>
          </w:tcPr>
          <w:p>
            <w:pPr>
              <w:spacing w:line="360" w:lineRule="exact"/>
              <w:jc w:val="center"/>
              <w:rPr>
                <w:b/>
                <w:szCs w:val="21"/>
              </w:rPr>
            </w:pPr>
            <w:r>
              <w:rPr>
                <w:b/>
                <w:kern w:val="0"/>
                <w:szCs w:val="21"/>
                <w:lang w:bidi="ar"/>
              </w:rPr>
              <w:t>测量距离（m）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9" w:type="dxa"/>
            <w:noWrap w:val="0"/>
            <w:vAlign w:val="center"/>
          </w:tcPr>
          <w:p>
            <w:pPr>
              <w:topLinePunct/>
              <w:spacing w:line="288" w:lineRule="auto"/>
              <w:jc w:val="center"/>
              <w:rPr>
                <w:color w:val="000000"/>
                <w:szCs w:val="21"/>
              </w:rPr>
            </w:pPr>
            <w:r>
              <w:rPr>
                <w:color w:val="000000"/>
                <w:szCs w:val="21"/>
              </w:rPr>
              <w:t>1</w:t>
            </w:r>
          </w:p>
        </w:tc>
        <w:tc>
          <w:tcPr>
            <w:tcW w:w="2099" w:type="dxa"/>
            <w:noWrap w:val="0"/>
            <w:vAlign w:val="center"/>
          </w:tcPr>
          <w:p>
            <w:pPr>
              <w:topLinePunct/>
              <w:spacing w:line="288" w:lineRule="auto"/>
              <w:jc w:val="center"/>
              <w:rPr>
                <w:color w:val="000000"/>
                <w:szCs w:val="21"/>
              </w:rPr>
            </w:pPr>
            <w:r>
              <w:rPr>
                <w:color w:val="000000"/>
                <w:szCs w:val="21"/>
              </w:rPr>
              <w:t>挖掘机</w:t>
            </w:r>
          </w:p>
        </w:tc>
        <w:tc>
          <w:tcPr>
            <w:tcW w:w="2356" w:type="dxa"/>
            <w:noWrap w:val="0"/>
            <w:vAlign w:val="center"/>
          </w:tcPr>
          <w:p>
            <w:pPr>
              <w:topLinePunct/>
              <w:spacing w:line="288" w:lineRule="auto"/>
              <w:jc w:val="center"/>
              <w:rPr>
                <w:color w:val="000000"/>
                <w:szCs w:val="21"/>
              </w:rPr>
            </w:pPr>
            <w:r>
              <w:rPr>
                <w:color w:val="000000"/>
                <w:szCs w:val="21"/>
              </w:rPr>
              <w:t>91</w:t>
            </w:r>
          </w:p>
        </w:tc>
        <w:tc>
          <w:tcPr>
            <w:tcW w:w="2392" w:type="dxa"/>
            <w:noWrap w:val="0"/>
            <w:vAlign w:val="center"/>
          </w:tcPr>
          <w:p>
            <w:pPr>
              <w:topLinePunct/>
              <w:spacing w:line="288" w:lineRule="auto"/>
              <w:jc w:val="center"/>
              <w:rPr>
                <w:color w:val="000000"/>
                <w:szCs w:val="21"/>
              </w:rPr>
            </w:pPr>
            <w:r>
              <w:rPr>
                <w:color w:val="000000"/>
                <w:szCs w:val="21"/>
              </w:rPr>
              <w:t>距声源1m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9" w:type="dxa"/>
            <w:noWrap w:val="0"/>
            <w:vAlign w:val="center"/>
          </w:tcPr>
          <w:p>
            <w:pPr>
              <w:topLinePunct/>
              <w:spacing w:line="288" w:lineRule="auto"/>
              <w:jc w:val="center"/>
              <w:rPr>
                <w:color w:val="000000"/>
                <w:szCs w:val="21"/>
              </w:rPr>
            </w:pPr>
            <w:r>
              <w:rPr>
                <w:color w:val="000000"/>
                <w:szCs w:val="21"/>
              </w:rPr>
              <w:t>2</w:t>
            </w:r>
          </w:p>
        </w:tc>
        <w:tc>
          <w:tcPr>
            <w:tcW w:w="2099" w:type="dxa"/>
            <w:noWrap w:val="0"/>
            <w:vAlign w:val="center"/>
          </w:tcPr>
          <w:p>
            <w:pPr>
              <w:topLinePunct/>
              <w:spacing w:line="288" w:lineRule="auto"/>
              <w:jc w:val="center"/>
              <w:rPr>
                <w:color w:val="000000"/>
                <w:szCs w:val="21"/>
              </w:rPr>
            </w:pPr>
            <w:r>
              <w:rPr>
                <w:color w:val="000000"/>
                <w:szCs w:val="21"/>
              </w:rPr>
              <w:t>推土机</w:t>
            </w:r>
          </w:p>
        </w:tc>
        <w:tc>
          <w:tcPr>
            <w:tcW w:w="2356" w:type="dxa"/>
            <w:noWrap w:val="0"/>
            <w:vAlign w:val="center"/>
          </w:tcPr>
          <w:p>
            <w:pPr>
              <w:topLinePunct/>
              <w:spacing w:line="288" w:lineRule="auto"/>
              <w:jc w:val="center"/>
              <w:rPr>
                <w:color w:val="000000"/>
                <w:szCs w:val="21"/>
              </w:rPr>
            </w:pPr>
            <w:r>
              <w:rPr>
                <w:color w:val="000000"/>
                <w:szCs w:val="21"/>
              </w:rPr>
              <w:t>90</w:t>
            </w:r>
          </w:p>
        </w:tc>
        <w:tc>
          <w:tcPr>
            <w:tcW w:w="2392" w:type="dxa"/>
            <w:noWrap w:val="0"/>
            <w:vAlign w:val="center"/>
          </w:tcPr>
          <w:p>
            <w:pPr>
              <w:topLinePunct/>
              <w:spacing w:line="288" w:lineRule="auto"/>
              <w:jc w:val="center"/>
              <w:rPr>
                <w:color w:val="000000"/>
                <w:szCs w:val="21"/>
              </w:rPr>
            </w:pPr>
            <w:r>
              <w:rPr>
                <w:color w:val="000000"/>
                <w:szCs w:val="21"/>
              </w:rPr>
              <w:t>距声源1m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9" w:type="dxa"/>
            <w:noWrap w:val="0"/>
            <w:vAlign w:val="center"/>
          </w:tcPr>
          <w:p>
            <w:pPr>
              <w:topLinePunct/>
              <w:spacing w:line="288" w:lineRule="auto"/>
              <w:jc w:val="center"/>
              <w:rPr>
                <w:color w:val="000000"/>
                <w:szCs w:val="21"/>
              </w:rPr>
            </w:pPr>
            <w:r>
              <w:rPr>
                <w:color w:val="000000"/>
                <w:szCs w:val="21"/>
              </w:rPr>
              <w:t>3</w:t>
            </w:r>
          </w:p>
        </w:tc>
        <w:tc>
          <w:tcPr>
            <w:tcW w:w="2099" w:type="dxa"/>
            <w:noWrap w:val="0"/>
            <w:vAlign w:val="center"/>
          </w:tcPr>
          <w:p>
            <w:pPr>
              <w:topLinePunct/>
              <w:spacing w:line="288" w:lineRule="auto"/>
              <w:jc w:val="center"/>
              <w:rPr>
                <w:color w:val="000000"/>
                <w:szCs w:val="21"/>
              </w:rPr>
            </w:pPr>
            <w:r>
              <w:rPr>
                <w:color w:val="000000"/>
                <w:szCs w:val="21"/>
              </w:rPr>
              <w:t>振捣棒</w:t>
            </w:r>
          </w:p>
        </w:tc>
        <w:tc>
          <w:tcPr>
            <w:tcW w:w="2356" w:type="dxa"/>
            <w:noWrap w:val="0"/>
            <w:vAlign w:val="center"/>
          </w:tcPr>
          <w:p>
            <w:pPr>
              <w:topLinePunct/>
              <w:spacing w:line="288" w:lineRule="auto"/>
              <w:jc w:val="center"/>
              <w:rPr>
                <w:color w:val="000000"/>
                <w:szCs w:val="21"/>
              </w:rPr>
            </w:pPr>
            <w:r>
              <w:rPr>
                <w:color w:val="000000"/>
                <w:szCs w:val="21"/>
              </w:rPr>
              <w:t>100</w:t>
            </w:r>
          </w:p>
        </w:tc>
        <w:tc>
          <w:tcPr>
            <w:tcW w:w="2392" w:type="dxa"/>
            <w:noWrap w:val="0"/>
            <w:vAlign w:val="center"/>
          </w:tcPr>
          <w:p>
            <w:pPr>
              <w:topLinePunct/>
              <w:spacing w:line="288" w:lineRule="auto"/>
              <w:jc w:val="center"/>
              <w:rPr>
                <w:color w:val="000000"/>
                <w:szCs w:val="21"/>
              </w:rPr>
            </w:pPr>
            <w:r>
              <w:rPr>
                <w:color w:val="000000"/>
                <w:szCs w:val="21"/>
              </w:rPr>
              <w:t>距声源1m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9" w:type="dxa"/>
            <w:noWrap w:val="0"/>
            <w:vAlign w:val="center"/>
          </w:tcPr>
          <w:p>
            <w:pPr>
              <w:topLinePunct/>
              <w:spacing w:line="288" w:lineRule="auto"/>
              <w:jc w:val="center"/>
              <w:rPr>
                <w:color w:val="000000"/>
                <w:szCs w:val="21"/>
              </w:rPr>
            </w:pPr>
            <w:r>
              <w:rPr>
                <w:color w:val="000000"/>
                <w:szCs w:val="21"/>
              </w:rPr>
              <w:t>4</w:t>
            </w:r>
          </w:p>
        </w:tc>
        <w:tc>
          <w:tcPr>
            <w:tcW w:w="2099" w:type="dxa"/>
            <w:noWrap w:val="0"/>
            <w:vAlign w:val="center"/>
          </w:tcPr>
          <w:p>
            <w:pPr>
              <w:topLinePunct/>
              <w:spacing w:line="288" w:lineRule="auto"/>
              <w:jc w:val="center"/>
              <w:rPr>
                <w:color w:val="000000"/>
                <w:szCs w:val="21"/>
              </w:rPr>
            </w:pPr>
            <w:r>
              <w:rPr>
                <w:color w:val="000000"/>
                <w:szCs w:val="21"/>
              </w:rPr>
              <w:t>切割机</w:t>
            </w:r>
          </w:p>
        </w:tc>
        <w:tc>
          <w:tcPr>
            <w:tcW w:w="2356" w:type="dxa"/>
            <w:noWrap w:val="0"/>
            <w:vAlign w:val="center"/>
          </w:tcPr>
          <w:p>
            <w:pPr>
              <w:topLinePunct/>
              <w:spacing w:line="288" w:lineRule="auto"/>
              <w:jc w:val="center"/>
              <w:rPr>
                <w:color w:val="000000"/>
                <w:szCs w:val="21"/>
              </w:rPr>
            </w:pPr>
            <w:r>
              <w:rPr>
                <w:color w:val="000000"/>
                <w:szCs w:val="21"/>
              </w:rPr>
              <w:t>95</w:t>
            </w:r>
          </w:p>
        </w:tc>
        <w:tc>
          <w:tcPr>
            <w:tcW w:w="2392" w:type="dxa"/>
            <w:noWrap w:val="0"/>
            <w:vAlign w:val="center"/>
          </w:tcPr>
          <w:p>
            <w:pPr>
              <w:topLinePunct/>
              <w:spacing w:line="288" w:lineRule="auto"/>
              <w:jc w:val="center"/>
              <w:rPr>
                <w:color w:val="000000"/>
                <w:szCs w:val="21"/>
              </w:rPr>
            </w:pPr>
            <w:r>
              <w:rPr>
                <w:color w:val="000000"/>
                <w:szCs w:val="21"/>
              </w:rPr>
              <w:t>距声源1m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9" w:type="dxa"/>
            <w:noWrap w:val="0"/>
            <w:vAlign w:val="center"/>
          </w:tcPr>
          <w:p>
            <w:pPr>
              <w:topLinePunct/>
              <w:spacing w:line="288" w:lineRule="auto"/>
              <w:jc w:val="center"/>
              <w:rPr>
                <w:color w:val="000000"/>
                <w:szCs w:val="21"/>
              </w:rPr>
            </w:pPr>
            <w:r>
              <w:rPr>
                <w:color w:val="000000"/>
                <w:szCs w:val="21"/>
              </w:rPr>
              <w:t>5</w:t>
            </w:r>
          </w:p>
        </w:tc>
        <w:tc>
          <w:tcPr>
            <w:tcW w:w="2099" w:type="dxa"/>
            <w:noWrap w:val="0"/>
            <w:vAlign w:val="center"/>
          </w:tcPr>
          <w:p>
            <w:pPr>
              <w:topLinePunct/>
              <w:spacing w:line="288" w:lineRule="auto"/>
              <w:jc w:val="center"/>
              <w:rPr>
                <w:color w:val="000000"/>
                <w:szCs w:val="21"/>
              </w:rPr>
            </w:pPr>
            <w:r>
              <w:rPr>
                <w:color w:val="000000"/>
                <w:szCs w:val="21"/>
              </w:rPr>
              <w:t>电钻</w:t>
            </w:r>
          </w:p>
        </w:tc>
        <w:tc>
          <w:tcPr>
            <w:tcW w:w="2356" w:type="dxa"/>
            <w:noWrap w:val="0"/>
            <w:vAlign w:val="center"/>
          </w:tcPr>
          <w:p>
            <w:pPr>
              <w:topLinePunct/>
              <w:spacing w:line="288" w:lineRule="auto"/>
              <w:jc w:val="center"/>
              <w:rPr>
                <w:color w:val="000000"/>
                <w:szCs w:val="21"/>
              </w:rPr>
            </w:pPr>
            <w:r>
              <w:rPr>
                <w:color w:val="000000"/>
                <w:szCs w:val="21"/>
              </w:rPr>
              <w:t>92</w:t>
            </w:r>
          </w:p>
        </w:tc>
        <w:tc>
          <w:tcPr>
            <w:tcW w:w="2392" w:type="dxa"/>
            <w:noWrap w:val="0"/>
            <w:vAlign w:val="center"/>
          </w:tcPr>
          <w:p>
            <w:pPr>
              <w:topLinePunct/>
              <w:spacing w:line="288" w:lineRule="auto"/>
              <w:jc w:val="center"/>
              <w:rPr>
                <w:color w:val="000000"/>
                <w:szCs w:val="21"/>
              </w:rPr>
            </w:pPr>
            <w:r>
              <w:rPr>
                <w:color w:val="000000"/>
                <w:szCs w:val="21"/>
              </w:rPr>
              <w:t>距声源1m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99" w:type="dxa"/>
            <w:noWrap w:val="0"/>
            <w:vAlign w:val="center"/>
          </w:tcPr>
          <w:p>
            <w:pPr>
              <w:topLinePunct/>
              <w:spacing w:line="288" w:lineRule="auto"/>
              <w:jc w:val="center"/>
              <w:rPr>
                <w:color w:val="000000"/>
                <w:szCs w:val="21"/>
              </w:rPr>
            </w:pPr>
            <w:r>
              <w:rPr>
                <w:color w:val="000000"/>
                <w:szCs w:val="21"/>
              </w:rPr>
              <w:t>6</w:t>
            </w:r>
          </w:p>
        </w:tc>
        <w:tc>
          <w:tcPr>
            <w:tcW w:w="2099" w:type="dxa"/>
            <w:noWrap w:val="0"/>
            <w:vAlign w:val="center"/>
          </w:tcPr>
          <w:p>
            <w:pPr>
              <w:topLinePunct/>
              <w:spacing w:line="288" w:lineRule="auto"/>
              <w:jc w:val="center"/>
              <w:rPr>
                <w:color w:val="000000"/>
                <w:szCs w:val="21"/>
              </w:rPr>
            </w:pPr>
            <w:r>
              <w:rPr>
                <w:color w:val="000000"/>
                <w:szCs w:val="21"/>
              </w:rPr>
              <w:t>吊车</w:t>
            </w:r>
          </w:p>
        </w:tc>
        <w:tc>
          <w:tcPr>
            <w:tcW w:w="2356" w:type="dxa"/>
            <w:noWrap w:val="0"/>
            <w:vAlign w:val="center"/>
          </w:tcPr>
          <w:p>
            <w:pPr>
              <w:topLinePunct/>
              <w:spacing w:line="288" w:lineRule="auto"/>
              <w:jc w:val="center"/>
              <w:rPr>
                <w:color w:val="000000"/>
                <w:szCs w:val="21"/>
              </w:rPr>
            </w:pPr>
            <w:r>
              <w:rPr>
                <w:color w:val="000000"/>
                <w:szCs w:val="21"/>
              </w:rPr>
              <w:t>85</w:t>
            </w:r>
          </w:p>
        </w:tc>
        <w:tc>
          <w:tcPr>
            <w:tcW w:w="2392" w:type="dxa"/>
            <w:noWrap w:val="0"/>
            <w:vAlign w:val="center"/>
          </w:tcPr>
          <w:p>
            <w:pPr>
              <w:topLinePunct/>
              <w:spacing w:line="288" w:lineRule="auto"/>
              <w:jc w:val="center"/>
              <w:rPr>
                <w:color w:val="000000"/>
                <w:szCs w:val="21"/>
              </w:rPr>
            </w:pPr>
            <w:r>
              <w:rPr>
                <w:color w:val="000000"/>
                <w:szCs w:val="21"/>
              </w:rPr>
              <w:t>距声源1m</w:t>
            </w:r>
          </w:p>
        </w:tc>
      </w:tr>
    </w:tbl>
    <w:p>
      <w:pPr>
        <w:topLinePunct/>
        <w:spacing w:line="520" w:lineRule="exact"/>
        <w:ind w:firstLine="480" w:firstLineChars="200"/>
        <w:rPr>
          <w:color w:val="000000"/>
          <w:sz w:val="24"/>
        </w:rPr>
      </w:pPr>
      <w:r>
        <w:rPr>
          <w:color w:val="000000"/>
          <w:sz w:val="24"/>
        </w:rPr>
        <w:t>施工期间施工机械产生的噪声对环境的影响可采用点源预测模式计算，</w:t>
      </w:r>
      <w:r>
        <w:rPr>
          <w:color w:val="000000"/>
          <w:sz w:val="24"/>
          <w:lang w:val="zh-CN"/>
        </w:rPr>
        <w:t>预测公式噪声传播衰减模式为：</w:t>
      </w:r>
    </w:p>
    <w:p>
      <w:pPr>
        <w:topLinePunct/>
        <w:autoSpaceDE w:val="0"/>
        <w:spacing w:line="520" w:lineRule="exact"/>
        <w:ind w:firstLine="480" w:firstLineChars="200"/>
        <w:rPr>
          <w:color w:val="000000"/>
          <w:sz w:val="24"/>
          <w:lang w:val="pt-PT"/>
        </w:rPr>
      </w:pPr>
      <w:r>
        <w:rPr>
          <w:color w:val="000000"/>
          <w:sz w:val="24"/>
          <w:lang w:val="pt-PT"/>
        </w:rPr>
        <w:t>L</w:t>
      </w:r>
      <w:r>
        <w:rPr>
          <w:color w:val="000000"/>
          <w:sz w:val="24"/>
          <w:vertAlign w:val="subscript"/>
          <w:lang w:val="pt-PT"/>
        </w:rPr>
        <w:t>A</w:t>
      </w:r>
      <w:r>
        <w:rPr>
          <w:color w:val="000000"/>
          <w:sz w:val="24"/>
          <w:lang w:val="pt-PT"/>
        </w:rPr>
        <w:t>(r)=L</w:t>
      </w:r>
      <w:r>
        <w:rPr>
          <w:color w:val="000000"/>
          <w:sz w:val="24"/>
          <w:vertAlign w:val="subscript"/>
          <w:lang w:val="pt-PT"/>
        </w:rPr>
        <w:t>A</w:t>
      </w:r>
      <w:r>
        <w:rPr>
          <w:color w:val="000000"/>
          <w:sz w:val="24"/>
          <w:lang w:val="pt-PT"/>
        </w:rPr>
        <w:t>(r</w:t>
      </w:r>
      <w:r>
        <w:rPr>
          <w:color w:val="000000"/>
          <w:sz w:val="24"/>
          <w:vertAlign w:val="subscript"/>
          <w:lang w:val="pt-PT"/>
        </w:rPr>
        <w:t>0</w:t>
      </w:r>
      <w:r>
        <w:rPr>
          <w:color w:val="000000"/>
          <w:sz w:val="24"/>
          <w:lang w:val="pt-PT"/>
        </w:rPr>
        <w:t>)-20lg(r/r</w:t>
      </w:r>
      <w:r>
        <w:rPr>
          <w:color w:val="000000"/>
          <w:sz w:val="24"/>
          <w:vertAlign w:val="subscript"/>
          <w:lang w:val="pt-PT"/>
        </w:rPr>
        <w:t>0</w:t>
      </w:r>
      <w:r>
        <w:rPr>
          <w:color w:val="000000"/>
          <w:sz w:val="24"/>
          <w:lang w:val="pt-PT"/>
        </w:rPr>
        <w:t>)</w:t>
      </w:r>
    </w:p>
    <w:p>
      <w:pPr>
        <w:topLinePunct/>
        <w:autoSpaceDE w:val="0"/>
        <w:spacing w:line="520" w:lineRule="exact"/>
        <w:ind w:firstLine="480" w:firstLineChars="200"/>
        <w:rPr>
          <w:color w:val="000000"/>
          <w:sz w:val="24"/>
          <w:lang w:val="pt-PT"/>
        </w:rPr>
      </w:pPr>
      <w:r>
        <w:rPr>
          <w:color w:val="000000"/>
          <w:sz w:val="24"/>
          <w:lang w:val="zh-CN"/>
        </w:rPr>
        <w:t>式中</w:t>
      </w:r>
      <w:r>
        <w:rPr>
          <w:color w:val="000000"/>
          <w:sz w:val="24"/>
          <w:lang w:val="pt-PT"/>
        </w:rPr>
        <w:t>：L</w:t>
      </w:r>
      <w:r>
        <w:rPr>
          <w:color w:val="000000"/>
          <w:sz w:val="24"/>
          <w:vertAlign w:val="subscript"/>
          <w:lang w:val="pt-PT"/>
        </w:rPr>
        <w:t>A</w:t>
      </w:r>
      <w:r>
        <w:rPr>
          <w:color w:val="000000"/>
          <w:sz w:val="24"/>
          <w:lang w:val="pt-PT"/>
        </w:rPr>
        <w:t>(r)-</w:t>
      </w:r>
      <w:r>
        <w:rPr>
          <w:color w:val="000000"/>
          <w:sz w:val="24"/>
          <w:lang w:val="zh-CN"/>
        </w:rPr>
        <w:t>距声源</w:t>
      </w:r>
      <w:r>
        <w:rPr>
          <w:color w:val="000000"/>
          <w:sz w:val="24"/>
          <w:lang w:val="pt-PT"/>
        </w:rPr>
        <w:t>r</w:t>
      </w:r>
      <w:r>
        <w:rPr>
          <w:color w:val="000000"/>
          <w:sz w:val="24"/>
          <w:lang w:val="zh-CN"/>
        </w:rPr>
        <w:t>处的</w:t>
      </w:r>
      <w:r>
        <w:rPr>
          <w:color w:val="000000"/>
          <w:sz w:val="24"/>
          <w:lang w:val="pt-PT"/>
        </w:rPr>
        <w:t>A</w:t>
      </w:r>
      <w:r>
        <w:rPr>
          <w:color w:val="000000"/>
          <w:sz w:val="24"/>
          <w:lang w:val="zh-CN"/>
        </w:rPr>
        <w:t>声级</w:t>
      </w:r>
      <w:r>
        <w:rPr>
          <w:color w:val="000000"/>
          <w:sz w:val="24"/>
          <w:lang w:val="pt-PT"/>
        </w:rPr>
        <w:t>，dB(A)</w:t>
      </w:r>
    </w:p>
    <w:p>
      <w:pPr>
        <w:topLinePunct/>
        <w:autoSpaceDE w:val="0"/>
        <w:spacing w:line="520" w:lineRule="exact"/>
        <w:ind w:firstLine="480" w:firstLineChars="200"/>
        <w:rPr>
          <w:color w:val="000000"/>
          <w:sz w:val="24"/>
          <w:lang w:val="pt-PT"/>
        </w:rPr>
      </w:pPr>
      <w:r>
        <w:rPr>
          <w:color w:val="000000"/>
          <w:sz w:val="24"/>
          <w:lang w:val="pt-PT"/>
        </w:rPr>
        <w:t>L</w:t>
      </w:r>
      <w:r>
        <w:rPr>
          <w:color w:val="000000"/>
          <w:sz w:val="24"/>
          <w:vertAlign w:val="subscript"/>
          <w:lang w:val="pt-PT"/>
        </w:rPr>
        <w:t>A</w:t>
      </w:r>
      <w:r>
        <w:rPr>
          <w:color w:val="000000"/>
          <w:sz w:val="24"/>
          <w:lang w:val="pt-PT"/>
        </w:rPr>
        <w:t>(r</w:t>
      </w:r>
      <w:r>
        <w:rPr>
          <w:color w:val="000000"/>
          <w:sz w:val="24"/>
          <w:vertAlign w:val="subscript"/>
          <w:lang w:val="pt-PT"/>
        </w:rPr>
        <w:t>0</w:t>
      </w:r>
      <w:r>
        <w:rPr>
          <w:color w:val="000000"/>
          <w:sz w:val="24"/>
          <w:lang w:val="pt-PT"/>
        </w:rPr>
        <w:t>)-</w:t>
      </w:r>
      <w:r>
        <w:rPr>
          <w:color w:val="000000"/>
          <w:sz w:val="24"/>
          <w:lang w:val="zh-CN"/>
        </w:rPr>
        <w:t>距声源</w:t>
      </w:r>
      <w:r>
        <w:rPr>
          <w:color w:val="000000"/>
          <w:sz w:val="24"/>
          <w:lang w:val="pt-PT"/>
        </w:rPr>
        <w:t>r</w:t>
      </w:r>
      <w:r>
        <w:rPr>
          <w:color w:val="000000"/>
          <w:sz w:val="24"/>
          <w:vertAlign w:val="subscript"/>
          <w:lang w:val="pt-PT"/>
        </w:rPr>
        <w:t>0</w:t>
      </w:r>
      <w:r>
        <w:rPr>
          <w:color w:val="000000"/>
          <w:sz w:val="24"/>
          <w:lang w:val="zh-CN"/>
        </w:rPr>
        <w:t>处的</w:t>
      </w:r>
      <w:r>
        <w:rPr>
          <w:color w:val="000000"/>
          <w:sz w:val="24"/>
          <w:lang w:val="pt-PT"/>
        </w:rPr>
        <w:t>A</w:t>
      </w:r>
      <w:r>
        <w:rPr>
          <w:color w:val="000000"/>
          <w:sz w:val="24"/>
          <w:lang w:val="zh-CN"/>
        </w:rPr>
        <w:t>声级</w:t>
      </w:r>
      <w:r>
        <w:rPr>
          <w:color w:val="000000"/>
          <w:sz w:val="24"/>
          <w:lang w:val="pt-PT"/>
        </w:rPr>
        <w:t>，dB(A)</w:t>
      </w:r>
    </w:p>
    <w:p>
      <w:pPr>
        <w:topLinePunct/>
        <w:autoSpaceDE w:val="0"/>
        <w:spacing w:line="520" w:lineRule="exact"/>
        <w:ind w:firstLine="480" w:firstLineChars="200"/>
        <w:rPr>
          <w:color w:val="000000"/>
          <w:sz w:val="24"/>
        </w:rPr>
      </w:pPr>
      <w:r>
        <w:rPr>
          <w:color w:val="000000"/>
          <w:sz w:val="24"/>
        </w:rPr>
        <w:t>r-</w:t>
      </w:r>
      <w:r>
        <w:rPr>
          <w:color w:val="000000"/>
          <w:sz w:val="24"/>
          <w:lang w:val="zh-CN"/>
        </w:rPr>
        <w:t>预测点距噪声源距离，</w:t>
      </w:r>
      <w:r>
        <w:rPr>
          <w:color w:val="000000"/>
          <w:sz w:val="24"/>
        </w:rPr>
        <w:t>m</w:t>
      </w:r>
    </w:p>
    <w:p>
      <w:pPr>
        <w:topLinePunct/>
        <w:autoSpaceDE w:val="0"/>
        <w:spacing w:line="520" w:lineRule="exact"/>
        <w:ind w:firstLine="480" w:firstLineChars="200"/>
        <w:rPr>
          <w:color w:val="000000"/>
          <w:sz w:val="24"/>
        </w:rPr>
      </w:pPr>
      <w:r>
        <w:rPr>
          <w:color w:val="000000"/>
          <w:sz w:val="24"/>
        </w:rPr>
        <w:t xml:space="preserve"> r</w:t>
      </w:r>
      <w:r>
        <w:rPr>
          <w:color w:val="000000"/>
          <w:sz w:val="24"/>
          <w:vertAlign w:val="subscript"/>
        </w:rPr>
        <w:t>0</w:t>
      </w:r>
      <w:r>
        <w:rPr>
          <w:color w:val="000000"/>
          <w:sz w:val="24"/>
        </w:rPr>
        <w:t>-</w:t>
      </w:r>
      <w:r>
        <w:rPr>
          <w:color w:val="000000"/>
          <w:sz w:val="24"/>
          <w:lang w:val="zh-CN"/>
        </w:rPr>
        <w:t>距噪声源的参照距离，</w:t>
      </w:r>
      <w:r>
        <w:rPr>
          <w:color w:val="000000"/>
          <w:sz w:val="24"/>
        </w:rPr>
        <w:t>m</w:t>
      </w:r>
    </w:p>
    <w:p>
      <w:pPr>
        <w:spacing w:line="520" w:lineRule="exact"/>
        <w:ind w:firstLine="480" w:firstLineChars="200"/>
        <w:rPr>
          <w:sz w:val="24"/>
        </w:rPr>
      </w:pPr>
      <w:r>
        <w:rPr>
          <w:color w:val="000000"/>
          <w:sz w:val="24"/>
        </w:rPr>
        <w:t>主要施工机械噪声随距离的衰减情况见表</w:t>
      </w:r>
      <w:r>
        <w:rPr>
          <w:rFonts w:hint="eastAsia"/>
          <w:color w:val="000000"/>
          <w:sz w:val="24"/>
        </w:rPr>
        <w:t>4.1</w:t>
      </w:r>
      <w:r>
        <w:rPr>
          <w:color w:val="000000"/>
          <w:sz w:val="24"/>
        </w:rPr>
        <w:t>-2</w:t>
      </w:r>
      <w:r>
        <w:rPr>
          <w:kern w:val="0"/>
          <w:sz w:val="24"/>
          <w:lang w:bidi="ar"/>
        </w:rPr>
        <w:t>。</w:t>
      </w:r>
    </w:p>
    <w:p>
      <w:pPr>
        <w:spacing w:after="93" w:afterLines="30" w:line="500" w:lineRule="exact"/>
        <w:jc w:val="center"/>
        <w:rPr>
          <w:rFonts w:hint="eastAsia"/>
          <w:b/>
          <w:kern w:val="0"/>
          <w:szCs w:val="21"/>
          <w:lang w:bidi="ar"/>
        </w:rPr>
      </w:pPr>
      <w:r>
        <w:rPr>
          <w:b/>
          <w:kern w:val="0"/>
          <w:sz w:val="24"/>
          <w:lang w:bidi="ar"/>
        </w:rPr>
        <w:t xml:space="preserve">表4.1-2    本项目施工期噪声源强及达标情况一览表       </w:t>
      </w:r>
      <w:r>
        <w:rPr>
          <w:b/>
          <w:kern w:val="0"/>
          <w:szCs w:val="21"/>
          <w:lang w:bidi="ar"/>
        </w:rPr>
        <w:t xml:space="preserve">   单位：dB(A)</w:t>
      </w:r>
    </w:p>
    <w:tbl>
      <w:tblPr>
        <w:tblStyle w:val="17"/>
        <w:tblW w:w="894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766"/>
        <w:gridCol w:w="2743"/>
        <w:gridCol w:w="1750"/>
        <w:gridCol w:w="168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2766" w:type="dxa"/>
            <w:vMerge w:val="restart"/>
            <w:noWrap w:val="0"/>
            <w:vAlign w:val="center"/>
          </w:tcPr>
          <w:p>
            <w:pPr>
              <w:topLinePunct/>
              <w:jc w:val="center"/>
              <w:rPr>
                <w:b/>
                <w:color w:val="000000"/>
                <w:szCs w:val="21"/>
              </w:rPr>
            </w:pPr>
            <w:r>
              <w:rPr>
                <w:b/>
                <w:color w:val="000000"/>
                <w:szCs w:val="21"/>
              </w:rPr>
              <w:t>噪声设备</w:t>
            </w:r>
          </w:p>
        </w:tc>
        <w:tc>
          <w:tcPr>
            <w:tcW w:w="2743" w:type="dxa"/>
            <w:vMerge w:val="restart"/>
            <w:noWrap w:val="0"/>
            <w:vAlign w:val="center"/>
          </w:tcPr>
          <w:p>
            <w:pPr>
              <w:topLinePunct/>
              <w:jc w:val="center"/>
              <w:rPr>
                <w:b/>
                <w:color w:val="000000"/>
                <w:szCs w:val="21"/>
              </w:rPr>
            </w:pPr>
            <w:r>
              <w:rPr>
                <w:b/>
                <w:color w:val="000000"/>
                <w:szCs w:val="21"/>
              </w:rPr>
              <w:t>设备噪声源强dB（A）</w:t>
            </w:r>
          </w:p>
        </w:tc>
        <w:tc>
          <w:tcPr>
            <w:tcW w:w="3437" w:type="dxa"/>
            <w:gridSpan w:val="2"/>
            <w:tcBorders>
              <w:bottom w:val="single" w:color="auto" w:sz="4" w:space="0"/>
            </w:tcBorders>
            <w:noWrap w:val="0"/>
            <w:vAlign w:val="center"/>
          </w:tcPr>
          <w:p>
            <w:pPr>
              <w:topLinePunct/>
              <w:jc w:val="center"/>
              <w:rPr>
                <w:b/>
                <w:color w:val="000000"/>
                <w:szCs w:val="21"/>
              </w:rPr>
            </w:pPr>
            <w:r>
              <w:rPr>
                <w:b/>
                <w:color w:val="000000"/>
                <w:szCs w:val="21"/>
              </w:rPr>
              <w:t>达标距离m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2766" w:type="dxa"/>
            <w:vMerge w:val="continue"/>
            <w:noWrap w:val="0"/>
            <w:vAlign w:val="center"/>
          </w:tcPr>
          <w:p>
            <w:pPr>
              <w:topLinePunct/>
              <w:jc w:val="center"/>
              <w:rPr>
                <w:b/>
                <w:color w:val="000000"/>
                <w:szCs w:val="21"/>
              </w:rPr>
            </w:pPr>
          </w:p>
        </w:tc>
        <w:tc>
          <w:tcPr>
            <w:tcW w:w="2743" w:type="dxa"/>
            <w:vMerge w:val="continue"/>
            <w:tcBorders>
              <w:bottom w:val="single" w:color="auto" w:sz="4" w:space="0"/>
            </w:tcBorders>
            <w:noWrap w:val="0"/>
            <w:vAlign w:val="center"/>
          </w:tcPr>
          <w:p>
            <w:pPr>
              <w:topLinePunct/>
              <w:jc w:val="center"/>
              <w:rPr>
                <w:b/>
                <w:color w:val="000000"/>
                <w:szCs w:val="21"/>
              </w:rPr>
            </w:pPr>
          </w:p>
        </w:tc>
        <w:tc>
          <w:tcPr>
            <w:tcW w:w="1750" w:type="dxa"/>
            <w:tcBorders>
              <w:bottom w:val="single" w:color="auto" w:sz="4" w:space="0"/>
            </w:tcBorders>
            <w:noWrap w:val="0"/>
            <w:vAlign w:val="center"/>
          </w:tcPr>
          <w:p>
            <w:pPr>
              <w:topLinePunct/>
              <w:jc w:val="center"/>
              <w:rPr>
                <w:b/>
                <w:color w:val="000000"/>
                <w:szCs w:val="21"/>
              </w:rPr>
            </w:pPr>
            <w:r>
              <w:rPr>
                <w:b/>
                <w:color w:val="000000"/>
                <w:szCs w:val="21"/>
              </w:rPr>
              <w:t>昼间</w:t>
            </w:r>
          </w:p>
        </w:tc>
        <w:tc>
          <w:tcPr>
            <w:tcW w:w="1687" w:type="dxa"/>
            <w:tcBorders>
              <w:bottom w:val="single" w:color="auto" w:sz="4" w:space="0"/>
            </w:tcBorders>
            <w:noWrap w:val="0"/>
            <w:vAlign w:val="center"/>
          </w:tcPr>
          <w:p>
            <w:pPr>
              <w:topLinePunct/>
              <w:jc w:val="center"/>
              <w:rPr>
                <w:b/>
                <w:color w:val="000000"/>
                <w:szCs w:val="21"/>
              </w:rPr>
            </w:pPr>
            <w:r>
              <w:rPr>
                <w:b/>
                <w:color w:val="000000"/>
                <w:szCs w:val="21"/>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2766" w:type="dxa"/>
            <w:noWrap w:val="0"/>
            <w:vAlign w:val="center"/>
          </w:tcPr>
          <w:p>
            <w:pPr>
              <w:topLinePunct/>
              <w:jc w:val="center"/>
              <w:rPr>
                <w:color w:val="000000"/>
                <w:szCs w:val="21"/>
              </w:rPr>
            </w:pPr>
            <w:r>
              <w:rPr>
                <w:color w:val="000000"/>
                <w:szCs w:val="21"/>
              </w:rPr>
              <w:t>挖掘机</w:t>
            </w:r>
          </w:p>
        </w:tc>
        <w:tc>
          <w:tcPr>
            <w:tcW w:w="2743" w:type="dxa"/>
            <w:noWrap w:val="0"/>
            <w:vAlign w:val="center"/>
          </w:tcPr>
          <w:p>
            <w:pPr>
              <w:topLinePunct/>
              <w:jc w:val="center"/>
              <w:rPr>
                <w:color w:val="000000"/>
                <w:szCs w:val="21"/>
              </w:rPr>
            </w:pPr>
            <w:r>
              <w:rPr>
                <w:color w:val="000000"/>
                <w:szCs w:val="21"/>
              </w:rPr>
              <w:t>91</w:t>
            </w:r>
          </w:p>
        </w:tc>
        <w:tc>
          <w:tcPr>
            <w:tcW w:w="1750" w:type="dxa"/>
            <w:noWrap w:val="0"/>
            <w:vAlign w:val="center"/>
          </w:tcPr>
          <w:p>
            <w:pPr>
              <w:topLinePunct/>
              <w:jc w:val="center"/>
              <w:rPr>
                <w:color w:val="000000"/>
                <w:szCs w:val="21"/>
              </w:rPr>
            </w:pPr>
            <w:r>
              <w:rPr>
                <w:color w:val="000000"/>
                <w:szCs w:val="21"/>
              </w:rPr>
              <w:t>11</w:t>
            </w:r>
          </w:p>
        </w:tc>
        <w:tc>
          <w:tcPr>
            <w:tcW w:w="1687" w:type="dxa"/>
            <w:noWrap w:val="0"/>
            <w:vAlign w:val="center"/>
          </w:tcPr>
          <w:p>
            <w:pPr>
              <w:topLinePunct/>
              <w:jc w:val="center"/>
              <w:rPr>
                <w:color w:val="000000"/>
                <w:szCs w:val="21"/>
              </w:rPr>
            </w:pPr>
            <w:r>
              <w:rPr>
                <w:color w:val="000000"/>
                <w:szCs w:val="21"/>
              </w:rPr>
              <w:t>63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2766" w:type="dxa"/>
            <w:noWrap w:val="0"/>
            <w:vAlign w:val="center"/>
          </w:tcPr>
          <w:p>
            <w:pPr>
              <w:topLinePunct/>
              <w:jc w:val="center"/>
              <w:rPr>
                <w:color w:val="000000"/>
                <w:szCs w:val="21"/>
              </w:rPr>
            </w:pPr>
            <w:r>
              <w:rPr>
                <w:color w:val="000000"/>
                <w:szCs w:val="21"/>
              </w:rPr>
              <w:t>推土机</w:t>
            </w:r>
          </w:p>
        </w:tc>
        <w:tc>
          <w:tcPr>
            <w:tcW w:w="2743" w:type="dxa"/>
            <w:noWrap w:val="0"/>
            <w:vAlign w:val="center"/>
          </w:tcPr>
          <w:p>
            <w:pPr>
              <w:topLinePunct/>
              <w:jc w:val="center"/>
              <w:rPr>
                <w:color w:val="000000"/>
                <w:szCs w:val="21"/>
              </w:rPr>
            </w:pPr>
            <w:r>
              <w:rPr>
                <w:color w:val="000000"/>
                <w:szCs w:val="21"/>
              </w:rPr>
              <w:t>90</w:t>
            </w:r>
          </w:p>
        </w:tc>
        <w:tc>
          <w:tcPr>
            <w:tcW w:w="1750" w:type="dxa"/>
            <w:noWrap w:val="0"/>
            <w:vAlign w:val="center"/>
          </w:tcPr>
          <w:p>
            <w:pPr>
              <w:topLinePunct/>
              <w:jc w:val="center"/>
              <w:rPr>
                <w:color w:val="000000"/>
                <w:szCs w:val="21"/>
              </w:rPr>
            </w:pPr>
            <w:r>
              <w:rPr>
                <w:color w:val="000000"/>
                <w:szCs w:val="21"/>
              </w:rPr>
              <w:t>10</w:t>
            </w:r>
          </w:p>
        </w:tc>
        <w:tc>
          <w:tcPr>
            <w:tcW w:w="1687" w:type="dxa"/>
            <w:noWrap w:val="0"/>
            <w:vAlign w:val="center"/>
          </w:tcPr>
          <w:p>
            <w:pPr>
              <w:topLinePunct/>
              <w:jc w:val="center"/>
              <w:rPr>
                <w:color w:val="000000"/>
                <w:szCs w:val="21"/>
              </w:rPr>
            </w:pPr>
            <w:r>
              <w:rPr>
                <w:color w:val="000000"/>
                <w:szCs w:val="21"/>
              </w:rPr>
              <w:t>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2766" w:type="dxa"/>
            <w:noWrap w:val="0"/>
            <w:vAlign w:val="center"/>
          </w:tcPr>
          <w:p>
            <w:pPr>
              <w:topLinePunct/>
              <w:jc w:val="center"/>
              <w:rPr>
                <w:color w:val="000000"/>
                <w:szCs w:val="21"/>
              </w:rPr>
            </w:pPr>
            <w:r>
              <w:rPr>
                <w:color w:val="000000"/>
                <w:szCs w:val="21"/>
              </w:rPr>
              <w:t>振捣棒</w:t>
            </w:r>
          </w:p>
        </w:tc>
        <w:tc>
          <w:tcPr>
            <w:tcW w:w="2743" w:type="dxa"/>
            <w:noWrap w:val="0"/>
            <w:vAlign w:val="center"/>
          </w:tcPr>
          <w:p>
            <w:pPr>
              <w:topLinePunct/>
              <w:jc w:val="center"/>
              <w:rPr>
                <w:color w:val="000000"/>
                <w:szCs w:val="21"/>
              </w:rPr>
            </w:pPr>
            <w:r>
              <w:rPr>
                <w:color w:val="000000"/>
                <w:szCs w:val="21"/>
              </w:rPr>
              <w:t>100</w:t>
            </w:r>
          </w:p>
        </w:tc>
        <w:tc>
          <w:tcPr>
            <w:tcW w:w="1750" w:type="dxa"/>
            <w:noWrap w:val="0"/>
            <w:vAlign w:val="center"/>
          </w:tcPr>
          <w:p>
            <w:pPr>
              <w:topLinePunct/>
              <w:jc w:val="center"/>
              <w:rPr>
                <w:color w:val="000000"/>
                <w:szCs w:val="21"/>
              </w:rPr>
            </w:pPr>
            <w:r>
              <w:rPr>
                <w:color w:val="000000"/>
                <w:szCs w:val="21"/>
              </w:rPr>
              <w:t>31.6</w:t>
            </w:r>
          </w:p>
        </w:tc>
        <w:tc>
          <w:tcPr>
            <w:tcW w:w="1687" w:type="dxa"/>
            <w:noWrap w:val="0"/>
            <w:vAlign w:val="center"/>
          </w:tcPr>
          <w:p>
            <w:pPr>
              <w:topLinePunct/>
              <w:jc w:val="center"/>
              <w:rPr>
                <w:color w:val="000000"/>
                <w:szCs w:val="21"/>
              </w:rPr>
            </w:pPr>
            <w:r>
              <w:rPr>
                <w:color w:val="000000"/>
                <w:szCs w:val="21"/>
              </w:rPr>
              <w:t>177.8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2766" w:type="dxa"/>
            <w:noWrap w:val="0"/>
            <w:vAlign w:val="center"/>
          </w:tcPr>
          <w:p>
            <w:pPr>
              <w:topLinePunct/>
              <w:jc w:val="center"/>
              <w:rPr>
                <w:color w:val="000000"/>
                <w:szCs w:val="21"/>
              </w:rPr>
            </w:pPr>
            <w:r>
              <w:rPr>
                <w:color w:val="000000"/>
                <w:szCs w:val="21"/>
              </w:rPr>
              <w:t>切割机</w:t>
            </w:r>
          </w:p>
        </w:tc>
        <w:tc>
          <w:tcPr>
            <w:tcW w:w="2743" w:type="dxa"/>
            <w:noWrap w:val="0"/>
            <w:vAlign w:val="center"/>
          </w:tcPr>
          <w:p>
            <w:pPr>
              <w:topLinePunct/>
              <w:jc w:val="center"/>
              <w:rPr>
                <w:color w:val="000000"/>
                <w:szCs w:val="21"/>
              </w:rPr>
            </w:pPr>
            <w:r>
              <w:rPr>
                <w:color w:val="000000"/>
                <w:szCs w:val="21"/>
              </w:rPr>
              <w:t>95</w:t>
            </w:r>
          </w:p>
        </w:tc>
        <w:tc>
          <w:tcPr>
            <w:tcW w:w="1750" w:type="dxa"/>
            <w:noWrap w:val="0"/>
            <w:vAlign w:val="center"/>
          </w:tcPr>
          <w:p>
            <w:pPr>
              <w:topLinePunct/>
              <w:jc w:val="center"/>
              <w:rPr>
                <w:color w:val="000000"/>
                <w:szCs w:val="21"/>
              </w:rPr>
            </w:pPr>
            <w:r>
              <w:rPr>
                <w:color w:val="000000"/>
                <w:szCs w:val="21"/>
              </w:rPr>
              <w:t>17.8</w:t>
            </w:r>
          </w:p>
        </w:tc>
        <w:tc>
          <w:tcPr>
            <w:tcW w:w="1687" w:type="dxa"/>
            <w:noWrap w:val="0"/>
            <w:vAlign w:val="center"/>
          </w:tcPr>
          <w:p>
            <w:pPr>
              <w:topLinePunct/>
              <w:jc w:val="center"/>
              <w:rPr>
                <w:color w:val="000000"/>
                <w:szCs w:val="21"/>
              </w:rPr>
            </w:pPr>
            <w:r>
              <w:rPr>
                <w:color w:val="000000"/>
                <w:szCs w:val="21"/>
              </w:rPr>
              <w:t>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2766" w:type="dxa"/>
            <w:noWrap w:val="0"/>
            <w:vAlign w:val="center"/>
          </w:tcPr>
          <w:p>
            <w:pPr>
              <w:topLinePunct/>
              <w:jc w:val="center"/>
              <w:rPr>
                <w:color w:val="000000"/>
                <w:szCs w:val="21"/>
              </w:rPr>
            </w:pPr>
            <w:r>
              <w:rPr>
                <w:color w:val="000000"/>
                <w:szCs w:val="21"/>
              </w:rPr>
              <w:t>电钻</w:t>
            </w:r>
          </w:p>
        </w:tc>
        <w:tc>
          <w:tcPr>
            <w:tcW w:w="2743" w:type="dxa"/>
            <w:noWrap w:val="0"/>
            <w:vAlign w:val="center"/>
          </w:tcPr>
          <w:p>
            <w:pPr>
              <w:topLinePunct/>
              <w:jc w:val="center"/>
              <w:rPr>
                <w:color w:val="000000"/>
                <w:szCs w:val="21"/>
              </w:rPr>
            </w:pPr>
            <w:r>
              <w:rPr>
                <w:color w:val="000000"/>
                <w:szCs w:val="21"/>
              </w:rPr>
              <w:t>92</w:t>
            </w:r>
          </w:p>
        </w:tc>
        <w:tc>
          <w:tcPr>
            <w:tcW w:w="1750" w:type="dxa"/>
            <w:noWrap w:val="0"/>
            <w:vAlign w:val="center"/>
          </w:tcPr>
          <w:p>
            <w:pPr>
              <w:topLinePunct/>
              <w:jc w:val="center"/>
              <w:rPr>
                <w:color w:val="000000"/>
                <w:szCs w:val="21"/>
              </w:rPr>
            </w:pPr>
            <w:r>
              <w:rPr>
                <w:color w:val="000000"/>
                <w:szCs w:val="21"/>
              </w:rPr>
              <w:t>12.6</w:t>
            </w:r>
          </w:p>
        </w:tc>
        <w:tc>
          <w:tcPr>
            <w:tcW w:w="1687" w:type="dxa"/>
            <w:noWrap w:val="0"/>
            <w:vAlign w:val="center"/>
          </w:tcPr>
          <w:p>
            <w:pPr>
              <w:topLinePunct/>
              <w:jc w:val="center"/>
              <w:rPr>
                <w:color w:val="000000"/>
                <w:szCs w:val="21"/>
              </w:rPr>
            </w:pPr>
            <w:r>
              <w:rPr>
                <w:color w:val="000000"/>
                <w:szCs w:val="21"/>
              </w:rPr>
              <w:t>70.8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2766" w:type="dxa"/>
            <w:noWrap w:val="0"/>
            <w:vAlign w:val="center"/>
          </w:tcPr>
          <w:p>
            <w:pPr>
              <w:topLinePunct/>
              <w:jc w:val="center"/>
              <w:rPr>
                <w:color w:val="000000"/>
                <w:szCs w:val="21"/>
              </w:rPr>
            </w:pPr>
            <w:r>
              <w:rPr>
                <w:color w:val="000000"/>
                <w:szCs w:val="21"/>
              </w:rPr>
              <w:t>吊车</w:t>
            </w:r>
          </w:p>
        </w:tc>
        <w:tc>
          <w:tcPr>
            <w:tcW w:w="2743" w:type="dxa"/>
            <w:noWrap w:val="0"/>
            <w:vAlign w:val="center"/>
          </w:tcPr>
          <w:p>
            <w:pPr>
              <w:topLinePunct/>
              <w:jc w:val="center"/>
              <w:rPr>
                <w:color w:val="000000"/>
                <w:szCs w:val="21"/>
              </w:rPr>
            </w:pPr>
            <w:r>
              <w:rPr>
                <w:color w:val="000000"/>
                <w:szCs w:val="21"/>
              </w:rPr>
              <w:t>85</w:t>
            </w:r>
          </w:p>
        </w:tc>
        <w:tc>
          <w:tcPr>
            <w:tcW w:w="1750" w:type="dxa"/>
            <w:noWrap w:val="0"/>
            <w:vAlign w:val="center"/>
          </w:tcPr>
          <w:p>
            <w:pPr>
              <w:topLinePunct/>
              <w:jc w:val="center"/>
              <w:rPr>
                <w:color w:val="000000"/>
                <w:szCs w:val="21"/>
              </w:rPr>
            </w:pPr>
            <w:r>
              <w:rPr>
                <w:color w:val="000000"/>
                <w:szCs w:val="21"/>
              </w:rPr>
              <w:t>5.6</w:t>
            </w:r>
          </w:p>
        </w:tc>
        <w:tc>
          <w:tcPr>
            <w:tcW w:w="1687" w:type="dxa"/>
            <w:noWrap w:val="0"/>
            <w:vAlign w:val="center"/>
          </w:tcPr>
          <w:p>
            <w:pPr>
              <w:topLinePunct/>
              <w:jc w:val="center"/>
              <w:rPr>
                <w:color w:val="000000"/>
                <w:szCs w:val="21"/>
              </w:rPr>
            </w:pPr>
            <w:r>
              <w:rPr>
                <w:color w:val="000000"/>
                <w:szCs w:val="21"/>
              </w:rPr>
              <w:t>31.6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2766" w:type="dxa"/>
            <w:noWrap w:val="0"/>
            <w:vAlign w:val="center"/>
          </w:tcPr>
          <w:p>
            <w:pPr>
              <w:topLinePunct/>
              <w:jc w:val="center"/>
              <w:rPr>
                <w:color w:val="000000"/>
                <w:szCs w:val="21"/>
              </w:rPr>
            </w:pPr>
            <w:r>
              <w:rPr>
                <w:color w:val="000000"/>
                <w:szCs w:val="21"/>
              </w:rPr>
              <w:t>载重卡车</w:t>
            </w:r>
          </w:p>
        </w:tc>
        <w:tc>
          <w:tcPr>
            <w:tcW w:w="2743" w:type="dxa"/>
            <w:noWrap w:val="0"/>
            <w:vAlign w:val="center"/>
          </w:tcPr>
          <w:p>
            <w:pPr>
              <w:topLinePunct/>
              <w:jc w:val="center"/>
              <w:rPr>
                <w:color w:val="000000"/>
                <w:szCs w:val="21"/>
              </w:rPr>
            </w:pPr>
            <w:r>
              <w:rPr>
                <w:color w:val="000000"/>
                <w:szCs w:val="21"/>
              </w:rPr>
              <w:t>85</w:t>
            </w:r>
          </w:p>
        </w:tc>
        <w:tc>
          <w:tcPr>
            <w:tcW w:w="1750" w:type="dxa"/>
            <w:noWrap w:val="0"/>
            <w:vAlign w:val="center"/>
          </w:tcPr>
          <w:p>
            <w:pPr>
              <w:topLinePunct/>
              <w:jc w:val="center"/>
              <w:rPr>
                <w:color w:val="000000"/>
                <w:szCs w:val="21"/>
              </w:rPr>
            </w:pPr>
            <w:r>
              <w:rPr>
                <w:color w:val="000000"/>
                <w:szCs w:val="21"/>
              </w:rPr>
              <w:t>5.6</w:t>
            </w:r>
          </w:p>
        </w:tc>
        <w:tc>
          <w:tcPr>
            <w:tcW w:w="1687" w:type="dxa"/>
            <w:noWrap w:val="0"/>
            <w:vAlign w:val="center"/>
          </w:tcPr>
          <w:p>
            <w:pPr>
              <w:topLinePunct/>
              <w:jc w:val="center"/>
              <w:rPr>
                <w:color w:val="000000"/>
                <w:szCs w:val="21"/>
              </w:rPr>
            </w:pPr>
            <w:r>
              <w:rPr>
                <w:color w:val="000000"/>
                <w:szCs w:val="21"/>
              </w:rPr>
              <w:t>31.6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2766" w:type="dxa"/>
            <w:noWrap w:val="0"/>
            <w:vAlign w:val="center"/>
          </w:tcPr>
          <w:p>
            <w:pPr>
              <w:topLinePunct/>
              <w:jc w:val="center"/>
              <w:rPr>
                <w:b/>
                <w:color w:val="000000"/>
                <w:szCs w:val="21"/>
              </w:rPr>
            </w:pPr>
            <w:r>
              <w:rPr>
                <w:b/>
                <w:color w:val="000000"/>
                <w:szCs w:val="21"/>
              </w:rPr>
              <w:t>设备叠加噪声值</w:t>
            </w:r>
          </w:p>
        </w:tc>
        <w:tc>
          <w:tcPr>
            <w:tcW w:w="2743" w:type="dxa"/>
            <w:noWrap w:val="0"/>
            <w:vAlign w:val="center"/>
          </w:tcPr>
          <w:p>
            <w:pPr>
              <w:topLinePunct/>
              <w:jc w:val="center"/>
              <w:rPr>
                <w:color w:val="000000"/>
                <w:szCs w:val="21"/>
              </w:rPr>
            </w:pPr>
            <w:r>
              <w:rPr>
                <w:color w:val="000000"/>
                <w:szCs w:val="21"/>
              </w:rPr>
              <w:t>102.46</w:t>
            </w:r>
          </w:p>
        </w:tc>
        <w:tc>
          <w:tcPr>
            <w:tcW w:w="1750" w:type="dxa"/>
            <w:noWrap w:val="0"/>
            <w:vAlign w:val="center"/>
          </w:tcPr>
          <w:p>
            <w:pPr>
              <w:topLinePunct/>
              <w:jc w:val="center"/>
              <w:rPr>
                <w:color w:val="000000"/>
                <w:szCs w:val="21"/>
              </w:rPr>
            </w:pPr>
            <w:r>
              <w:rPr>
                <w:color w:val="000000"/>
                <w:szCs w:val="21"/>
              </w:rPr>
              <w:t>42</w:t>
            </w:r>
          </w:p>
        </w:tc>
        <w:tc>
          <w:tcPr>
            <w:tcW w:w="1687" w:type="dxa"/>
            <w:noWrap w:val="0"/>
            <w:vAlign w:val="center"/>
          </w:tcPr>
          <w:p>
            <w:pPr>
              <w:topLinePunct/>
              <w:jc w:val="center"/>
              <w:rPr>
                <w:color w:val="000000"/>
                <w:szCs w:val="21"/>
              </w:rPr>
            </w:pPr>
            <w:r>
              <w:rPr>
                <w:color w:val="000000"/>
                <w:szCs w:val="21"/>
              </w:rPr>
              <w:t>236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8946" w:type="dxa"/>
            <w:gridSpan w:val="4"/>
            <w:noWrap w:val="0"/>
            <w:vAlign w:val="center"/>
          </w:tcPr>
          <w:p>
            <w:pPr>
              <w:topLinePunct/>
              <w:jc w:val="center"/>
              <w:rPr>
                <w:color w:val="000000"/>
                <w:szCs w:val="21"/>
              </w:rPr>
            </w:pPr>
            <w:r>
              <w:rPr>
                <w:color w:val="000000"/>
                <w:szCs w:val="21"/>
              </w:rPr>
              <w:t>《建筑施工场界环境噪声排放标准》（GB12523-2011）（昼间</w:t>
            </w:r>
            <w:r>
              <w:rPr>
                <w:color w:val="000000"/>
                <w:kern w:val="0"/>
                <w:szCs w:val="21"/>
              </w:rPr>
              <w:t>70dB(A)、夜间55dB(A)）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1" w:hRule="atLeast"/>
          <w:jc w:val="center"/>
        </w:trPr>
        <w:tc>
          <w:tcPr>
            <w:tcW w:w="8946" w:type="dxa"/>
            <w:gridSpan w:val="4"/>
            <w:noWrap w:val="0"/>
            <w:vAlign w:val="center"/>
          </w:tcPr>
          <w:p>
            <w:pPr>
              <w:topLinePunct/>
              <w:ind w:firstLine="420" w:firstLineChars="200"/>
              <w:jc w:val="center"/>
              <w:rPr>
                <w:color w:val="000000"/>
                <w:szCs w:val="21"/>
              </w:rPr>
            </w:pPr>
            <w:r>
              <w:rPr>
                <w:color w:val="000000"/>
                <w:szCs w:val="21"/>
              </w:rPr>
              <w:t>备注：本项目只在昼间施工，夜间不施工。</w:t>
            </w:r>
          </w:p>
        </w:tc>
      </w:tr>
    </w:tbl>
    <w:p>
      <w:pPr>
        <w:spacing w:line="500" w:lineRule="exact"/>
        <w:rPr>
          <w:b/>
          <w:sz w:val="24"/>
        </w:rPr>
      </w:pPr>
      <w:r>
        <w:rPr>
          <w:b/>
          <w:kern w:val="0"/>
          <w:sz w:val="24"/>
          <w:lang w:bidi="ar"/>
        </w:rPr>
        <w:t>4.1.2.2施工期声环境影响分析</w:t>
      </w:r>
    </w:p>
    <w:p>
      <w:pPr>
        <w:spacing w:line="520" w:lineRule="exact"/>
        <w:ind w:firstLine="480" w:firstLineChars="200"/>
        <w:rPr>
          <w:rFonts w:hint="eastAsia"/>
          <w:kern w:val="0"/>
          <w:sz w:val="24"/>
          <w:lang w:bidi="ar"/>
        </w:rPr>
      </w:pPr>
      <w:r>
        <w:rPr>
          <w:kern w:val="0"/>
          <w:sz w:val="24"/>
          <w:lang w:bidi="ar"/>
        </w:rPr>
        <w:t>项目施工期噪声执行《建筑施工场界环境噪声排放标准》（GB12523-2011），见表4.1-3。从表4.1-2中可看出，土石方施工阶段推土机、装载机、挖掘机昼间噪声超标的情况出现在距声源40m范围内，夜间施工噪声超标情况出现在100m范围内；混凝土振捣棒、切割机昼间噪声超标的情况出现在距声源40m范围内，夜间施工噪声超标情况出现在150m范围内。</w:t>
      </w:r>
    </w:p>
    <w:p>
      <w:pPr>
        <w:spacing w:after="93" w:afterLines="30" w:line="500" w:lineRule="exact"/>
        <w:jc w:val="center"/>
        <w:rPr>
          <w:b/>
          <w:sz w:val="24"/>
        </w:rPr>
      </w:pPr>
      <w:r>
        <w:rPr>
          <w:b/>
          <w:kern w:val="0"/>
          <w:sz w:val="24"/>
          <w:lang w:bidi="ar"/>
        </w:rPr>
        <w:t xml:space="preserve">表4.1-3         建筑施工场界环境噪声排放限值    </w:t>
      </w:r>
      <w:r>
        <w:rPr>
          <w:b/>
          <w:kern w:val="0"/>
          <w:szCs w:val="21"/>
          <w:lang w:bidi="ar"/>
        </w:rPr>
        <w:t>单位dB(A)</w:t>
      </w:r>
    </w:p>
    <w:tbl>
      <w:tblPr>
        <w:tblStyle w:val="17"/>
        <w:tblW w:w="0" w:type="auto"/>
        <w:jc w:val="center"/>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108" w:type="dxa"/>
          <w:bottom w:w="0" w:type="dxa"/>
          <w:right w:w="108" w:type="dxa"/>
        </w:tblCellMar>
      </w:tblPr>
      <w:tblGrid>
        <w:gridCol w:w="4428"/>
        <w:gridCol w:w="4518"/>
      </w:tblGrid>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8" w:type="dxa"/>
            <w:noWrap w:val="0"/>
            <w:vAlign w:val="center"/>
          </w:tcPr>
          <w:p>
            <w:pPr>
              <w:spacing w:line="360" w:lineRule="exact"/>
              <w:jc w:val="center"/>
              <w:rPr>
                <w:b/>
                <w:szCs w:val="21"/>
              </w:rPr>
            </w:pPr>
            <w:r>
              <w:rPr>
                <w:b/>
                <w:kern w:val="0"/>
                <w:szCs w:val="21"/>
                <w:lang w:bidi="ar"/>
              </w:rPr>
              <w:t>昼间</w:t>
            </w:r>
          </w:p>
        </w:tc>
        <w:tc>
          <w:tcPr>
            <w:tcW w:w="4518" w:type="dxa"/>
            <w:noWrap w:val="0"/>
            <w:vAlign w:val="center"/>
          </w:tcPr>
          <w:p>
            <w:pPr>
              <w:spacing w:line="360" w:lineRule="exact"/>
              <w:jc w:val="center"/>
              <w:rPr>
                <w:b/>
                <w:szCs w:val="21"/>
              </w:rPr>
            </w:pPr>
            <w:r>
              <w:rPr>
                <w:b/>
                <w:kern w:val="0"/>
                <w:szCs w:val="21"/>
                <w:lang w:bidi="ar"/>
              </w:rPr>
              <w:t>夜间</w:t>
            </w:r>
          </w:p>
        </w:tc>
      </w:tr>
      <w:tr>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28" w:type="dxa"/>
            <w:noWrap w:val="0"/>
            <w:vAlign w:val="center"/>
          </w:tcPr>
          <w:p>
            <w:pPr>
              <w:spacing w:line="360" w:lineRule="exact"/>
              <w:jc w:val="center"/>
              <w:rPr>
                <w:szCs w:val="21"/>
              </w:rPr>
            </w:pPr>
            <w:r>
              <w:rPr>
                <w:kern w:val="0"/>
                <w:szCs w:val="21"/>
                <w:lang w:bidi="ar"/>
              </w:rPr>
              <w:t>70</w:t>
            </w:r>
          </w:p>
        </w:tc>
        <w:tc>
          <w:tcPr>
            <w:tcW w:w="4518" w:type="dxa"/>
            <w:noWrap w:val="0"/>
            <w:vAlign w:val="center"/>
          </w:tcPr>
          <w:p>
            <w:pPr>
              <w:spacing w:line="360" w:lineRule="exact"/>
              <w:jc w:val="center"/>
              <w:rPr>
                <w:szCs w:val="21"/>
              </w:rPr>
            </w:pPr>
            <w:r>
              <w:rPr>
                <w:kern w:val="0"/>
                <w:szCs w:val="21"/>
                <w:lang w:bidi="ar"/>
              </w:rPr>
              <w:t>55</w:t>
            </w:r>
          </w:p>
        </w:tc>
      </w:tr>
    </w:tbl>
    <w:p>
      <w:pPr>
        <w:spacing w:line="520" w:lineRule="exact"/>
        <w:ind w:firstLine="480" w:firstLineChars="200"/>
        <w:rPr>
          <w:sz w:val="24"/>
        </w:rPr>
      </w:pPr>
      <w:r>
        <w:rPr>
          <w:kern w:val="0"/>
          <w:sz w:val="24"/>
          <w:lang w:bidi="ar"/>
        </w:rPr>
        <w:t>施工噪声在经过距离衰减后达到《声环境质量标准》（GB3096－2008）中的1类标准昼间标准要求的最大距离范围为100m，达到夜间标准要求的最大达标范围为200m。</w:t>
      </w:r>
      <w:r>
        <w:rPr>
          <w:rFonts w:hint="eastAsia"/>
          <w:kern w:val="0"/>
          <w:sz w:val="24"/>
          <w:lang w:bidi="ar"/>
        </w:rPr>
        <w:t>本项目</w:t>
      </w:r>
      <w:r>
        <w:rPr>
          <w:kern w:val="0"/>
          <w:sz w:val="24"/>
          <w:lang w:bidi="ar"/>
        </w:rPr>
        <w:t>周边</w:t>
      </w:r>
      <w:r>
        <w:rPr>
          <w:rFonts w:hint="eastAsia"/>
          <w:kern w:val="0"/>
          <w:sz w:val="24"/>
          <w:lang w:bidi="ar"/>
        </w:rPr>
        <w:t>最近</w:t>
      </w:r>
      <w:r>
        <w:rPr>
          <w:kern w:val="0"/>
          <w:sz w:val="24"/>
          <w:lang w:bidi="ar"/>
        </w:rPr>
        <w:t>敏感点</w:t>
      </w:r>
      <w:r>
        <w:rPr>
          <w:rFonts w:hint="eastAsia"/>
          <w:kern w:val="0"/>
          <w:sz w:val="24"/>
          <w:lang w:bidi="ar"/>
        </w:rPr>
        <w:t>距离</w:t>
      </w:r>
      <w:r>
        <w:rPr>
          <w:kern w:val="0"/>
          <w:sz w:val="24"/>
          <w:lang w:bidi="ar"/>
        </w:rPr>
        <w:t>本项目都在2</w:t>
      </w:r>
      <w:r>
        <w:rPr>
          <w:rFonts w:hint="eastAsia"/>
          <w:kern w:val="0"/>
          <w:sz w:val="24"/>
          <w:lang w:bidi="ar"/>
        </w:rPr>
        <w:t>00m</w:t>
      </w:r>
      <w:r>
        <w:rPr>
          <w:kern w:val="0"/>
          <w:sz w:val="24"/>
          <w:lang w:bidi="ar"/>
        </w:rPr>
        <w:t>以上因此项目施工期噪声对周围敏感点影响较小。</w:t>
      </w:r>
    </w:p>
    <w:p>
      <w:pPr>
        <w:spacing w:line="520" w:lineRule="exact"/>
        <w:ind w:firstLine="480" w:firstLineChars="200"/>
        <w:rPr>
          <w:sz w:val="24"/>
        </w:rPr>
      </w:pPr>
      <w:r>
        <w:rPr>
          <w:kern w:val="0"/>
          <w:sz w:val="24"/>
          <w:lang w:bidi="ar"/>
        </w:rPr>
        <w:t>评价建议施工单位应合理安排施工时间，施工时应尽量避免在中午（12时至14时）和晚上（22时至次日6时）休息时间进行高噪声施工作业；采取合理的施工方式，优先选用低噪声的施工设备，减少高噪声设备机械的同时运行。</w:t>
      </w:r>
    </w:p>
    <w:p>
      <w:pPr>
        <w:spacing w:line="520" w:lineRule="exact"/>
        <w:ind w:firstLine="480" w:firstLineChars="200"/>
        <w:rPr>
          <w:sz w:val="24"/>
        </w:rPr>
      </w:pPr>
      <w:r>
        <w:rPr>
          <w:kern w:val="0"/>
          <w:sz w:val="24"/>
          <w:lang w:bidi="ar"/>
        </w:rPr>
        <w:t>在采取合理措施后，可尽量减轻项目施工噪声对</w:t>
      </w:r>
      <w:r>
        <w:rPr>
          <w:rFonts w:hint="eastAsia"/>
          <w:sz w:val="24"/>
        </w:rPr>
        <w:t>周边</w:t>
      </w:r>
      <w:r>
        <w:rPr>
          <w:kern w:val="0"/>
          <w:sz w:val="24"/>
          <w:lang w:bidi="ar"/>
        </w:rPr>
        <w:t>居民正常生活的影响。加之施工是短时期的，因此施工过程中对区域声环境的影响是暂时的，将随着施工的结束而消失。</w:t>
      </w:r>
    </w:p>
    <w:p>
      <w:pPr>
        <w:pStyle w:val="2"/>
        <w:spacing w:before="0" w:after="0" w:line="520" w:lineRule="exact"/>
        <w:rPr>
          <w:rFonts w:eastAsia="黑体"/>
          <w:b w:val="0"/>
          <w:sz w:val="24"/>
          <w:szCs w:val="24"/>
        </w:rPr>
      </w:pPr>
      <w:bookmarkStart w:id="399" w:name="_Toc311980418"/>
      <w:bookmarkEnd w:id="399"/>
      <w:bookmarkStart w:id="400" w:name="_Toc406847744"/>
      <w:bookmarkEnd w:id="400"/>
      <w:bookmarkStart w:id="401" w:name="_Toc413053007"/>
      <w:r>
        <w:rPr>
          <w:rFonts w:eastAsia="黑体"/>
          <w:b w:val="0"/>
          <w:sz w:val="24"/>
          <w:szCs w:val="24"/>
        </w:rPr>
        <w:t>4</w:t>
      </w:r>
      <w:bookmarkEnd w:id="401"/>
      <w:r>
        <w:rPr>
          <w:rFonts w:eastAsia="黑体"/>
          <w:b w:val="0"/>
          <w:sz w:val="24"/>
          <w:szCs w:val="24"/>
        </w:rPr>
        <w:t>.1.3 施工期废水环境影响分析</w:t>
      </w:r>
    </w:p>
    <w:p>
      <w:pPr>
        <w:adjustRightInd w:val="0"/>
        <w:snapToGrid w:val="0"/>
        <w:spacing w:line="520" w:lineRule="exact"/>
        <w:ind w:firstLine="480" w:firstLineChars="200"/>
        <w:rPr>
          <w:kern w:val="0"/>
          <w:sz w:val="24"/>
          <w:lang w:bidi="ar"/>
        </w:rPr>
      </w:pPr>
      <w:bookmarkStart w:id="402" w:name="_Toc311980419"/>
      <w:bookmarkEnd w:id="402"/>
      <w:bookmarkStart w:id="403" w:name="_Toc413053008"/>
      <w:bookmarkEnd w:id="403"/>
      <w:r>
        <w:rPr>
          <w:rFonts w:hint="eastAsia"/>
          <w:kern w:val="0"/>
          <w:sz w:val="24"/>
          <w:lang w:bidi="ar"/>
        </w:rPr>
        <w:t>生活污水为施工人员日常生活产生的废水，生活污水主要包括粪便污水及洗漱污水等，本项目施工期施工人员50人，施工期为6个月，施工人员每人每天用水量为30L，施工期用水量为1.5m</w:t>
      </w:r>
      <w:r>
        <w:rPr>
          <w:rFonts w:hint="eastAsia"/>
          <w:kern w:val="0"/>
          <w:sz w:val="24"/>
          <w:vertAlign w:val="superscript"/>
          <w:lang w:bidi="ar"/>
        </w:rPr>
        <w:t>3</w:t>
      </w:r>
      <w:r>
        <w:rPr>
          <w:rFonts w:hint="eastAsia"/>
          <w:kern w:val="0"/>
          <w:sz w:val="24"/>
          <w:lang w:bidi="ar"/>
        </w:rPr>
        <w:t>/d，</w:t>
      </w:r>
      <w:r>
        <w:rPr>
          <w:kern w:val="0"/>
          <w:sz w:val="24"/>
          <w:lang w:bidi="ar"/>
        </w:rPr>
        <w:t>总用水量为270m</w:t>
      </w:r>
      <w:r>
        <w:rPr>
          <w:kern w:val="0"/>
          <w:sz w:val="24"/>
          <w:vertAlign w:val="superscript"/>
          <w:lang w:bidi="ar"/>
        </w:rPr>
        <w:t>3</w:t>
      </w:r>
      <w:r>
        <w:rPr>
          <w:kern w:val="0"/>
          <w:sz w:val="24"/>
          <w:lang w:bidi="ar"/>
        </w:rPr>
        <w:t>，</w:t>
      </w:r>
      <w:r>
        <w:rPr>
          <w:rFonts w:hint="eastAsia"/>
          <w:kern w:val="0"/>
          <w:sz w:val="24"/>
          <w:lang w:bidi="ar"/>
        </w:rPr>
        <w:t>按照0.8的污水产生系数计算，项目施工期共产生216m</w:t>
      </w:r>
      <w:r>
        <w:rPr>
          <w:rFonts w:hint="eastAsia"/>
          <w:kern w:val="0"/>
          <w:sz w:val="24"/>
          <w:vertAlign w:val="superscript"/>
          <w:lang w:bidi="ar"/>
        </w:rPr>
        <w:t>3</w:t>
      </w:r>
      <w:r>
        <w:rPr>
          <w:rFonts w:hint="eastAsia"/>
          <w:kern w:val="0"/>
          <w:sz w:val="24"/>
          <w:lang w:bidi="ar"/>
        </w:rPr>
        <w:t>的施工期生活污水，场区设置沉淀池和化粪池，人员洗漱用水经沉淀池沉淀后用作抑尘洒水，粪便由周围农户定期清运用作农肥，无废水外排</w:t>
      </w:r>
      <w:r>
        <w:rPr>
          <w:kern w:val="0"/>
          <w:sz w:val="24"/>
          <w:lang w:bidi="ar"/>
        </w:rPr>
        <w:t>。</w:t>
      </w:r>
    </w:p>
    <w:p>
      <w:pPr>
        <w:pStyle w:val="2"/>
        <w:spacing w:before="0" w:after="0" w:line="520" w:lineRule="exact"/>
        <w:rPr>
          <w:rFonts w:eastAsia="黑体"/>
          <w:b w:val="0"/>
          <w:sz w:val="24"/>
          <w:szCs w:val="24"/>
        </w:rPr>
      </w:pPr>
      <w:r>
        <w:rPr>
          <w:rFonts w:eastAsia="黑体"/>
          <w:b w:val="0"/>
          <w:sz w:val="24"/>
          <w:szCs w:val="24"/>
        </w:rPr>
        <w:t>4.1.4 施工期固体废物环境影响分析</w:t>
      </w:r>
    </w:p>
    <w:p>
      <w:pPr>
        <w:spacing w:line="520" w:lineRule="exact"/>
        <w:ind w:firstLine="480" w:firstLineChars="200"/>
        <w:rPr>
          <w:sz w:val="24"/>
        </w:rPr>
      </w:pPr>
      <w:r>
        <w:rPr>
          <w:bCs/>
          <w:kern w:val="0"/>
          <w:sz w:val="24"/>
          <w:lang w:bidi="ar"/>
        </w:rPr>
        <w:t>施工期固体废物主要是施工期间的</w:t>
      </w:r>
      <w:r>
        <w:rPr>
          <w:sz w:val="24"/>
        </w:rPr>
        <w:t>建筑垃圾、施工人员产生的生活垃圾及施工土方等。</w:t>
      </w:r>
    </w:p>
    <w:p>
      <w:pPr>
        <w:spacing w:line="520" w:lineRule="exact"/>
        <w:ind w:firstLine="480" w:firstLineChars="200"/>
        <w:rPr>
          <w:sz w:val="24"/>
        </w:rPr>
      </w:pPr>
      <w:r>
        <w:rPr>
          <w:sz w:val="24"/>
        </w:rPr>
        <w:t>本项目施工期施工人员50人，施工期为6个月，施工期生活垃圾产生量为4.5t。项目建筑垃圾产生量为11t，</w:t>
      </w:r>
      <w:r>
        <w:rPr>
          <w:bCs/>
          <w:sz w:val="24"/>
        </w:rPr>
        <w:t>施工建筑垃圾与</w:t>
      </w:r>
      <w:r>
        <w:rPr>
          <w:sz w:val="24"/>
        </w:rPr>
        <w:t>生活垃圾一起交由当地环卫部门定时统一清运处理，以减少对区域生态环境及景观的影响。</w:t>
      </w:r>
    </w:p>
    <w:p>
      <w:pPr>
        <w:spacing w:line="520" w:lineRule="exact"/>
        <w:ind w:firstLine="480" w:firstLineChars="200"/>
        <w:rPr>
          <w:sz w:val="24"/>
        </w:rPr>
      </w:pPr>
      <w:r>
        <w:rPr>
          <w:sz w:val="24"/>
        </w:rPr>
        <w:t>本项目预计挖方约9000m</w:t>
      </w:r>
      <w:r>
        <w:rPr>
          <w:sz w:val="24"/>
          <w:vertAlign w:val="superscript"/>
        </w:rPr>
        <w:t>3</w:t>
      </w:r>
      <w:r>
        <w:rPr>
          <w:sz w:val="24"/>
        </w:rPr>
        <w:t>，</w:t>
      </w:r>
      <w:r>
        <w:rPr>
          <w:rFonts w:hint="eastAsia"/>
          <w:sz w:val="24"/>
        </w:rPr>
        <w:t>填方3000</w:t>
      </w:r>
      <w:r>
        <w:rPr>
          <w:sz w:val="24"/>
        </w:rPr>
        <w:t>m</w:t>
      </w:r>
      <w:r>
        <w:rPr>
          <w:sz w:val="24"/>
          <w:vertAlign w:val="superscript"/>
        </w:rPr>
        <w:t>3</w:t>
      </w:r>
      <w:r>
        <w:rPr>
          <w:sz w:val="24"/>
        </w:rPr>
        <w:t>，</w:t>
      </w:r>
      <w:r>
        <w:rPr>
          <w:rFonts w:hint="eastAsia"/>
          <w:sz w:val="24"/>
        </w:rPr>
        <w:t>剩余土方全部用于后期绿化覆土。</w:t>
      </w:r>
    </w:p>
    <w:p>
      <w:pPr>
        <w:spacing w:line="520" w:lineRule="exact"/>
        <w:ind w:firstLine="480" w:firstLineChars="200"/>
        <w:rPr>
          <w:sz w:val="24"/>
        </w:rPr>
      </w:pPr>
      <w:bookmarkStart w:id="404" w:name="_Toc406847746"/>
      <w:r>
        <w:rPr>
          <w:sz w:val="24"/>
        </w:rPr>
        <w:t>综上所述，采取上述措施后，本项目施工期产生固废均得到合理处置，对周围环境影响较小。</w:t>
      </w:r>
    </w:p>
    <w:p>
      <w:pPr>
        <w:pStyle w:val="2"/>
        <w:spacing w:before="0" w:after="0" w:line="520" w:lineRule="exact"/>
        <w:rPr>
          <w:rFonts w:eastAsia="黑体"/>
          <w:b w:val="0"/>
          <w:sz w:val="24"/>
          <w:szCs w:val="24"/>
        </w:rPr>
      </w:pPr>
      <w:r>
        <w:rPr>
          <w:rFonts w:eastAsia="黑体"/>
          <w:b w:val="0"/>
          <w:sz w:val="24"/>
          <w:szCs w:val="24"/>
        </w:rPr>
        <w:t>4</w:t>
      </w:r>
      <w:bookmarkEnd w:id="404"/>
      <w:r>
        <w:rPr>
          <w:rFonts w:eastAsia="黑体"/>
          <w:b w:val="0"/>
          <w:sz w:val="24"/>
          <w:szCs w:val="24"/>
        </w:rPr>
        <w:t>.1.5 施工期生态环境影响分析</w:t>
      </w:r>
    </w:p>
    <w:p>
      <w:pPr>
        <w:spacing w:line="500" w:lineRule="exact"/>
        <w:rPr>
          <w:rFonts w:hint="eastAsia"/>
          <w:b/>
          <w:bCs/>
          <w:kern w:val="0"/>
          <w:sz w:val="24"/>
          <w:lang w:bidi="ar"/>
        </w:rPr>
      </w:pPr>
      <w:r>
        <w:rPr>
          <w:rFonts w:hint="eastAsia"/>
          <w:b/>
          <w:bCs/>
          <w:kern w:val="0"/>
          <w:sz w:val="24"/>
          <w:lang w:bidi="ar"/>
        </w:rPr>
        <w:t>4</w:t>
      </w:r>
      <w:r>
        <w:rPr>
          <w:b/>
          <w:bCs/>
          <w:kern w:val="0"/>
          <w:sz w:val="24"/>
          <w:lang w:bidi="ar"/>
        </w:rPr>
        <w:t xml:space="preserve">.1.5.1 </w:t>
      </w:r>
      <w:r>
        <w:rPr>
          <w:rFonts w:hint="eastAsia"/>
          <w:b/>
          <w:bCs/>
          <w:kern w:val="0"/>
          <w:sz w:val="24"/>
          <w:lang w:bidi="ar"/>
        </w:rPr>
        <w:t>场区</w:t>
      </w:r>
      <w:r>
        <w:rPr>
          <w:b/>
          <w:bCs/>
          <w:kern w:val="0"/>
          <w:sz w:val="24"/>
          <w:lang w:bidi="ar"/>
        </w:rPr>
        <w:t>土地利用现状</w:t>
      </w:r>
    </w:p>
    <w:p>
      <w:pPr>
        <w:spacing w:line="520" w:lineRule="exact"/>
        <w:ind w:firstLine="480" w:firstLineChars="200"/>
        <w:rPr>
          <w:sz w:val="24"/>
        </w:rPr>
      </w:pPr>
      <w:r>
        <w:rPr>
          <w:rFonts w:hint="eastAsia" w:ascii="宋体" w:hAnsi="宋体" w:cs="宋体"/>
          <w:sz w:val="24"/>
        </w:rPr>
        <w:t>①</w:t>
      </w:r>
      <w:r>
        <w:rPr>
          <w:sz w:val="24"/>
        </w:rPr>
        <w:t>场区土地利用现状</w:t>
      </w:r>
    </w:p>
    <w:p>
      <w:pPr>
        <w:spacing w:line="520" w:lineRule="exact"/>
        <w:ind w:firstLine="480" w:firstLineChars="200"/>
        <w:rPr>
          <w:sz w:val="24"/>
        </w:rPr>
      </w:pPr>
      <w:r>
        <w:rPr>
          <w:sz w:val="24"/>
        </w:rPr>
        <w:t>根据现场调查，场区用地类型</w:t>
      </w:r>
      <w:r>
        <w:rPr>
          <w:rFonts w:hint="eastAsia"/>
          <w:sz w:val="24"/>
        </w:rPr>
        <w:t>为一般农田</w:t>
      </w:r>
      <w:r>
        <w:rPr>
          <w:sz w:val="24"/>
        </w:rPr>
        <w:t>。场区用地现状见表4.1-4。</w:t>
      </w:r>
    </w:p>
    <w:p>
      <w:pPr>
        <w:spacing w:line="520" w:lineRule="exact"/>
        <w:jc w:val="center"/>
        <w:rPr>
          <w:b/>
          <w:sz w:val="24"/>
        </w:rPr>
      </w:pPr>
      <w:r>
        <w:rPr>
          <w:b/>
          <w:sz w:val="24"/>
        </w:rPr>
        <w:t>表4.1-4       场区内土地利用现状</w:t>
      </w:r>
    </w:p>
    <w:tbl>
      <w:tblPr>
        <w:tblStyle w:val="1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982"/>
        <w:gridCol w:w="2981"/>
        <w:gridCol w:w="29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67" w:type="pct"/>
            <w:noWrap w:val="0"/>
            <w:vAlign w:val="center"/>
          </w:tcPr>
          <w:p>
            <w:pPr>
              <w:spacing w:line="360" w:lineRule="exact"/>
              <w:jc w:val="center"/>
              <w:rPr>
                <w:b/>
                <w:szCs w:val="21"/>
              </w:rPr>
            </w:pPr>
            <w:r>
              <w:rPr>
                <w:b/>
                <w:szCs w:val="21"/>
              </w:rPr>
              <w:t>用地类型</w:t>
            </w:r>
          </w:p>
        </w:tc>
        <w:tc>
          <w:tcPr>
            <w:tcW w:w="1666" w:type="pct"/>
            <w:noWrap w:val="0"/>
            <w:vAlign w:val="center"/>
          </w:tcPr>
          <w:p>
            <w:pPr>
              <w:spacing w:line="360" w:lineRule="exact"/>
              <w:jc w:val="center"/>
              <w:rPr>
                <w:b/>
                <w:szCs w:val="21"/>
              </w:rPr>
            </w:pPr>
            <w:r>
              <w:rPr>
                <w:b/>
                <w:szCs w:val="21"/>
              </w:rPr>
              <w:t>占地面积（亩）</w:t>
            </w:r>
          </w:p>
        </w:tc>
        <w:tc>
          <w:tcPr>
            <w:tcW w:w="1667" w:type="pct"/>
            <w:noWrap w:val="0"/>
            <w:vAlign w:val="center"/>
          </w:tcPr>
          <w:p>
            <w:pPr>
              <w:spacing w:line="360" w:lineRule="exact"/>
              <w:jc w:val="center"/>
              <w:rPr>
                <w:b/>
                <w:szCs w:val="21"/>
              </w:rPr>
            </w:pPr>
            <w:r>
              <w:rPr>
                <w:b/>
                <w:szCs w:val="21"/>
              </w:rPr>
              <w:t>植物类型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667" w:type="pct"/>
            <w:noWrap w:val="0"/>
            <w:vAlign w:val="center"/>
          </w:tcPr>
          <w:p>
            <w:pPr>
              <w:spacing w:line="360" w:lineRule="exact"/>
              <w:jc w:val="center"/>
              <w:rPr>
                <w:rFonts w:hint="eastAsia"/>
                <w:szCs w:val="21"/>
              </w:rPr>
            </w:pPr>
            <w:r>
              <w:rPr>
                <w:rFonts w:hint="eastAsia"/>
                <w:szCs w:val="21"/>
              </w:rPr>
              <w:t>一般耕地</w:t>
            </w:r>
          </w:p>
        </w:tc>
        <w:tc>
          <w:tcPr>
            <w:tcW w:w="1666" w:type="pct"/>
            <w:noWrap w:val="0"/>
            <w:vAlign w:val="center"/>
          </w:tcPr>
          <w:p>
            <w:pPr>
              <w:spacing w:line="360" w:lineRule="exact"/>
              <w:jc w:val="center"/>
              <w:rPr>
                <w:rFonts w:hint="default" w:eastAsia="宋体"/>
                <w:szCs w:val="21"/>
                <w:lang w:val="en-US" w:eastAsia="zh-CN"/>
              </w:rPr>
            </w:pPr>
            <w:r>
              <w:rPr>
                <w:rFonts w:hint="eastAsia"/>
                <w:szCs w:val="21"/>
                <w:lang w:val="en-US" w:eastAsia="zh-CN"/>
              </w:rPr>
              <w:t>26.7</w:t>
            </w:r>
          </w:p>
        </w:tc>
        <w:tc>
          <w:tcPr>
            <w:tcW w:w="1667" w:type="pct"/>
            <w:noWrap w:val="0"/>
            <w:vAlign w:val="center"/>
          </w:tcPr>
          <w:p>
            <w:pPr>
              <w:spacing w:line="360" w:lineRule="exact"/>
              <w:jc w:val="center"/>
              <w:rPr>
                <w:szCs w:val="21"/>
              </w:rPr>
            </w:pPr>
            <w:r>
              <w:rPr>
                <w:rFonts w:hint="eastAsia"/>
                <w:szCs w:val="21"/>
              </w:rPr>
              <w:t>小麦</w:t>
            </w:r>
          </w:p>
        </w:tc>
      </w:tr>
    </w:tbl>
    <w:p>
      <w:pPr>
        <w:spacing w:line="520" w:lineRule="exact"/>
        <w:ind w:firstLine="480" w:firstLineChars="200"/>
        <w:rPr>
          <w:sz w:val="24"/>
        </w:rPr>
      </w:pPr>
      <w:r>
        <w:rPr>
          <w:sz w:val="24"/>
        </w:rPr>
        <w:t>根据现场调查，项目各环境要素评价范围内不存在环境敏区。</w:t>
      </w:r>
    </w:p>
    <w:p>
      <w:pPr>
        <w:numPr>
          <w:ilvl w:val="0"/>
          <w:numId w:val="4"/>
        </w:numPr>
        <w:spacing w:line="520" w:lineRule="exact"/>
        <w:rPr>
          <w:sz w:val="24"/>
        </w:rPr>
      </w:pPr>
      <w:r>
        <w:rPr>
          <w:sz w:val="24"/>
        </w:rPr>
        <w:t>土地利用变化的影响</w:t>
      </w:r>
    </w:p>
    <w:p>
      <w:pPr>
        <w:spacing w:line="520" w:lineRule="exact"/>
        <w:ind w:firstLine="480" w:firstLineChars="200"/>
        <w:rPr>
          <w:sz w:val="24"/>
        </w:rPr>
      </w:pPr>
      <w:r>
        <w:rPr>
          <w:sz w:val="24"/>
        </w:rPr>
        <w:t>项目的建成将改变土地利用性质，由</w:t>
      </w:r>
      <w:r>
        <w:rPr>
          <w:rFonts w:hint="eastAsia"/>
          <w:sz w:val="24"/>
        </w:rPr>
        <w:t>一般农田</w:t>
      </w:r>
      <w:r>
        <w:rPr>
          <w:sz w:val="24"/>
        </w:rPr>
        <w:t>变为建设用地，失去其原有的功能。但本项目只改变项目占地区域内的土地利用性质，其周边土地仍然保持原有的土地性质，且项目运营过程中产生的沼液和沼渣用作项目周边农田农肥，提高了周边农田的产量，增强了周边农田的土地利用效率。</w:t>
      </w:r>
    </w:p>
    <w:p>
      <w:pPr>
        <w:spacing w:line="520" w:lineRule="exact"/>
        <w:ind w:firstLine="480" w:firstLineChars="200"/>
        <w:rPr>
          <w:sz w:val="24"/>
        </w:rPr>
      </w:pPr>
      <w:r>
        <w:rPr>
          <w:sz w:val="24"/>
        </w:rPr>
        <w:t>项目用地相对于项目区所在地整个区域来说，用地比例较小，不会改变区域内整体的土地利用结构，也不会破坏区域内总的生态系统结构。</w:t>
      </w:r>
    </w:p>
    <w:p>
      <w:pPr>
        <w:spacing w:line="500" w:lineRule="exact"/>
        <w:rPr>
          <w:b/>
          <w:bCs/>
          <w:kern w:val="0"/>
          <w:sz w:val="24"/>
          <w:lang w:bidi="ar"/>
        </w:rPr>
      </w:pPr>
      <w:r>
        <w:rPr>
          <w:b/>
          <w:bCs/>
          <w:kern w:val="0"/>
          <w:sz w:val="24"/>
          <w:lang w:bidi="ar"/>
        </w:rPr>
        <w:t>4.1.5.2生物量损失</w:t>
      </w:r>
    </w:p>
    <w:p>
      <w:pPr>
        <w:spacing w:line="520" w:lineRule="exact"/>
        <w:ind w:firstLine="480" w:firstLineChars="200"/>
        <w:rPr>
          <w:sz w:val="24"/>
        </w:rPr>
      </w:pPr>
      <w:bookmarkStart w:id="405" w:name="_Toc181247751"/>
      <w:r>
        <w:rPr>
          <w:sz w:val="24"/>
        </w:rPr>
        <w:t>生物量表示群落在一定时段内净物质生产的累积量，各生物群落随地理条件的不同而有差异，本次生物量计算采用类比的方法。项目用地区域内各生物群落生物量见表4.1-5。</w:t>
      </w:r>
      <w:bookmarkEnd w:id="405"/>
      <w:bookmarkStart w:id="406" w:name="_Toc181247753"/>
    </w:p>
    <w:p>
      <w:pPr>
        <w:spacing w:line="520" w:lineRule="exact"/>
        <w:jc w:val="center"/>
        <w:rPr>
          <w:b/>
          <w:sz w:val="24"/>
        </w:rPr>
      </w:pPr>
      <w:r>
        <w:rPr>
          <w:b/>
          <w:sz w:val="24"/>
        </w:rPr>
        <w:t>表</w:t>
      </w:r>
      <w:bookmarkEnd w:id="406"/>
      <w:bookmarkStart w:id="407" w:name="_Toc181247752"/>
      <w:r>
        <w:rPr>
          <w:b/>
          <w:sz w:val="24"/>
        </w:rPr>
        <w:t>4.1-5        评价区各植物群落生物量</w:t>
      </w:r>
      <w:bookmarkEnd w:id="407"/>
    </w:p>
    <w:tbl>
      <w:tblPr>
        <w:tblStyle w:val="1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50"/>
        <w:gridCol w:w="2891"/>
        <w:gridCol w:w="1383"/>
        <w:gridCol w:w="1854"/>
        <w:gridCol w:w="166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3" w:type="pct"/>
            <w:noWrap w:val="0"/>
            <w:vAlign w:val="center"/>
          </w:tcPr>
          <w:p>
            <w:pPr>
              <w:spacing w:line="360" w:lineRule="exact"/>
              <w:jc w:val="center"/>
              <w:rPr>
                <w:b/>
                <w:szCs w:val="21"/>
              </w:rPr>
            </w:pPr>
            <w:r>
              <w:rPr>
                <w:b/>
                <w:szCs w:val="21"/>
              </w:rPr>
              <w:t>用地类型</w:t>
            </w:r>
          </w:p>
        </w:tc>
        <w:tc>
          <w:tcPr>
            <w:tcW w:w="1616" w:type="pct"/>
            <w:noWrap w:val="0"/>
            <w:vAlign w:val="center"/>
          </w:tcPr>
          <w:p>
            <w:pPr>
              <w:spacing w:line="360" w:lineRule="exact"/>
              <w:jc w:val="center"/>
              <w:rPr>
                <w:b/>
                <w:szCs w:val="21"/>
              </w:rPr>
            </w:pPr>
            <w:r>
              <w:rPr>
                <w:b/>
                <w:szCs w:val="21"/>
              </w:rPr>
              <w:t>主要植物种</w:t>
            </w:r>
          </w:p>
        </w:tc>
        <w:tc>
          <w:tcPr>
            <w:tcW w:w="773" w:type="pct"/>
            <w:noWrap w:val="0"/>
            <w:vAlign w:val="center"/>
          </w:tcPr>
          <w:p>
            <w:pPr>
              <w:spacing w:line="360" w:lineRule="exact"/>
              <w:jc w:val="center"/>
              <w:rPr>
                <w:rFonts w:hint="eastAsia"/>
                <w:b/>
                <w:szCs w:val="21"/>
              </w:rPr>
            </w:pPr>
            <w:r>
              <w:rPr>
                <w:rFonts w:hint="eastAsia"/>
                <w:b/>
                <w:szCs w:val="21"/>
              </w:rPr>
              <w:t>占地</w:t>
            </w:r>
          </w:p>
          <w:p>
            <w:pPr>
              <w:spacing w:line="360" w:lineRule="exact"/>
              <w:jc w:val="center"/>
              <w:rPr>
                <w:b/>
                <w:szCs w:val="21"/>
              </w:rPr>
            </w:pPr>
            <w:r>
              <w:rPr>
                <w:b/>
                <w:szCs w:val="21"/>
              </w:rPr>
              <w:t>（</w:t>
            </w:r>
            <w:r>
              <w:rPr>
                <w:rFonts w:hint="eastAsia"/>
                <w:b/>
                <w:szCs w:val="21"/>
              </w:rPr>
              <w:t>亩</w:t>
            </w:r>
            <w:r>
              <w:rPr>
                <w:b/>
                <w:szCs w:val="21"/>
              </w:rPr>
              <w:t>）</w:t>
            </w:r>
          </w:p>
        </w:tc>
        <w:tc>
          <w:tcPr>
            <w:tcW w:w="1036" w:type="pct"/>
            <w:noWrap w:val="0"/>
            <w:vAlign w:val="center"/>
          </w:tcPr>
          <w:p>
            <w:pPr>
              <w:spacing w:line="360" w:lineRule="exact"/>
              <w:jc w:val="center"/>
              <w:rPr>
                <w:b/>
                <w:szCs w:val="21"/>
              </w:rPr>
            </w:pPr>
            <w:r>
              <w:rPr>
                <w:b/>
                <w:szCs w:val="21"/>
              </w:rPr>
              <w:t>生物量</w:t>
            </w:r>
          </w:p>
          <w:p>
            <w:pPr>
              <w:spacing w:line="360" w:lineRule="exact"/>
              <w:jc w:val="center"/>
              <w:rPr>
                <w:b/>
                <w:szCs w:val="21"/>
              </w:rPr>
            </w:pPr>
            <w:r>
              <w:rPr>
                <w:b/>
                <w:szCs w:val="21"/>
              </w:rPr>
              <w:t>（t/</w:t>
            </w:r>
            <w:r>
              <w:rPr>
                <w:rFonts w:hint="eastAsia"/>
                <w:b/>
                <w:szCs w:val="21"/>
              </w:rPr>
              <w:t>亩</w:t>
            </w:r>
            <w:r>
              <w:rPr>
                <w:b/>
                <w:szCs w:val="21"/>
              </w:rPr>
              <w:t>）</w:t>
            </w:r>
          </w:p>
        </w:tc>
        <w:tc>
          <w:tcPr>
            <w:tcW w:w="932" w:type="pct"/>
            <w:noWrap w:val="0"/>
            <w:vAlign w:val="center"/>
          </w:tcPr>
          <w:p>
            <w:pPr>
              <w:spacing w:line="360" w:lineRule="exact"/>
              <w:jc w:val="center"/>
              <w:rPr>
                <w:b/>
                <w:szCs w:val="21"/>
              </w:rPr>
            </w:pPr>
            <w:r>
              <w:rPr>
                <w:b/>
                <w:szCs w:val="21"/>
              </w:rPr>
              <w:t>总生物量(t)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643" w:type="pct"/>
            <w:noWrap w:val="0"/>
            <w:vAlign w:val="center"/>
          </w:tcPr>
          <w:p>
            <w:pPr>
              <w:spacing w:line="360" w:lineRule="exact"/>
              <w:jc w:val="center"/>
              <w:rPr>
                <w:rFonts w:hint="eastAsia"/>
                <w:szCs w:val="21"/>
              </w:rPr>
            </w:pPr>
            <w:r>
              <w:rPr>
                <w:rFonts w:hint="eastAsia"/>
                <w:szCs w:val="21"/>
              </w:rPr>
              <w:t>一般耕地</w:t>
            </w:r>
          </w:p>
        </w:tc>
        <w:tc>
          <w:tcPr>
            <w:tcW w:w="1616" w:type="pct"/>
            <w:noWrap w:val="0"/>
            <w:vAlign w:val="center"/>
          </w:tcPr>
          <w:p>
            <w:pPr>
              <w:spacing w:line="360" w:lineRule="exact"/>
              <w:jc w:val="center"/>
              <w:rPr>
                <w:rFonts w:hint="eastAsia"/>
                <w:szCs w:val="21"/>
              </w:rPr>
            </w:pPr>
            <w:r>
              <w:rPr>
                <w:szCs w:val="21"/>
              </w:rPr>
              <w:t>小麦</w:t>
            </w:r>
          </w:p>
        </w:tc>
        <w:tc>
          <w:tcPr>
            <w:tcW w:w="773" w:type="pct"/>
            <w:noWrap w:val="0"/>
            <w:vAlign w:val="center"/>
          </w:tcPr>
          <w:p>
            <w:pPr>
              <w:spacing w:line="360" w:lineRule="exact"/>
              <w:jc w:val="center"/>
              <w:rPr>
                <w:rFonts w:hint="default" w:eastAsia="宋体"/>
                <w:szCs w:val="21"/>
                <w:lang w:val="en-US" w:eastAsia="zh-CN"/>
              </w:rPr>
            </w:pPr>
            <w:r>
              <w:rPr>
                <w:rFonts w:hint="eastAsia"/>
                <w:szCs w:val="21"/>
                <w:lang w:val="en-US" w:eastAsia="zh-CN"/>
              </w:rPr>
              <w:t>26.7</w:t>
            </w:r>
          </w:p>
        </w:tc>
        <w:tc>
          <w:tcPr>
            <w:tcW w:w="1036" w:type="pct"/>
            <w:noWrap w:val="0"/>
            <w:vAlign w:val="center"/>
          </w:tcPr>
          <w:p>
            <w:pPr>
              <w:spacing w:line="360" w:lineRule="exact"/>
              <w:jc w:val="center"/>
              <w:rPr>
                <w:szCs w:val="21"/>
              </w:rPr>
            </w:pPr>
            <w:r>
              <w:rPr>
                <w:szCs w:val="21"/>
              </w:rPr>
              <w:t>1.2</w:t>
            </w:r>
          </w:p>
        </w:tc>
        <w:tc>
          <w:tcPr>
            <w:tcW w:w="932" w:type="pct"/>
            <w:noWrap w:val="0"/>
            <w:vAlign w:val="center"/>
          </w:tcPr>
          <w:p>
            <w:pPr>
              <w:spacing w:line="360" w:lineRule="exact"/>
              <w:jc w:val="center"/>
              <w:rPr>
                <w:rFonts w:hint="default" w:eastAsia="宋体"/>
                <w:szCs w:val="21"/>
                <w:lang w:val="en-US" w:eastAsia="zh-CN"/>
              </w:rPr>
            </w:pPr>
            <w:r>
              <w:rPr>
                <w:rFonts w:hint="eastAsia"/>
                <w:szCs w:val="21"/>
                <w:lang w:val="en-US" w:eastAsia="zh-CN"/>
              </w:rPr>
              <w:t>32.04</w:t>
            </w:r>
          </w:p>
        </w:tc>
      </w:tr>
    </w:tbl>
    <w:p>
      <w:pPr>
        <w:spacing w:line="520" w:lineRule="exact"/>
        <w:ind w:firstLine="480" w:firstLineChars="200"/>
        <w:rPr>
          <w:sz w:val="24"/>
        </w:rPr>
      </w:pPr>
      <w:r>
        <w:rPr>
          <w:sz w:val="24"/>
        </w:rPr>
        <w:t>由表4.1-5可知，单评价区域生物量总和为</w:t>
      </w:r>
      <w:r>
        <w:rPr>
          <w:rFonts w:hint="eastAsia"/>
          <w:sz w:val="24"/>
          <w:lang w:val="en-US" w:eastAsia="zh-CN"/>
        </w:rPr>
        <w:t>32.04</w:t>
      </w:r>
      <w:r>
        <w:rPr>
          <w:sz w:val="24"/>
        </w:rPr>
        <w:t>t。项目建设将会破坏用地区域内的地表植被，造成约</w:t>
      </w:r>
      <w:r>
        <w:rPr>
          <w:rFonts w:hint="eastAsia"/>
          <w:sz w:val="24"/>
          <w:lang w:val="en-US" w:eastAsia="zh-CN"/>
        </w:rPr>
        <w:t>32.04</w:t>
      </w:r>
      <w:r>
        <w:rPr>
          <w:sz w:val="24"/>
        </w:rPr>
        <w:t>t的生物量损失。</w:t>
      </w:r>
    </w:p>
    <w:p>
      <w:pPr>
        <w:spacing w:line="500" w:lineRule="exact"/>
        <w:rPr>
          <w:b/>
          <w:bCs/>
          <w:kern w:val="0"/>
          <w:sz w:val="24"/>
          <w:lang w:bidi="ar"/>
        </w:rPr>
      </w:pPr>
      <w:r>
        <w:rPr>
          <w:b/>
          <w:bCs/>
          <w:kern w:val="0"/>
          <w:sz w:val="24"/>
          <w:lang w:bidi="ar"/>
        </w:rPr>
        <w:t>4</w:t>
      </w:r>
      <w:r>
        <w:rPr>
          <w:rFonts w:hint="eastAsia"/>
          <w:b/>
          <w:bCs/>
          <w:kern w:val="0"/>
          <w:sz w:val="24"/>
          <w:lang w:bidi="ar"/>
        </w:rPr>
        <w:t>.1.5.3</w:t>
      </w:r>
      <w:r>
        <w:rPr>
          <w:b/>
          <w:bCs/>
          <w:kern w:val="0"/>
          <w:sz w:val="24"/>
          <w:lang w:bidi="ar"/>
        </w:rPr>
        <w:t>对动物的影响</w:t>
      </w:r>
    </w:p>
    <w:p>
      <w:pPr>
        <w:spacing w:line="520" w:lineRule="exact"/>
        <w:ind w:firstLine="480" w:firstLineChars="200"/>
        <w:rPr>
          <w:rFonts w:hint="eastAsia" w:hAnsi="宋体"/>
          <w:sz w:val="24"/>
        </w:rPr>
      </w:pPr>
      <w:r>
        <w:rPr>
          <w:rFonts w:hAnsi="宋体"/>
          <w:sz w:val="24"/>
        </w:rPr>
        <w:t>项目建设引起项目区及周边人员活动增加，交通噪声、废气、废水等污染物的排放增加，必然使项目区及周边野生动物生境发生改变</w:t>
      </w:r>
      <w:r>
        <w:rPr>
          <w:rFonts w:hint="eastAsia" w:hAnsi="宋体"/>
          <w:sz w:val="24"/>
        </w:rPr>
        <w:t>。</w:t>
      </w:r>
      <w:r>
        <w:rPr>
          <w:rFonts w:hAnsi="宋体"/>
          <w:sz w:val="24"/>
        </w:rPr>
        <w:t>根据现场调查</w:t>
      </w:r>
      <w:r>
        <w:rPr>
          <w:rFonts w:hint="eastAsia" w:hAnsi="宋体"/>
          <w:sz w:val="24"/>
        </w:rPr>
        <w:t>，</w:t>
      </w:r>
      <w:r>
        <w:rPr>
          <w:rFonts w:hAnsi="宋体"/>
          <w:sz w:val="24"/>
        </w:rPr>
        <w:t>区域内的野生动物主要常见种</w:t>
      </w:r>
      <w:r>
        <w:rPr>
          <w:rFonts w:hint="eastAsia" w:hAnsi="宋体"/>
          <w:sz w:val="24"/>
        </w:rPr>
        <w:t>，</w:t>
      </w:r>
      <w:r>
        <w:rPr>
          <w:rFonts w:hAnsi="宋体"/>
          <w:sz w:val="24"/>
        </w:rPr>
        <w:t>适应力强</w:t>
      </w:r>
      <w:r>
        <w:rPr>
          <w:rFonts w:hint="eastAsia" w:hAnsi="宋体"/>
          <w:sz w:val="24"/>
        </w:rPr>
        <w:t>。</w:t>
      </w:r>
      <w:r>
        <w:rPr>
          <w:rFonts w:hAnsi="宋体"/>
          <w:sz w:val="24"/>
        </w:rPr>
        <w:t>项目的建设不会改变区域内动物总的种类构成</w:t>
      </w:r>
      <w:r>
        <w:rPr>
          <w:rFonts w:hint="eastAsia" w:hAnsi="宋体"/>
          <w:sz w:val="24"/>
        </w:rPr>
        <w:t>，</w:t>
      </w:r>
      <w:r>
        <w:rPr>
          <w:rFonts w:hAnsi="宋体"/>
          <w:sz w:val="24"/>
        </w:rPr>
        <w:t>对动物的生存环境影响较小</w:t>
      </w:r>
      <w:r>
        <w:rPr>
          <w:rFonts w:hint="eastAsia" w:hAnsi="宋体"/>
          <w:sz w:val="24"/>
        </w:rPr>
        <w:t>。</w:t>
      </w:r>
    </w:p>
    <w:p>
      <w:pPr>
        <w:spacing w:line="500" w:lineRule="exact"/>
        <w:rPr>
          <w:b/>
          <w:bCs/>
          <w:sz w:val="24"/>
        </w:rPr>
      </w:pPr>
      <w:r>
        <w:rPr>
          <w:b/>
          <w:bCs/>
          <w:kern w:val="0"/>
          <w:sz w:val="24"/>
          <w:lang w:bidi="ar"/>
        </w:rPr>
        <w:t>4.1.5.4水土流失</w:t>
      </w:r>
    </w:p>
    <w:p>
      <w:pPr>
        <w:spacing w:line="520" w:lineRule="exact"/>
        <w:ind w:firstLine="570"/>
        <w:rPr>
          <w:bCs/>
          <w:kern w:val="0"/>
          <w:sz w:val="24"/>
          <w:lang w:bidi="ar"/>
        </w:rPr>
      </w:pPr>
      <w:r>
        <w:rPr>
          <w:bCs/>
          <w:kern w:val="0"/>
          <w:sz w:val="24"/>
          <w:lang w:bidi="ar"/>
        </w:rPr>
        <w:t>（1）水土流失情况</w:t>
      </w:r>
    </w:p>
    <w:p>
      <w:pPr>
        <w:spacing w:line="520" w:lineRule="exact"/>
        <w:ind w:firstLine="570"/>
        <w:rPr>
          <w:bCs/>
          <w:kern w:val="0"/>
          <w:sz w:val="24"/>
          <w:lang w:bidi="ar"/>
        </w:rPr>
      </w:pPr>
      <w:r>
        <w:rPr>
          <w:bCs/>
          <w:kern w:val="0"/>
          <w:sz w:val="24"/>
          <w:lang w:bidi="ar"/>
        </w:rPr>
        <w:t>本项目占地</w:t>
      </w:r>
      <w:r>
        <w:rPr>
          <w:rFonts w:hint="eastAsia"/>
          <w:bCs/>
          <w:kern w:val="0"/>
          <w:sz w:val="24"/>
          <w:lang w:eastAsia="zh-CN" w:bidi="ar"/>
        </w:rPr>
        <w:t>26.7亩</w:t>
      </w:r>
      <w:r>
        <w:rPr>
          <w:bCs/>
          <w:kern w:val="0"/>
          <w:sz w:val="24"/>
          <w:lang w:bidi="ar"/>
        </w:rPr>
        <w:t>，因土建施工，将产生水土流失，土壤侵蚀模数剧增，主要表现在：① 施工过程中开挖使植被层破坏，表土层抗蚀能力减弱，加剧水土流失；② 在建设过程中施工区的挖方、堆积的土石渣料，不可避免地产生水土流失；③ 施工过程中的土石方因受到地形和运输条件及工期、填方需要限制，不便及时运走时，由于其结构疏松，孔隙较大，容易产生水土流失；④ 填方未及时压实及道路未及时硬化易引起水土流失。</w:t>
      </w:r>
    </w:p>
    <w:p>
      <w:pPr>
        <w:spacing w:line="520" w:lineRule="exact"/>
        <w:ind w:firstLine="570"/>
        <w:rPr>
          <w:rFonts w:hint="eastAsia"/>
          <w:bCs/>
          <w:kern w:val="0"/>
          <w:sz w:val="24"/>
          <w:lang w:bidi="ar"/>
        </w:rPr>
      </w:pPr>
      <w:r>
        <w:rPr>
          <w:rFonts w:hint="eastAsia"/>
          <w:bCs/>
          <w:kern w:val="0"/>
          <w:sz w:val="24"/>
          <w:lang w:bidi="ar"/>
        </w:rPr>
        <w:t>（2）水土流失对土壤理化性质的影响</w:t>
      </w:r>
    </w:p>
    <w:p>
      <w:pPr>
        <w:spacing w:line="520" w:lineRule="exact"/>
        <w:ind w:firstLine="570"/>
        <w:rPr>
          <w:rFonts w:hint="eastAsia"/>
          <w:bCs/>
          <w:kern w:val="0"/>
          <w:sz w:val="24"/>
          <w:lang w:bidi="ar"/>
        </w:rPr>
      </w:pPr>
      <w:r>
        <w:rPr>
          <w:rFonts w:hint="eastAsia"/>
          <w:bCs/>
          <w:kern w:val="0"/>
          <w:sz w:val="24"/>
          <w:lang w:bidi="ar"/>
        </w:rPr>
        <w:t>本项目施工期将会清除用地区域的植被造成，构筑物的建设还会产生土方开挖和填筑的施工活动。这些施工行为遇到降雨时势必会形成水土流失。</w:t>
      </w:r>
    </w:p>
    <w:p>
      <w:pPr>
        <w:spacing w:line="520" w:lineRule="exact"/>
        <w:ind w:firstLine="570"/>
        <w:rPr>
          <w:rFonts w:hint="eastAsia"/>
          <w:bCs/>
          <w:kern w:val="0"/>
          <w:sz w:val="24"/>
          <w:lang w:bidi="ar"/>
        </w:rPr>
      </w:pPr>
      <w:r>
        <w:rPr>
          <w:rFonts w:hint="eastAsia"/>
          <w:bCs/>
          <w:kern w:val="0"/>
          <w:sz w:val="24"/>
          <w:lang w:bidi="ar"/>
        </w:rPr>
        <w:t>根据现场调查，项目所在区域用地现状以农田为主。因此项目施工活动产生的水土流失危害主要体现为水土流失对农田耕作层肥力和土壤理化性质的影响。</w:t>
      </w:r>
    </w:p>
    <w:p>
      <w:pPr>
        <w:spacing w:line="520" w:lineRule="exact"/>
        <w:ind w:firstLine="570"/>
        <w:rPr>
          <w:rFonts w:hint="eastAsia"/>
          <w:bCs/>
          <w:kern w:val="0"/>
          <w:sz w:val="24"/>
          <w:lang w:bidi="ar"/>
        </w:rPr>
      </w:pPr>
      <w:r>
        <w:rPr>
          <w:bCs/>
          <w:kern w:val="0"/>
          <w:sz w:val="24"/>
          <w:lang w:bidi="ar"/>
        </w:rPr>
        <w:t>由于水土流失，耕作层中有机质得不到有效积累，土壤肥力下降，裸露地一经</w:t>
      </w:r>
      <w:r>
        <w:rPr>
          <w:rFonts w:hint="eastAsia"/>
          <w:bCs/>
          <w:kern w:val="0"/>
          <w:sz w:val="24"/>
          <w:lang w:bidi="ar"/>
        </w:rPr>
        <w:t>雨水</w:t>
      </w:r>
      <w:r>
        <w:rPr>
          <w:bCs/>
          <w:kern w:val="0"/>
          <w:sz w:val="24"/>
          <w:lang w:bidi="ar"/>
        </w:rPr>
        <w:t>冲刷，会使含腐殖质多的表层土壤流失，造成土壤肥力下降。此外，水土流失还会对土壤的物理、化学性质以及农业生态环境也会带来一系列不利影响，主要为水土流失将会破坏土壤结构，造成耕地表层结皮，抑制微生物活动，影响作物生长发育和有效供水，降低作物产量和质量。</w:t>
      </w:r>
    </w:p>
    <w:p>
      <w:pPr>
        <w:spacing w:line="520" w:lineRule="exact"/>
        <w:ind w:firstLine="570"/>
        <w:rPr>
          <w:rFonts w:hint="eastAsia"/>
          <w:bCs/>
          <w:kern w:val="0"/>
          <w:sz w:val="24"/>
          <w:lang w:bidi="ar"/>
        </w:rPr>
      </w:pPr>
      <w:r>
        <w:rPr>
          <w:rFonts w:hint="eastAsia"/>
          <w:bCs/>
          <w:kern w:val="0"/>
          <w:sz w:val="24"/>
          <w:lang w:bidi="ar"/>
        </w:rPr>
        <w:t>（3）水土流失</w:t>
      </w:r>
      <w:r>
        <w:rPr>
          <w:bCs/>
          <w:kern w:val="0"/>
          <w:sz w:val="24"/>
          <w:lang w:bidi="ar"/>
        </w:rPr>
        <w:t>治理方案</w:t>
      </w:r>
    </w:p>
    <w:p>
      <w:pPr>
        <w:spacing w:line="520" w:lineRule="exact"/>
        <w:ind w:firstLine="570"/>
        <w:rPr>
          <w:bCs/>
          <w:sz w:val="24"/>
        </w:rPr>
      </w:pPr>
      <w:r>
        <w:rPr>
          <w:bCs/>
          <w:kern w:val="0"/>
          <w:sz w:val="24"/>
          <w:lang w:bidi="ar"/>
        </w:rPr>
        <w:t>施工期水土流失影响较大的是污水管道铺设和开挖土石方时降水冲刷造成的。评价认为施工期应针对工程建设开挖土方和建筑垃圾临时堆放造成的水土流失，植被面积减少和弃土、建筑垃圾处置等问题采取相应的防护措施和恢复方案：</w:t>
      </w:r>
    </w:p>
    <w:p>
      <w:pPr>
        <w:spacing w:line="520" w:lineRule="exact"/>
        <w:ind w:firstLine="570"/>
        <w:rPr>
          <w:bCs/>
          <w:sz w:val="24"/>
        </w:rPr>
      </w:pPr>
      <w:r>
        <w:rPr>
          <w:rFonts w:hint="eastAsia"/>
          <w:bCs/>
          <w:kern w:val="0"/>
          <w:sz w:val="24"/>
          <w:lang w:bidi="ar"/>
        </w:rPr>
        <w:t>（4）</w:t>
      </w:r>
      <w:r>
        <w:rPr>
          <w:bCs/>
          <w:kern w:val="0"/>
          <w:sz w:val="24"/>
          <w:lang w:bidi="ar"/>
        </w:rPr>
        <w:t>项目场地施工期防护措施及恢复方案</w:t>
      </w:r>
    </w:p>
    <w:p>
      <w:pPr>
        <w:spacing w:line="520" w:lineRule="exact"/>
        <w:ind w:firstLine="570"/>
        <w:rPr>
          <w:bCs/>
          <w:sz w:val="24"/>
        </w:rPr>
      </w:pPr>
      <w:r>
        <w:rPr>
          <w:bCs/>
          <w:kern w:val="0"/>
          <w:sz w:val="24"/>
          <w:lang w:bidi="ar"/>
        </w:rPr>
        <w:t>① 施工应合理安排施工进度，尽量避开雨季，降雨特别是暴雨是形成水土流失的重要因素；</w:t>
      </w:r>
    </w:p>
    <w:p>
      <w:pPr>
        <w:spacing w:line="520" w:lineRule="exact"/>
        <w:ind w:firstLine="570"/>
        <w:rPr>
          <w:bCs/>
          <w:sz w:val="24"/>
        </w:rPr>
      </w:pPr>
      <w:r>
        <w:rPr>
          <w:bCs/>
          <w:kern w:val="0"/>
          <w:sz w:val="24"/>
          <w:lang w:bidi="ar"/>
        </w:rPr>
        <w:t>② 本项目挖方回用于回填，对于建筑材料堆放场地、临时弃土堆放和建筑垃圾临时堆放地应设置临时排水沟、覆盖雨蓬等防护措施，防止雨水冲刷产生水土流失，建筑垃圾及时清运，修建临时排水沟长度和覆盖的雨蓬；</w:t>
      </w:r>
    </w:p>
    <w:p>
      <w:pPr>
        <w:spacing w:line="520" w:lineRule="exact"/>
        <w:ind w:firstLine="570"/>
        <w:rPr>
          <w:bCs/>
          <w:sz w:val="24"/>
        </w:rPr>
      </w:pPr>
      <w:r>
        <w:rPr>
          <w:bCs/>
          <w:kern w:val="0"/>
          <w:sz w:val="24"/>
          <w:lang w:bidi="ar"/>
        </w:rPr>
        <w:t>③ 施工场地周围铺设沉砂池和临时排水沟等排水防护工程，防止水土流失，沉沙池体积约为30m</w:t>
      </w:r>
      <w:r>
        <w:rPr>
          <w:bCs/>
          <w:kern w:val="0"/>
          <w:sz w:val="24"/>
          <w:vertAlign w:val="superscript"/>
          <w:lang w:bidi="ar"/>
        </w:rPr>
        <w:t>3</w:t>
      </w:r>
      <w:r>
        <w:rPr>
          <w:bCs/>
          <w:kern w:val="0"/>
          <w:sz w:val="24"/>
          <w:lang w:bidi="ar"/>
        </w:rPr>
        <w:t>；</w:t>
      </w:r>
    </w:p>
    <w:p>
      <w:pPr>
        <w:spacing w:line="520" w:lineRule="exact"/>
        <w:ind w:firstLine="570"/>
        <w:rPr>
          <w:bCs/>
          <w:sz w:val="24"/>
        </w:rPr>
      </w:pPr>
      <w:r>
        <w:rPr>
          <w:bCs/>
          <w:kern w:val="0"/>
          <w:sz w:val="24"/>
          <w:lang w:bidi="ar"/>
        </w:rPr>
        <w:t>④ 凡因工程建设形成的裸露地面，均应重新绿化，防止产生新的水土流失源；</w:t>
      </w:r>
    </w:p>
    <w:p>
      <w:pPr>
        <w:spacing w:line="520" w:lineRule="exact"/>
        <w:ind w:firstLine="570"/>
        <w:rPr>
          <w:bCs/>
          <w:sz w:val="24"/>
        </w:rPr>
      </w:pPr>
      <w:r>
        <w:rPr>
          <w:bCs/>
          <w:kern w:val="0"/>
          <w:sz w:val="24"/>
          <w:lang w:bidi="ar"/>
        </w:rPr>
        <w:t>⑤ 加强管理，在施工前必须确定施工范围，禁止施工人员进入施工范围以外，合理规划，减少土方开挖，严格控制临时占地面积；</w:t>
      </w:r>
    </w:p>
    <w:p>
      <w:pPr>
        <w:spacing w:line="520" w:lineRule="exact"/>
        <w:ind w:firstLine="570"/>
        <w:rPr>
          <w:bCs/>
          <w:sz w:val="24"/>
        </w:rPr>
      </w:pPr>
      <w:r>
        <w:rPr>
          <w:bCs/>
          <w:kern w:val="0"/>
          <w:sz w:val="24"/>
          <w:lang w:bidi="ar"/>
        </w:rPr>
        <w:t>⑥ 污水管道开挖应尽量沿着道路走向铺设，开挖之前提前关注天气，大风天气禁止施工，选择在非种植期进行施工，以减少对地表农作物的破坏，施工过程加强洒水降尘，在管道铺设完成后及时覆土，并进行生态恢复。</w:t>
      </w:r>
    </w:p>
    <w:p>
      <w:pPr>
        <w:adjustRightInd w:val="0"/>
        <w:snapToGrid w:val="0"/>
        <w:spacing w:line="520" w:lineRule="exact"/>
        <w:ind w:firstLine="480" w:firstLineChars="200"/>
        <w:rPr>
          <w:bCs/>
          <w:sz w:val="24"/>
        </w:rPr>
      </w:pPr>
      <w:r>
        <w:rPr>
          <w:bCs/>
          <w:kern w:val="0"/>
          <w:sz w:val="24"/>
          <w:lang w:bidi="ar"/>
        </w:rPr>
        <w:t>采取水土保持措施后，水土流失大大的减少，因此本项目在施工期间对生态环境产生的影响，可以通过采取相应的生态保护和恢复措施，尤其是通过施工管理和强化施工期的保护和恢复来进行修复，因此综上所述，经落实评价提出的污染防治措施后，项目营运期对区域生态环境影响较小。</w:t>
      </w:r>
    </w:p>
    <w:p>
      <w:pPr>
        <w:snapToGrid w:val="0"/>
        <w:spacing w:line="520" w:lineRule="exact"/>
        <w:outlineLvl w:val="1"/>
        <w:rPr>
          <w:rFonts w:eastAsia="黑体"/>
          <w:bCs/>
          <w:sz w:val="28"/>
          <w:szCs w:val="28"/>
        </w:rPr>
      </w:pPr>
      <w:bookmarkStart w:id="408" w:name="_Toc406847747"/>
      <w:bookmarkEnd w:id="408"/>
      <w:bookmarkStart w:id="409" w:name="_Toc413053010"/>
      <w:bookmarkEnd w:id="409"/>
      <w:bookmarkStart w:id="410" w:name="_Toc472009602"/>
      <w:bookmarkStart w:id="411" w:name="_Toc3056"/>
      <w:r>
        <w:rPr>
          <w:rFonts w:eastAsia="黑体"/>
          <w:bCs/>
          <w:sz w:val="28"/>
          <w:szCs w:val="28"/>
        </w:rPr>
        <w:t>4</w:t>
      </w:r>
      <w:bookmarkEnd w:id="410"/>
      <w:r>
        <w:rPr>
          <w:rFonts w:eastAsia="黑体"/>
          <w:bCs/>
          <w:sz w:val="28"/>
          <w:szCs w:val="28"/>
        </w:rPr>
        <w:t>.2 营运期环境影响预测与评价</w:t>
      </w:r>
      <w:bookmarkEnd w:id="411"/>
    </w:p>
    <w:p>
      <w:pPr>
        <w:pStyle w:val="2"/>
        <w:spacing w:before="0" w:after="0" w:line="520" w:lineRule="exact"/>
        <w:rPr>
          <w:rFonts w:eastAsia="黑体"/>
          <w:b w:val="0"/>
          <w:sz w:val="24"/>
          <w:szCs w:val="24"/>
        </w:rPr>
      </w:pPr>
      <w:bookmarkStart w:id="412" w:name="_Toc406847748"/>
      <w:bookmarkEnd w:id="412"/>
      <w:bookmarkStart w:id="413" w:name="_Toc413053011"/>
      <w:r>
        <w:rPr>
          <w:rFonts w:eastAsia="黑体"/>
          <w:b w:val="0"/>
          <w:sz w:val="24"/>
          <w:szCs w:val="24"/>
        </w:rPr>
        <w:t>4</w:t>
      </w:r>
      <w:bookmarkEnd w:id="413"/>
      <w:r>
        <w:rPr>
          <w:rFonts w:eastAsia="黑体"/>
          <w:b w:val="0"/>
          <w:sz w:val="24"/>
          <w:szCs w:val="24"/>
        </w:rPr>
        <w:t>.2.1环境空气影响预测与评价</w:t>
      </w:r>
    </w:p>
    <w:p>
      <w:pPr>
        <w:spacing w:line="500" w:lineRule="exact"/>
        <w:rPr>
          <w:rFonts w:hint="eastAsia"/>
          <w:b/>
          <w:kern w:val="0"/>
          <w:sz w:val="24"/>
          <w:lang w:bidi="ar"/>
        </w:rPr>
      </w:pPr>
      <w:r>
        <w:rPr>
          <w:b/>
          <w:kern w:val="0"/>
          <w:sz w:val="24"/>
          <w:lang w:bidi="ar"/>
        </w:rPr>
        <w:t>4.2.1.1</w:t>
      </w:r>
      <w:r>
        <w:rPr>
          <w:rFonts w:hint="eastAsia"/>
          <w:b/>
          <w:kern w:val="0"/>
          <w:sz w:val="24"/>
          <w:lang w:bidi="ar"/>
        </w:rPr>
        <w:t>大气环境影响预测与评价</w:t>
      </w:r>
    </w:p>
    <w:p>
      <w:pPr>
        <w:adjustRightInd w:val="0"/>
        <w:snapToGrid w:val="0"/>
        <w:spacing w:line="500" w:lineRule="exact"/>
        <w:rPr>
          <w:bCs/>
          <w:color w:val="000000"/>
          <w:sz w:val="24"/>
        </w:rPr>
      </w:pPr>
      <w:r>
        <w:rPr>
          <w:rFonts w:hint="eastAsia"/>
          <w:bCs/>
          <w:color w:val="000000"/>
          <w:sz w:val="24"/>
        </w:rPr>
        <w:t>4</w:t>
      </w:r>
      <w:r>
        <w:rPr>
          <w:bCs/>
          <w:color w:val="000000"/>
          <w:sz w:val="24"/>
        </w:rPr>
        <w:t>.2.1.</w:t>
      </w:r>
      <w:r>
        <w:rPr>
          <w:rFonts w:hint="eastAsia"/>
          <w:bCs/>
          <w:color w:val="000000"/>
          <w:sz w:val="24"/>
        </w:rPr>
        <w:t>1</w:t>
      </w:r>
      <w:r>
        <w:rPr>
          <w:bCs/>
          <w:color w:val="000000"/>
          <w:sz w:val="24"/>
        </w:rPr>
        <w:t xml:space="preserve"> 大气污染物地面浓度预测与评价</w:t>
      </w:r>
    </w:p>
    <w:p>
      <w:pPr>
        <w:spacing w:line="520" w:lineRule="exact"/>
        <w:ind w:firstLine="480"/>
        <w:rPr>
          <w:bCs/>
          <w:sz w:val="24"/>
          <w:szCs w:val="28"/>
        </w:rPr>
      </w:pPr>
      <w:r>
        <w:rPr>
          <w:rFonts w:hint="eastAsia"/>
          <w:bCs/>
          <w:sz w:val="24"/>
          <w:szCs w:val="28"/>
        </w:rPr>
        <w:t>1、</w:t>
      </w:r>
      <w:r>
        <w:rPr>
          <w:bCs/>
          <w:sz w:val="24"/>
          <w:szCs w:val="28"/>
        </w:rPr>
        <w:t>预测方法</w:t>
      </w:r>
    </w:p>
    <w:p>
      <w:pPr>
        <w:spacing w:line="520" w:lineRule="exact"/>
        <w:ind w:firstLine="480"/>
        <w:rPr>
          <w:bCs/>
          <w:sz w:val="24"/>
          <w:szCs w:val="28"/>
        </w:rPr>
      </w:pPr>
      <w:r>
        <w:rPr>
          <w:bCs/>
          <w:sz w:val="24"/>
          <w:szCs w:val="28"/>
        </w:rPr>
        <w:t>根据《环境影响评价技术导则》HJT2.2-2018对二级评价要求，采用《环境影响评价技术导则-大气环境》（HJ2.2-2018）推荐的AERSCREEN模式算出的最大地面浓度。</w:t>
      </w:r>
    </w:p>
    <w:p>
      <w:pPr>
        <w:adjustRightInd w:val="0"/>
        <w:snapToGrid w:val="0"/>
        <w:spacing w:line="500" w:lineRule="exact"/>
        <w:ind w:firstLine="480" w:firstLineChars="200"/>
        <w:rPr>
          <w:bCs/>
          <w:color w:val="000000"/>
          <w:sz w:val="24"/>
        </w:rPr>
      </w:pPr>
      <w:r>
        <w:rPr>
          <w:rFonts w:hint="eastAsia"/>
          <w:bCs/>
          <w:color w:val="000000"/>
          <w:sz w:val="24"/>
        </w:rPr>
        <w:t>2</w:t>
      </w:r>
      <w:r>
        <w:rPr>
          <w:bCs/>
          <w:color w:val="000000"/>
          <w:sz w:val="24"/>
        </w:rPr>
        <w:t>、预测因子</w:t>
      </w:r>
    </w:p>
    <w:p>
      <w:pPr>
        <w:adjustRightInd w:val="0"/>
        <w:snapToGrid w:val="0"/>
        <w:spacing w:line="500" w:lineRule="exact"/>
        <w:ind w:firstLine="480" w:firstLineChars="200"/>
        <w:rPr>
          <w:bCs/>
          <w:color w:val="000000"/>
          <w:sz w:val="24"/>
        </w:rPr>
      </w:pPr>
      <w:r>
        <w:rPr>
          <w:bCs/>
          <w:color w:val="000000"/>
          <w:sz w:val="24"/>
        </w:rPr>
        <w:t>根据拟建项目污染物排放特征，选取SO</w:t>
      </w:r>
      <w:r>
        <w:rPr>
          <w:bCs/>
          <w:color w:val="000000"/>
          <w:sz w:val="24"/>
          <w:vertAlign w:val="subscript"/>
        </w:rPr>
        <w:t>2</w:t>
      </w:r>
      <w:r>
        <w:rPr>
          <w:bCs/>
          <w:color w:val="000000"/>
          <w:sz w:val="24"/>
        </w:rPr>
        <w:t>、NO</w:t>
      </w:r>
      <w:r>
        <w:rPr>
          <w:bCs/>
          <w:color w:val="000000"/>
          <w:sz w:val="24"/>
          <w:vertAlign w:val="subscript"/>
        </w:rPr>
        <w:t>2</w:t>
      </w:r>
      <w:r>
        <w:rPr>
          <w:bCs/>
          <w:color w:val="000000"/>
          <w:sz w:val="24"/>
        </w:rPr>
        <w:t>、H</w:t>
      </w:r>
      <w:r>
        <w:rPr>
          <w:bCs/>
          <w:color w:val="000000"/>
          <w:sz w:val="24"/>
          <w:vertAlign w:val="subscript"/>
        </w:rPr>
        <w:t>2</w:t>
      </w:r>
      <w:r>
        <w:rPr>
          <w:bCs/>
          <w:color w:val="000000"/>
          <w:sz w:val="24"/>
        </w:rPr>
        <w:t>S和NH</w:t>
      </w:r>
      <w:r>
        <w:rPr>
          <w:bCs/>
          <w:color w:val="000000"/>
          <w:sz w:val="24"/>
          <w:vertAlign w:val="subscript"/>
        </w:rPr>
        <w:t>3</w:t>
      </w:r>
      <w:r>
        <w:rPr>
          <w:bCs/>
          <w:color w:val="000000"/>
          <w:sz w:val="24"/>
        </w:rPr>
        <w:t>作为本次评价的预测评价因子。</w:t>
      </w:r>
    </w:p>
    <w:p>
      <w:pPr>
        <w:adjustRightInd w:val="0"/>
        <w:snapToGrid w:val="0"/>
        <w:spacing w:line="500" w:lineRule="exact"/>
        <w:ind w:firstLine="480" w:firstLineChars="200"/>
        <w:rPr>
          <w:bCs/>
          <w:color w:val="000000"/>
          <w:sz w:val="24"/>
        </w:rPr>
      </w:pPr>
      <w:r>
        <w:rPr>
          <w:rFonts w:hint="eastAsia"/>
          <w:bCs/>
          <w:color w:val="000000"/>
          <w:sz w:val="24"/>
        </w:rPr>
        <w:t>3</w:t>
      </w:r>
      <w:r>
        <w:rPr>
          <w:bCs/>
          <w:color w:val="000000"/>
          <w:sz w:val="24"/>
        </w:rPr>
        <w:t>、评价标准</w:t>
      </w:r>
    </w:p>
    <w:p>
      <w:pPr>
        <w:spacing w:line="500" w:lineRule="exact"/>
        <w:ind w:firstLine="480" w:firstLineChars="200"/>
        <w:rPr>
          <w:rFonts w:hint="eastAsia"/>
          <w:bCs/>
          <w:sz w:val="24"/>
        </w:rPr>
      </w:pPr>
      <w:r>
        <w:rPr>
          <w:bCs/>
          <w:color w:val="000000"/>
          <w:sz w:val="24"/>
          <w:szCs w:val="22"/>
        </w:rPr>
        <w:t>本次评价因子执行SO</w:t>
      </w:r>
      <w:r>
        <w:rPr>
          <w:bCs/>
          <w:color w:val="000000"/>
          <w:sz w:val="24"/>
          <w:szCs w:val="22"/>
          <w:vertAlign w:val="subscript"/>
        </w:rPr>
        <w:t>2</w:t>
      </w:r>
      <w:r>
        <w:rPr>
          <w:bCs/>
          <w:color w:val="000000"/>
          <w:sz w:val="24"/>
          <w:szCs w:val="22"/>
        </w:rPr>
        <w:t>、NO</w:t>
      </w:r>
      <w:r>
        <w:rPr>
          <w:bCs/>
          <w:color w:val="000000"/>
          <w:sz w:val="24"/>
          <w:szCs w:val="22"/>
          <w:vertAlign w:val="subscript"/>
        </w:rPr>
        <w:t>2</w:t>
      </w:r>
      <w:r>
        <w:rPr>
          <w:bCs/>
          <w:color w:val="000000"/>
          <w:sz w:val="24"/>
          <w:szCs w:val="22"/>
        </w:rPr>
        <w:t>执行《环境空气质量标准》（GB3095-2012）二级标准浓度限值，</w:t>
      </w:r>
      <w:r>
        <w:rPr>
          <w:bCs/>
          <w:color w:val="000000"/>
          <w:sz w:val="24"/>
        </w:rPr>
        <w:t>H</w:t>
      </w:r>
      <w:r>
        <w:rPr>
          <w:bCs/>
          <w:color w:val="000000"/>
          <w:sz w:val="24"/>
          <w:vertAlign w:val="subscript"/>
        </w:rPr>
        <w:t>2</w:t>
      </w:r>
      <w:r>
        <w:rPr>
          <w:bCs/>
          <w:color w:val="000000"/>
          <w:sz w:val="24"/>
        </w:rPr>
        <w:t>S、NH</w:t>
      </w:r>
      <w:r>
        <w:rPr>
          <w:bCs/>
          <w:color w:val="000000"/>
          <w:sz w:val="24"/>
          <w:vertAlign w:val="subscript"/>
        </w:rPr>
        <w:t>3</w:t>
      </w:r>
      <w:r>
        <w:rPr>
          <w:bCs/>
          <w:color w:val="000000"/>
          <w:sz w:val="24"/>
          <w:szCs w:val="22"/>
        </w:rPr>
        <w:t>执行</w:t>
      </w:r>
      <w:r>
        <w:rPr>
          <w:rFonts w:hint="eastAsia"/>
          <w:bCs/>
          <w:color w:val="000000"/>
          <w:sz w:val="24"/>
          <w:szCs w:val="22"/>
        </w:rPr>
        <w:t>《环境影响评价技术导则 大气环境（HJ2.2-2018）》中附录D</w:t>
      </w:r>
      <w:r>
        <w:rPr>
          <w:bCs/>
          <w:color w:val="000000"/>
          <w:sz w:val="24"/>
          <w:szCs w:val="22"/>
        </w:rPr>
        <w:t>中“居住区大气中有害物质的最高容许浓度”，具体评价标准见表</w:t>
      </w:r>
      <w:r>
        <w:rPr>
          <w:rFonts w:hint="eastAsia"/>
          <w:bCs/>
          <w:color w:val="000000"/>
          <w:sz w:val="24"/>
          <w:szCs w:val="22"/>
        </w:rPr>
        <w:t>4.2-1</w:t>
      </w:r>
      <w:r>
        <w:rPr>
          <w:bCs/>
          <w:sz w:val="24"/>
        </w:rPr>
        <w:t>。</w:t>
      </w:r>
    </w:p>
    <w:p>
      <w:pPr>
        <w:spacing w:after="120" w:line="500" w:lineRule="exact"/>
        <w:ind w:firstLine="422"/>
        <w:jc w:val="center"/>
        <w:rPr>
          <w:bCs/>
          <w:color w:val="000000"/>
          <w:szCs w:val="21"/>
        </w:rPr>
      </w:pPr>
      <w:r>
        <w:rPr>
          <w:b/>
          <w:color w:val="000000"/>
          <w:szCs w:val="21"/>
        </w:rPr>
        <w:t>表</w:t>
      </w:r>
      <w:r>
        <w:rPr>
          <w:rFonts w:hint="eastAsia"/>
          <w:b/>
          <w:color w:val="000000"/>
          <w:szCs w:val="21"/>
        </w:rPr>
        <w:t>4.2-1</w:t>
      </w:r>
      <w:r>
        <w:rPr>
          <w:b/>
          <w:color w:val="000000"/>
          <w:szCs w:val="21"/>
        </w:rPr>
        <w:t xml:space="preserve">   评价标准</w:t>
      </w:r>
      <w:r>
        <w:rPr>
          <w:bCs/>
          <w:color w:val="000000"/>
          <w:szCs w:val="21"/>
        </w:rPr>
        <w:t xml:space="preserve">    </w:t>
      </w:r>
      <w:r>
        <w:rPr>
          <w:b/>
          <w:color w:val="000000"/>
          <w:szCs w:val="21"/>
        </w:rPr>
        <w:t xml:space="preserve"> 单位：mg/m</w:t>
      </w:r>
      <w:r>
        <w:rPr>
          <w:b/>
          <w:color w:val="000000"/>
          <w:szCs w:val="21"/>
          <w:vertAlign w:val="superscript"/>
        </w:rPr>
        <w:t>3</w:t>
      </w:r>
    </w:p>
    <w:tbl>
      <w:tblPr>
        <w:tblStyle w:val="17"/>
        <w:tblW w:w="894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61"/>
        <w:gridCol w:w="1648"/>
        <w:gridCol w:w="2181"/>
        <w:gridCol w:w="2179"/>
        <w:gridCol w:w="217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761" w:type="dxa"/>
            <w:noWrap w:val="0"/>
            <w:vAlign w:val="center"/>
          </w:tcPr>
          <w:p>
            <w:pPr>
              <w:jc w:val="center"/>
              <w:rPr>
                <w:bCs/>
                <w:color w:val="000000"/>
                <w:szCs w:val="21"/>
              </w:rPr>
            </w:pPr>
            <w:r>
              <w:rPr>
                <w:bCs/>
                <w:color w:val="000000"/>
                <w:szCs w:val="21"/>
              </w:rPr>
              <w:t>序号</w:t>
            </w:r>
          </w:p>
        </w:tc>
        <w:tc>
          <w:tcPr>
            <w:tcW w:w="1648" w:type="dxa"/>
            <w:noWrap w:val="0"/>
            <w:vAlign w:val="center"/>
          </w:tcPr>
          <w:p>
            <w:pPr>
              <w:jc w:val="center"/>
              <w:rPr>
                <w:bCs/>
                <w:color w:val="000000"/>
                <w:szCs w:val="21"/>
              </w:rPr>
            </w:pPr>
            <w:r>
              <w:rPr>
                <w:bCs/>
                <w:color w:val="000000"/>
                <w:szCs w:val="21"/>
              </w:rPr>
              <w:t>评价因子</w:t>
            </w:r>
          </w:p>
        </w:tc>
        <w:tc>
          <w:tcPr>
            <w:tcW w:w="2181" w:type="dxa"/>
            <w:noWrap w:val="0"/>
            <w:vAlign w:val="center"/>
          </w:tcPr>
          <w:p>
            <w:pPr>
              <w:jc w:val="center"/>
              <w:rPr>
                <w:bCs/>
                <w:color w:val="000000"/>
                <w:szCs w:val="21"/>
              </w:rPr>
            </w:pPr>
            <w:r>
              <w:rPr>
                <w:bCs/>
                <w:color w:val="000000"/>
                <w:szCs w:val="21"/>
              </w:rPr>
              <w:t>小时值/一次值</w:t>
            </w:r>
          </w:p>
        </w:tc>
        <w:tc>
          <w:tcPr>
            <w:tcW w:w="2179" w:type="dxa"/>
            <w:noWrap w:val="0"/>
            <w:vAlign w:val="center"/>
          </w:tcPr>
          <w:p>
            <w:pPr>
              <w:jc w:val="center"/>
              <w:rPr>
                <w:bCs/>
                <w:color w:val="000000"/>
                <w:szCs w:val="21"/>
              </w:rPr>
            </w:pPr>
            <w:r>
              <w:rPr>
                <w:bCs/>
                <w:color w:val="000000"/>
                <w:szCs w:val="21"/>
              </w:rPr>
              <w:t>日均值</w:t>
            </w:r>
          </w:p>
        </w:tc>
        <w:tc>
          <w:tcPr>
            <w:tcW w:w="2177" w:type="dxa"/>
            <w:noWrap w:val="0"/>
            <w:vAlign w:val="center"/>
          </w:tcPr>
          <w:p>
            <w:pPr>
              <w:jc w:val="center"/>
              <w:rPr>
                <w:bCs/>
                <w:color w:val="000000"/>
                <w:szCs w:val="21"/>
              </w:rPr>
            </w:pPr>
            <w:r>
              <w:rPr>
                <w:bCs/>
                <w:color w:val="000000"/>
                <w:szCs w:val="21"/>
              </w:rPr>
              <w:t>年均值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761" w:type="dxa"/>
            <w:noWrap w:val="0"/>
            <w:vAlign w:val="center"/>
          </w:tcPr>
          <w:p>
            <w:pPr>
              <w:jc w:val="center"/>
              <w:rPr>
                <w:bCs/>
                <w:color w:val="000000"/>
                <w:szCs w:val="21"/>
              </w:rPr>
            </w:pPr>
            <w:r>
              <w:rPr>
                <w:bCs/>
                <w:color w:val="000000"/>
                <w:szCs w:val="21"/>
              </w:rPr>
              <w:t>1</w:t>
            </w:r>
          </w:p>
        </w:tc>
        <w:tc>
          <w:tcPr>
            <w:tcW w:w="1648" w:type="dxa"/>
            <w:noWrap w:val="0"/>
            <w:vAlign w:val="center"/>
          </w:tcPr>
          <w:p>
            <w:pPr>
              <w:jc w:val="center"/>
              <w:rPr>
                <w:bCs/>
                <w:color w:val="000000"/>
                <w:szCs w:val="21"/>
              </w:rPr>
            </w:pPr>
            <w:r>
              <w:rPr>
                <w:bCs/>
                <w:color w:val="000000"/>
                <w:szCs w:val="21"/>
              </w:rPr>
              <w:t>SO</w:t>
            </w:r>
            <w:r>
              <w:rPr>
                <w:bCs/>
                <w:color w:val="000000"/>
                <w:szCs w:val="21"/>
                <w:vertAlign w:val="subscript"/>
              </w:rPr>
              <w:t>2</w:t>
            </w:r>
          </w:p>
        </w:tc>
        <w:tc>
          <w:tcPr>
            <w:tcW w:w="2181" w:type="dxa"/>
            <w:noWrap w:val="0"/>
            <w:vAlign w:val="center"/>
          </w:tcPr>
          <w:p>
            <w:pPr>
              <w:jc w:val="center"/>
              <w:rPr>
                <w:bCs/>
                <w:color w:val="000000"/>
                <w:szCs w:val="21"/>
              </w:rPr>
            </w:pPr>
            <w:r>
              <w:rPr>
                <w:bCs/>
                <w:color w:val="000000"/>
                <w:szCs w:val="21"/>
              </w:rPr>
              <w:t>0.50</w:t>
            </w:r>
          </w:p>
        </w:tc>
        <w:tc>
          <w:tcPr>
            <w:tcW w:w="2179" w:type="dxa"/>
            <w:noWrap w:val="0"/>
            <w:vAlign w:val="center"/>
          </w:tcPr>
          <w:p>
            <w:pPr>
              <w:jc w:val="center"/>
              <w:rPr>
                <w:bCs/>
                <w:color w:val="000000"/>
                <w:szCs w:val="21"/>
              </w:rPr>
            </w:pPr>
            <w:r>
              <w:rPr>
                <w:bCs/>
                <w:color w:val="000000"/>
                <w:szCs w:val="21"/>
              </w:rPr>
              <w:t>0.15</w:t>
            </w:r>
          </w:p>
        </w:tc>
        <w:tc>
          <w:tcPr>
            <w:tcW w:w="2177" w:type="dxa"/>
            <w:noWrap w:val="0"/>
            <w:vAlign w:val="center"/>
          </w:tcPr>
          <w:p>
            <w:pPr>
              <w:jc w:val="center"/>
              <w:rPr>
                <w:bCs/>
                <w:color w:val="000000"/>
                <w:szCs w:val="21"/>
              </w:rPr>
            </w:pPr>
            <w:r>
              <w:rPr>
                <w:bCs/>
                <w:color w:val="000000"/>
                <w:szCs w:val="21"/>
              </w:rPr>
              <w:t>0.06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761" w:type="dxa"/>
            <w:noWrap w:val="0"/>
            <w:vAlign w:val="center"/>
          </w:tcPr>
          <w:p>
            <w:pPr>
              <w:jc w:val="center"/>
              <w:rPr>
                <w:bCs/>
                <w:color w:val="000000"/>
                <w:szCs w:val="21"/>
              </w:rPr>
            </w:pPr>
            <w:r>
              <w:rPr>
                <w:bCs/>
                <w:color w:val="000000"/>
                <w:szCs w:val="21"/>
              </w:rPr>
              <w:t>2</w:t>
            </w:r>
          </w:p>
        </w:tc>
        <w:tc>
          <w:tcPr>
            <w:tcW w:w="1648" w:type="dxa"/>
            <w:noWrap w:val="0"/>
            <w:vAlign w:val="center"/>
          </w:tcPr>
          <w:p>
            <w:pPr>
              <w:spacing w:line="300" w:lineRule="exact"/>
              <w:jc w:val="center"/>
              <w:rPr>
                <w:bCs/>
                <w:color w:val="000000"/>
                <w:szCs w:val="21"/>
                <w:vertAlign w:val="subscript"/>
              </w:rPr>
            </w:pPr>
            <w:r>
              <w:rPr>
                <w:bCs/>
                <w:color w:val="000000"/>
                <w:szCs w:val="21"/>
              </w:rPr>
              <w:t>NO</w:t>
            </w:r>
            <w:r>
              <w:rPr>
                <w:bCs/>
                <w:color w:val="000000"/>
                <w:szCs w:val="21"/>
                <w:vertAlign w:val="subscript"/>
              </w:rPr>
              <w:t>2</w:t>
            </w:r>
          </w:p>
        </w:tc>
        <w:tc>
          <w:tcPr>
            <w:tcW w:w="2181" w:type="dxa"/>
            <w:noWrap w:val="0"/>
            <w:vAlign w:val="center"/>
          </w:tcPr>
          <w:p>
            <w:pPr>
              <w:spacing w:line="300" w:lineRule="exact"/>
              <w:jc w:val="center"/>
              <w:rPr>
                <w:bCs/>
                <w:color w:val="000000"/>
                <w:szCs w:val="21"/>
              </w:rPr>
            </w:pPr>
            <w:r>
              <w:rPr>
                <w:bCs/>
                <w:color w:val="000000"/>
                <w:szCs w:val="21"/>
              </w:rPr>
              <w:t>0.20</w:t>
            </w:r>
          </w:p>
        </w:tc>
        <w:tc>
          <w:tcPr>
            <w:tcW w:w="2179" w:type="dxa"/>
            <w:noWrap w:val="0"/>
            <w:vAlign w:val="center"/>
          </w:tcPr>
          <w:p>
            <w:pPr>
              <w:spacing w:line="300" w:lineRule="exact"/>
              <w:jc w:val="center"/>
              <w:rPr>
                <w:bCs/>
                <w:color w:val="000000"/>
                <w:szCs w:val="21"/>
              </w:rPr>
            </w:pPr>
            <w:r>
              <w:rPr>
                <w:bCs/>
                <w:color w:val="000000"/>
                <w:szCs w:val="21"/>
              </w:rPr>
              <w:t>0.08</w:t>
            </w:r>
          </w:p>
        </w:tc>
        <w:tc>
          <w:tcPr>
            <w:tcW w:w="2177" w:type="dxa"/>
            <w:noWrap w:val="0"/>
            <w:vAlign w:val="center"/>
          </w:tcPr>
          <w:p>
            <w:pPr>
              <w:spacing w:line="300" w:lineRule="exact"/>
              <w:jc w:val="center"/>
              <w:rPr>
                <w:bCs/>
                <w:color w:val="000000"/>
                <w:szCs w:val="21"/>
              </w:rPr>
            </w:pPr>
            <w:r>
              <w:rPr>
                <w:bCs/>
                <w:color w:val="000000"/>
                <w:szCs w:val="21"/>
              </w:rPr>
              <w:t>0.04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761" w:type="dxa"/>
            <w:noWrap w:val="0"/>
            <w:vAlign w:val="center"/>
          </w:tcPr>
          <w:p>
            <w:pPr>
              <w:jc w:val="center"/>
              <w:rPr>
                <w:bCs/>
                <w:color w:val="000000"/>
                <w:szCs w:val="21"/>
              </w:rPr>
            </w:pPr>
            <w:r>
              <w:rPr>
                <w:bCs/>
                <w:color w:val="000000"/>
                <w:szCs w:val="21"/>
              </w:rPr>
              <w:t>3</w:t>
            </w:r>
          </w:p>
        </w:tc>
        <w:tc>
          <w:tcPr>
            <w:tcW w:w="1648" w:type="dxa"/>
            <w:noWrap w:val="0"/>
            <w:vAlign w:val="center"/>
          </w:tcPr>
          <w:p>
            <w:pPr>
              <w:jc w:val="center"/>
              <w:rPr>
                <w:bCs/>
                <w:color w:val="000000"/>
                <w:szCs w:val="21"/>
              </w:rPr>
            </w:pPr>
            <w:r>
              <w:rPr>
                <w:bCs/>
                <w:color w:val="000000"/>
                <w:szCs w:val="21"/>
              </w:rPr>
              <w:t>H</w:t>
            </w:r>
            <w:r>
              <w:rPr>
                <w:bCs/>
                <w:color w:val="000000"/>
                <w:szCs w:val="21"/>
                <w:vertAlign w:val="subscript"/>
              </w:rPr>
              <w:t>2</w:t>
            </w:r>
            <w:r>
              <w:rPr>
                <w:bCs/>
                <w:color w:val="000000"/>
                <w:szCs w:val="21"/>
              </w:rPr>
              <w:t>S</w:t>
            </w:r>
          </w:p>
        </w:tc>
        <w:tc>
          <w:tcPr>
            <w:tcW w:w="2181" w:type="dxa"/>
            <w:noWrap w:val="0"/>
            <w:vAlign w:val="center"/>
          </w:tcPr>
          <w:p>
            <w:pPr>
              <w:jc w:val="center"/>
              <w:rPr>
                <w:bCs/>
                <w:color w:val="000000"/>
                <w:szCs w:val="21"/>
              </w:rPr>
            </w:pPr>
            <w:r>
              <w:rPr>
                <w:bCs/>
                <w:color w:val="000000"/>
                <w:szCs w:val="21"/>
              </w:rPr>
              <w:t>0.01</w:t>
            </w:r>
          </w:p>
        </w:tc>
        <w:tc>
          <w:tcPr>
            <w:tcW w:w="2179" w:type="dxa"/>
            <w:noWrap w:val="0"/>
            <w:vAlign w:val="center"/>
          </w:tcPr>
          <w:p>
            <w:pPr>
              <w:jc w:val="center"/>
              <w:rPr>
                <w:bCs/>
                <w:color w:val="000000"/>
                <w:szCs w:val="21"/>
              </w:rPr>
            </w:pPr>
            <w:r>
              <w:rPr>
                <w:bCs/>
                <w:color w:val="000000"/>
                <w:szCs w:val="21"/>
              </w:rPr>
              <w:t>/</w:t>
            </w:r>
          </w:p>
        </w:tc>
        <w:tc>
          <w:tcPr>
            <w:tcW w:w="2177" w:type="dxa"/>
            <w:noWrap w:val="0"/>
            <w:vAlign w:val="center"/>
          </w:tcPr>
          <w:p>
            <w:pPr>
              <w:jc w:val="center"/>
              <w:rPr>
                <w:bCs/>
                <w:color w:val="000000"/>
                <w:szCs w:val="21"/>
              </w:rPr>
            </w:pPr>
            <w:r>
              <w:rPr>
                <w:bCs/>
                <w:color w:val="000000"/>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 w:hRule="atLeast"/>
        </w:trPr>
        <w:tc>
          <w:tcPr>
            <w:tcW w:w="761" w:type="dxa"/>
            <w:noWrap w:val="0"/>
            <w:vAlign w:val="center"/>
          </w:tcPr>
          <w:p>
            <w:pPr>
              <w:jc w:val="center"/>
              <w:rPr>
                <w:bCs/>
                <w:color w:val="000000"/>
                <w:szCs w:val="21"/>
              </w:rPr>
            </w:pPr>
            <w:r>
              <w:rPr>
                <w:bCs/>
                <w:color w:val="000000"/>
                <w:szCs w:val="21"/>
              </w:rPr>
              <w:t>4</w:t>
            </w:r>
          </w:p>
        </w:tc>
        <w:tc>
          <w:tcPr>
            <w:tcW w:w="1648" w:type="dxa"/>
            <w:noWrap w:val="0"/>
            <w:vAlign w:val="center"/>
          </w:tcPr>
          <w:p>
            <w:pPr>
              <w:jc w:val="center"/>
              <w:rPr>
                <w:bCs/>
                <w:color w:val="000000"/>
                <w:szCs w:val="21"/>
              </w:rPr>
            </w:pPr>
            <w:r>
              <w:rPr>
                <w:bCs/>
                <w:color w:val="000000"/>
                <w:szCs w:val="21"/>
              </w:rPr>
              <w:t>NH</w:t>
            </w:r>
            <w:r>
              <w:rPr>
                <w:bCs/>
                <w:color w:val="000000"/>
                <w:szCs w:val="21"/>
                <w:vertAlign w:val="subscript"/>
              </w:rPr>
              <w:t>3</w:t>
            </w:r>
          </w:p>
        </w:tc>
        <w:tc>
          <w:tcPr>
            <w:tcW w:w="2181" w:type="dxa"/>
            <w:noWrap w:val="0"/>
            <w:vAlign w:val="center"/>
          </w:tcPr>
          <w:p>
            <w:pPr>
              <w:jc w:val="center"/>
              <w:rPr>
                <w:bCs/>
                <w:color w:val="000000"/>
                <w:szCs w:val="21"/>
              </w:rPr>
            </w:pPr>
            <w:r>
              <w:rPr>
                <w:bCs/>
                <w:color w:val="000000"/>
                <w:szCs w:val="21"/>
              </w:rPr>
              <w:t>0.20</w:t>
            </w:r>
          </w:p>
        </w:tc>
        <w:tc>
          <w:tcPr>
            <w:tcW w:w="2179" w:type="dxa"/>
            <w:noWrap w:val="0"/>
            <w:vAlign w:val="center"/>
          </w:tcPr>
          <w:p>
            <w:pPr>
              <w:jc w:val="center"/>
              <w:rPr>
                <w:bCs/>
                <w:color w:val="000000"/>
                <w:szCs w:val="21"/>
              </w:rPr>
            </w:pPr>
            <w:r>
              <w:rPr>
                <w:bCs/>
                <w:color w:val="000000"/>
                <w:szCs w:val="21"/>
              </w:rPr>
              <w:t>/</w:t>
            </w:r>
          </w:p>
        </w:tc>
        <w:tc>
          <w:tcPr>
            <w:tcW w:w="2177" w:type="dxa"/>
            <w:noWrap w:val="0"/>
            <w:vAlign w:val="center"/>
          </w:tcPr>
          <w:p>
            <w:pPr>
              <w:jc w:val="center"/>
              <w:rPr>
                <w:bCs/>
                <w:color w:val="000000"/>
                <w:szCs w:val="21"/>
              </w:rPr>
            </w:pPr>
            <w:r>
              <w:rPr>
                <w:bCs/>
                <w:color w:val="000000"/>
                <w:szCs w:val="21"/>
              </w:rPr>
              <w:t>/</w:t>
            </w:r>
          </w:p>
        </w:tc>
      </w:tr>
    </w:tbl>
    <w:p>
      <w:pPr>
        <w:adjustRightInd w:val="0"/>
        <w:snapToGrid w:val="0"/>
        <w:spacing w:line="500" w:lineRule="exact"/>
        <w:ind w:firstLine="480" w:firstLineChars="200"/>
        <w:rPr>
          <w:bCs/>
          <w:color w:val="000000"/>
          <w:sz w:val="24"/>
        </w:rPr>
      </w:pPr>
      <w:r>
        <w:rPr>
          <w:rFonts w:hint="eastAsia"/>
          <w:bCs/>
          <w:color w:val="000000"/>
          <w:sz w:val="24"/>
        </w:rPr>
        <w:t>4</w:t>
      </w:r>
      <w:r>
        <w:rPr>
          <w:bCs/>
          <w:color w:val="000000"/>
          <w:sz w:val="24"/>
        </w:rPr>
        <w:t>、本项目污染排放源强</w:t>
      </w:r>
    </w:p>
    <w:p>
      <w:pPr>
        <w:adjustRightInd w:val="0"/>
        <w:snapToGrid w:val="0"/>
        <w:spacing w:line="500" w:lineRule="exact"/>
        <w:ind w:firstLine="480" w:firstLineChars="200"/>
        <w:rPr>
          <w:bCs/>
          <w:color w:val="000000"/>
          <w:sz w:val="24"/>
        </w:rPr>
      </w:pPr>
      <w:r>
        <w:rPr>
          <w:bCs/>
          <w:color w:val="000000"/>
          <w:sz w:val="24"/>
        </w:rPr>
        <w:t>本次预测污染源情况见表</w:t>
      </w:r>
      <w:r>
        <w:rPr>
          <w:rFonts w:hint="eastAsia"/>
          <w:bCs/>
          <w:color w:val="000000"/>
          <w:sz w:val="24"/>
        </w:rPr>
        <w:t>4.2-2</w:t>
      </w:r>
      <w:r>
        <w:rPr>
          <w:bCs/>
          <w:color w:val="000000"/>
          <w:sz w:val="24"/>
        </w:rPr>
        <w:t>。</w:t>
      </w:r>
    </w:p>
    <w:p>
      <w:pPr>
        <w:spacing w:after="120" w:line="500" w:lineRule="exact"/>
        <w:ind w:firstLine="422"/>
        <w:jc w:val="center"/>
        <w:rPr>
          <w:b/>
          <w:color w:val="000000"/>
          <w:szCs w:val="21"/>
        </w:rPr>
      </w:pPr>
      <w:r>
        <w:rPr>
          <w:b/>
          <w:color w:val="000000"/>
          <w:szCs w:val="21"/>
        </w:rPr>
        <w:t>表</w:t>
      </w:r>
      <w:r>
        <w:rPr>
          <w:rFonts w:hint="eastAsia"/>
          <w:b/>
          <w:color w:val="000000"/>
          <w:szCs w:val="21"/>
        </w:rPr>
        <w:t xml:space="preserve">4.2-2 </w:t>
      </w:r>
      <w:r>
        <w:rPr>
          <w:rFonts w:hint="eastAsia"/>
          <w:b/>
          <w:color w:val="000000"/>
          <w:szCs w:val="21"/>
          <w:lang w:val="en-US" w:eastAsia="zh-CN"/>
        </w:rPr>
        <w:t xml:space="preserve">   </w:t>
      </w:r>
      <w:r>
        <w:rPr>
          <w:rFonts w:hint="eastAsia"/>
          <w:b/>
          <w:color w:val="000000"/>
          <w:szCs w:val="21"/>
        </w:rPr>
        <w:t xml:space="preserve"> </w:t>
      </w:r>
      <w:r>
        <w:rPr>
          <w:b/>
          <w:color w:val="000000"/>
          <w:szCs w:val="21"/>
        </w:rPr>
        <w:t>项目污染物排放源强</w:t>
      </w:r>
    </w:p>
    <w:tbl>
      <w:tblPr>
        <w:tblStyle w:val="17"/>
        <w:tblW w:w="894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87"/>
        <w:gridCol w:w="1090"/>
        <w:gridCol w:w="1070"/>
        <w:gridCol w:w="1123"/>
        <w:gridCol w:w="1116"/>
        <w:gridCol w:w="977"/>
        <w:gridCol w:w="695"/>
        <w:gridCol w:w="277"/>
        <w:gridCol w:w="832"/>
        <w:gridCol w:w="9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787" w:type="dxa"/>
            <w:vMerge w:val="restart"/>
            <w:noWrap w:val="0"/>
            <w:vAlign w:val="center"/>
          </w:tcPr>
          <w:p>
            <w:pPr>
              <w:adjustRightInd w:val="0"/>
              <w:snapToGrid w:val="0"/>
              <w:spacing w:line="240" w:lineRule="exact"/>
              <w:jc w:val="center"/>
              <w:rPr>
                <w:bCs/>
                <w:color w:val="000000"/>
                <w:szCs w:val="21"/>
              </w:rPr>
            </w:pPr>
            <w:r>
              <w:rPr>
                <w:bCs/>
                <w:color w:val="000000"/>
                <w:szCs w:val="21"/>
              </w:rPr>
              <w:t>点源</w:t>
            </w:r>
          </w:p>
        </w:tc>
        <w:tc>
          <w:tcPr>
            <w:tcW w:w="1090" w:type="dxa"/>
            <w:vMerge w:val="restart"/>
            <w:noWrap w:val="0"/>
            <w:vAlign w:val="center"/>
          </w:tcPr>
          <w:p>
            <w:pPr>
              <w:spacing w:line="240" w:lineRule="exact"/>
              <w:jc w:val="center"/>
              <w:rPr>
                <w:bCs/>
                <w:color w:val="000000"/>
                <w:spacing w:val="-20"/>
                <w:szCs w:val="21"/>
              </w:rPr>
            </w:pPr>
            <w:r>
              <w:rPr>
                <w:bCs/>
                <w:color w:val="000000"/>
                <w:spacing w:val="-20"/>
                <w:szCs w:val="21"/>
              </w:rPr>
              <w:t>排气筒高度（m）</w:t>
            </w:r>
          </w:p>
        </w:tc>
        <w:tc>
          <w:tcPr>
            <w:tcW w:w="1070" w:type="dxa"/>
            <w:vMerge w:val="restart"/>
            <w:noWrap w:val="0"/>
            <w:vAlign w:val="center"/>
          </w:tcPr>
          <w:p>
            <w:pPr>
              <w:spacing w:line="240" w:lineRule="exact"/>
              <w:jc w:val="center"/>
              <w:rPr>
                <w:bCs/>
                <w:color w:val="000000"/>
                <w:spacing w:val="-20"/>
                <w:szCs w:val="21"/>
              </w:rPr>
            </w:pPr>
            <w:r>
              <w:rPr>
                <w:bCs/>
                <w:color w:val="000000"/>
                <w:spacing w:val="-20"/>
                <w:szCs w:val="21"/>
              </w:rPr>
              <w:t>排气筒内径（m）</w:t>
            </w:r>
          </w:p>
        </w:tc>
        <w:tc>
          <w:tcPr>
            <w:tcW w:w="1123" w:type="dxa"/>
            <w:vMerge w:val="restart"/>
            <w:noWrap w:val="0"/>
            <w:vAlign w:val="center"/>
          </w:tcPr>
          <w:p>
            <w:pPr>
              <w:spacing w:line="240" w:lineRule="exact"/>
              <w:jc w:val="center"/>
              <w:rPr>
                <w:bCs/>
                <w:color w:val="000000"/>
                <w:spacing w:val="-20"/>
                <w:szCs w:val="21"/>
              </w:rPr>
            </w:pPr>
            <w:r>
              <w:rPr>
                <w:bCs/>
                <w:color w:val="000000"/>
                <w:spacing w:val="-20"/>
                <w:szCs w:val="21"/>
              </w:rPr>
              <w:t>烟气量（m</w:t>
            </w:r>
            <w:r>
              <w:rPr>
                <w:bCs/>
                <w:color w:val="000000"/>
                <w:spacing w:val="-20"/>
                <w:szCs w:val="21"/>
                <w:vertAlign w:val="superscript"/>
              </w:rPr>
              <w:t>3</w:t>
            </w:r>
            <w:r>
              <w:rPr>
                <w:bCs/>
                <w:color w:val="000000"/>
                <w:spacing w:val="-20"/>
                <w:szCs w:val="21"/>
              </w:rPr>
              <w:t>/a）</w:t>
            </w:r>
          </w:p>
        </w:tc>
        <w:tc>
          <w:tcPr>
            <w:tcW w:w="1116" w:type="dxa"/>
            <w:vMerge w:val="restart"/>
            <w:noWrap w:val="0"/>
            <w:vAlign w:val="center"/>
          </w:tcPr>
          <w:p>
            <w:pPr>
              <w:spacing w:line="240" w:lineRule="exact"/>
              <w:jc w:val="center"/>
              <w:rPr>
                <w:bCs/>
                <w:color w:val="000000"/>
                <w:szCs w:val="21"/>
              </w:rPr>
            </w:pPr>
            <w:r>
              <w:rPr>
                <w:bCs/>
                <w:color w:val="000000"/>
                <w:szCs w:val="21"/>
              </w:rPr>
              <w:t>烟气出口温度（</w:t>
            </w:r>
            <w:r>
              <w:rPr>
                <w:rFonts w:hint="eastAsia" w:ascii="宋体" w:hAnsi="宋体" w:cs="宋体"/>
                <w:bCs/>
                <w:color w:val="000000"/>
                <w:szCs w:val="21"/>
              </w:rPr>
              <w:t>℃</w:t>
            </w:r>
            <w:r>
              <w:rPr>
                <w:bCs/>
                <w:color w:val="000000"/>
                <w:szCs w:val="21"/>
              </w:rPr>
              <w:t>）</w:t>
            </w:r>
          </w:p>
        </w:tc>
        <w:tc>
          <w:tcPr>
            <w:tcW w:w="977" w:type="dxa"/>
            <w:vMerge w:val="restart"/>
            <w:noWrap w:val="0"/>
            <w:vAlign w:val="center"/>
          </w:tcPr>
          <w:p>
            <w:pPr>
              <w:spacing w:line="240" w:lineRule="exact"/>
              <w:jc w:val="center"/>
              <w:rPr>
                <w:bCs/>
                <w:color w:val="000000"/>
                <w:szCs w:val="21"/>
              </w:rPr>
            </w:pPr>
            <w:r>
              <w:rPr>
                <w:bCs/>
                <w:color w:val="000000"/>
                <w:szCs w:val="21"/>
              </w:rPr>
              <w:t>年排放天数（d）</w:t>
            </w:r>
          </w:p>
        </w:tc>
        <w:tc>
          <w:tcPr>
            <w:tcW w:w="695" w:type="dxa"/>
            <w:vMerge w:val="restart"/>
            <w:noWrap w:val="0"/>
            <w:vAlign w:val="center"/>
          </w:tcPr>
          <w:p>
            <w:pPr>
              <w:spacing w:line="240" w:lineRule="exact"/>
              <w:jc w:val="center"/>
              <w:rPr>
                <w:bCs/>
                <w:color w:val="000000"/>
                <w:szCs w:val="21"/>
              </w:rPr>
            </w:pPr>
            <w:r>
              <w:rPr>
                <w:bCs/>
                <w:color w:val="000000"/>
                <w:szCs w:val="21"/>
              </w:rPr>
              <w:t>排放工况</w:t>
            </w:r>
          </w:p>
        </w:tc>
        <w:tc>
          <w:tcPr>
            <w:tcW w:w="2088" w:type="dxa"/>
            <w:gridSpan w:val="3"/>
            <w:noWrap w:val="0"/>
            <w:vAlign w:val="center"/>
          </w:tcPr>
          <w:p>
            <w:pPr>
              <w:adjustRightInd w:val="0"/>
              <w:snapToGrid w:val="0"/>
              <w:spacing w:line="240" w:lineRule="exact"/>
              <w:jc w:val="center"/>
              <w:rPr>
                <w:bCs/>
                <w:color w:val="000000"/>
                <w:szCs w:val="21"/>
              </w:rPr>
            </w:pPr>
            <w:r>
              <w:rPr>
                <w:bCs/>
                <w:color w:val="000000"/>
                <w:szCs w:val="21"/>
              </w:rPr>
              <w:t>污染物排放量(t/a)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87" w:type="dxa"/>
            <w:vMerge w:val="continue"/>
            <w:noWrap w:val="0"/>
            <w:vAlign w:val="center"/>
          </w:tcPr>
          <w:p>
            <w:pPr>
              <w:tabs>
                <w:tab w:val="center" w:pos="618"/>
              </w:tabs>
              <w:adjustRightInd w:val="0"/>
              <w:snapToGrid w:val="0"/>
              <w:spacing w:line="240" w:lineRule="exact"/>
              <w:jc w:val="center"/>
              <w:rPr>
                <w:bCs/>
                <w:color w:val="000000"/>
                <w:szCs w:val="21"/>
              </w:rPr>
            </w:pPr>
          </w:p>
        </w:tc>
        <w:tc>
          <w:tcPr>
            <w:tcW w:w="1090" w:type="dxa"/>
            <w:vMerge w:val="continue"/>
            <w:noWrap w:val="0"/>
            <w:vAlign w:val="center"/>
          </w:tcPr>
          <w:p>
            <w:pPr>
              <w:tabs>
                <w:tab w:val="center" w:pos="618"/>
              </w:tabs>
              <w:adjustRightInd w:val="0"/>
              <w:snapToGrid w:val="0"/>
              <w:spacing w:line="240" w:lineRule="exact"/>
              <w:jc w:val="center"/>
              <w:rPr>
                <w:bCs/>
                <w:color w:val="000000"/>
                <w:szCs w:val="21"/>
              </w:rPr>
            </w:pPr>
          </w:p>
        </w:tc>
        <w:tc>
          <w:tcPr>
            <w:tcW w:w="1070" w:type="dxa"/>
            <w:vMerge w:val="continue"/>
            <w:noWrap w:val="0"/>
            <w:vAlign w:val="center"/>
          </w:tcPr>
          <w:p>
            <w:pPr>
              <w:tabs>
                <w:tab w:val="center" w:pos="618"/>
              </w:tabs>
              <w:adjustRightInd w:val="0"/>
              <w:snapToGrid w:val="0"/>
              <w:spacing w:line="240" w:lineRule="exact"/>
              <w:jc w:val="center"/>
              <w:rPr>
                <w:bCs/>
                <w:color w:val="000000"/>
                <w:szCs w:val="21"/>
              </w:rPr>
            </w:pPr>
          </w:p>
        </w:tc>
        <w:tc>
          <w:tcPr>
            <w:tcW w:w="1123" w:type="dxa"/>
            <w:vMerge w:val="continue"/>
            <w:noWrap w:val="0"/>
            <w:vAlign w:val="center"/>
          </w:tcPr>
          <w:p>
            <w:pPr>
              <w:tabs>
                <w:tab w:val="center" w:pos="618"/>
              </w:tabs>
              <w:adjustRightInd w:val="0"/>
              <w:snapToGrid w:val="0"/>
              <w:spacing w:line="240" w:lineRule="exact"/>
              <w:jc w:val="center"/>
              <w:rPr>
                <w:bCs/>
                <w:color w:val="000000"/>
                <w:szCs w:val="21"/>
              </w:rPr>
            </w:pPr>
          </w:p>
        </w:tc>
        <w:tc>
          <w:tcPr>
            <w:tcW w:w="1116" w:type="dxa"/>
            <w:vMerge w:val="continue"/>
            <w:noWrap w:val="0"/>
            <w:vAlign w:val="center"/>
          </w:tcPr>
          <w:p>
            <w:pPr>
              <w:tabs>
                <w:tab w:val="center" w:pos="618"/>
              </w:tabs>
              <w:adjustRightInd w:val="0"/>
              <w:snapToGrid w:val="0"/>
              <w:spacing w:line="240" w:lineRule="exact"/>
              <w:jc w:val="center"/>
              <w:rPr>
                <w:bCs/>
                <w:color w:val="000000"/>
                <w:szCs w:val="21"/>
              </w:rPr>
            </w:pPr>
          </w:p>
        </w:tc>
        <w:tc>
          <w:tcPr>
            <w:tcW w:w="977" w:type="dxa"/>
            <w:vMerge w:val="continue"/>
            <w:noWrap w:val="0"/>
            <w:vAlign w:val="center"/>
          </w:tcPr>
          <w:p>
            <w:pPr>
              <w:tabs>
                <w:tab w:val="center" w:pos="618"/>
              </w:tabs>
              <w:adjustRightInd w:val="0"/>
              <w:snapToGrid w:val="0"/>
              <w:spacing w:line="240" w:lineRule="exact"/>
              <w:jc w:val="center"/>
              <w:rPr>
                <w:bCs/>
                <w:color w:val="000000"/>
                <w:szCs w:val="21"/>
              </w:rPr>
            </w:pPr>
          </w:p>
        </w:tc>
        <w:tc>
          <w:tcPr>
            <w:tcW w:w="695" w:type="dxa"/>
            <w:vMerge w:val="continue"/>
            <w:noWrap w:val="0"/>
            <w:vAlign w:val="center"/>
          </w:tcPr>
          <w:p>
            <w:pPr>
              <w:tabs>
                <w:tab w:val="center" w:pos="618"/>
              </w:tabs>
              <w:adjustRightInd w:val="0"/>
              <w:snapToGrid w:val="0"/>
              <w:spacing w:line="240" w:lineRule="exact"/>
              <w:jc w:val="center"/>
              <w:rPr>
                <w:bCs/>
                <w:color w:val="000000"/>
                <w:szCs w:val="21"/>
              </w:rPr>
            </w:pPr>
          </w:p>
        </w:tc>
        <w:tc>
          <w:tcPr>
            <w:tcW w:w="1109" w:type="dxa"/>
            <w:gridSpan w:val="2"/>
            <w:noWrap w:val="0"/>
            <w:vAlign w:val="center"/>
          </w:tcPr>
          <w:p>
            <w:pPr>
              <w:adjustRightInd w:val="0"/>
              <w:snapToGrid w:val="0"/>
              <w:spacing w:line="240" w:lineRule="exact"/>
              <w:jc w:val="center"/>
              <w:rPr>
                <w:bCs/>
                <w:color w:val="000000"/>
                <w:szCs w:val="21"/>
              </w:rPr>
            </w:pPr>
            <w:r>
              <w:rPr>
                <w:bCs/>
                <w:color w:val="000000"/>
                <w:szCs w:val="21"/>
              </w:rPr>
              <w:t>SO</w:t>
            </w:r>
            <w:r>
              <w:rPr>
                <w:bCs/>
                <w:color w:val="000000"/>
                <w:szCs w:val="21"/>
                <w:vertAlign w:val="subscript"/>
              </w:rPr>
              <w:t>2</w:t>
            </w:r>
          </w:p>
        </w:tc>
        <w:tc>
          <w:tcPr>
            <w:tcW w:w="979" w:type="dxa"/>
            <w:noWrap w:val="0"/>
            <w:vAlign w:val="center"/>
          </w:tcPr>
          <w:p>
            <w:pPr>
              <w:adjustRightInd w:val="0"/>
              <w:snapToGrid w:val="0"/>
              <w:spacing w:line="240" w:lineRule="exact"/>
              <w:jc w:val="center"/>
              <w:rPr>
                <w:bCs/>
                <w:color w:val="000000"/>
                <w:szCs w:val="21"/>
              </w:rPr>
            </w:pPr>
            <w:r>
              <w:rPr>
                <w:bCs/>
                <w:color w:val="000000"/>
                <w:szCs w:val="21"/>
              </w:rPr>
              <w:t>NO</w:t>
            </w:r>
            <w:r>
              <w:rPr>
                <w:bCs/>
                <w:color w:val="000000"/>
                <w:szCs w:val="21"/>
                <w:vertAlign w:val="sub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87" w:type="dxa"/>
            <w:noWrap w:val="0"/>
            <w:vAlign w:val="center"/>
          </w:tcPr>
          <w:p>
            <w:pPr>
              <w:adjustRightInd w:val="0"/>
              <w:snapToGrid w:val="0"/>
              <w:spacing w:line="240" w:lineRule="exact"/>
              <w:jc w:val="center"/>
              <w:rPr>
                <w:bCs/>
                <w:color w:val="000000"/>
                <w:szCs w:val="21"/>
              </w:rPr>
            </w:pPr>
            <w:r>
              <w:rPr>
                <w:bCs/>
                <w:color w:val="000000"/>
                <w:szCs w:val="21"/>
              </w:rPr>
              <w:t>沼气</w:t>
            </w:r>
            <w:r>
              <w:rPr>
                <w:rFonts w:hint="eastAsia"/>
                <w:bCs/>
                <w:color w:val="000000"/>
                <w:szCs w:val="21"/>
              </w:rPr>
              <w:t>燃烧</w:t>
            </w:r>
          </w:p>
        </w:tc>
        <w:tc>
          <w:tcPr>
            <w:tcW w:w="1090" w:type="dxa"/>
            <w:noWrap w:val="0"/>
            <w:vAlign w:val="center"/>
          </w:tcPr>
          <w:p>
            <w:pPr>
              <w:adjustRightInd w:val="0"/>
              <w:snapToGrid w:val="0"/>
              <w:spacing w:line="240" w:lineRule="exact"/>
              <w:jc w:val="center"/>
              <w:rPr>
                <w:bCs/>
                <w:color w:val="000000"/>
                <w:szCs w:val="21"/>
              </w:rPr>
            </w:pPr>
            <w:r>
              <w:rPr>
                <w:bCs/>
                <w:color w:val="000000"/>
                <w:szCs w:val="21"/>
              </w:rPr>
              <w:t>8</w:t>
            </w:r>
          </w:p>
        </w:tc>
        <w:tc>
          <w:tcPr>
            <w:tcW w:w="1070" w:type="dxa"/>
            <w:noWrap w:val="0"/>
            <w:vAlign w:val="center"/>
          </w:tcPr>
          <w:p>
            <w:pPr>
              <w:adjustRightInd w:val="0"/>
              <w:snapToGrid w:val="0"/>
              <w:spacing w:line="240" w:lineRule="exact"/>
              <w:jc w:val="center"/>
              <w:rPr>
                <w:bCs/>
                <w:color w:val="000000"/>
                <w:szCs w:val="21"/>
              </w:rPr>
            </w:pPr>
            <w:r>
              <w:rPr>
                <w:bCs/>
                <w:color w:val="000000"/>
                <w:szCs w:val="21"/>
              </w:rPr>
              <w:t>0.06</w:t>
            </w:r>
          </w:p>
        </w:tc>
        <w:tc>
          <w:tcPr>
            <w:tcW w:w="1123" w:type="dxa"/>
            <w:noWrap w:val="0"/>
            <w:vAlign w:val="center"/>
          </w:tcPr>
          <w:p>
            <w:pPr>
              <w:adjustRightInd w:val="0"/>
              <w:snapToGrid w:val="0"/>
              <w:spacing w:line="240" w:lineRule="exact"/>
              <w:jc w:val="center"/>
              <w:rPr>
                <w:bCs/>
                <w:color w:val="000000"/>
                <w:szCs w:val="21"/>
              </w:rPr>
            </w:pPr>
            <w:r>
              <w:rPr>
                <w:rFonts w:hint="eastAsia"/>
                <w:bCs/>
                <w:color w:val="000000"/>
                <w:szCs w:val="21"/>
              </w:rPr>
              <w:t>443339.6</w:t>
            </w:r>
          </w:p>
        </w:tc>
        <w:tc>
          <w:tcPr>
            <w:tcW w:w="1116" w:type="dxa"/>
            <w:noWrap w:val="0"/>
            <w:vAlign w:val="center"/>
          </w:tcPr>
          <w:p>
            <w:pPr>
              <w:adjustRightInd w:val="0"/>
              <w:snapToGrid w:val="0"/>
              <w:spacing w:line="240" w:lineRule="exact"/>
              <w:jc w:val="center"/>
              <w:rPr>
                <w:bCs/>
                <w:color w:val="000000"/>
                <w:szCs w:val="21"/>
              </w:rPr>
            </w:pPr>
            <w:r>
              <w:rPr>
                <w:bCs/>
                <w:color w:val="000000"/>
                <w:szCs w:val="21"/>
              </w:rPr>
              <w:t>100</w:t>
            </w:r>
          </w:p>
        </w:tc>
        <w:tc>
          <w:tcPr>
            <w:tcW w:w="977" w:type="dxa"/>
            <w:noWrap w:val="0"/>
            <w:vAlign w:val="center"/>
          </w:tcPr>
          <w:p>
            <w:pPr>
              <w:adjustRightInd w:val="0"/>
              <w:snapToGrid w:val="0"/>
              <w:spacing w:line="240" w:lineRule="exact"/>
              <w:jc w:val="center"/>
              <w:rPr>
                <w:bCs/>
                <w:color w:val="000000"/>
                <w:szCs w:val="21"/>
              </w:rPr>
            </w:pPr>
            <w:r>
              <w:rPr>
                <w:bCs/>
                <w:color w:val="000000"/>
                <w:szCs w:val="21"/>
              </w:rPr>
              <w:t>365</w:t>
            </w:r>
          </w:p>
        </w:tc>
        <w:tc>
          <w:tcPr>
            <w:tcW w:w="695" w:type="dxa"/>
            <w:noWrap w:val="0"/>
            <w:vAlign w:val="center"/>
          </w:tcPr>
          <w:p>
            <w:pPr>
              <w:tabs>
                <w:tab w:val="center" w:pos="618"/>
              </w:tabs>
              <w:adjustRightInd w:val="0"/>
              <w:snapToGrid w:val="0"/>
              <w:spacing w:line="240" w:lineRule="exact"/>
              <w:jc w:val="center"/>
              <w:rPr>
                <w:bCs/>
                <w:color w:val="000000"/>
                <w:szCs w:val="21"/>
              </w:rPr>
            </w:pPr>
            <w:r>
              <w:rPr>
                <w:bCs/>
                <w:color w:val="000000"/>
                <w:szCs w:val="21"/>
              </w:rPr>
              <w:t>4h/d</w:t>
            </w:r>
          </w:p>
        </w:tc>
        <w:tc>
          <w:tcPr>
            <w:tcW w:w="1109" w:type="dxa"/>
            <w:gridSpan w:val="2"/>
            <w:noWrap w:val="0"/>
            <w:vAlign w:val="center"/>
          </w:tcPr>
          <w:p>
            <w:pPr>
              <w:adjustRightInd w:val="0"/>
              <w:snapToGrid w:val="0"/>
              <w:spacing w:line="240" w:lineRule="exact"/>
              <w:jc w:val="center"/>
              <w:rPr>
                <w:rFonts w:hint="eastAsia" w:eastAsia="宋体"/>
                <w:bCs/>
                <w:color w:val="000000"/>
                <w:szCs w:val="21"/>
                <w:lang w:eastAsia="zh-CN"/>
              </w:rPr>
            </w:pPr>
            <w:r>
              <w:rPr>
                <w:rFonts w:hint="eastAsia"/>
                <w:bCs/>
                <w:color w:val="000000"/>
                <w:szCs w:val="21"/>
                <w:lang w:eastAsia="zh-CN"/>
              </w:rPr>
              <w:t>0.00089</w:t>
            </w:r>
          </w:p>
        </w:tc>
        <w:tc>
          <w:tcPr>
            <w:tcW w:w="979" w:type="dxa"/>
            <w:noWrap w:val="0"/>
            <w:vAlign w:val="center"/>
          </w:tcPr>
          <w:p>
            <w:pPr>
              <w:adjustRightInd w:val="0"/>
              <w:snapToGrid w:val="0"/>
              <w:spacing w:line="240" w:lineRule="exact"/>
              <w:jc w:val="center"/>
              <w:rPr>
                <w:rFonts w:hint="eastAsia" w:eastAsia="宋体"/>
                <w:bCs/>
                <w:color w:val="000000"/>
                <w:szCs w:val="21"/>
                <w:lang w:eastAsia="zh-CN"/>
              </w:rPr>
            </w:pPr>
            <w:r>
              <w:rPr>
                <w:rFonts w:hint="eastAsia"/>
                <w:bCs/>
                <w:color w:val="000000"/>
                <w:szCs w:val="21"/>
                <w:lang w:eastAsia="zh-CN"/>
              </w:rPr>
              <w:t>0.029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77" w:type="dxa"/>
            <w:gridSpan w:val="2"/>
            <w:vMerge w:val="restart"/>
            <w:noWrap w:val="0"/>
            <w:vAlign w:val="center"/>
          </w:tcPr>
          <w:p>
            <w:pPr>
              <w:adjustRightInd w:val="0"/>
              <w:snapToGrid w:val="0"/>
              <w:spacing w:line="240" w:lineRule="exact"/>
              <w:jc w:val="center"/>
              <w:rPr>
                <w:bCs/>
                <w:color w:val="000000"/>
                <w:szCs w:val="21"/>
              </w:rPr>
            </w:pPr>
            <w:r>
              <w:rPr>
                <w:bCs/>
                <w:color w:val="000000"/>
                <w:szCs w:val="21"/>
              </w:rPr>
              <w:t>面源</w:t>
            </w:r>
          </w:p>
        </w:tc>
        <w:tc>
          <w:tcPr>
            <w:tcW w:w="2193" w:type="dxa"/>
            <w:gridSpan w:val="2"/>
            <w:vMerge w:val="restart"/>
            <w:noWrap w:val="0"/>
            <w:vAlign w:val="center"/>
          </w:tcPr>
          <w:p>
            <w:pPr>
              <w:jc w:val="center"/>
              <w:rPr>
                <w:bCs/>
                <w:color w:val="000000"/>
                <w:szCs w:val="21"/>
              </w:rPr>
            </w:pPr>
            <w:r>
              <w:rPr>
                <w:bCs/>
                <w:color w:val="000000"/>
                <w:szCs w:val="21"/>
              </w:rPr>
              <w:t>占地面积（m</w:t>
            </w:r>
            <w:r>
              <w:rPr>
                <w:bCs/>
                <w:color w:val="000000"/>
                <w:szCs w:val="21"/>
                <w:vertAlign w:val="superscript"/>
              </w:rPr>
              <w:t>2</w:t>
            </w:r>
            <w:r>
              <w:rPr>
                <w:bCs/>
                <w:color w:val="000000"/>
                <w:szCs w:val="21"/>
              </w:rPr>
              <w:t>）</w:t>
            </w:r>
          </w:p>
        </w:tc>
        <w:tc>
          <w:tcPr>
            <w:tcW w:w="2093" w:type="dxa"/>
            <w:gridSpan w:val="2"/>
            <w:vMerge w:val="restart"/>
            <w:noWrap w:val="0"/>
            <w:vAlign w:val="center"/>
          </w:tcPr>
          <w:p>
            <w:pPr>
              <w:jc w:val="center"/>
              <w:rPr>
                <w:bCs/>
                <w:color w:val="000000"/>
                <w:szCs w:val="21"/>
              </w:rPr>
            </w:pPr>
            <w:r>
              <w:rPr>
                <w:bCs/>
                <w:color w:val="000000"/>
                <w:szCs w:val="21"/>
              </w:rPr>
              <w:t>面源特征</w:t>
            </w:r>
            <w:r>
              <w:rPr>
                <w:rFonts w:hint="eastAsia"/>
                <w:bCs/>
                <w:color w:val="000000"/>
                <w:szCs w:val="21"/>
              </w:rPr>
              <w:t>高度</w:t>
            </w:r>
            <w:r>
              <w:rPr>
                <w:bCs/>
                <w:color w:val="000000"/>
                <w:szCs w:val="21"/>
              </w:rPr>
              <w:t>（m）</w:t>
            </w:r>
          </w:p>
        </w:tc>
        <w:tc>
          <w:tcPr>
            <w:tcW w:w="2783" w:type="dxa"/>
            <w:gridSpan w:val="4"/>
            <w:noWrap w:val="0"/>
            <w:vAlign w:val="center"/>
          </w:tcPr>
          <w:p>
            <w:pPr>
              <w:adjustRightInd w:val="0"/>
              <w:snapToGrid w:val="0"/>
              <w:spacing w:line="240" w:lineRule="exact"/>
              <w:jc w:val="center"/>
              <w:rPr>
                <w:bCs/>
                <w:color w:val="000000"/>
                <w:szCs w:val="21"/>
              </w:rPr>
            </w:pPr>
            <w:r>
              <w:rPr>
                <w:bCs/>
                <w:color w:val="000000"/>
                <w:szCs w:val="21"/>
              </w:rPr>
              <w:t>污染物排放量(t/a)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c>
          <w:tcPr>
            <w:tcW w:w="1877" w:type="dxa"/>
            <w:gridSpan w:val="2"/>
            <w:vMerge w:val="continue"/>
            <w:noWrap w:val="0"/>
            <w:vAlign w:val="center"/>
          </w:tcPr>
          <w:p>
            <w:pPr>
              <w:adjustRightInd w:val="0"/>
              <w:snapToGrid w:val="0"/>
              <w:spacing w:line="240" w:lineRule="exact"/>
              <w:jc w:val="center"/>
              <w:rPr>
                <w:bCs/>
                <w:color w:val="000000"/>
                <w:szCs w:val="21"/>
              </w:rPr>
            </w:pPr>
          </w:p>
        </w:tc>
        <w:tc>
          <w:tcPr>
            <w:tcW w:w="2193" w:type="dxa"/>
            <w:gridSpan w:val="2"/>
            <w:vMerge w:val="continue"/>
            <w:noWrap w:val="0"/>
            <w:vAlign w:val="center"/>
          </w:tcPr>
          <w:p>
            <w:pPr>
              <w:tabs>
                <w:tab w:val="center" w:pos="618"/>
              </w:tabs>
              <w:adjustRightInd w:val="0"/>
              <w:snapToGrid w:val="0"/>
              <w:spacing w:line="240" w:lineRule="exact"/>
              <w:jc w:val="center"/>
              <w:rPr>
                <w:bCs/>
                <w:color w:val="000000"/>
                <w:szCs w:val="21"/>
              </w:rPr>
            </w:pPr>
          </w:p>
        </w:tc>
        <w:tc>
          <w:tcPr>
            <w:tcW w:w="2093" w:type="dxa"/>
            <w:gridSpan w:val="2"/>
            <w:vMerge w:val="continue"/>
            <w:noWrap w:val="0"/>
            <w:vAlign w:val="center"/>
          </w:tcPr>
          <w:p>
            <w:pPr>
              <w:tabs>
                <w:tab w:val="center" w:pos="618"/>
              </w:tabs>
              <w:adjustRightInd w:val="0"/>
              <w:snapToGrid w:val="0"/>
              <w:spacing w:line="240" w:lineRule="exact"/>
              <w:jc w:val="center"/>
              <w:rPr>
                <w:bCs/>
                <w:color w:val="000000"/>
                <w:szCs w:val="21"/>
              </w:rPr>
            </w:pPr>
          </w:p>
        </w:tc>
        <w:tc>
          <w:tcPr>
            <w:tcW w:w="972" w:type="dxa"/>
            <w:gridSpan w:val="2"/>
            <w:noWrap w:val="0"/>
            <w:vAlign w:val="center"/>
          </w:tcPr>
          <w:p>
            <w:pPr>
              <w:adjustRightInd w:val="0"/>
              <w:snapToGrid w:val="0"/>
              <w:spacing w:line="240" w:lineRule="exact"/>
              <w:jc w:val="center"/>
              <w:rPr>
                <w:bCs/>
                <w:color w:val="000000"/>
                <w:szCs w:val="21"/>
              </w:rPr>
            </w:pPr>
            <w:r>
              <w:rPr>
                <w:bCs/>
                <w:color w:val="000000"/>
                <w:szCs w:val="21"/>
              </w:rPr>
              <w:t>H</w:t>
            </w:r>
            <w:r>
              <w:rPr>
                <w:bCs/>
                <w:color w:val="000000"/>
                <w:szCs w:val="21"/>
                <w:vertAlign w:val="subscript"/>
              </w:rPr>
              <w:t>2</w:t>
            </w:r>
            <w:r>
              <w:rPr>
                <w:bCs/>
                <w:color w:val="000000"/>
                <w:szCs w:val="21"/>
              </w:rPr>
              <w:t>S</w:t>
            </w:r>
          </w:p>
        </w:tc>
        <w:tc>
          <w:tcPr>
            <w:tcW w:w="1811" w:type="dxa"/>
            <w:gridSpan w:val="2"/>
            <w:noWrap w:val="0"/>
            <w:vAlign w:val="center"/>
          </w:tcPr>
          <w:p>
            <w:pPr>
              <w:adjustRightInd w:val="0"/>
              <w:snapToGrid w:val="0"/>
              <w:spacing w:line="240" w:lineRule="exact"/>
              <w:jc w:val="center"/>
              <w:rPr>
                <w:bCs/>
                <w:color w:val="000000"/>
                <w:szCs w:val="21"/>
              </w:rPr>
            </w:pPr>
            <w:r>
              <w:rPr>
                <w:bCs/>
                <w:color w:val="000000"/>
                <w:szCs w:val="21"/>
              </w:rPr>
              <w:t>NH</w:t>
            </w:r>
            <w:r>
              <w:rPr>
                <w:bCs/>
                <w:color w:val="000000"/>
                <w:szCs w:val="21"/>
                <w:vertAlign w:val="sub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877" w:type="dxa"/>
            <w:gridSpan w:val="2"/>
            <w:noWrap w:val="0"/>
            <w:vAlign w:val="center"/>
          </w:tcPr>
          <w:p>
            <w:pPr>
              <w:spacing w:line="240" w:lineRule="atLeast"/>
              <w:jc w:val="center"/>
              <w:rPr>
                <w:bCs/>
                <w:color w:val="000000"/>
                <w:szCs w:val="21"/>
              </w:rPr>
            </w:pPr>
            <w:r>
              <w:rPr>
                <w:rFonts w:hint="eastAsia"/>
                <w:bCs/>
                <w:color w:val="000000"/>
                <w:szCs w:val="21"/>
              </w:rPr>
              <w:t>猪舍</w:t>
            </w:r>
          </w:p>
        </w:tc>
        <w:tc>
          <w:tcPr>
            <w:tcW w:w="2193" w:type="dxa"/>
            <w:gridSpan w:val="2"/>
            <w:noWrap w:val="0"/>
            <w:vAlign w:val="center"/>
          </w:tcPr>
          <w:p>
            <w:pPr>
              <w:adjustRightInd w:val="0"/>
              <w:snapToGrid w:val="0"/>
              <w:jc w:val="center"/>
              <w:rPr>
                <w:bCs/>
                <w:color w:val="000000"/>
                <w:szCs w:val="21"/>
              </w:rPr>
            </w:pPr>
            <w:r>
              <w:rPr>
                <w:rFonts w:hint="eastAsia"/>
                <w:bCs/>
                <w:color w:val="000000"/>
                <w:szCs w:val="21"/>
              </w:rPr>
              <w:t>12450</w:t>
            </w:r>
          </w:p>
        </w:tc>
        <w:tc>
          <w:tcPr>
            <w:tcW w:w="2093" w:type="dxa"/>
            <w:gridSpan w:val="2"/>
            <w:noWrap w:val="0"/>
            <w:vAlign w:val="center"/>
          </w:tcPr>
          <w:p>
            <w:pPr>
              <w:adjustRightInd w:val="0"/>
              <w:snapToGrid w:val="0"/>
              <w:jc w:val="center"/>
              <w:rPr>
                <w:bCs/>
                <w:color w:val="000000"/>
                <w:szCs w:val="21"/>
              </w:rPr>
            </w:pPr>
            <w:r>
              <w:rPr>
                <w:rFonts w:hint="eastAsia"/>
                <w:bCs/>
                <w:color w:val="000000"/>
                <w:sz w:val="18"/>
                <w:szCs w:val="18"/>
              </w:rPr>
              <w:t>150</w:t>
            </w:r>
            <w:r>
              <w:rPr>
                <w:bCs/>
                <w:color w:val="000000"/>
                <w:sz w:val="18"/>
                <w:szCs w:val="18"/>
              </w:rPr>
              <w:t>×</w:t>
            </w:r>
            <w:r>
              <w:rPr>
                <w:rFonts w:hint="eastAsia"/>
                <w:bCs/>
                <w:color w:val="000000"/>
                <w:sz w:val="18"/>
                <w:szCs w:val="18"/>
              </w:rPr>
              <w:t>83</w:t>
            </w:r>
            <w:r>
              <w:rPr>
                <w:bCs/>
                <w:color w:val="000000"/>
                <w:sz w:val="18"/>
                <w:szCs w:val="18"/>
              </w:rPr>
              <w:t>×6</w:t>
            </w:r>
          </w:p>
        </w:tc>
        <w:tc>
          <w:tcPr>
            <w:tcW w:w="972" w:type="dxa"/>
            <w:gridSpan w:val="2"/>
            <w:noWrap w:val="0"/>
            <w:vAlign w:val="center"/>
          </w:tcPr>
          <w:p>
            <w:pPr>
              <w:adjustRightInd w:val="0"/>
              <w:snapToGrid w:val="0"/>
              <w:spacing w:line="280" w:lineRule="exact"/>
              <w:jc w:val="center"/>
              <w:rPr>
                <w:rFonts w:hint="eastAsia" w:eastAsia="宋体"/>
                <w:bCs/>
                <w:color w:val="000000"/>
                <w:szCs w:val="21"/>
                <w:lang w:eastAsia="zh-CN"/>
              </w:rPr>
            </w:pPr>
            <w:r>
              <w:rPr>
                <w:rFonts w:hint="eastAsia"/>
                <w:bCs/>
                <w:color w:val="000000"/>
                <w:szCs w:val="21"/>
                <w:lang w:eastAsia="zh-CN"/>
              </w:rPr>
              <w:t>0.0078</w:t>
            </w:r>
          </w:p>
        </w:tc>
        <w:tc>
          <w:tcPr>
            <w:tcW w:w="1811" w:type="dxa"/>
            <w:gridSpan w:val="2"/>
            <w:noWrap w:val="0"/>
            <w:vAlign w:val="center"/>
          </w:tcPr>
          <w:p>
            <w:pPr>
              <w:adjustRightInd w:val="0"/>
              <w:snapToGrid w:val="0"/>
              <w:spacing w:line="280" w:lineRule="exact"/>
              <w:jc w:val="center"/>
              <w:rPr>
                <w:rFonts w:hint="eastAsia" w:eastAsia="宋体"/>
                <w:bCs/>
                <w:color w:val="000000"/>
                <w:szCs w:val="21"/>
                <w:lang w:eastAsia="zh-CN"/>
              </w:rPr>
            </w:pPr>
            <w:r>
              <w:rPr>
                <w:rFonts w:hint="eastAsia"/>
                <w:bCs/>
                <w:color w:val="000000"/>
                <w:szCs w:val="21"/>
                <w:lang w:eastAsia="zh-CN"/>
              </w:rPr>
              <w:t>0.0919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877" w:type="dxa"/>
            <w:gridSpan w:val="2"/>
            <w:noWrap w:val="0"/>
            <w:vAlign w:val="center"/>
          </w:tcPr>
          <w:p>
            <w:pPr>
              <w:spacing w:line="240" w:lineRule="atLeast"/>
              <w:jc w:val="center"/>
              <w:rPr>
                <w:bCs/>
                <w:color w:val="000000"/>
                <w:szCs w:val="21"/>
              </w:rPr>
            </w:pPr>
            <w:r>
              <w:rPr>
                <w:rFonts w:hint="eastAsia"/>
                <w:bCs/>
                <w:color w:val="000000"/>
                <w:szCs w:val="21"/>
              </w:rPr>
              <w:t>污水处理和固粪堆存区</w:t>
            </w:r>
          </w:p>
        </w:tc>
        <w:tc>
          <w:tcPr>
            <w:tcW w:w="2193" w:type="dxa"/>
            <w:gridSpan w:val="2"/>
            <w:noWrap w:val="0"/>
            <w:vAlign w:val="center"/>
          </w:tcPr>
          <w:p>
            <w:pPr>
              <w:adjustRightInd w:val="0"/>
              <w:snapToGrid w:val="0"/>
              <w:jc w:val="center"/>
              <w:rPr>
                <w:rFonts w:hint="eastAsia"/>
                <w:bCs/>
                <w:color w:val="000000"/>
                <w:szCs w:val="21"/>
              </w:rPr>
            </w:pPr>
            <w:r>
              <w:rPr>
                <w:rFonts w:hint="eastAsia"/>
                <w:bCs/>
                <w:color w:val="000000"/>
                <w:szCs w:val="21"/>
              </w:rPr>
              <w:t>1600</w:t>
            </w:r>
          </w:p>
        </w:tc>
        <w:tc>
          <w:tcPr>
            <w:tcW w:w="2093" w:type="dxa"/>
            <w:gridSpan w:val="2"/>
            <w:noWrap w:val="0"/>
            <w:vAlign w:val="center"/>
          </w:tcPr>
          <w:p>
            <w:pPr>
              <w:adjustRightInd w:val="0"/>
              <w:snapToGrid w:val="0"/>
              <w:jc w:val="center"/>
              <w:rPr>
                <w:rFonts w:hint="eastAsia"/>
                <w:bCs/>
                <w:color w:val="000000"/>
                <w:sz w:val="18"/>
                <w:szCs w:val="18"/>
              </w:rPr>
            </w:pPr>
            <w:r>
              <w:rPr>
                <w:rFonts w:hint="eastAsia"/>
                <w:bCs/>
                <w:color w:val="000000"/>
                <w:sz w:val="18"/>
                <w:szCs w:val="18"/>
              </w:rPr>
              <w:t>40</w:t>
            </w:r>
            <w:r>
              <w:rPr>
                <w:bCs/>
                <w:color w:val="000000"/>
                <w:sz w:val="18"/>
                <w:szCs w:val="18"/>
              </w:rPr>
              <w:t>×</w:t>
            </w:r>
            <w:r>
              <w:rPr>
                <w:rFonts w:hint="eastAsia"/>
                <w:bCs/>
                <w:color w:val="000000"/>
                <w:sz w:val="18"/>
                <w:szCs w:val="18"/>
              </w:rPr>
              <w:t>40</w:t>
            </w:r>
            <w:r>
              <w:rPr>
                <w:bCs/>
                <w:color w:val="000000"/>
                <w:sz w:val="18"/>
                <w:szCs w:val="18"/>
              </w:rPr>
              <w:t>×6</w:t>
            </w:r>
          </w:p>
        </w:tc>
        <w:tc>
          <w:tcPr>
            <w:tcW w:w="972" w:type="dxa"/>
            <w:gridSpan w:val="2"/>
            <w:noWrap w:val="0"/>
            <w:vAlign w:val="center"/>
          </w:tcPr>
          <w:p>
            <w:pPr>
              <w:adjustRightInd w:val="0"/>
              <w:snapToGrid w:val="0"/>
              <w:spacing w:line="280" w:lineRule="exact"/>
              <w:jc w:val="center"/>
              <w:rPr>
                <w:rFonts w:hint="eastAsia" w:eastAsia="宋体"/>
                <w:bCs/>
                <w:color w:val="000000"/>
                <w:szCs w:val="21"/>
                <w:lang w:eastAsia="zh-CN"/>
              </w:rPr>
            </w:pPr>
            <w:r>
              <w:rPr>
                <w:rFonts w:hint="eastAsia"/>
                <w:bCs/>
                <w:color w:val="000000"/>
                <w:szCs w:val="21"/>
                <w:lang w:eastAsia="zh-CN"/>
              </w:rPr>
              <w:t>0.0271</w:t>
            </w:r>
          </w:p>
        </w:tc>
        <w:tc>
          <w:tcPr>
            <w:tcW w:w="1811" w:type="dxa"/>
            <w:gridSpan w:val="2"/>
            <w:noWrap w:val="0"/>
            <w:vAlign w:val="center"/>
          </w:tcPr>
          <w:p>
            <w:pPr>
              <w:adjustRightInd w:val="0"/>
              <w:snapToGrid w:val="0"/>
              <w:spacing w:line="280" w:lineRule="exact"/>
              <w:jc w:val="center"/>
              <w:rPr>
                <w:rFonts w:hint="eastAsia" w:eastAsia="宋体"/>
                <w:bCs/>
                <w:color w:val="000000"/>
                <w:szCs w:val="21"/>
                <w:lang w:eastAsia="zh-CN"/>
              </w:rPr>
            </w:pPr>
            <w:r>
              <w:rPr>
                <w:rFonts w:hint="eastAsia"/>
                <w:bCs/>
                <w:color w:val="000000"/>
                <w:szCs w:val="21"/>
                <w:lang w:eastAsia="zh-CN"/>
              </w:rPr>
              <w:t>0.1642</w:t>
            </w:r>
          </w:p>
        </w:tc>
      </w:tr>
    </w:tbl>
    <w:p>
      <w:pPr>
        <w:spacing w:after="120" w:line="500" w:lineRule="exact"/>
        <w:ind w:firstLine="422"/>
        <w:jc w:val="center"/>
        <w:rPr>
          <w:b/>
          <w:color w:val="000000"/>
          <w:szCs w:val="21"/>
        </w:rPr>
      </w:pPr>
      <w:r>
        <w:rPr>
          <w:b/>
          <w:color w:val="000000"/>
          <w:szCs w:val="21"/>
        </w:rPr>
        <w:t>表</w:t>
      </w:r>
      <w:r>
        <w:rPr>
          <w:rFonts w:hint="eastAsia"/>
          <w:b/>
          <w:color w:val="000000"/>
          <w:szCs w:val="21"/>
        </w:rPr>
        <w:t xml:space="preserve">4.2-3 </w:t>
      </w:r>
      <w:r>
        <w:rPr>
          <w:rFonts w:hint="eastAsia"/>
          <w:b/>
          <w:color w:val="000000"/>
          <w:szCs w:val="21"/>
          <w:lang w:val="en-US" w:eastAsia="zh-CN"/>
        </w:rPr>
        <w:t xml:space="preserve">   </w:t>
      </w:r>
      <w:r>
        <w:rPr>
          <w:b/>
          <w:color w:val="000000"/>
          <w:szCs w:val="21"/>
        </w:rPr>
        <w:t xml:space="preserve">  模型参数表</w:t>
      </w:r>
    </w:p>
    <w:tbl>
      <w:tblPr>
        <w:tblStyle w:val="17"/>
        <w:tblW w:w="499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980"/>
        <w:gridCol w:w="2983"/>
        <w:gridCol w:w="29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333" w:type="pct"/>
            <w:gridSpan w:val="2"/>
            <w:noWrap/>
            <w:vAlign w:val="center"/>
          </w:tcPr>
          <w:p>
            <w:pPr>
              <w:ind w:firstLine="422"/>
              <w:jc w:val="center"/>
              <w:rPr>
                <w:bCs/>
                <w:szCs w:val="21"/>
              </w:rPr>
            </w:pPr>
            <w:r>
              <w:rPr>
                <w:bCs/>
                <w:szCs w:val="21"/>
              </w:rPr>
              <w:t>参数</w:t>
            </w:r>
          </w:p>
        </w:tc>
        <w:tc>
          <w:tcPr>
            <w:tcW w:w="1666" w:type="pct"/>
            <w:noWrap/>
            <w:vAlign w:val="center"/>
          </w:tcPr>
          <w:p>
            <w:pPr>
              <w:ind w:firstLine="422"/>
              <w:jc w:val="center"/>
              <w:rPr>
                <w:bCs/>
                <w:szCs w:val="21"/>
              </w:rPr>
            </w:pPr>
            <w:r>
              <w:rPr>
                <w:bCs/>
                <w:szCs w:val="21"/>
              </w:rPr>
              <w:t>取值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Merge w:val="restart"/>
            <w:noWrap/>
            <w:vAlign w:val="center"/>
          </w:tcPr>
          <w:p>
            <w:pPr>
              <w:ind w:firstLine="420"/>
              <w:jc w:val="center"/>
              <w:rPr>
                <w:bCs/>
                <w:szCs w:val="21"/>
              </w:rPr>
            </w:pPr>
            <w:r>
              <w:rPr>
                <w:bCs/>
                <w:szCs w:val="21"/>
              </w:rPr>
              <w:t>城市/农村选项</w:t>
            </w:r>
          </w:p>
        </w:tc>
        <w:tc>
          <w:tcPr>
            <w:tcW w:w="1666" w:type="pct"/>
            <w:noWrap/>
            <w:vAlign w:val="center"/>
          </w:tcPr>
          <w:p>
            <w:pPr>
              <w:ind w:firstLine="420"/>
              <w:jc w:val="center"/>
              <w:rPr>
                <w:bCs/>
                <w:szCs w:val="21"/>
              </w:rPr>
            </w:pPr>
            <w:r>
              <w:rPr>
                <w:bCs/>
                <w:szCs w:val="21"/>
              </w:rPr>
              <w:t>城市/农村</w:t>
            </w:r>
          </w:p>
        </w:tc>
        <w:tc>
          <w:tcPr>
            <w:tcW w:w="1666" w:type="pct"/>
            <w:noWrap/>
            <w:vAlign w:val="center"/>
          </w:tcPr>
          <w:p>
            <w:pPr>
              <w:ind w:firstLine="420"/>
              <w:jc w:val="center"/>
              <w:rPr>
                <w:bCs/>
                <w:szCs w:val="21"/>
              </w:rPr>
            </w:pPr>
            <w:r>
              <w:rPr>
                <w:bCs/>
                <w:szCs w:val="21"/>
              </w:rPr>
              <w:t>农村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Merge w:val="continue"/>
            <w:noWrap/>
            <w:vAlign w:val="center"/>
          </w:tcPr>
          <w:p>
            <w:pPr>
              <w:ind w:firstLine="420"/>
              <w:jc w:val="center"/>
              <w:rPr>
                <w:bCs/>
                <w:szCs w:val="21"/>
              </w:rPr>
            </w:pPr>
          </w:p>
        </w:tc>
        <w:tc>
          <w:tcPr>
            <w:tcW w:w="1666" w:type="pct"/>
            <w:noWrap/>
            <w:vAlign w:val="center"/>
          </w:tcPr>
          <w:p>
            <w:pPr>
              <w:ind w:firstLine="420"/>
              <w:jc w:val="center"/>
              <w:rPr>
                <w:bCs/>
                <w:szCs w:val="21"/>
              </w:rPr>
            </w:pPr>
            <w:r>
              <w:rPr>
                <w:bCs/>
                <w:szCs w:val="21"/>
              </w:rPr>
              <w:t>人口数（城市选项时）</w:t>
            </w:r>
          </w:p>
        </w:tc>
        <w:tc>
          <w:tcPr>
            <w:tcW w:w="1666" w:type="pct"/>
            <w:noWrap/>
            <w:vAlign w:val="center"/>
          </w:tcPr>
          <w:p>
            <w:pPr>
              <w:ind w:firstLine="420"/>
              <w:jc w:val="center"/>
              <w:rPr>
                <w:bCs/>
                <w:szCs w:val="21"/>
              </w:rPr>
            </w:pPr>
            <w:r>
              <w:rPr>
                <w:b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333" w:type="pct"/>
            <w:gridSpan w:val="2"/>
            <w:noWrap/>
            <w:vAlign w:val="center"/>
          </w:tcPr>
          <w:p>
            <w:pPr>
              <w:ind w:firstLine="420"/>
              <w:jc w:val="center"/>
              <w:rPr>
                <w:bCs/>
                <w:szCs w:val="21"/>
              </w:rPr>
            </w:pPr>
            <w:r>
              <w:rPr>
                <w:bCs/>
                <w:szCs w:val="21"/>
              </w:rPr>
              <w:t>最高环境温度/</w:t>
            </w:r>
            <w:r>
              <w:rPr>
                <w:rFonts w:hint="eastAsia" w:ascii="宋体" w:hAnsi="宋体" w:cs="宋体"/>
                <w:bCs/>
                <w:szCs w:val="21"/>
              </w:rPr>
              <w:t>℃</w:t>
            </w:r>
          </w:p>
        </w:tc>
        <w:tc>
          <w:tcPr>
            <w:tcW w:w="1666" w:type="pct"/>
            <w:noWrap/>
            <w:vAlign w:val="center"/>
          </w:tcPr>
          <w:p>
            <w:pPr>
              <w:ind w:firstLine="420"/>
              <w:jc w:val="center"/>
              <w:rPr>
                <w:bCs/>
                <w:szCs w:val="21"/>
              </w:rPr>
            </w:pPr>
            <w:r>
              <w:rPr>
                <w:bCs/>
                <w:szCs w:val="21"/>
              </w:rPr>
              <w:t>39.8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333" w:type="pct"/>
            <w:gridSpan w:val="2"/>
            <w:noWrap/>
            <w:vAlign w:val="center"/>
          </w:tcPr>
          <w:p>
            <w:pPr>
              <w:ind w:firstLine="420"/>
              <w:jc w:val="center"/>
              <w:rPr>
                <w:bCs/>
                <w:szCs w:val="21"/>
              </w:rPr>
            </w:pPr>
            <w:r>
              <w:rPr>
                <w:bCs/>
                <w:szCs w:val="21"/>
              </w:rPr>
              <w:t>最低环境温度/</w:t>
            </w:r>
            <w:r>
              <w:rPr>
                <w:rFonts w:hint="eastAsia" w:ascii="宋体" w:hAnsi="宋体" w:cs="宋体"/>
                <w:bCs/>
                <w:szCs w:val="21"/>
              </w:rPr>
              <w:t>℃</w:t>
            </w:r>
          </w:p>
        </w:tc>
        <w:tc>
          <w:tcPr>
            <w:tcW w:w="1666" w:type="pct"/>
            <w:noWrap/>
            <w:vAlign w:val="center"/>
          </w:tcPr>
          <w:p>
            <w:pPr>
              <w:ind w:firstLine="420"/>
              <w:jc w:val="center"/>
              <w:rPr>
                <w:bCs/>
                <w:szCs w:val="21"/>
              </w:rPr>
            </w:pPr>
            <w:r>
              <w:rPr>
                <w:bCs/>
                <w:szCs w:val="21"/>
              </w:rPr>
              <w:t>-19.6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333" w:type="pct"/>
            <w:gridSpan w:val="2"/>
            <w:noWrap/>
            <w:vAlign w:val="center"/>
          </w:tcPr>
          <w:p>
            <w:pPr>
              <w:ind w:firstLine="420"/>
              <w:jc w:val="center"/>
              <w:rPr>
                <w:bCs/>
                <w:szCs w:val="21"/>
              </w:rPr>
            </w:pPr>
            <w:r>
              <w:rPr>
                <w:bCs/>
                <w:szCs w:val="21"/>
              </w:rPr>
              <w:t>土地利用类型</w:t>
            </w:r>
          </w:p>
        </w:tc>
        <w:tc>
          <w:tcPr>
            <w:tcW w:w="1666" w:type="pct"/>
            <w:noWrap/>
            <w:vAlign w:val="center"/>
          </w:tcPr>
          <w:p>
            <w:pPr>
              <w:ind w:firstLine="420"/>
              <w:jc w:val="center"/>
              <w:rPr>
                <w:bCs/>
                <w:szCs w:val="21"/>
              </w:rPr>
            </w:pPr>
            <w:r>
              <w:rPr>
                <w:bCs/>
                <w:szCs w:val="21"/>
              </w:rPr>
              <w:t>农用地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3333" w:type="pct"/>
            <w:gridSpan w:val="2"/>
            <w:noWrap/>
            <w:vAlign w:val="center"/>
          </w:tcPr>
          <w:p>
            <w:pPr>
              <w:ind w:firstLine="420"/>
              <w:jc w:val="center"/>
              <w:rPr>
                <w:bCs/>
                <w:szCs w:val="21"/>
              </w:rPr>
            </w:pPr>
            <w:r>
              <w:rPr>
                <w:bCs/>
                <w:szCs w:val="21"/>
              </w:rPr>
              <w:t>区域湿度条件</w:t>
            </w:r>
          </w:p>
        </w:tc>
        <w:tc>
          <w:tcPr>
            <w:tcW w:w="1666" w:type="pct"/>
            <w:noWrap/>
            <w:vAlign w:val="center"/>
          </w:tcPr>
          <w:p>
            <w:pPr>
              <w:ind w:firstLine="420"/>
              <w:jc w:val="center"/>
              <w:rPr>
                <w:bCs/>
                <w:szCs w:val="21"/>
              </w:rPr>
            </w:pPr>
            <w:r>
              <w:rPr>
                <w:bCs/>
                <w:szCs w:val="21"/>
              </w:rPr>
              <w:t>中等湿度气候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Merge w:val="restart"/>
            <w:noWrap/>
            <w:vAlign w:val="center"/>
          </w:tcPr>
          <w:p>
            <w:pPr>
              <w:ind w:firstLine="420"/>
              <w:jc w:val="center"/>
              <w:rPr>
                <w:bCs/>
                <w:szCs w:val="21"/>
              </w:rPr>
            </w:pPr>
            <w:r>
              <w:rPr>
                <w:bCs/>
                <w:szCs w:val="21"/>
              </w:rPr>
              <w:t>是否考虑地形</w:t>
            </w:r>
          </w:p>
        </w:tc>
        <w:tc>
          <w:tcPr>
            <w:tcW w:w="1666" w:type="pct"/>
            <w:noWrap/>
            <w:vAlign w:val="center"/>
          </w:tcPr>
          <w:p>
            <w:pPr>
              <w:ind w:firstLine="420"/>
              <w:jc w:val="center"/>
              <w:rPr>
                <w:bCs/>
                <w:szCs w:val="21"/>
              </w:rPr>
            </w:pPr>
            <w:r>
              <w:rPr>
                <w:bCs/>
                <w:szCs w:val="21"/>
              </w:rPr>
              <w:t>考虑地形</w:t>
            </w:r>
          </w:p>
        </w:tc>
        <w:tc>
          <w:tcPr>
            <w:tcW w:w="1666" w:type="pct"/>
            <w:noWrap/>
            <w:vAlign w:val="center"/>
          </w:tcPr>
          <w:p>
            <w:pPr>
              <w:ind w:firstLine="420"/>
              <w:jc w:val="center"/>
              <w:rPr>
                <w:bCs/>
                <w:szCs w:val="21"/>
              </w:rPr>
            </w:pPr>
            <w:r>
              <w:rPr>
                <w:bCs/>
                <w:szCs w:val="21"/>
              </w:rPr>
              <w:sym w:font="Wingdings" w:char="00A8"/>
            </w:r>
            <w:r>
              <w:rPr>
                <w:bCs/>
                <w:szCs w:val="21"/>
              </w:rPr>
              <w:t xml:space="preserve">是  </w:t>
            </w:r>
            <w:r>
              <w:rPr>
                <w:bCs/>
                <w:szCs w:val="21"/>
              </w:rPr>
              <w:sym w:font="Wingdings" w:char="00FE"/>
            </w:r>
            <w:r>
              <w:rPr>
                <w:bCs/>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Merge w:val="continue"/>
            <w:noWrap/>
            <w:vAlign w:val="center"/>
          </w:tcPr>
          <w:p>
            <w:pPr>
              <w:ind w:firstLine="420"/>
              <w:jc w:val="center"/>
              <w:rPr>
                <w:bCs/>
                <w:szCs w:val="21"/>
              </w:rPr>
            </w:pPr>
          </w:p>
        </w:tc>
        <w:tc>
          <w:tcPr>
            <w:tcW w:w="1666" w:type="pct"/>
            <w:noWrap/>
            <w:vAlign w:val="center"/>
          </w:tcPr>
          <w:p>
            <w:pPr>
              <w:ind w:firstLine="420"/>
              <w:jc w:val="center"/>
              <w:rPr>
                <w:bCs/>
                <w:szCs w:val="21"/>
              </w:rPr>
            </w:pPr>
            <w:r>
              <w:rPr>
                <w:bCs/>
                <w:szCs w:val="21"/>
              </w:rPr>
              <w:t>地形数据分辨率/m</w:t>
            </w:r>
          </w:p>
        </w:tc>
        <w:tc>
          <w:tcPr>
            <w:tcW w:w="1666" w:type="pct"/>
            <w:noWrap/>
            <w:vAlign w:val="center"/>
          </w:tcPr>
          <w:p>
            <w:pPr>
              <w:ind w:firstLine="420"/>
              <w:jc w:val="center"/>
              <w:rPr>
                <w:bCs/>
                <w:szCs w:val="21"/>
              </w:rPr>
            </w:pPr>
            <w:r>
              <w:rPr>
                <w:b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66" w:type="pct"/>
            <w:vMerge w:val="restart"/>
            <w:noWrap/>
            <w:vAlign w:val="center"/>
          </w:tcPr>
          <w:p>
            <w:pPr>
              <w:ind w:firstLine="420"/>
              <w:jc w:val="center"/>
              <w:rPr>
                <w:bCs/>
                <w:szCs w:val="21"/>
              </w:rPr>
            </w:pPr>
            <w:r>
              <w:rPr>
                <w:bCs/>
                <w:szCs w:val="21"/>
              </w:rPr>
              <w:t>是否考虑岸线熏烟</w:t>
            </w:r>
          </w:p>
        </w:tc>
        <w:tc>
          <w:tcPr>
            <w:tcW w:w="1666" w:type="pct"/>
            <w:noWrap/>
            <w:vAlign w:val="center"/>
          </w:tcPr>
          <w:p>
            <w:pPr>
              <w:ind w:firstLine="420"/>
              <w:jc w:val="center"/>
              <w:rPr>
                <w:bCs/>
                <w:szCs w:val="21"/>
              </w:rPr>
            </w:pPr>
            <w:r>
              <w:rPr>
                <w:bCs/>
                <w:szCs w:val="21"/>
              </w:rPr>
              <w:t>考虑岸线熏烟</w:t>
            </w:r>
          </w:p>
        </w:tc>
        <w:tc>
          <w:tcPr>
            <w:tcW w:w="1666" w:type="pct"/>
            <w:noWrap/>
            <w:vAlign w:val="center"/>
          </w:tcPr>
          <w:p>
            <w:pPr>
              <w:ind w:firstLine="420"/>
              <w:jc w:val="center"/>
              <w:rPr>
                <w:bCs/>
                <w:szCs w:val="21"/>
              </w:rPr>
            </w:pPr>
            <w:r>
              <w:rPr>
                <w:bCs/>
                <w:szCs w:val="21"/>
              </w:rPr>
              <w:sym w:font="Wingdings" w:char="00A8"/>
            </w:r>
            <w:r>
              <w:rPr>
                <w:bCs/>
                <w:szCs w:val="21"/>
              </w:rPr>
              <w:t xml:space="preserve">是  </w:t>
            </w:r>
            <w:r>
              <w:rPr>
                <w:bCs/>
                <w:szCs w:val="21"/>
              </w:rPr>
              <w:sym w:font="Wingdings" w:char="00FE"/>
            </w:r>
            <w:r>
              <w:rPr>
                <w:bCs/>
                <w:szCs w:val="21"/>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Merge w:val="continue"/>
            <w:noWrap/>
            <w:vAlign w:val="center"/>
          </w:tcPr>
          <w:p>
            <w:pPr>
              <w:ind w:firstLine="420"/>
              <w:jc w:val="center"/>
              <w:rPr>
                <w:bCs/>
                <w:szCs w:val="21"/>
              </w:rPr>
            </w:pPr>
          </w:p>
        </w:tc>
        <w:tc>
          <w:tcPr>
            <w:tcW w:w="1666" w:type="pct"/>
            <w:noWrap/>
            <w:vAlign w:val="center"/>
          </w:tcPr>
          <w:p>
            <w:pPr>
              <w:ind w:firstLine="420"/>
              <w:jc w:val="center"/>
              <w:rPr>
                <w:bCs/>
                <w:szCs w:val="21"/>
              </w:rPr>
            </w:pPr>
            <w:r>
              <w:rPr>
                <w:bCs/>
                <w:szCs w:val="21"/>
              </w:rPr>
              <w:t>岸线距离/km</w:t>
            </w:r>
          </w:p>
        </w:tc>
        <w:tc>
          <w:tcPr>
            <w:tcW w:w="1666" w:type="pct"/>
            <w:noWrap/>
            <w:vAlign w:val="center"/>
          </w:tcPr>
          <w:p>
            <w:pPr>
              <w:ind w:firstLine="420"/>
              <w:jc w:val="center"/>
              <w:rPr>
                <w:bCs/>
                <w:szCs w:val="21"/>
              </w:rPr>
            </w:pPr>
            <w:r>
              <w:rPr>
                <w:b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666" w:type="pct"/>
            <w:vMerge w:val="continue"/>
            <w:noWrap/>
            <w:vAlign w:val="center"/>
          </w:tcPr>
          <w:p>
            <w:pPr>
              <w:ind w:firstLine="420"/>
              <w:jc w:val="center"/>
              <w:rPr>
                <w:bCs/>
                <w:szCs w:val="21"/>
              </w:rPr>
            </w:pPr>
          </w:p>
        </w:tc>
        <w:tc>
          <w:tcPr>
            <w:tcW w:w="1666" w:type="pct"/>
            <w:noWrap/>
            <w:vAlign w:val="center"/>
          </w:tcPr>
          <w:p>
            <w:pPr>
              <w:ind w:firstLine="420"/>
              <w:jc w:val="center"/>
              <w:rPr>
                <w:bCs/>
                <w:szCs w:val="21"/>
              </w:rPr>
            </w:pPr>
            <w:r>
              <w:rPr>
                <w:bCs/>
                <w:szCs w:val="21"/>
              </w:rPr>
              <w:t>岸线方向/°</w:t>
            </w:r>
          </w:p>
        </w:tc>
        <w:tc>
          <w:tcPr>
            <w:tcW w:w="1666" w:type="pct"/>
            <w:noWrap/>
            <w:vAlign w:val="center"/>
          </w:tcPr>
          <w:p>
            <w:pPr>
              <w:ind w:firstLine="420"/>
              <w:jc w:val="center"/>
              <w:rPr>
                <w:bCs/>
                <w:szCs w:val="21"/>
              </w:rPr>
            </w:pPr>
            <w:r>
              <w:rPr>
                <w:bCs/>
                <w:szCs w:val="21"/>
              </w:rPr>
              <w:t>/</w:t>
            </w:r>
          </w:p>
        </w:tc>
      </w:tr>
    </w:tbl>
    <w:p>
      <w:pPr>
        <w:adjustRightInd w:val="0"/>
        <w:snapToGrid w:val="0"/>
        <w:spacing w:line="500" w:lineRule="exact"/>
        <w:ind w:firstLine="480" w:firstLineChars="200"/>
        <w:rPr>
          <w:bCs/>
          <w:color w:val="000000"/>
          <w:sz w:val="24"/>
        </w:rPr>
      </w:pPr>
      <w:r>
        <w:rPr>
          <w:rFonts w:hint="eastAsia"/>
          <w:bCs/>
          <w:color w:val="000000"/>
          <w:sz w:val="24"/>
        </w:rPr>
        <w:t>5</w:t>
      </w:r>
      <w:r>
        <w:rPr>
          <w:bCs/>
          <w:color w:val="000000"/>
          <w:sz w:val="24"/>
        </w:rPr>
        <w:t>、预测范围、预测方案</w:t>
      </w:r>
    </w:p>
    <w:p>
      <w:pPr>
        <w:adjustRightInd w:val="0"/>
        <w:snapToGrid w:val="0"/>
        <w:spacing w:line="500" w:lineRule="exact"/>
        <w:ind w:firstLine="480" w:firstLineChars="200"/>
        <w:rPr>
          <w:bCs/>
          <w:color w:val="000000"/>
          <w:sz w:val="24"/>
        </w:rPr>
      </w:pPr>
      <w:r>
        <w:rPr>
          <w:rFonts w:hint="eastAsia" w:ascii="宋体" w:hAnsi="宋体" w:cs="宋体"/>
          <w:bCs/>
          <w:color w:val="000000"/>
          <w:sz w:val="24"/>
        </w:rPr>
        <w:t>①</w:t>
      </w:r>
      <w:r>
        <w:rPr>
          <w:bCs/>
          <w:color w:val="000000"/>
          <w:sz w:val="24"/>
        </w:rPr>
        <w:t>预测范围：分别以拟建项目场址中心为预测范围中心点，向E、S、W、N各延伸2.5km，总面积分别为2.5km</w:t>
      </w:r>
      <w:r>
        <w:rPr>
          <w:bCs/>
          <w:color w:val="000000"/>
          <w:sz w:val="24"/>
          <w:vertAlign w:val="superscript"/>
        </w:rPr>
        <w:t>2</w:t>
      </w:r>
      <w:r>
        <w:rPr>
          <w:bCs/>
          <w:color w:val="000000"/>
          <w:sz w:val="24"/>
        </w:rPr>
        <w:t>。</w:t>
      </w:r>
    </w:p>
    <w:p>
      <w:pPr>
        <w:adjustRightInd w:val="0"/>
        <w:snapToGrid w:val="0"/>
        <w:spacing w:line="520" w:lineRule="exact"/>
        <w:ind w:firstLine="480" w:firstLineChars="200"/>
        <w:rPr>
          <w:rFonts w:hint="eastAsia"/>
          <w:bCs/>
          <w:color w:val="000000"/>
          <w:sz w:val="24"/>
        </w:rPr>
      </w:pPr>
      <w:r>
        <w:rPr>
          <w:rFonts w:hint="eastAsia" w:ascii="宋体" w:hAnsi="宋体" w:cs="宋体"/>
          <w:bCs/>
          <w:color w:val="000000"/>
          <w:sz w:val="24"/>
        </w:rPr>
        <w:t>②</w:t>
      </w:r>
      <w:r>
        <w:rPr>
          <w:bCs/>
          <w:color w:val="000000"/>
          <w:sz w:val="24"/>
        </w:rPr>
        <w:t>预测方案：根据HJ2.2-2018要求，大气预测主要考虑项目建成后正常排放下各污染物对评价区域和环境空气敏感点的最大影响，预测内容包括计算评价区小时平均浓度、各场界浓度达标分析、计算无组织排放源的大气环境防护距离、确定卫生防护距离。</w:t>
      </w:r>
    </w:p>
    <w:p>
      <w:pPr>
        <w:adjustRightInd w:val="0"/>
        <w:snapToGrid w:val="0"/>
        <w:spacing w:line="500" w:lineRule="exact"/>
        <w:ind w:firstLine="480" w:firstLineChars="200"/>
        <w:rPr>
          <w:bCs/>
          <w:color w:val="000000"/>
          <w:sz w:val="24"/>
        </w:rPr>
      </w:pPr>
      <w:r>
        <w:rPr>
          <w:rFonts w:hint="eastAsia"/>
          <w:bCs/>
          <w:color w:val="000000"/>
          <w:sz w:val="24"/>
        </w:rPr>
        <w:t>6</w:t>
      </w:r>
      <w:r>
        <w:rPr>
          <w:bCs/>
          <w:color w:val="000000"/>
          <w:sz w:val="24"/>
        </w:rPr>
        <w:t>、大气环境影响预测结果与评价</w:t>
      </w:r>
    </w:p>
    <w:p>
      <w:pPr>
        <w:adjustRightInd w:val="0"/>
        <w:snapToGrid w:val="0"/>
        <w:spacing w:line="500" w:lineRule="exact"/>
        <w:ind w:firstLine="480" w:firstLineChars="200"/>
        <w:rPr>
          <w:bCs/>
          <w:color w:val="000000"/>
          <w:sz w:val="24"/>
        </w:rPr>
      </w:pPr>
      <w:r>
        <w:rPr>
          <w:rFonts w:hint="eastAsia"/>
          <w:bCs/>
          <w:color w:val="000000"/>
          <w:sz w:val="24"/>
        </w:rPr>
        <w:t>（1）</w:t>
      </w:r>
      <w:r>
        <w:rPr>
          <w:bCs/>
          <w:color w:val="000000"/>
          <w:sz w:val="24"/>
        </w:rPr>
        <w:t>无组织排放污染源贡献浓度预测</w:t>
      </w:r>
    </w:p>
    <w:p>
      <w:pPr>
        <w:adjustRightInd w:val="0"/>
        <w:snapToGrid w:val="0"/>
        <w:spacing w:line="500" w:lineRule="exact"/>
        <w:ind w:firstLine="480" w:firstLineChars="200"/>
        <w:rPr>
          <w:bCs/>
          <w:color w:val="000000"/>
          <w:sz w:val="24"/>
        </w:rPr>
      </w:pPr>
      <w:r>
        <w:rPr>
          <w:bCs/>
          <w:color w:val="000000"/>
          <w:sz w:val="24"/>
        </w:rPr>
        <w:t>本次无组织排放污染源贡献浓度预测结果见下表。</w:t>
      </w:r>
    </w:p>
    <w:p>
      <w:pPr>
        <w:jc w:val="center"/>
        <w:rPr>
          <w:bCs/>
          <w:color w:val="000000"/>
          <w:sz w:val="24"/>
        </w:rPr>
      </w:pPr>
      <w:r>
        <w:rPr>
          <w:b/>
          <w:color w:val="000000"/>
          <w:szCs w:val="21"/>
        </w:rPr>
        <w:t>表</w:t>
      </w:r>
      <w:r>
        <w:rPr>
          <w:rFonts w:hint="eastAsia"/>
          <w:b/>
          <w:color w:val="000000"/>
          <w:szCs w:val="21"/>
        </w:rPr>
        <w:t>4.2-4（1）</w:t>
      </w:r>
      <w:r>
        <w:rPr>
          <w:b/>
          <w:color w:val="000000"/>
          <w:szCs w:val="21"/>
        </w:rPr>
        <w:t xml:space="preserve">    本项目（</w:t>
      </w:r>
      <w:r>
        <w:rPr>
          <w:rFonts w:hint="eastAsia"/>
          <w:b/>
          <w:color w:val="000000"/>
          <w:szCs w:val="21"/>
        </w:rPr>
        <w:t>猪舍</w:t>
      </w:r>
      <w:r>
        <w:rPr>
          <w:b/>
          <w:color w:val="000000"/>
          <w:szCs w:val="21"/>
        </w:rPr>
        <w:t>）无组织排放NH</w:t>
      </w:r>
      <w:r>
        <w:rPr>
          <w:b/>
          <w:color w:val="000000"/>
          <w:szCs w:val="21"/>
          <w:vertAlign w:val="subscript"/>
        </w:rPr>
        <w:t>3</w:t>
      </w:r>
      <w:r>
        <w:rPr>
          <w:b/>
          <w:color w:val="000000"/>
          <w:szCs w:val="21"/>
        </w:rPr>
        <w:t>及H</w:t>
      </w:r>
      <w:r>
        <w:rPr>
          <w:b/>
          <w:color w:val="000000"/>
          <w:szCs w:val="21"/>
          <w:vertAlign w:val="subscript"/>
        </w:rPr>
        <w:t>2</w:t>
      </w:r>
      <w:r>
        <w:rPr>
          <w:b/>
          <w:color w:val="000000"/>
          <w:szCs w:val="21"/>
        </w:rPr>
        <w:t>S贡献值预测结果</w:t>
      </w:r>
      <w:r>
        <w:rPr>
          <w:bCs/>
          <w:color w:val="000000"/>
          <w:szCs w:val="21"/>
        </w:rPr>
        <w:t>（</w:t>
      </w:r>
      <w:r>
        <w:rPr>
          <w:szCs w:val="21"/>
        </w:rPr>
        <w:t>µg</w:t>
      </w:r>
      <w:r>
        <w:rPr>
          <w:bCs/>
          <w:color w:val="000000"/>
          <w:szCs w:val="21"/>
        </w:rPr>
        <w:t>/m</w:t>
      </w:r>
      <w:r>
        <w:rPr>
          <w:bCs/>
          <w:color w:val="000000"/>
          <w:szCs w:val="21"/>
          <w:vertAlign w:val="superscript"/>
        </w:rPr>
        <w:t>3</w:t>
      </w:r>
      <w:r>
        <w:rPr>
          <w:bCs/>
          <w:color w:val="000000"/>
          <w:szCs w:val="21"/>
        </w:rPr>
        <w:t>）</w:t>
      </w:r>
    </w:p>
    <w:tbl>
      <w:tblPr>
        <w:tblStyle w:val="17"/>
        <w:tblW w:w="8846" w:type="dxa"/>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57" w:type="dxa"/>
          <w:bottom w:w="0" w:type="dxa"/>
          <w:right w:w="57" w:type="dxa"/>
        </w:tblCellMar>
      </w:tblPr>
      <w:tblGrid>
        <w:gridCol w:w="1676"/>
        <w:gridCol w:w="1785"/>
        <w:gridCol w:w="1629"/>
        <w:gridCol w:w="2128"/>
        <w:gridCol w:w="1628"/>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blHeader/>
        </w:trPr>
        <w:tc>
          <w:tcPr>
            <w:tcW w:w="1676" w:type="dxa"/>
            <w:vMerge w:val="restart"/>
            <w:tcBorders>
              <w:top w:val="single" w:color="auto" w:sz="12" w:space="0"/>
              <w:left w:val="single" w:color="auto" w:sz="12"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距离（m）</w:t>
            </w:r>
          </w:p>
        </w:tc>
        <w:tc>
          <w:tcPr>
            <w:tcW w:w="3414" w:type="dxa"/>
            <w:gridSpan w:val="2"/>
            <w:tcBorders>
              <w:top w:val="single" w:color="auto" w:sz="12" w:space="0"/>
              <w:left w:val="single" w:color="auto" w:sz="4" w:space="0"/>
              <w:bottom w:val="single" w:color="auto" w:sz="4" w:space="0"/>
              <w:right w:val="single" w:color="auto" w:sz="4" w:space="0"/>
            </w:tcBorders>
            <w:noWrap w:val="0"/>
            <w:vAlign w:val="center"/>
          </w:tcPr>
          <w:p>
            <w:pPr>
              <w:ind w:firstLine="396" w:firstLineChars="200"/>
              <w:jc w:val="center"/>
              <w:rPr>
                <w:bCs/>
                <w:color w:val="000000"/>
                <w:spacing w:val="-6"/>
                <w:szCs w:val="21"/>
              </w:rPr>
            </w:pPr>
            <w:r>
              <w:rPr>
                <w:bCs/>
                <w:color w:val="000000"/>
                <w:spacing w:val="-6"/>
                <w:kern w:val="0"/>
                <w:szCs w:val="21"/>
              </w:rPr>
              <w:t>H</w:t>
            </w:r>
            <w:r>
              <w:rPr>
                <w:bCs/>
                <w:color w:val="000000"/>
                <w:spacing w:val="-6"/>
                <w:kern w:val="0"/>
                <w:szCs w:val="21"/>
                <w:vertAlign w:val="subscript"/>
              </w:rPr>
              <w:t>2</w:t>
            </w:r>
            <w:r>
              <w:rPr>
                <w:bCs/>
                <w:color w:val="000000"/>
                <w:spacing w:val="-6"/>
                <w:kern w:val="0"/>
                <w:szCs w:val="21"/>
              </w:rPr>
              <w:t>S1小时最大浓度</w:t>
            </w:r>
          </w:p>
        </w:tc>
        <w:tc>
          <w:tcPr>
            <w:tcW w:w="3756" w:type="dxa"/>
            <w:gridSpan w:val="2"/>
            <w:tcBorders>
              <w:top w:val="single" w:color="auto" w:sz="12" w:space="0"/>
              <w:left w:val="single" w:color="auto" w:sz="4" w:space="0"/>
              <w:bottom w:val="single" w:color="auto" w:sz="4" w:space="0"/>
              <w:right w:val="single" w:color="auto" w:sz="12" w:space="0"/>
            </w:tcBorders>
            <w:noWrap w:val="0"/>
            <w:vAlign w:val="center"/>
          </w:tcPr>
          <w:p>
            <w:pPr>
              <w:jc w:val="center"/>
              <w:rPr>
                <w:bCs/>
                <w:color w:val="000000"/>
                <w:spacing w:val="-6"/>
                <w:szCs w:val="21"/>
              </w:rPr>
            </w:pPr>
            <w:r>
              <w:rPr>
                <w:bCs/>
                <w:color w:val="000000"/>
                <w:spacing w:val="-6"/>
                <w:kern w:val="0"/>
                <w:szCs w:val="21"/>
              </w:rPr>
              <w:t>NH</w:t>
            </w:r>
            <w:r>
              <w:rPr>
                <w:bCs/>
                <w:color w:val="000000"/>
                <w:spacing w:val="-6"/>
                <w:kern w:val="0"/>
                <w:szCs w:val="21"/>
                <w:vertAlign w:val="subscript"/>
              </w:rPr>
              <w:t>3</w:t>
            </w:r>
            <w:r>
              <w:rPr>
                <w:bCs/>
                <w:color w:val="000000"/>
                <w:spacing w:val="-6"/>
                <w:kern w:val="0"/>
                <w:szCs w:val="21"/>
              </w:rPr>
              <w:t>1小时平均最大浓度</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blHeader/>
        </w:trPr>
        <w:tc>
          <w:tcPr>
            <w:tcW w:w="1676" w:type="dxa"/>
            <w:vMerge w:val="continue"/>
            <w:tcBorders>
              <w:top w:val="single" w:color="auto" w:sz="4" w:space="0"/>
              <w:left w:val="single" w:color="auto" w:sz="12" w:space="0"/>
              <w:bottom w:val="single" w:color="auto" w:sz="4" w:space="0"/>
              <w:right w:val="single" w:color="auto" w:sz="4" w:space="0"/>
            </w:tcBorders>
            <w:noWrap w:val="0"/>
            <w:vAlign w:val="center"/>
          </w:tcPr>
          <w:p>
            <w:pPr>
              <w:jc w:val="center"/>
              <w:rPr>
                <w:bCs/>
                <w:color w:val="000000"/>
                <w:szCs w:val="21"/>
              </w:rPr>
            </w:pPr>
          </w:p>
        </w:tc>
        <w:tc>
          <w:tcPr>
            <w:tcW w:w="178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预测浓度</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占标率%</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预测浓度</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adjustRightInd w:val="0"/>
              <w:snapToGrid w:val="0"/>
              <w:jc w:val="center"/>
              <w:rPr>
                <w:bCs/>
                <w:color w:val="000000"/>
                <w:spacing w:val="-6"/>
                <w:szCs w:val="21"/>
              </w:rPr>
            </w:pPr>
            <w:r>
              <w:rPr>
                <w:bCs/>
                <w:color w:val="000000"/>
                <w:spacing w:val="-6"/>
                <w:kern w:val="0"/>
                <w:szCs w:val="21"/>
              </w:rPr>
              <w:t>占标率%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15</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lang w:val="en-US" w:eastAsia="zh-CN"/>
              </w:rPr>
              <w:t>0.79</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lang w:val="en-US" w:eastAsia="zh-CN"/>
              </w:rPr>
              <w:t>0.42</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val="en-US" w:eastAsia="zh-CN"/>
              </w:rPr>
            </w:pPr>
            <w:r>
              <w:rPr>
                <w:rFonts w:hint="eastAsia"/>
                <w:bCs/>
                <w:color w:val="000000"/>
                <w:sz w:val="22"/>
                <w:szCs w:val="22"/>
              </w:rPr>
              <w:t>0.0</w:t>
            </w:r>
            <w:r>
              <w:rPr>
                <w:rFonts w:hint="eastAsia"/>
                <w:bCs/>
                <w:color w:val="000000"/>
                <w:sz w:val="22"/>
                <w:szCs w:val="22"/>
                <w:lang w:val="en-US" w:eastAsia="zh-CN"/>
              </w:rPr>
              <w:t>8</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81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tcMar>
              <w:left w:w="28" w:type="dxa"/>
              <w:right w:w="28" w:type="dxa"/>
            </w:tcMar>
            <w:vAlign w:val="center"/>
          </w:tcPr>
          <w:p>
            <w:pPr>
              <w:widowControl/>
              <w:jc w:val="center"/>
              <w:textAlignment w:val="center"/>
              <w:rPr>
                <w:bCs/>
                <w:color w:val="000000"/>
                <w:spacing w:val="-6"/>
                <w:szCs w:val="21"/>
              </w:rPr>
            </w:pPr>
            <w:r>
              <w:rPr>
                <w:bCs/>
                <w:color w:val="000000"/>
                <w:kern w:val="0"/>
                <w:szCs w:val="21"/>
              </w:rPr>
              <w:t>100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8</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1.</w:t>
            </w:r>
            <w:r>
              <w:rPr>
                <w:rFonts w:hint="eastAsia"/>
                <w:bCs/>
                <w:color w:val="000000"/>
                <w:sz w:val="22"/>
                <w:szCs w:val="22"/>
                <w:lang w:val="en-US" w:eastAsia="zh-CN"/>
              </w:rPr>
              <w:t>60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lang w:val="en-US" w:eastAsia="zh-CN"/>
              </w:rPr>
              <w:t>1.89</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0.9</w:t>
            </w:r>
            <w:r>
              <w:rPr>
                <w:rFonts w:hint="eastAsia"/>
                <w:bCs/>
                <w:color w:val="000000"/>
                <w:sz w:val="22"/>
                <w:szCs w:val="22"/>
                <w:lang w:val="en-US" w:eastAsia="zh-CN"/>
              </w:rPr>
              <w:t>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200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8</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lang w:val="en-US" w:eastAsia="zh-CN"/>
              </w:rPr>
              <w:t>1.68</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2.</w:t>
            </w:r>
            <w:r>
              <w:rPr>
                <w:rFonts w:hint="eastAsia"/>
                <w:bCs/>
                <w:color w:val="000000"/>
                <w:sz w:val="22"/>
                <w:szCs w:val="22"/>
                <w:lang w:val="en-US" w:eastAsia="zh-CN"/>
              </w:rPr>
              <w:t>19</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1.</w:t>
            </w:r>
            <w:r>
              <w:rPr>
                <w:rFonts w:hint="eastAsia"/>
                <w:bCs/>
                <w:color w:val="000000"/>
                <w:sz w:val="22"/>
                <w:szCs w:val="22"/>
                <w:lang w:val="en-US" w:eastAsia="zh-CN"/>
              </w:rPr>
              <w:t>10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300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8</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1.</w:t>
            </w:r>
            <w:r>
              <w:rPr>
                <w:rFonts w:hint="eastAsia"/>
                <w:bCs/>
                <w:color w:val="000000"/>
                <w:sz w:val="22"/>
                <w:szCs w:val="22"/>
                <w:lang w:val="en-US" w:eastAsia="zh-CN"/>
              </w:rPr>
              <w:t>75</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2.</w:t>
            </w:r>
            <w:r>
              <w:rPr>
                <w:rFonts w:hint="eastAsia"/>
                <w:bCs/>
                <w:color w:val="000000"/>
                <w:sz w:val="22"/>
                <w:szCs w:val="22"/>
                <w:lang w:val="en-US" w:eastAsia="zh-CN"/>
              </w:rPr>
              <w:t>09</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lang w:val="en-US" w:eastAsia="zh-CN"/>
              </w:rPr>
              <w:t>1.07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400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8</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1.6</w:t>
            </w:r>
            <w:r>
              <w:rPr>
                <w:rFonts w:hint="eastAsia"/>
                <w:bCs/>
                <w:color w:val="000000"/>
                <w:sz w:val="22"/>
                <w:szCs w:val="22"/>
                <w:lang w:val="en-US" w:eastAsia="zh-CN"/>
              </w:rPr>
              <w:t>8</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1.98</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0.99</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500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6</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1.</w:t>
            </w:r>
            <w:r>
              <w:rPr>
                <w:rFonts w:hint="eastAsia"/>
                <w:bCs/>
                <w:color w:val="000000"/>
                <w:sz w:val="22"/>
                <w:szCs w:val="22"/>
                <w:lang w:val="en-US" w:eastAsia="zh-CN"/>
              </w:rPr>
              <w:t>51</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1.7</w:t>
            </w:r>
            <w:r>
              <w:rPr>
                <w:rFonts w:hint="eastAsia"/>
                <w:bCs/>
                <w:color w:val="000000"/>
                <w:sz w:val="22"/>
                <w:szCs w:val="22"/>
                <w:lang w:val="en-US" w:eastAsia="zh-CN"/>
              </w:rPr>
              <w:t>1</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0.8</w:t>
            </w:r>
            <w:r>
              <w:rPr>
                <w:rFonts w:hint="eastAsia"/>
                <w:bCs/>
                <w:color w:val="000000"/>
                <w:sz w:val="22"/>
                <w:szCs w:val="22"/>
                <w:lang w:val="en-US" w:eastAsia="zh-CN"/>
              </w:rPr>
              <w:t>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600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4</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1.2</w:t>
            </w:r>
            <w:r>
              <w:rPr>
                <w:rFonts w:hint="eastAsia"/>
                <w:bCs/>
                <w:color w:val="000000"/>
                <w:sz w:val="22"/>
                <w:szCs w:val="22"/>
                <w:lang w:val="en-US" w:eastAsia="zh-CN"/>
              </w:rPr>
              <w:t>9</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1.51</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0.75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700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0.11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1.1</w:t>
            </w:r>
            <w:r>
              <w:rPr>
                <w:rFonts w:hint="eastAsia"/>
                <w:bCs/>
                <w:color w:val="000000"/>
                <w:sz w:val="22"/>
                <w:szCs w:val="22"/>
                <w:lang w:val="en-US" w:eastAsia="zh-CN"/>
              </w:rPr>
              <w:t>1</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1.</w:t>
            </w:r>
            <w:r>
              <w:rPr>
                <w:rFonts w:hint="eastAsia"/>
                <w:bCs/>
                <w:color w:val="000000"/>
                <w:sz w:val="22"/>
                <w:szCs w:val="22"/>
                <w:lang w:val="en-US" w:eastAsia="zh-CN"/>
              </w:rPr>
              <w:t>29</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0.6</w:t>
            </w:r>
            <w:r>
              <w:rPr>
                <w:rFonts w:hint="eastAsia"/>
                <w:bCs/>
                <w:color w:val="000000"/>
                <w:sz w:val="22"/>
                <w:szCs w:val="22"/>
                <w:lang w:val="en-US" w:eastAsia="zh-CN"/>
              </w:rPr>
              <w:t>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800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10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1.1</w:t>
            </w:r>
            <w:r>
              <w:rPr>
                <w:rFonts w:hint="eastAsia"/>
                <w:bCs/>
                <w:color w:val="000000"/>
                <w:sz w:val="22"/>
                <w:szCs w:val="22"/>
                <w:lang w:val="en-US" w:eastAsia="zh-CN"/>
              </w:rPr>
              <w:t>5</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0.5</w:t>
            </w:r>
            <w:r>
              <w:rPr>
                <w:rFonts w:hint="eastAsia"/>
                <w:bCs/>
                <w:color w:val="000000"/>
                <w:sz w:val="22"/>
                <w:szCs w:val="22"/>
                <w:lang w:val="en-US" w:eastAsia="zh-CN"/>
              </w:rPr>
              <w:t>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900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0.0</w:t>
            </w:r>
            <w:r>
              <w:rPr>
                <w:rFonts w:hint="eastAsia"/>
                <w:bCs/>
                <w:color w:val="000000"/>
                <w:sz w:val="22"/>
                <w:szCs w:val="22"/>
                <w:lang w:val="en-US" w:eastAsia="zh-CN"/>
              </w:rPr>
              <w:t>8</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77</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1.0</w:t>
            </w:r>
            <w:r>
              <w:rPr>
                <w:rFonts w:hint="eastAsia"/>
                <w:bCs/>
                <w:color w:val="000000"/>
                <w:sz w:val="22"/>
                <w:szCs w:val="22"/>
                <w:lang w:val="en-US" w:eastAsia="zh-CN"/>
              </w:rPr>
              <w:t>2</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0.5</w:t>
            </w:r>
            <w:r>
              <w:rPr>
                <w:rFonts w:hint="eastAsia"/>
                <w:bCs/>
                <w:color w:val="000000"/>
                <w:sz w:val="22"/>
                <w:szCs w:val="22"/>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1000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0.0</w:t>
            </w:r>
            <w:r>
              <w:rPr>
                <w:rFonts w:hint="eastAsia"/>
                <w:bCs/>
                <w:color w:val="000000"/>
                <w:sz w:val="22"/>
                <w:szCs w:val="22"/>
                <w:lang w:val="en-US" w:eastAsia="zh-CN"/>
              </w:rPr>
              <w:t>7</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68</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94</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0.4</w:t>
            </w:r>
            <w:r>
              <w:rPr>
                <w:rFonts w:hint="eastAsia"/>
                <w:bCs/>
                <w:color w:val="000000"/>
                <w:sz w:val="22"/>
                <w:szCs w:val="22"/>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1250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0.0</w:t>
            </w:r>
            <w:r>
              <w:rPr>
                <w:rFonts w:hint="eastAsia"/>
                <w:bCs/>
                <w:color w:val="000000"/>
                <w:sz w:val="22"/>
                <w:szCs w:val="22"/>
                <w:lang w:val="en-US" w:eastAsia="zh-CN"/>
              </w:rPr>
              <w:t>5</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53</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0.72</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0.36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1500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0.0</w:t>
            </w:r>
            <w:r>
              <w:rPr>
                <w:rFonts w:hint="eastAsia"/>
                <w:bCs/>
                <w:color w:val="000000"/>
                <w:sz w:val="22"/>
                <w:szCs w:val="22"/>
                <w:lang w:val="en-US" w:eastAsia="zh-CN"/>
              </w:rPr>
              <w:t>5</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39</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57</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0.2</w:t>
            </w:r>
            <w:r>
              <w:rPr>
                <w:rFonts w:hint="eastAsia"/>
                <w:bCs/>
                <w:color w:val="000000"/>
                <w:sz w:val="22"/>
                <w:szCs w:val="22"/>
                <w:lang w:val="en-US" w:eastAsia="zh-CN"/>
              </w:rPr>
              <w:t>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1750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0.0</w:t>
            </w:r>
            <w:r>
              <w:rPr>
                <w:rFonts w:hint="eastAsia"/>
                <w:bCs/>
                <w:color w:val="000000"/>
                <w:sz w:val="22"/>
                <w:szCs w:val="22"/>
                <w:lang w:val="en-US" w:eastAsia="zh-CN"/>
              </w:rPr>
              <w:t>5</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w:t>
            </w:r>
            <w:r>
              <w:rPr>
                <w:rFonts w:hint="eastAsia"/>
                <w:bCs/>
                <w:color w:val="000000"/>
                <w:sz w:val="22"/>
                <w:szCs w:val="22"/>
                <w:lang w:val="en-US" w:eastAsia="zh-CN"/>
              </w:rPr>
              <w:t>50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49</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25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kern w:val="0"/>
                <w:szCs w:val="21"/>
              </w:rPr>
            </w:pPr>
            <w:r>
              <w:rPr>
                <w:rFonts w:hint="eastAsia"/>
                <w:bCs/>
                <w:color w:val="000000"/>
                <w:kern w:val="0"/>
                <w:szCs w:val="21"/>
              </w:rPr>
              <w:t>2000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0.0</w:t>
            </w:r>
            <w:r>
              <w:rPr>
                <w:rFonts w:hint="eastAsia"/>
                <w:bCs/>
                <w:color w:val="000000"/>
                <w:sz w:val="22"/>
                <w:szCs w:val="22"/>
                <w:lang w:val="en-US" w:eastAsia="zh-CN"/>
              </w:rPr>
              <w:t>3</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25</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38</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18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kern w:val="0"/>
                <w:szCs w:val="21"/>
              </w:rPr>
            </w:pPr>
            <w:r>
              <w:rPr>
                <w:rFonts w:hint="eastAsia"/>
                <w:bCs/>
                <w:color w:val="000000"/>
                <w:kern w:val="0"/>
                <w:szCs w:val="21"/>
              </w:rPr>
              <w:t>2250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0.03</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0.30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34</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kern w:val="0"/>
                <w:szCs w:val="21"/>
              </w:rPr>
            </w:pPr>
            <w:r>
              <w:rPr>
                <w:rFonts w:hint="eastAsia"/>
                <w:bCs/>
                <w:color w:val="000000"/>
                <w:kern w:val="0"/>
                <w:szCs w:val="21"/>
              </w:rPr>
              <w:t>2500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0.0</w:t>
            </w:r>
            <w:r>
              <w:rPr>
                <w:rFonts w:hint="eastAsia"/>
                <w:bCs/>
                <w:color w:val="000000"/>
                <w:sz w:val="22"/>
                <w:szCs w:val="22"/>
                <w:lang w:val="en-US" w:eastAsia="zh-CN"/>
              </w:rPr>
              <w:t>2</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w:t>
            </w:r>
            <w:r>
              <w:rPr>
                <w:rFonts w:hint="eastAsia"/>
                <w:bCs/>
                <w:color w:val="000000"/>
                <w:sz w:val="22"/>
                <w:szCs w:val="22"/>
                <w:lang w:val="en-US" w:eastAsia="zh-CN"/>
              </w:rPr>
              <w:t>16</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28</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最大浓度（</w:t>
            </w:r>
            <w:r>
              <w:rPr>
                <w:rFonts w:hint="eastAsia"/>
                <w:bCs/>
                <w:color w:val="000000"/>
                <w:spacing w:val="-6"/>
                <w:kern w:val="0"/>
                <w:szCs w:val="21"/>
              </w:rPr>
              <w:t>2</w:t>
            </w:r>
            <w:r>
              <w:rPr>
                <w:rFonts w:hint="eastAsia"/>
                <w:bCs/>
                <w:color w:val="000000"/>
                <w:spacing w:val="-6"/>
                <w:kern w:val="0"/>
                <w:szCs w:val="21"/>
                <w:lang w:val="en-US" w:eastAsia="zh-CN"/>
              </w:rPr>
              <w:t>56</w:t>
            </w:r>
            <w:r>
              <w:rPr>
                <w:bCs/>
                <w:color w:val="000000"/>
                <w:spacing w:val="-6"/>
                <w:kern w:val="0"/>
                <w:szCs w:val="21"/>
              </w:rPr>
              <w:t>m）</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8</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1.</w:t>
            </w:r>
            <w:r>
              <w:rPr>
                <w:rFonts w:hint="eastAsia"/>
                <w:bCs/>
                <w:color w:val="000000"/>
                <w:sz w:val="22"/>
                <w:szCs w:val="22"/>
                <w:lang w:val="en-US" w:eastAsia="zh-CN"/>
              </w:rPr>
              <w:t>75</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2.</w:t>
            </w:r>
            <w:r>
              <w:rPr>
                <w:rFonts w:hint="eastAsia"/>
                <w:bCs/>
                <w:color w:val="000000"/>
                <w:sz w:val="22"/>
                <w:szCs w:val="22"/>
                <w:lang w:val="en-US" w:eastAsia="zh-CN"/>
              </w:rPr>
              <w:t>19</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val="en-US" w:eastAsia="zh-CN"/>
              </w:rPr>
            </w:pPr>
            <w:r>
              <w:rPr>
                <w:rFonts w:hint="eastAsia"/>
                <w:bCs/>
                <w:color w:val="000000"/>
                <w:sz w:val="22"/>
                <w:szCs w:val="22"/>
              </w:rPr>
              <w:t>1.1</w:t>
            </w:r>
            <w:r>
              <w:rPr>
                <w:rFonts w:hint="eastAsia"/>
                <w:bCs/>
                <w:color w:val="000000"/>
                <w:sz w:val="22"/>
                <w:szCs w:val="22"/>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1676" w:type="dxa"/>
            <w:tcBorders>
              <w:top w:val="single" w:color="auto" w:sz="4" w:space="0"/>
              <w:left w:val="single" w:color="auto" w:sz="12" w:space="0"/>
              <w:bottom w:val="single" w:color="auto" w:sz="12"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标准</w:t>
            </w:r>
          </w:p>
        </w:tc>
        <w:tc>
          <w:tcPr>
            <w:tcW w:w="3414" w:type="dxa"/>
            <w:gridSpan w:val="2"/>
            <w:tcBorders>
              <w:top w:val="single" w:color="auto" w:sz="4" w:space="0"/>
              <w:left w:val="single" w:color="auto" w:sz="4" w:space="0"/>
              <w:bottom w:val="single" w:color="auto" w:sz="12" w:space="0"/>
              <w:right w:val="single" w:color="auto" w:sz="4" w:space="0"/>
            </w:tcBorders>
            <w:noWrap w:val="0"/>
            <w:vAlign w:val="center"/>
          </w:tcPr>
          <w:p>
            <w:pPr>
              <w:jc w:val="center"/>
              <w:rPr>
                <w:bCs/>
                <w:color w:val="000000"/>
                <w:spacing w:val="-6"/>
                <w:szCs w:val="21"/>
              </w:rPr>
            </w:pPr>
            <w:r>
              <w:rPr>
                <w:bCs/>
                <w:color w:val="000000"/>
                <w:spacing w:val="-6"/>
                <w:kern w:val="0"/>
                <w:szCs w:val="21"/>
              </w:rPr>
              <w:t>10</w:t>
            </w:r>
            <w:r>
              <w:rPr>
                <w:szCs w:val="21"/>
              </w:rPr>
              <w:t>µg</w:t>
            </w:r>
            <w:r>
              <w:rPr>
                <w:bCs/>
                <w:color w:val="000000"/>
                <w:spacing w:val="-6"/>
                <w:kern w:val="0"/>
                <w:szCs w:val="21"/>
              </w:rPr>
              <w:t>/m</w:t>
            </w:r>
            <w:r>
              <w:rPr>
                <w:bCs/>
                <w:color w:val="000000"/>
                <w:spacing w:val="-6"/>
                <w:kern w:val="0"/>
                <w:szCs w:val="21"/>
                <w:vertAlign w:val="superscript"/>
              </w:rPr>
              <w:t>3</w:t>
            </w:r>
          </w:p>
        </w:tc>
        <w:tc>
          <w:tcPr>
            <w:tcW w:w="3756" w:type="dxa"/>
            <w:gridSpan w:val="2"/>
            <w:tcBorders>
              <w:top w:val="single" w:color="auto" w:sz="4" w:space="0"/>
              <w:left w:val="single" w:color="auto" w:sz="4" w:space="0"/>
              <w:bottom w:val="single" w:color="auto" w:sz="12" w:space="0"/>
              <w:right w:val="single" w:color="auto" w:sz="12" w:space="0"/>
            </w:tcBorders>
            <w:noWrap w:val="0"/>
            <w:vAlign w:val="center"/>
          </w:tcPr>
          <w:p>
            <w:pPr>
              <w:jc w:val="center"/>
              <w:rPr>
                <w:bCs/>
                <w:color w:val="000000"/>
                <w:spacing w:val="-6"/>
                <w:szCs w:val="21"/>
              </w:rPr>
            </w:pPr>
            <w:r>
              <w:rPr>
                <w:bCs/>
                <w:color w:val="000000"/>
                <w:spacing w:val="-6"/>
                <w:kern w:val="0"/>
                <w:szCs w:val="21"/>
              </w:rPr>
              <w:t>200</w:t>
            </w:r>
            <w:r>
              <w:rPr>
                <w:szCs w:val="21"/>
              </w:rPr>
              <w:t>µg</w:t>
            </w:r>
            <w:r>
              <w:rPr>
                <w:bCs/>
                <w:color w:val="000000"/>
                <w:spacing w:val="-6"/>
                <w:kern w:val="0"/>
                <w:szCs w:val="21"/>
              </w:rPr>
              <w:t>/m</w:t>
            </w:r>
            <w:r>
              <w:rPr>
                <w:bCs/>
                <w:color w:val="000000"/>
                <w:spacing w:val="-6"/>
                <w:kern w:val="0"/>
                <w:szCs w:val="21"/>
                <w:vertAlign w:val="superscript"/>
              </w:rPr>
              <w:t>3</w:t>
            </w:r>
          </w:p>
        </w:tc>
      </w:tr>
    </w:tbl>
    <w:p>
      <w:pPr>
        <w:adjustRightInd w:val="0"/>
        <w:snapToGrid w:val="0"/>
        <w:spacing w:line="500" w:lineRule="exact"/>
        <w:ind w:firstLine="480" w:firstLineChars="200"/>
        <w:rPr>
          <w:bCs/>
          <w:color w:val="000000"/>
          <w:sz w:val="24"/>
        </w:rPr>
      </w:pPr>
      <w:r>
        <w:rPr>
          <w:bCs/>
          <w:color w:val="000000"/>
          <w:sz w:val="24"/>
        </w:rPr>
        <w:t>从上表可以看出，本项目</w:t>
      </w:r>
      <w:r>
        <w:rPr>
          <w:rFonts w:hint="eastAsia"/>
          <w:bCs/>
          <w:color w:val="000000"/>
          <w:sz w:val="24"/>
        </w:rPr>
        <w:t>猪舍</w:t>
      </w:r>
      <w:r>
        <w:rPr>
          <w:bCs/>
          <w:color w:val="000000"/>
          <w:sz w:val="24"/>
        </w:rPr>
        <w:t>无组织排放NH</w:t>
      </w:r>
      <w:r>
        <w:rPr>
          <w:bCs/>
          <w:color w:val="000000"/>
          <w:sz w:val="24"/>
          <w:vertAlign w:val="subscript"/>
        </w:rPr>
        <w:t>3</w:t>
      </w:r>
      <w:r>
        <w:rPr>
          <w:bCs/>
          <w:color w:val="000000"/>
          <w:sz w:val="24"/>
        </w:rPr>
        <w:t>、H</w:t>
      </w:r>
      <w:r>
        <w:rPr>
          <w:bCs/>
          <w:color w:val="000000"/>
          <w:sz w:val="24"/>
          <w:vertAlign w:val="subscript"/>
        </w:rPr>
        <w:t>2</w:t>
      </w:r>
      <w:r>
        <w:rPr>
          <w:bCs/>
          <w:color w:val="000000"/>
          <w:sz w:val="24"/>
        </w:rPr>
        <w:t>S小时最大浓度贡献值出现在</w:t>
      </w:r>
      <w:r>
        <w:rPr>
          <w:rFonts w:hint="eastAsia"/>
          <w:bCs/>
          <w:color w:val="000000"/>
          <w:sz w:val="24"/>
          <w:lang w:eastAsia="zh-CN"/>
        </w:rPr>
        <w:t>25</w:t>
      </w:r>
      <w:r>
        <w:rPr>
          <w:rFonts w:hint="eastAsia"/>
          <w:bCs/>
          <w:color w:val="000000"/>
          <w:sz w:val="24"/>
          <w:lang w:val="en-US" w:eastAsia="zh-CN"/>
        </w:rPr>
        <w:t>1</w:t>
      </w:r>
      <w:r>
        <w:rPr>
          <w:rFonts w:hint="eastAsia"/>
          <w:bCs/>
          <w:color w:val="000000"/>
          <w:sz w:val="24"/>
          <w:lang w:eastAsia="zh-CN"/>
        </w:rPr>
        <w:t>m</w:t>
      </w:r>
      <w:r>
        <w:rPr>
          <w:bCs/>
          <w:color w:val="000000"/>
          <w:sz w:val="24"/>
        </w:rPr>
        <w:t>，占标率分别为</w:t>
      </w:r>
      <w:r>
        <w:rPr>
          <w:rFonts w:hint="eastAsia"/>
          <w:bCs/>
          <w:color w:val="000000"/>
          <w:sz w:val="24"/>
          <w:lang w:eastAsia="zh-CN"/>
        </w:rPr>
        <w:t>1.1</w:t>
      </w:r>
      <w:r>
        <w:rPr>
          <w:rFonts w:hint="eastAsia"/>
          <w:bCs/>
          <w:color w:val="000000"/>
          <w:sz w:val="24"/>
          <w:lang w:val="en-US" w:eastAsia="zh-CN"/>
        </w:rPr>
        <w:t>0</w:t>
      </w:r>
      <w:r>
        <w:rPr>
          <w:rFonts w:hint="eastAsia"/>
          <w:bCs/>
          <w:color w:val="000000"/>
          <w:sz w:val="24"/>
          <w:lang w:eastAsia="zh-CN"/>
        </w:rPr>
        <w:t>%</w:t>
      </w:r>
      <w:r>
        <w:rPr>
          <w:bCs/>
          <w:color w:val="000000"/>
          <w:sz w:val="24"/>
        </w:rPr>
        <w:t>、</w:t>
      </w:r>
      <w:r>
        <w:rPr>
          <w:rFonts w:hint="eastAsia"/>
          <w:bCs/>
          <w:color w:val="000000"/>
          <w:sz w:val="24"/>
          <w:lang w:eastAsia="zh-CN"/>
        </w:rPr>
        <w:t>1.</w:t>
      </w:r>
      <w:r>
        <w:rPr>
          <w:rFonts w:hint="eastAsia"/>
          <w:bCs/>
          <w:color w:val="000000"/>
          <w:sz w:val="24"/>
          <w:lang w:val="en-US" w:eastAsia="zh-CN"/>
        </w:rPr>
        <w:t>75</w:t>
      </w:r>
      <w:r>
        <w:rPr>
          <w:rFonts w:hint="eastAsia"/>
          <w:bCs/>
          <w:color w:val="000000"/>
          <w:sz w:val="24"/>
          <w:lang w:eastAsia="zh-CN"/>
        </w:rPr>
        <w:t>%</w:t>
      </w:r>
      <w:r>
        <w:rPr>
          <w:bCs/>
          <w:color w:val="000000"/>
          <w:sz w:val="24"/>
        </w:rPr>
        <w:t>。</w:t>
      </w:r>
    </w:p>
    <w:p>
      <w:pPr>
        <w:jc w:val="center"/>
        <w:rPr>
          <w:rFonts w:hint="eastAsia"/>
          <w:b/>
          <w:color w:val="000000"/>
          <w:szCs w:val="21"/>
        </w:rPr>
      </w:pPr>
      <w:r>
        <w:rPr>
          <w:b/>
          <w:color w:val="000000"/>
          <w:szCs w:val="21"/>
        </w:rPr>
        <w:t>表</w:t>
      </w:r>
      <w:r>
        <w:rPr>
          <w:rFonts w:hint="eastAsia"/>
          <w:b/>
          <w:color w:val="000000"/>
          <w:szCs w:val="21"/>
        </w:rPr>
        <w:t>4.2-4（2）</w:t>
      </w:r>
      <w:r>
        <w:rPr>
          <w:b/>
          <w:color w:val="000000"/>
          <w:szCs w:val="21"/>
        </w:rPr>
        <w:t xml:space="preserve">    本项目（</w:t>
      </w:r>
      <w:r>
        <w:rPr>
          <w:rFonts w:hint="eastAsia"/>
          <w:b/>
          <w:color w:val="000000"/>
          <w:szCs w:val="21"/>
        </w:rPr>
        <w:t>污水处理和固粪堆存区</w:t>
      </w:r>
      <w:r>
        <w:rPr>
          <w:b/>
          <w:color w:val="000000"/>
          <w:szCs w:val="21"/>
        </w:rPr>
        <w:t>）无组织排放NH</w:t>
      </w:r>
      <w:r>
        <w:rPr>
          <w:b/>
          <w:color w:val="000000"/>
          <w:szCs w:val="21"/>
          <w:vertAlign w:val="subscript"/>
        </w:rPr>
        <w:t>3</w:t>
      </w:r>
      <w:r>
        <w:rPr>
          <w:b/>
          <w:color w:val="000000"/>
          <w:szCs w:val="21"/>
        </w:rPr>
        <w:t>及H</w:t>
      </w:r>
      <w:r>
        <w:rPr>
          <w:b/>
          <w:color w:val="000000"/>
          <w:szCs w:val="21"/>
          <w:vertAlign w:val="subscript"/>
        </w:rPr>
        <w:t>2</w:t>
      </w:r>
      <w:r>
        <w:rPr>
          <w:b/>
          <w:color w:val="000000"/>
          <w:szCs w:val="21"/>
        </w:rPr>
        <w:t>S贡献值</w:t>
      </w:r>
    </w:p>
    <w:tbl>
      <w:tblPr>
        <w:tblStyle w:val="17"/>
        <w:tblpPr w:leftFromText="180" w:rightFromText="180" w:vertAnchor="text" w:horzAnchor="page" w:tblpX="1562" w:tblpY="292"/>
        <w:tblOverlap w:val="never"/>
        <w:tblW w:w="4999"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57" w:type="dxa"/>
          <w:bottom w:w="0" w:type="dxa"/>
          <w:right w:w="57" w:type="dxa"/>
        </w:tblCellMar>
      </w:tblPr>
      <w:tblGrid>
        <w:gridCol w:w="1755"/>
        <w:gridCol w:w="1870"/>
        <w:gridCol w:w="1707"/>
        <w:gridCol w:w="2229"/>
        <w:gridCol w:w="1281"/>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blHeader/>
        </w:trPr>
        <w:tc>
          <w:tcPr>
            <w:tcW w:w="992" w:type="pct"/>
            <w:vMerge w:val="restart"/>
            <w:tcBorders>
              <w:top w:val="single" w:color="auto" w:sz="12" w:space="0"/>
              <w:left w:val="single" w:color="auto" w:sz="12"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距离（m）</w:t>
            </w:r>
          </w:p>
        </w:tc>
        <w:tc>
          <w:tcPr>
            <w:tcW w:w="2022" w:type="pct"/>
            <w:gridSpan w:val="2"/>
            <w:tcBorders>
              <w:top w:val="single" w:color="auto" w:sz="12" w:space="0"/>
              <w:left w:val="single" w:color="auto" w:sz="4" w:space="0"/>
              <w:bottom w:val="single" w:color="auto" w:sz="4" w:space="0"/>
              <w:right w:val="single" w:color="auto" w:sz="4" w:space="0"/>
            </w:tcBorders>
            <w:noWrap w:val="0"/>
            <w:vAlign w:val="center"/>
          </w:tcPr>
          <w:p>
            <w:pPr>
              <w:ind w:firstLine="396" w:firstLineChars="200"/>
              <w:jc w:val="center"/>
              <w:rPr>
                <w:bCs/>
                <w:color w:val="000000"/>
                <w:spacing w:val="-6"/>
                <w:szCs w:val="21"/>
              </w:rPr>
            </w:pPr>
            <w:r>
              <w:rPr>
                <w:bCs/>
                <w:color w:val="000000"/>
                <w:spacing w:val="-6"/>
                <w:kern w:val="0"/>
                <w:szCs w:val="21"/>
              </w:rPr>
              <w:t>H</w:t>
            </w:r>
            <w:r>
              <w:rPr>
                <w:bCs/>
                <w:color w:val="000000"/>
                <w:spacing w:val="-6"/>
                <w:kern w:val="0"/>
                <w:szCs w:val="21"/>
                <w:vertAlign w:val="subscript"/>
              </w:rPr>
              <w:t>2</w:t>
            </w:r>
            <w:r>
              <w:rPr>
                <w:bCs/>
                <w:color w:val="000000"/>
                <w:spacing w:val="-6"/>
                <w:kern w:val="0"/>
                <w:szCs w:val="21"/>
              </w:rPr>
              <w:t>S1小时最大浓度</w:t>
            </w:r>
          </w:p>
        </w:tc>
        <w:tc>
          <w:tcPr>
            <w:tcW w:w="1984" w:type="pct"/>
            <w:gridSpan w:val="2"/>
            <w:tcBorders>
              <w:top w:val="single" w:color="auto" w:sz="12" w:space="0"/>
              <w:left w:val="single" w:color="auto" w:sz="4" w:space="0"/>
              <w:bottom w:val="single" w:color="auto" w:sz="4" w:space="0"/>
              <w:right w:val="single" w:color="auto" w:sz="12" w:space="0"/>
            </w:tcBorders>
            <w:noWrap w:val="0"/>
            <w:vAlign w:val="center"/>
          </w:tcPr>
          <w:p>
            <w:pPr>
              <w:jc w:val="center"/>
              <w:rPr>
                <w:bCs/>
                <w:color w:val="000000"/>
                <w:spacing w:val="-6"/>
                <w:szCs w:val="21"/>
              </w:rPr>
            </w:pPr>
            <w:r>
              <w:rPr>
                <w:bCs/>
                <w:color w:val="000000"/>
                <w:spacing w:val="-6"/>
                <w:kern w:val="0"/>
                <w:szCs w:val="21"/>
              </w:rPr>
              <w:t>NH</w:t>
            </w:r>
            <w:r>
              <w:rPr>
                <w:bCs/>
                <w:color w:val="000000"/>
                <w:spacing w:val="-6"/>
                <w:kern w:val="0"/>
                <w:szCs w:val="21"/>
                <w:vertAlign w:val="subscript"/>
              </w:rPr>
              <w:t>3</w:t>
            </w:r>
            <w:r>
              <w:rPr>
                <w:bCs/>
                <w:color w:val="000000"/>
                <w:spacing w:val="-6"/>
                <w:kern w:val="0"/>
                <w:szCs w:val="21"/>
              </w:rPr>
              <w:t>1小时平均最大浓度</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blHeader/>
        </w:trPr>
        <w:tc>
          <w:tcPr>
            <w:tcW w:w="992" w:type="pct"/>
            <w:vMerge w:val="continue"/>
            <w:tcBorders>
              <w:top w:val="single" w:color="auto" w:sz="4" w:space="0"/>
              <w:left w:val="single" w:color="auto" w:sz="12" w:space="0"/>
              <w:bottom w:val="single" w:color="auto" w:sz="4" w:space="0"/>
              <w:right w:val="single" w:color="auto" w:sz="4" w:space="0"/>
            </w:tcBorders>
            <w:noWrap w:val="0"/>
            <w:vAlign w:val="center"/>
          </w:tcPr>
          <w:p>
            <w:pPr>
              <w:jc w:val="center"/>
              <w:rPr>
                <w:bCs/>
                <w:color w:val="000000"/>
                <w:szCs w:val="21"/>
              </w:rPr>
            </w:pPr>
          </w:p>
        </w:tc>
        <w:tc>
          <w:tcPr>
            <w:tcW w:w="1057"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预测浓度</w:t>
            </w:r>
          </w:p>
        </w:tc>
        <w:tc>
          <w:tcPr>
            <w:tcW w:w="965"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占标率%</w:t>
            </w:r>
          </w:p>
        </w:tc>
        <w:tc>
          <w:tcPr>
            <w:tcW w:w="1260"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预测浓度</w:t>
            </w:r>
          </w:p>
        </w:tc>
        <w:tc>
          <w:tcPr>
            <w:tcW w:w="724" w:type="pct"/>
            <w:tcBorders>
              <w:top w:val="single" w:color="auto" w:sz="4" w:space="0"/>
              <w:left w:val="single" w:color="auto" w:sz="4" w:space="0"/>
              <w:bottom w:val="single" w:color="auto" w:sz="4" w:space="0"/>
              <w:right w:val="single" w:color="auto" w:sz="12" w:space="0"/>
            </w:tcBorders>
            <w:noWrap w:val="0"/>
            <w:vAlign w:val="center"/>
          </w:tcPr>
          <w:p>
            <w:pPr>
              <w:adjustRightInd w:val="0"/>
              <w:snapToGrid w:val="0"/>
              <w:jc w:val="center"/>
              <w:rPr>
                <w:bCs/>
                <w:color w:val="000000"/>
                <w:spacing w:val="-6"/>
                <w:szCs w:val="21"/>
              </w:rPr>
            </w:pPr>
            <w:r>
              <w:rPr>
                <w:bCs/>
                <w:color w:val="000000"/>
                <w:spacing w:val="-6"/>
                <w:kern w:val="0"/>
                <w:szCs w:val="21"/>
              </w:rPr>
              <w:t>占标率%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992" w:type="pct"/>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15</w:t>
            </w:r>
          </w:p>
        </w:tc>
        <w:tc>
          <w:tcPr>
            <w:tcW w:w="1057"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8</w:t>
            </w:r>
          </w:p>
        </w:tc>
        <w:tc>
          <w:tcPr>
            <w:tcW w:w="9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1.</w:t>
            </w:r>
            <w:r>
              <w:rPr>
                <w:rFonts w:hint="eastAsia"/>
                <w:bCs/>
                <w:color w:val="000000"/>
                <w:sz w:val="22"/>
                <w:szCs w:val="22"/>
                <w:lang w:val="en-US" w:eastAsia="zh-CN"/>
              </w:rPr>
              <w:t>50</w:t>
            </w:r>
          </w:p>
        </w:tc>
        <w:tc>
          <w:tcPr>
            <w:tcW w:w="1260"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2.</w:t>
            </w:r>
            <w:r>
              <w:rPr>
                <w:rFonts w:hint="eastAsia"/>
                <w:bCs/>
                <w:color w:val="000000"/>
                <w:sz w:val="22"/>
                <w:szCs w:val="22"/>
                <w:lang w:val="en-US" w:eastAsia="zh-CN"/>
              </w:rPr>
              <w:t>90</w:t>
            </w:r>
          </w:p>
        </w:tc>
        <w:tc>
          <w:tcPr>
            <w:tcW w:w="724" w:type="pct"/>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1.4</w:t>
            </w:r>
            <w:r>
              <w:rPr>
                <w:rFonts w:hint="eastAsia"/>
                <w:bCs/>
                <w:color w:val="000000"/>
                <w:sz w:val="22"/>
                <w:szCs w:val="22"/>
                <w:lang w:val="en-US" w:eastAsia="zh-CN"/>
              </w:rPr>
              <w:t>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992" w:type="pct"/>
            <w:tcBorders>
              <w:top w:val="single" w:color="auto" w:sz="4" w:space="0"/>
              <w:left w:val="single" w:color="auto" w:sz="12" w:space="0"/>
              <w:bottom w:val="single" w:color="auto" w:sz="4" w:space="0"/>
              <w:right w:val="single" w:color="auto" w:sz="4" w:space="0"/>
            </w:tcBorders>
            <w:noWrap w:val="0"/>
            <w:tcMar>
              <w:left w:w="28" w:type="dxa"/>
              <w:right w:w="28" w:type="dxa"/>
            </w:tcMar>
            <w:vAlign w:val="center"/>
          </w:tcPr>
          <w:p>
            <w:pPr>
              <w:widowControl/>
              <w:jc w:val="center"/>
              <w:textAlignment w:val="center"/>
              <w:rPr>
                <w:bCs/>
                <w:color w:val="000000"/>
                <w:spacing w:val="-6"/>
                <w:szCs w:val="21"/>
              </w:rPr>
            </w:pPr>
            <w:r>
              <w:rPr>
                <w:bCs/>
                <w:color w:val="000000"/>
                <w:kern w:val="0"/>
                <w:szCs w:val="21"/>
              </w:rPr>
              <w:t>100</w:t>
            </w:r>
          </w:p>
        </w:tc>
        <w:tc>
          <w:tcPr>
            <w:tcW w:w="1057"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0.3</w:t>
            </w:r>
            <w:r>
              <w:rPr>
                <w:rFonts w:hint="eastAsia"/>
                <w:bCs/>
                <w:color w:val="000000"/>
                <w:sz w:val="22"/>
                <w:szCs w:val="22"/>
                <w:lang w:val="en-US" w:eastAsia="zh-CN"/>
              </w:rPr>
              <w:t>4</w:t>
            </w:r>
          </w:p>
        </w:tc>
        <w:tc>
          <w:tcPr>
            <w:tcW w:w="9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3.3</w:t>
            </w:r>
            <w:r>
              <w:rPr>
                <w:rFonts w:hint="eastAsia"/>
                <w:bCs/>
                <w:color w:val="000000"/>
                <w:sz w:val="22"/>
                <w:szCs w:val="22"/>
                <w:lang w:val="en-US" w:eastAsia="zh-CN"/>
              </w:rPr>
              <w:t>3</w:t>
            </w:r>
          </w:p>
        </w:tc>
        <w:tc>
          <w:tcPr>
            <w:tcW w:w="126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5.5</w:t>
            </w:r>
            <w:r>
              <w:rPr>
                <w:rFonts w:hint="eastAsia"/>
                <w:bCs/>
                <w:color w:val="000000"/>
                <w:sz w:val="22"/>
                <w:szCs w:val="22"/>
                <w:lang w:val="en-US" w:eastAsia="zh-CN"/>
              </w:rPr>
              <w:t>7</w:t>
            </w:r>
          </w:p>
        </w:tc>
        <w:tc>
          <w:tcPr>
            <w:tcW w:w="724" w:type="pct"/>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val="en-US" w:eastAsia="zh-CN"/>
              </w:rPr>
            </w:pPr>
            <w:r>
              <w:rPr>
                <w:rFonts w:hint="eastAsia"/>
                <w:bCs/>
                <w:color w:val="000000"/>
                <w:sz w:val="22"/>
                <w:szCs w:val="22"/>
              </w:rPr>
              <w:t>2.7</w:t>
            </w:r>
            <w:r>
              <w:rPr>
                <w:rFonts w:hint="eastAsia"/>
                <w:bCs/>
                <w:color w:val="000000"/>
                <w:sz w:val="22"/>
                <w:szCs w:val="22"/>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992" w:type="pct"/>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200</w:t>
            </w:r>
          </w:p>
        </w:tc>
        <w:tc>
          <w:tcPr>
            <w:tcW w:w="1057"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30</w:t>
            </w:r>
          </w:p>
        </w:tc>
        <w:tc>
          <w:tcPr>
            <w:tcW w:w="9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2.9</w:t>
            </w:r>
            <w:r>
              <w:rPr>
                <w:rFonts w:hint="eastAsia"/>
                <w:bCs/>
                <w:color w:val="000000"/>
                <w:sz w:val="22"/>
                <w:szCs w:val="22"/>
                <w:lang w:val="en-US" w:eastAsia="zh-CN"/>
              </w:rPr>
              <w:t>6</w:t>
            </w:r>
          </w:p>
        </w:tc>
        <w:tc>
          <w:tcPr>
            <w:tcW w:w="1260"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4.</w:t>
            </w:r>
            <w:r>
              <w:rPr>
                <w:rFonts w:hint="eastAsia"/>
                <w:bCs/>
                <w:color w:val="000000"/>
                <w:sz w:val="22"/>
                <w:szCs w:val="22"/>
                <w:lang w:val="en-US" w:eastAsia="zh-CN"/>
              </w:rPr>
              <w:t>50</w:t>
            </w:r>
          </w:p>
        </w:tc>
        <w:tc>
          <w:tcPr>
            <w:tcW w:w="724" w:type="pct"/>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2.4</w:t>
            </w:r>
            <w:r>
              <w:rPr>
                <w:rFonts w:hint="eastAsia"/>
                <w:bCs/>
                <w:color w:val="000000"/>
                <w:sz w:val="22"/>
                <w:szCs w:val="22"/>
                <w:lang w:val="en-US" w:eastAsia="zh-CN"/>
              </w:rPr>
              <w:t>8</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992" w:type="pct"/>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300</w:t>
            </w:r>
          </w:p>
        </w:tc>
        <w:tc>
          <w:tcPr>
            <w:tcW w:w="1057"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0.2</w:t>
            </w:r>
            <w:r>
              <w:rPr>
                <w:rFonts w:hint="eastAsia"/>
                <w:bCs/>
                <w:color w:val="000000"/>
                <w:sz w:val="22"/>
                <w:szCs w:val="22"/>
                <w:lang w:val="en-US" w:eastAsia="zh-CN"/>
              </w:rPr>
              <w:t>4</w:t>
            </w:r>
          </w:p>
        </w:tc>
        <w:tc>
          <w:tcPr>
            <w:tcW w:w="9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2.4</w:t>
            </w:r>
            <w:r>
              <w:rPr>
                <w:rFonts w:hint="eastAsia"/>
                <w:bCs/>
                <w:color w:val="000000"/>
                <w:sz w:val="22"/>
                <w:szCs w:val="22"/>
                <w:lang w:val="en-US" w:eastAsia="zh-CN"/>
              </w:rPr>
              <w:t>6</w:t>
            </w:r>
          </w:p>
        </w:tc>
        <w:tc>
          <w:tcPr>
            <w:tcW w:w="126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4.1</w:t>
            </w:r>
            <w:r>
              <w:rPr>
                <w:rFonts w:hint="eastAsia"/>
                <w:bCs/>
                <w:color w:val="000000"/>
                <w:sz w:val="22"/>
                <w:szCs w:val="22"/>
                <w:lang w:val="en-US" w:eastAsia="zh-CN"/>
              </w:rPr>
              <w:t>3</w:t>
            </w:r>
          </w:p>
        </w:tc>
        <w:tc>
          <w:tcPr>
            <w:tcW w:w="724" w:type="pct"/>
            <w:tcBorders>
              <w:top w:val="single" w:color="auto" w:sz="4" w:space="0"/>
              <w:left w:val="single" w:color="auto" w:sz="4" w:space="0"/>
              <w:bottom w:val="single" w:color="auto" w:sz="4" w:space="0"/>
              <w:right w:val="single" w:color="auto" w:sz="12"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2.0</w:t>
            </w:r>
            <w:r>
              <w:rPr>
                <w:rFonts w:hint="eastAsia"/>
                <w:bCs/>
                <w:color w:val="000000"/>
                <w:sz w:val="22"/>
                <w:szCs w:val="22"/>
                <w:lang w:val="en-US" w:eastAsia="zh-CN"/>
              </w:rPr>
              <w:t xml:space="preserve">6 </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992" w:type="pct"/>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400</w:t>
            </w:r>
          </w:p>
        </w:tc>
        <w:tc>
          <w:tcPr>
            <w:tcW w:w="1057"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19</w:t>
            </w:r>
          </w:p>
        </w:tc>
        <w:tc>
          <w:tcPr>
            <w:tcW w:w="9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2.0</w:t>
            </w:r>
            <w:r>
              <w:rPr>
                <w:rFonts w:hint="eastAsia"/>
                <w:bCs/>
                <w:color w:val="000000"/>
                <w:sz w:val="22"/>
                <w:szCs w:val="22"/>
                <w:lang w:val="en-US" w:eastAsia="zh-CN"/>
              </w:rPr>
              <w:t>3</w:t>
            </w:r>
          </w:p>
        </w:tc>
        <w:tc>
          <w:tcPr>
            <w:tcW w:w="126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3.4</w:t>
            </w:r>
            <w:r>
              <w:rPr>
                <w:rFonts w:hint="eastAsia"/>
                <w:bCs/>
                <w:color w:val="000000"/>
                <w:sz w:val="22"/>
                <w:szCs w:val="22"/>
                <w:lang w:val="en-US" w:eastAsia="zh-CN"/>
              </w:rPr>
              <w:t>1</w:t>
            </w:r>
          </w:p>
        </w:tc>
        <w:tc>
          <w:tcPr>
            <w:tcW w:w="724" w:type="pct"/>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1.7</w:t>
            </w:r>
            <w:r>
              <w:rPr>
                <w:rFonts w:hint="eastAsia"/>
                <w:bCs/>
                <w:color w:val="000000"/>
                <w:sz w:val="22"/>
                <w:szCs w:val="22"/>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992" w:type="pct"/>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500</w:t>
            </w:r>
          </w:p>
        </w:tc>
        <w:tc>
          <w:tcPr>
            <w:tcW w:w="1057"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8</w:t>
            </w:r>
          </w:p>
        </w:tc>
        <w:tc>
          <w:tcPr>
            <w:tcW w:w="9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1.7</w:t>
            </w:r>
            <w:r>
              <w:rPr>
                <w:rFonts w:hint="eastAsia"/>
                <w:bCs/>
                <w:color w:val="000000"/>
                <w:sz w:val="22"/>
                <w:szCs w:val="22"/>
                <w:lang w:val="en-US" w:eastAsia="zh-CN"/>
              </w:rPr>
              <w:t>1</w:t>
            </w:r>
          </w:p>
        </w:tc>
        <w:tc>
          <w:tcPr>
            <w:tcW w:w="126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2.8</w:t>
            </w:r>
            <w:r>
              <w:rPr>
                <w:rFonts w:hint="eastAsia"/>
                <w:bCs/>
                <w:color w:val="000000"/>
                <w:sz w:val="22"/>
                <w:szCs w:val="22"/>
                <w:lang w:val="en-US" w:eastAsia="zh-CN"/>
              </w:rPr>
              <w:t>7</w:t>
            </w:r>
          </w:p>
        </w:tc>
        <w:tc>
          <w:tcPr>
            <w:tcW w:w="724" w:type="pct"/>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1.4</w:t>
            </w:r>
            <w:r>
              <w:rPr>
                <w:rFonts w:hint="eastAsia"/>
                <w:bCs/>
                <w:color w:val="000000"/>
                <w:sz w:val="22"/>
                <w:szCs w:val="22"/>
                <w:lang w:val="en-US" w:eastAsia="zh-CN"/>
              </w:rPr>
              <w:t>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992" w:type="pct"/>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600</w:t>
            </w:r>
          </w:p>
        </w:tc>
        <w:tc>
          <w:tcPr>
            <w:tcW w:w="1057"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5</w:t>
            </w:r>
          </w:p>
        </w:tc>
        <w:tc>
          <w:tcPr>
            <w:tcW w:w="9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1.4</w:t>
            </w:r>
            <w:r>
              <w:rPr>
                <w:rFonts w:hint="eastAsia"/>
                <w:bCs/>
                <w:color w:val="000000"/>
                <w:sz w:val="22"/>
                <w:szCs w:val="22"/>
                <w:lang w:val="en-US" w:eastAsia="zh-CN"/>
              </w:rPr>
              <w:t>5</w:t>
            </w:r>
          </w:p>
        </w:tc>
        <w:tc>
          <w:tcPr>
            <w:tcW w:w="126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2.1</w:t>
            </w:r>
            <w:r>
              <w:rPr>
                <w:rFonts w:hint="eastAsia"/>
                <w:bCs/>
                <w:color w:val="000000"/>
                <w:sz w:val="22"/>
                <w:szCs w:val="22"/>
                <w:lang w:val="en-US" w:eastAsia="zh-CN"/>
              </w:rPr>
              <w:t>5</w:t>
            </w:r>
          </w:p>
        </w:tc>
        <w:tc>
          <w:tcPr>
            <w:tcW w:w="724" w:type="pct"/>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1.2</w:t>
            </w:r>
            <w:r>
              <w:rPr>
                <w:rFonts w:hint="eastAsia"/>
                <w:bCs/>
                <w:color w:val="000000"/>
                <w:sz w:val="22"/>
                <w:szCs w:val="22"/>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992" w:type="pct"/>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700</w:t>
            </w:r>
          </w:p>
        </w:tc>
        <w:tc>
          <w:tcPr>
            <w:tcW w:w="1057" w:type="pct"/>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0.12</w:t>
            </w:r>
          </w:p>
        </w:tc>
        <w:tc>
          <w:tcPr>
            <w:tcW w:w="9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1.2</w:t>
            </w:r>
            <w:r>
              <w:rPr>
                <w:rFonts w:hint="eastAsia"/>
                <w:bCs/>
                <w:color w:val="000000"/>
                <w:sz w:val="22"/>
                <w:szCs w:val="22"/>
                <w:lang w:val="en-US" w:eastAsia="zh-CN"/>
              </w:rPr>
              <w:t>4</w:t>
            </w:r>
          </w:p>
        </w:tc>
        <w:tc>
          <w:tcPr>
            <w:tcW w:w="126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2.0</w:t>
            </w:r>
            <w:r>
              <w:rPr>
                <w:rFonts w:hint="eastAsia"/>
                <w:bCs/>
                <w:color w:val="000000"/>
                <w:sz w:val="22"/>
                <w:szCs w:val="22"/>
                <w:lang w:val="en-US" w:eastAsia="zh-CN"/>
              </w:rPr>
              <w:t>8</w:t>
            </w:r>
          </w:p>
        </w:tc>
        <w:tc>
          <w:tcPr>
            <w:tcW w:w="724" w:type="pct"/>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1.0</w:t>
            </w:r>
            <w:r>
              <w:rPr>
                <w:rFonts w:hint="eastAsia"/>
                <w:bCs/>
                <w:color w:val="000000"/>
                <w:sz w:val="22"/>
                <w:szCs w:val="22"/>
                <w:lang w:val="en-US" w:eastAsia="zh-CN"/>
              </w:rPr>
              <w:t>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992" w:type="pct"/>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800</w:t>
            </w:r>
          </w:p>
        </w:tc>
        <w:tc>
          <w:tcPr>
            <w:tcW w:w="1057"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val="en-US" w:eastAsia="zh-CN"/>
              </w:rPr>
            </w:pPr>
            <w:r>
              <w:rPr>
                <w:rFonts w:hint="eastAsia"/>
                <w:bCs/>
                <w:color w:val="000000"/>
                <w:sz w:val="22"/>
                <w:szCs w:val="22"/>
              </w:rPr>
              <w:t>0.1</w:t>
            </w:r>
            <w:r>
              <w:rPr>
                <w:rFonts w:hint="eastAsia"/>
                <w:bCs/>
                <w:color w:val="000000"/>
                <w:sz w:val="22"/>
                <w:szCs w:val="22"/>
                <w:lang w:val="en-US" w:eastAsia="zh-CN"/>
              </w:rPr>
              <w:t>2</w:t>
            </w:r>
          </w:p>
        </w:tc>
        <w:tc>
          <w:tcPr>
            <w:tcW w:w="9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1.0</w:t>
            </w:r>
            <w:r>
              <w:rPr>
                <w:rFonts w:hint="eastAsia"/>
                <w:bCs/>
                <w:color w:val="000000"/>
                <w:sz w:val="22"/>
                <w:szCs w:val="22"/>
                <w:lang w:val="en-US" w:eastAsia="zh-CN"/>
              </w:rPr>
              <w:t>8</w:t>
            </w:r>
          </w:p>
        </w:tc>
        <w:tc>
          <w:tcPr>
            <w:tcW w:w="126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1.8</w:t>
            </w:r>
            <w:r>
              <w:rPr>
                <w:rFonts w:hint="eastAsia"/>
                <w:bCs/>
                <w:color w:val="000000"/>
                <w:sz w:val="22"/>
                <w:szCs w:val="22"/>
                <w:lang w:val="en-US" w:eastAsia="zh-CN"/>
              </w:rPr>
              <w:t>1</w:t>
            </w:r>
          </w:p>
        </w:tc>
        <w:tc>
          <w:tcPr>
            <w:tcW w:w="724" w:type="pct"/>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0.8</w:t>
            </w:r>
            <w:r>
              <w:rPr>
                <w:rFonts w:hint="eastAsia"/>
                <w:bCs/>
                <w:color w:val="000000"/>
                <w:sz w:val="22"/>
                <w:szCs w:val="22"/>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992" w:type="pct"/>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900</w:t>
            </w:r>
          </w:p>
        </w:tc>
        <w:tc>
          <w:tcPr>
            <w:tcW w:w="1057"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0.</w:t>
            </w:r>
            <w:r>
              <w:rPr>
                <w:rFonts w:hint="eastAsia"/>
                <w:bCs/>
                <w:color w:val="000000"/>
                <w:sz w:val="22"/>
                <w:szCs w:val="22"/>
                <w:lang w:val="en-US" w:eastAsia="zh-CN"/>
              </w:rPr>
              <w:t>10</w:t>
            </w:r>
          </w:p>
        </w:tc>
        <w:tc>
          <w:tcPr>
            <w:tcW w:w="9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0.9</w:t>
            </w:r>
            <w:r>
              <w:rPr>
                <w:rFonts w:hint="eastAsia"/>
                <w:bCs/>
                <w:color w:val="000000"/>
                <w:sz w:val="22"/>
                <w:szCs w:val="22"/>
                <w:lang w:val="en-US" w:eastAsia="zh-CN"/>
              </w:rPr>
              <w:t>5</w:t>
            </w:r>
          </w:p>
        </w:tc>
        <w:tc>
          <w:tcPr>
            <w:tcW w:w="126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1.5</w:t>
            </w:r>
            <w:r>
              <w:rPr>
                <w:rFonts w:hint="eastAsia"/>
                <w:bCs/>
                <w:color w:val="000000"/>
                <w:sz w:val="22"/>
                <w:szCs w:val="22"/>
                <w:lang w:val="en-US" w:eastAsia="zh-CN"/>
              </w:rPr>
              <w:t>9</w:t>
            </w:r>
          </w:p>
        </w:tc>
        <w:tc>
          <w:tcPr>
            <w:tcW w:w="724" w:type="pct"/>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0.7</w:t>
            </w:r>
            <w:r>
              <w:rPr>
                <w:rFonts w:hint="eastAsia"/>
                <w:bCs/>
                <w:color w:val="000000"/>
                <w:sz w:val="22"/>
                <w:szCs w:val="22"/>
                <w:lang w:val="en-US" w:eastAsia="zh-CN"/>
              </w:rPr>
              <w:t>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992" w:type="pct"/>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1000</w:t>
            </w:r>
          </w:p>
        </w:tc>
        <w:tc>
          <w:tcPr>
            <w:tcW w:w="1057"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0.0</w:t>
            </w:r>
            <w:r>
              <w:rPr>
                <w:rFonts w:hint="eastAsia"/>
                <w:bCs/>
                <w:color w:val="000000"/>
                <w:sz w:val="22"/>
                <w:szCs w:val="22"/>
                <w:lang w:val="en-US" w:eastAsia="zh-CN"/>
              </w:rPr>
              <w:t>9</w:t>
            </w:r>
          </w:p>
        </w:tc>
        <w:tc>
          <w:tcPr>
            <w:tcW w:w="9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0.8</w:t>
            </w:r>
            <w:r>
              <w:rPr>
                <w:rFonts w:hint="eastAsia"/>
                <w:bCs/>
                <w:color w:val="000000"/>
                <w:sz w:val="22"/>
                <w:szCs w:val="22"/>
                <w:lang w:val="en-US" w:eastAsia="zh-CN"/>
              </w:rPr>
              <w:t>5</w:t>
            </w:r>
          </w:p>
        </w:tc>
        <w:tc>
          <w:tcPr>
            <w:tcW w:w="126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1.4</w:t>
            </w:r>
            <w:r>
              <w:rPr>
                <w:rFonts w:hint="eastAsia"/>
                <w:bCs/>
                <w:color w:val="000000"/>
                <w:sz w:val="22"/>
                <w:szCs w:val="22"/>
                <w:lang w:val="en-US" w:eastAsia="zh-CN"/>
              </w:rPr>
              <w:t>1</w:t>
            </w:r>
          </w:p>
        </w:tc>
        <w:tc>
          <w:tcPr>
            <w:tcW w:w="724" w:type="pct"/>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0.7</w:t>
            </w:r>
            <w:r>
              <w:rPr>
                <w:rFonts w:hint="eastAsia"/>
                <w:bCs/>
                <w:color w:val="000000"/>
                <w:sz w:val="22"/>
                <w:szCs w:val="22"/>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992" w:type="pct"/>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1250</w:t>
            </w:r>
          </w:p>
        </w:tc>
        <w:tc>
          <w:tcPr>
            <w:tcW w:w="1057"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0.0</w:t>
            </w:r>
            <w:r>
              <w:rPr>
                <w:rFonts w:hint="eastAsia"/>
                <w:bCs/>
                <w:color w:val="000000"/>
                <w:sz w:val="22"/>
                <w:szCs w:val="22"/>
                <w:lang w:val="en-US" w:eastAsia="zh-CN"/>
              </w:rPr>
              <w:t>8</w:t>
            </w:r>
          </w:p>
        </w:tc>
        <w:tc>
          <w:tcPr>
            <w:tcW w:w="9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0.6</w:t>
            </w:r>
            <w:r>
              <w:rPr>
                <w:rFonts w:hint="eastAsia"/>
                <w:bCs/>
                <w:color w:val="000000"/>
                <w:sz w:val="22"/>
                <w:szCs w:val="22"/>
                <w:lang w:val="en-US" w:eastAsia="zh-CN"/>
              </w:rPr>
              <w:t>6</w:t>
            </w:r>
          </w:p>
        </w:tc>
        <w:tc>
          <w:tcPr>
            <w:tcW w:w="1260"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1.</w:t>
            </w:r>
            <w:r>
              <w:rPr>
                <w:rFonts w:hint="eastAsia"/>
                <w:bCs/>
                <w:color w:val="000000"/>
                <w:sz w:val="22"/>
                <w:szCs w:val="22"/>
                <w:lang w:val="en-US" w:eastAsia="zh-CN"/>
              </w:rPr>
              <w:t>10</w:t>
            </w:r>
          </w:p>
        </w:tc>
        <w:tc>
          <w:tcPr>
            <w:tcW w:w="724" w:type="pct"/>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0.5</w:t>
            </w:r>
            <w:r>
              <w:rPr>
                <w:rFonts w:hint="eastAsia"/>
                <w:bCs/>
                <w:color w:val="000000"/>
                <w:sz w:val="22"/>
                <w:szCs w:val="22"/>
                <w:lang w:val="en-US" w:eastAsia="zh-CN"/>
              </w:rPr>
              <w:t>6</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992" w:type="pct"/>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1500</w:t>
            </w:r>
          </w:p>
        </w:tc>
        <w:tc>
          <w:tcPr>
            <w:tcW w:w="1057"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0.0</w:t>
            </w:r>
            <w:r>
              <w:rPr>
                <w:rFonts w:hint="eastAsia"/>
                <w:bCs/>
                <w:color w:val="000000"/>
                <w:sz w:val="22"/>
                <w:szCs w:val="22"/>
                <w:lang w:val="en-US" w:eastAsia="zh-CN"/>
              </w:rPr>
              <w:t>6</w:t>
            </w:r>
          </w:p>
        </w:tc>
        <w:tc>
          <w:tcPr>
            <w:tcW w:w="9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0.5</w:t>
            </w:r>
            <w:r>
              <w:rPr>
                <w:rFonts w:hint="eastAsia"/>
                <w:bCs/>
                <w:color w:val="000000"/>
                <w:sz w:val="22"/>
                <w:szCs w:val="22"/>
                <w:lang w:val="en-US" w:eastAsia="zh-CN"/>
              </w:rPr>
              <w:t>3</w:t>
            </w:r>
          </w:p>
        </w:tc>
        <w:tc>
          <w:tcPr>
            <w:tcW w:w="126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0.8</w:t>
            </w:r>
            <w:r>
              <w:rPr>
                <w:rFonts w:hint="eastAsia"/>
                <w:bCs/>
                <w:color w:val="000000"/>
                <w:sz w:val="22"/>
                <w:szCs w:val="22"/>
                <w:lang w:val="en-US" w:eastAsia="zh-CN"/>
              </w:rPr>
              <w:t>9</w:t>
            </w:r>
          </w:p>
        </w:tc>
        <w:tc>
          <w:tcPr>
            <w:tcW w:w="724" w:type="pct"/>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0.4</w:t>
            </w:r>
            <w:r>
              <w:rPr>
                <w:rFonts w:hint="eastAsia"/>
                <w:bCs/>
                <w:color w:val="000000"/>
                <w:sz w:val="22"/>
                <w:szCs w:val="22"/>
                <w:lang w:val="en-US" w:eastAsia="zh-CN"/>
              </w:rPr>
              <w:t>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992" w:type="pct"/>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1750</w:t>
            </w:r>
          </w:p>
        </w:tc>
        <w:tc>
          <w:tcPr>
            <w:tcW w:w="1057"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0.0</w:t>
            </w:r>
            <w:r>
              <w:rPr>
                <w:rFonts w:hint="eastAsia"/>
                <w:bCs/>
                <w:color w:val="000000"/>
                <w:sz w:val="22"/>
                <w:szCs w:val="22"/>
                <w:lang w:val="en-US" w:eastAsia="zh-CN"/>
              </w:rPr>
              <w:t>5</w:t>
            </w:r>
          </w:p>
        </w:tc>
        <w:tc>
          <w:tcPr>
            <w:tcW w:w="9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0.4</w:t>
            </w:r>
            <w:r>
              <w:rPr>
                <w:rFonts w:hint="eastAsia"/>
                <w:bCs/>
                <w:color w:val="000000"/>
                <w:sz w:val="22"/>
                <w:szCs w:val="22"/>
                <w:lang w:val="en-US" w:eastAsia="zh-CN"/>
              </w:rPr>
              <w:t>4</w:t>
            </w:r>
          </w:p>
        </w:tc>
        <w:tc>
          <w:tcPr>
            <w:tcW w:w="126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0.7</w:t>
            </w:r>
            <w:r>
              <w:rPr>
                <w:rFonts w:hint="eastAsia"/>
                <w:bCs/>
                <w:color w:val="000000"/>
                <w:sz w:val="22"/>
                <w:szCs w:val="22"/>
                <w:lang w:val="en-US" w:eastAsia="zh-CN"/>
              </w:rPr>
              <w:t>3</w:t>
            </w:r>
          </w:p>
        </w:tc>
        <w:tc>
          <w:tcPr>
            <w:tcW w:w="724" w:type="pct"/>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0.3</w:t>
            </w:r>
            <w:r>
              <w:rPr>
                <w:rFonts w:hint="eastAsia"/>
                <w:bCs/>
                <w:color w:val="000000"/>
                <w:sz w:val="22"/>
                <w:szCs w:val="22"/>
                <w:lang w:val="en-US" w:eastAsia="zh-CN"/>
              </w:rPr>
              <w:t>7</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992" w:type="pct"/>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kern w:val="0"/>
                <w:szCs w:val="21"/>
              </w:rPr>
            </w:pPr>
            <w:r>
              <w:rPr>
                <w:rFonts w:hint="eastAsia"/>
                <w:bCs/>
                <w:color w:val="000000"/>
                <w:kern w:val="0"/>
                <w:szCs w:val="21"/>
              </w:rPr>
              <w:t>2000</w:t>
            </w:r>
          </w:p>
        </w:tc>
        <w:tc>
          <w:tcPr>
            <w:tcW w:w="1057" w:type="pct"/>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0.04</w:t>
            </w:r>
          </w:p>
        </w:tc>
        <w:tc>
          <w:tcPr>
            <w:tcW w:w="965" w:type="pct"/>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0.36</w:t>
            </w:r>
          </w:p>
        </w:tc>
        <w:tc>
          <w:tcPr>
            <w:tcW w:w="1260" w:type="pct"/>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0.61</w:t>
            </w:r>
          </w:p>
        </w:tc>
        <w:tc>
          <w:tcPr>
            <w:tcW w:w="724" w:type="pct"/>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0.30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992" w:type="pct"/>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kern w:val="0"/>
                <w:szCs w:val="21"/>
              </w:rPr>
            </w:pPr>
            <w:r>
              <w:rPr>
                <w:rFonts w:hint="eastAsia"/>
                <w:bCs/>
                <w:color w:val="000000"/>
                <w:kern w:val="0"/>
                <w:szCs w:val="21"/>
              </w:rPr>
              <w:t>2250</w:t>
            </w:r>
          </w:p>
        </w:tc>
        <w:tc>
          <w:tcPr>
            <w:tcW w:w="1057" w:type="pct"/>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0.03</w:t>
            </w:r>
          </w:p>
        </w:tc>
        <w:tc>
          <w:tcPr>
            <w:tcW w:w="9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0.3</w:t>
            </w:r>
            <w:r>
              <w:rPr>
                <w:rFonts w:hint="eastAsia"/>
                <w:bCs/>
                <w:color w:val="000000"/>
                <w:sz w:val="22"/>
                <w:szCs w:val="22"/>
                <w:lang w:val="en-US" w:eastAsia="zh-CN"/>
              </w:rPr>
              <w:t>2</w:t>
            </w:r>
          </w:p>
        </w:tc>
        <w:tc>
          <w:tcPr>
            <w:tcW w:w="126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0.5</w:t>
            </w:r>
            <w:r>
              <w:rPr>
                <w:rFonts w:hint="eastAsia"/>
                <w:bCs/>
                <w:color w:val="000000"/>
                <w:sz w:val="22"/>
                <w:szCs w:val="22"/>
                <w:lang w:val="en-US" w:eastAsia="zh-CN"/>
              </w:rPr>
              <w:t>1</w:t>
            </w:r>
          </w:p>
        </w:tc>
        <w:tc>
          <w:tcPr>
            <w:tcW w:w="724" w:type="pct"/>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0.2</w:t>
            </w:r>
            <w:r>
              <w:rPr>
                <w:rFonts w:hint="eastAsia"/>
                <w:bCs/>
                <w:color w:val="000000"/>
                <w:sz w:val="22"/>
                <w:szCs w:val="22"/>
                <w:lang w:val="en-US" w:eastAsia="zh-CN"/>
              </w:rPr>
              <w:t>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992" w:type="pct"/>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kern w:val="0"/>
                <w:szCs w:val="21"/>
              </w:rPr>
            </w:pPr>
            <w:r>
              <w:rPr>
                <w:rFonts w:hint="eastAsia"/>
                <w:bCs/>
                <w:color w:val="000000"/>
                <w:kern w:val="0"/>
                <w:szCs w:val="21"/>
              </w:rPr>
              <w:t>2500</w:t>
            </w:r>
          </w:p>
        </w:tc>
        <w:tc>
          <w:tcPr>
            <w:tcW w:w="1057" w:type="pct"/>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0.03</w:t>
            </w:r>
          </w:p>
        </w:tc>
        <w:tc>
          <w:tcPr>
            <w:tcW w:w="9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0.2</w:t>
            </w:r>
            <w:r>
              <w:rPr>
                <w:rFonts w:hint="eastAsia"/>
                <w:bCs/>
                <w:color w:val="000000"/>
                <w:sz w:val="22"/>
                <w:szCs w:val="22"/>
                <w:lang w:val="en-US" w:eastAsia="zh-CN"/>
              </w:rPr>
              <w:t>6</w:t>
            </w:r>
          </w:p>
        </w:tc>
        <w:tc>
          <w:tcPr>
            <w:tcW w:w="1260"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0.4</w:t>
            </w:r>
            <w:r>
              <w:rPr>
                <w:rFonts w:hint="eastAsia"/>
                <w:bCs/>
                <w:color w:val="000000"/>
                <w:sz w:val="22"/>
                <w:szCs w:val="22"/>
                <w:lang w:val="en-US" w:eastAsia="zh-CN"/>
              </w:rPr>
              <w:t>5</w:t>
            </w:r>
          </w:p>
        </w:tc>
        <w:tc>
          <w:tcPr>
            <w:tcW w:w="724" w:type="pct"/>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val="en-US" w:eastAsia="zh-CN"/>
              </w:rPr>
            </w:pPr>
            <w:r>
              <w:rPr>
                <w:rFonts w:hint="eastAsia"/>
                <w:bCs/>
                <w:color w:val="000000"/>
                <w:sz w:val="22"/>
                <w:szCs w:val="22"/>
              </w:rPr>
              <w:t>0.2</w:t>
            </w:r>
            <w:r>
              <w:rPr>
                <w:rFonts w:hint="eastAsia"/>
                <w:bCs/>
                <w:color w:val="000000"/>
                <w:sz w:val="22"/>
                <w:szCs w:val="22"/>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PrEx>
        <w:trPr>
          <w:trHeight w:val="397" w:hRule="atLeast"/>
        </w:trPr>
        <w:tc>
          <w:tcPr>
            <w:tcW w:w="992" w:type="pct"/>
            <w:tcBorders>
              <w:top w:val="single" w:color="auto" w:sz="4" w:space="0"/>
              <w:left w:val="single" w:color="auto" w:sz="12"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最大浓度（</w:t>
            </w:r>
            <w:r>
              <w:rPr>
                <w:rFonts w:hint="eastAsia"/>
                <w:bCs/>
                <w:color w:val="000000"/>
                <w:spacing w:val="-6"/>
                <w:kern w:val="0"/>
                <w:szCs w:val="21"/>
              </w:rPr>
              <w:t>82</w:t>
            </w:r>
            <w:r>
              <w:rPr>
                <w:bCs/>
                <w:color w:val="000000"/>
                <w:spacing w:val="-6"/>
                <w:kern w:val="0"/>
                <w:szCs w:val="21"/>
              </w:rPr>
              <w:t>m）</w:t>
            </w:r>
          </w:p>
        </w:tc>
        <w:tc>
          <w:tcPr>
            <w:tcW w:w="1057" w:type="pct"/>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0.34</w:t>
            </w:r>
          </w:p>
        </w:tc>
        <w:tc>
          <w:tcPr>
            <w:tcW w:w="965" w:type="pct"/>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3.3</w:t>
            </w:r>
            <w:r>
              <w:rPr>
                <w:rFonts w:hint="eastAsia"/>
                <w:bCs/>
                <w:color w:val="000000"/>
                <w:sz w:val="22"/>
                <w:szCs w:val="22"/>
                <w:lang w:val="en-US" w:eastAsia="zh-CN"/>
              </w:rPr>
              <w:t>3</w:t>
            </w:r>
          </w:p>
        </w:tc>
        <w:tc>
          <w:tcPr>
            <w:tcW w:w="1260" w:type="pct"/>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5.</w:t>
            </w:r>
            <w:r>
              <w:rPr>
                <w:rFonts w:hint="eastAsia"/>
                <w:bCs/>
                <w:color w:val="000000"/>
                <w:sz w:val="22"/>
                <w:szCs w:val="22"/>
                <w:lang w:val="en-US" w:eastAsia="zh-CN"/>
              </w:rPr>
              <w:t>57</w:t>
            </w:r>
          </w:p>
        </w:tc>
        <w:tc>
          <w:tcPr>
            <w:tcW w:w="724" w:type="pct"/>
            <w:tcBorders>
              <w:top w:val="single" w:color="auto" w:sz="4" w:space="0"/>
              <w:left w:val="single" w:color="auto" w:sz="4" w:space="0"/>
              <w:bottom w:val="single" w:color="auto" w:sz="4" w:space="0"/>
              <w:right w:val="single" w:color="auto" w:sz="12" w:space="0"/>
            </w:tcBorders>
            <w:noWrap w:val="0"/>
            <w:vAlign w:val="center"/>
          </w:tcPr>
          <w:p>
            <w:pPr>
              <w:jc w:val="center"/>
              <w:rPr>
                <w:rFonts w:hint="default" w:eastAsia="宋体"/>
                <w:bCs/>
                <w:color w:val="000000"/>
                <w:sz w:val="22"/>
                <w:szCs w:val="22"/>
                <w:lang w:val="en-US" w:eastAsia="zh-CN"/>
              </w:rPr>
            </w:pPr>
            <w:r>
              <w:rPr>
                <w:rFonts w:hint="eastAsia"/>
                <w:bCs/>
                <w:color w:val="000000"/>
                <w:sz w:val="22"/>
                <w:szCs w:val="22"/>
              </w:rPr>
              <w:t>2.</w:t>
            </w:r>
            <w:r>
              <w:rPr>
                <w:rFonts w:hint="eastAsia"/>
                <w:bCs/>
                <w:color w:val="000000"/>
                <w:sz w:val="22"/>
                <w:szCs w:val="22"/>
                <w:lang w:val="en-US" w:eastAsia="zh-CN"/>
              </w:rPr>
              <w:t>71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rPr>
        <w:tc>
          <w:tcPr>
            <w:tcW w:w="992" w:type="pct"/>
            <w:tcBorders>
              <w:top w:val="single" w:color="auto" w:sz="4" w:space="0"/>
              <w:left w:val="single" w:color="auto" w:sz="12" w:space="0"/>
              <w:bottom w:val="single" w:color="auto" w:sz="12"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标准</w:t>
            </w:r>
          </w:p>
        </w:tc>
        <w:tc>
          <w:tcPr>
            <w:tcW w:w="2022" w:type="pct"/>
            <w:gridSpan w:val="2"/>
            <w:tcBorders>
              <w:top w:val="single" w:color="auto" w:sz="4" w:space="0"/>
              <w:left w:val="single" w:color="auto" w:sz="4" w:space="0"/>
              <w:bottom w:val="single" w:color="auto" w:sz="12" w:space="0"/>
              <w:right w:val="single" w:color="auto" w:sz="4" w:space="0"/>
            </w:tcBorders>
            <w:noWrap w:val="0"/>
            <w:vAlign w:val="center"/>
          </w:tcPr>
          <w:p>
            <w:pPr>
              <w:jc w:val="center"/>
              <w:rPr>
                <w:bCs/>
                <w:color w:val="000000"/>
                <w:spacing w:val="-6"/>
                <w:szCs w:val="21"/>
              </w:rPr>
            </w:pPr>
            <w:r>
              <w:rPr>
                <w:bCs/>
                <w:color w:val="000000"/>
                <w:spacing w:val="-6"/>
                <w:kern w:val="0"/>
                <w:szCs w:val="21"/>
              </w:rPr>
              <w:t>10</w:t>
            </w:r>
            <w:r>
              <w:rPr>
                <w:szCs w:val="21"/>
              </w:rPr>
              <w:t>µg</w:t>
            </w:r>
            <w:r>
              <w:rPr>
                <w:bCs/>
                <w:color w:val="000000"/>
                <w:spacing w:val="-6"/>
                <w:kern w:val="0"/>
                <w:szCs w:val="21"/>
              </w:rPr>
              <w:t>/m</w:t>
            </w:r>
            <w:r>
              <w:rPr>
                <w:bCs/>
                <w:color w:val="000000"/>
                <w:spacing w:val="-6"/>
                <w:kern w:val="0"/>
                <w:szCs w:val="21"/>
                <w:vertAlign w:val="superscript"/>
              </w:rPr>
              <w:t>3</w:t>
            </w:r>
          </w:p>
        </w:tc>
        <w:tc>
          <w:tcPr>
            <w:tcW w:w="1984" w:type="pct"/>
            <w:gridSpan w:val="2"/>
            <w:tcBorders>
              <w:top w:val="single" w:color="auto" w:sz="4" w:space="0"/>
              <w:left w:val="single" w:color="auto" w:sz="4" w:space="0"/>
              <w:bottom w:val="single" w:color="auto" w:sz="12" w:space="0"/>
              <w:right w:val="single" w:color="auto" w:sz="12" w:space="0"/>
            </w:tcBorders>
            <w:noWrap w:val="0"/>
            <w:vAlign w:val="center"/>
          </w:tcPr>
          <w:p>
            <w:pPr>
              <w:jc w:val="center"/>
              <w:rPr>
                <w:bCs/>
                <w:color w:val="000000"/>
                <w:spacing w:val="-6"/>
                <w:szCs w:val="21"/>
              </w:rPr>
            </w:pPr>
            <w:r>
              <w:rPr>
                <w:bCs/>
                <w:color w:val="000000"/>
                <w:spacing w:val="-6"/>
                <w:kern w:val="0"/>
                <w:szCs w:val="21"/>
              </w:rPr>
              <w:t>200</w:t>
            </w:r>
            <w:r>
              <w:rPr>
                <w:szCs w:val="21"/>
              </w:rPr>
              <w:t>µg</w:t>
            </w:r>
            <w:r>
              <w:rPr>
                <w:bCs/>
                <w:color w:val="000000"/>
                <w:spacing w:val="-6"/>
                <w:kern w:val="0"/>
                <w:szCs w:val="21"/>
              </w:rPr>
              <w:t>/m</w:t>
            </w:r>
            <w:r>
              <w:rPr>
                <w:bCs/>
                <w:color w:val="000000"/>
                <w:spacing w:val="-6"/>
                <w:kern w:val="0"/>
                <w:szCs w:val="21"/>
                <w:vertAlign w:val="superscript"/>
              </w:rPr>
              <w:t>3</w:t>
            </w:r>
          </w:p>
        </w:tc>
      </w:tr>
    </w:tbl>
    <w:p>
      <w:pPr>
        <w:jc w:val="center"/>
        <w:rPr>
          <w:bCs/>
          <w:color w:val="000000"/>
          <w:sz w:val="24"/>
        </w:rPr>
      </w:pPr>
      <w:r>
        <w:rPr>
          <w:b/>
          <w:color w:val="000000"/>
          <w:szCs w:val="21"/>
        </w:rPr>
        <w:t>预测结果</w:t>
      </w:r>
      <w:r>
        <w:rPr>
          <w:bCs/>
          <w:color w:val="000000"/>
          <w:szCs w:val="21"/>
        </w:rPr>
        <w:t>（</w:t>
      </w:r>
      <w:r>
        <w:rPr>
          <w:szCs w:val="21"/>
        </w:rPr>
        <w:t>µg</w:t>
      </w:r>
      <w:r>
        <w:rPr>
          <w:bCs/>
          <w:color w:val="000000"/>
          <w:szCs w:val="21"/>
        </w:rPr>
        <w:t>/m</w:t>
      </w:r>
      <w:r>
        <w:rPr>
          <w:bCs/>
          <w:color w:val="000000"/>
          <w:szCs w:val="21"/>
          <w:vertAlign w:val="superscript"/>
        </w:rPr>
        <w:t>3</w:t>
      </w:r>
      <w:r>
        <w:rPr>
          <w:bCs/>
          <w:color w:val="000000"/>
          <w:szCs w:val="21"/>
        </w:rPr>
        <w:t>）</w:t>
      </w:r>
    </w:p>
    <w:p>
      <w:pPr>
        <w:adjustRightInd w:val="0"/>
        <w:snapToGrid w:val="0"/>
        <w:spacing w:line="500" w:lineRule="exact"/>
        <w:ind w:firstLine="480" w:firstLineChars="200"/>
        <w:rPr>
          <w:bCs/>
          <w:color w:val="000000"/>
          <w:sz w:val="24"/>
        </w:rPr>
      </w:pPr>
      <w:r>
        <w:rPr>
          <w:bCs/>
          <w:color w:val="000000"/>
          <w:sz w:val="24"/>
        </w:rPr>
        <w:t>从上表可以看出，本项目</w:t>
      </w:r>
      <w:r>
        <w:rPr>
          <w:rFonts w:hint="eastAsia"/>
          <w:color w:val="000000"/>
          <w:szCs w:val="21"/>
        </w:rPr>
        <w:t>污水处理和固粪堆存区</w:t>
      </w:r>
      <w:r>
        <w:rPr>
          <w:bCs/>
          <w:color w:val="000000"/>
          <w:sz w:val="24"/>
        </w:rPr>
        <w:t>无组织排放NH</w:t>
      </w:r>
      <w:r>
        <w:rPr>
          <w:bCs/>
          <w:color w:val="000000"/>
          <w:sz w:val="24"/>
          <w:vertAlign w:val="subscript"/>
        </w:rPr>
        <w:t>3</w:t>
      </w:r>
      <w:r>
        <w:rPr>
          <w:bCs/>
          <w:color w:val="000000"/>
          <w:sz w:val="24"/>
        </w:rPr>
        <w:t>、H</w:t>
      </w:r>
      <w:r>
        <w:rPr>
          <w:bCs/>
          <w:color w:val="000000"/>
          <w:sz w:val="24"/>
          <w:vertAlign w:val="subscript"/>
        </w:rPr>
        <w:t>2</w:t>
      </w:r>
      <w:r>
        <w:rPr>
          <w:bCs/>
          <w:color w:val="000000"/>
          <w:sz w:val="24"/>
        </w:rPr>
        <w:t>S小时最大浓度贡献值出现在</w:t>
      </w:r>
      <w:r>
        <w:rPr>
          <w:rFonts w:hint="eastAsia"/>
          <w:bCs/>
          <w:color w:val="000000"/>
          <w:sz w:val="24"/>
        </w:rPr>
        <w:t>8</w:t>
      </w:r>
      <w:r>
        <w:rPr>
          <w:rFonts w:hint="eastAsia"/>
          <w:bCs/>
          <w:color w:val="000000"/>
          <w:sz w:val="24"/>
          <w:lang w:val="en-US" w:eastAsia="zh-CN"/>
        </w:rPr>
        <w:t>0</w:t>
      </w:r>
      <w:r>
        <w:rPr>
          <w:bCs/>
          <w:color w:val="000000"/>
          <w:sz w:val="24"/>
        </w:rPr>
        <w:t>m，占标率分别为</w:t>
      </w:r>
      <w:r>
        <w:rPr>
          <w:rFonts w:hint="eastAsia"/>
          <w:bCs/>
          <w:color w:val="000000"/>
          <w:sz w:val="24"/>
        </w:rPr>
        <w:t>2.</w:t>
      </w:r>
      <w:r>
        <w:rPr>
          <w:rFonts w:hint="eastAsia"/>
          <w:bCs/>
          <w:color w:val="000000"/>
          <w:sz w:val="24"/>
          <w:lang w:val="en-US" w:eastAsia="zh-CN"/>
        </w:rPr>
        <w:t>71</w:t>
      </w:r>
      <w:r>
        <w:rPr>
          <w:bCs/>
          <w:color w:val="000000"/>
          <w:sz w:val="24"/>
        </w:rPr>
        <w:t>%、</w:t>
      </w:r>
      <w:r>
        <w:rPr>
          <w:rFonts w:hint="eastAsia"/>
          <w:bCs/>
          <w:color w:val="000000"/>
          <w:sz w:val="24"/>
        </w:rPr>
        <w:t>3.3</w:t>
      </w:r>
      <w:r>
        <w:rPr>
          <w:rFonts w:hint="eastAsia"/>
          <w:bCs/>
          <w:color w:val="000000"/>
          <w:sz w:val="24"/>
          <w:lang w:val="en-US" w:eastAsia="zh-CN"/>
        </w:rPr>
        <w:t>3</w:t>
      </w:r>
      <w:r>
        <w:rPr>
          <w:bCs/>
          <w:color w:val="000000"/>
          <w:sz w:val="24"/>
        </w:rPr>
        <w:t>%。</w:t>
      </w:r>
    </w:p>
    <w:p>
      <w:pPr>
        <w:adjustRightInd w:val="0"/>
        <w:snapToGrid w:val="0"/>
        <w:spacing w:line="500" w:lineRule="exact"/>
        <w:ind w:firstLine="480" w:firstLineChars="200"/>
        <w:rPr>
          <w:bCs/>
          <w:color w:val="000000"/>
          <w:sz w:val="24"/>
        </w:rPr>
      </w:pPr>
      <w:r>
        <w:rPr>
          <w:bCs/>
          <w:color w:val="000000"/>
          <w:sz w:val="24"/>
        </w:rPr>
        <w:t>无组织排放厂界浓度贡献值预测</w:t>
      </w:r>
    </w:p>
    <w:p>
      <w:pPr>
        <w:adjustRightInd w:val="0"/>
        <w:snapToGrid w:val="0"/>
        <w:spacing w:line="500" w:lineRule="exact"/>
        <w:ind w:firstLine="480" w:firstLineChars="200"/>
        <w:rPr>
          <w:bCs/>
          <w:color w:val="000000"/>
          <w:sz w:val="24"/>
        </w:rPr>
      </w:pPr>
      <w:r>
        <w:rPr>
          <w:bCs/>
          <w:color w:val="000000"/>
          <w:sz w:val="24"/>
        </w:rPr>
        <w:t>预测本项目无组织面源污染物NH</w:t>
      </w:r>
      <w:r>
        <w:rPr>
          <w:bCs/>
          <w:color w:val="000000"/>
          <w:sz w:val="24"/>
          <w:vertAlign w:val="subscript"/>
        </w:rPr>
        <w:t>3</w:t>
      </w:r>
      <w:r>
        <w:rPr>
          <w:bCs/>
          <w:color w:val="000000"/>
          <w:sz w:val="24"/>
        </w:rPr>
        <w:t>、H</w:t>
      </w:r>
      <w:r>
        <w:rPr>
          <w:bCs/>
          <w:color w:val="000000"/>
          <w:sz w:val="24"/>
          <w:vertAlign w:val="subscript"/>
        </w:rPr>
        <w:t>2</w:t>
      </w:r>
      <w:r>
        <w:rPr>
          <w:bCs/>
          <w:color w:val="000000"/>
          <w:sz w:val="24"/>
        </w:rPr>
        <w:t>S对各场界的贡献值，预测结果见下表。</w:t>
      </w:r>
    </w:p>
    <w:p>
      <w:pPr>
        <w:jc w:val="center"/>
        <w:rPr>
          <w:b/>
          <w:color w:val="000000"/>
          <w:szCs w:val="21"/>
        </w:rPr>
      </w:pPr>
      <w:r>
        <w:rPr>
          <w:rFonts w:hint="eastAsia"/>
          <w:b/>
          <w:color w:val="000000"/>
          <w:szCs w:val="21"/>
        </w:rPr>
        <w:t>表4.2-5       场界无组织排放废气预测结果</w:t>
      </w:r>
    </w:p>
    <w:tbl>
      <w:tblPr>
        <w:tblStyle w:val="17"/>
        <w:tblW w:w="8844"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1443"/>
        <w:gridCol w:w="1851"/>
        <w:gridCol w:w="1850"/>
        <w:gridCol w:w="1850"/>
        <w:gridCol w:w="185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tblHeader/>
        </w:trPr>
        <w:tc>
          <w:tcPr>
            <w:tcW w:w="1443" w:type="dxa"/>
            <w:vMerge w:val="restart"/>
            <w:noWrap w:val="0"/>
            <w:vAlign w:val="center"/>
          </w:tcPr>
          <w:p>
            <w:pPr>
              <w:spacing w:line="360" w:lineRule="exact"/>
              <w:ind w:left="-105" w:leftChars="-50" w:right="-105" w:rightChars="-50"/>
              <w:jc w:val="center"/>
              <w:rPr>
                <w:bCs/>
                <w:color w:val="000000"/>
                <w:szCs w:val="21"/>
              </w:rPr>
            </w:pPr>
            <w:r>
              <w:rPr>
                <w:bCs/>
                <w:color w:val="000000"/>
                <w:kern w:val="0"/>
                <w:szCs w:val="21"/>
              </w:rPr>
              <w:t>预测点</w:t>
            </w:r>
          </w:p>
        </w:tc>
        <w:tc>
          <w:tcPr>
            <w:tcW w:w="3701" w:type="dxa"/>
            <w:gridSpan w:val="2"/>
            <w:noWrap w:val="0"/>
            <w:vAlign w:val="center"/>
          </w:tcPr>
          <w:p>
            <w:pPr>
              <w:spacing w:line="360" w:lineRule="exact"/>
              <w:ind w:left="-105" w:leftChars="-50" w:right="-105" w:rightChars="-50"/>
              <w:jc w:val="center"/>
              <w:rPr>
                <w:bCs/>
                <w:color w:val="000000"/>
                <w:szCs w:val="21"/>
              </w:rPr>
            </w:pPr>
            <w:r>
              <w:rPr>
                <w:bCs/>
                <w:color w:val="000000"/>
                <w:kern w:val="0"/>
                <w:szCs w:val="21"/>
              </w:rPr>
              <w:t>NH</w:t>
            </w:r>
            <w:r>
              <w:rPr>
                <w:bCs/>
                <w:color w:val="000000"/>
                <w:kern w:val="0"/>
                <w:szCs w:val="21"/>
                <w:vertAlign w:val="subscript"/>
              </w:rPr>
              <w:t>3</w:t>
            </w:r>
          </w:p>
        </w:tc>
        <w:tc>
          <w:tcPr>
            <w:tcW w:w="3700" w:type="dxa"/>
            <w:gridSpan w:val="2"/>
            <w:noWrap w:val="0"/>
            <w:vAlign w:val="center"/>
          </w:tcPr>
          <w:p>
            <w:pPr>
              <w:spacing w:line="360" w:lineRule="exact"/>
              <w:ind w:left="-105" w:leftChars="-50" w:right="-105" w:rightChars="-50"/>
              <w:jc w:val="center"/>
              <w:rPr>
                <w:bCs/>
                <w:color w:val="000000"/>
                <w:szCs w:val="21"/>
              </w:rPr>
            </w:pPr>
            <w:r>
              <w:rPr>
                <w:bCs/>
                <w:color w:val="000000"/>
                <w:kern w:val="0"/>
                <w:szCs w:val="21"/>
              </w:rPr>
              <w:t>H</w:t>
            </w:r>
            <w:r>
              <w:rPr>
                <w:bCs/>
                <w:color w:val="000000"/>
                <w:kern w:val="0"/>
                <w:szCs w:val="21"/>
                <w:vertAlign w:val="subscript"/>
              </w:rPr>
              <w:t>2</w:t>
            </w:r>
            <w:r>
              <w:rPr>
                <w:bCs/>
                <w:color w:val="000000"/>
                <w:kern w:val="0"/>
                <w:szCs w:val="21"/>
              </w:rPr>
              <w:t>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tblHeader/>
        </w:trPr>
        <w:tc>
          <w:tcPr>
            <w:tcW w:w="1443" w:type="dxa"/>
            <w:vMerge w:val="continue"/>
            <w:noWrap w:val="0"/>
            <w:vAlign w:val="center"/>
          </w:tcPr>
          <w:p>
            <w:pPr>
              <w:rPr>
                <w:bCs/>
                <w:color w:val="000000"/>
                <w:szCs w:val="21"/>
              </w:rPr>
            </w:pPr>
          </w:p>
        </w:tc>
        <w:tc>
          <w:tcPr>
            <w:tcW w:w="1851" w:type="dxa"/>
            <w:noWrap w:val="0"/>
            <w:vAlign w:val="center"/>
          </w:tcPr>
          <w:p>
            <w:pPr>
              <w:spacing w:line="360" w:lineRule="exact"/>
              <w:jc w:val="center"/>
              <w:rPr>
                <w:bCs/>
                <w:color w:val="000000"/>
                <w:szCs w:val="21"/>
              </w:rPr>
            </w:pPr>
            <w:r>
              <w:rPr>
                <w:bCs/>
                <w:color w:val="000000"/>
                <w:kern w:val="0"/>
                <w:szCs w:val="21"/>
              </w:rPr>
              <w:t>预测值（</w:t>
            </w:r>
            <w:r>
              <w:rPr>
                <w:szCs w:val="21"/>
              </w:rPr>
              <w:t>µg</w:t>
            </w:r>
            <w:r>
              <w:rPr>
                <w:bCs/>
                <w:color w:val="000000"/>
                <w:kern w:val="0"/>
                <w:szCs w:val="21"/>
              </w:rPr>
              <w:t xml:space="preserve"> /m</w:t>
            </w:r>
            <w:r>
              <w:rPr>
                <w:bCs/>
                <w:color w:val="000000"/>
                <w:kern w:val="0"/>
                <w:szCs w:val="21"/>
                <w:vertAlign w:val="superscript"/>
              </w:rPr>
              <w:t>3</w:t>
            </w:r>
            <w:r>
              <w:rPr>
                <w:bCs/>
                <w:color w:val="000000"/>
                <w:kern w:val="0"/>
                <w:szCs w:val="21"/>
              </w:rPr>
              <w:t>）</w:t>
            </w:r>
          </w:p>
        </w:tc>
        <w:tc>
          <w:tcPr>
            <w:tcW w:w="1850" w:type="dxa"/>
            <w:noWrap w:val="0"/>
            <w:vAlign w:val="center"/>
          </w:tcPr>
          <w:p>
            <w:pPr>
              <w:spacing w:line="360" w:lineRule="exact"/>
              <w:jc w:val="center"/>
              <w:rPr>
                <w:bCs/>
                <w:color w:val="000000"/>
                <w:szCs w:val="21"/>
              </w:rPr>
            </w:pPr>
            <w:r>
              <w:rPr>
                <w:bCs/>
                <w:color w:val="000000"/>
                <w:kern w:val="0"/>
                <w:szCs w:val="21"/>
              </w:rPr>
              <w:t>占标率（%）</w:t>
            </w:r>
          </w:p>
        </w:tc>
        <w:tc>
          <w:tcPr>
            <w:tcW w:w="1850" w:type="dxa"/>
            <w:noWrap w:val="0"/>
            <w:vAlign w:val="center"/>
          </w:tcPr>
          <w:p>
            <w:pPr>
              <w:spacing w:line="360" w:lineRule="exact"/>
              <w:jc w:val="center"/>
              <w:rPr>
                <w:bCs/>
                <w:color w:val="000000"/>
                <w:szCs w:val="21"/>
              </w:rPr>
            </w:pPr>
            <w:r>
              <w:rPr>
                <w:bCs/>
                <w:color w:val="000000"/>
                <w:kern w:val="0"/>
                <w:szCs w:val="21"/>
              </w:rPr>
              <w:t>预测值（</w:t>
            </w:r>
            <w:r>
              <w:rPr>
                <w:szCs w:val="21"/>
              </w:rPr>
              <w:t>µg</w:t>
            </w:r>
            <w:r>
              <w:rPr>
                <w:bCs/>
                <w:color w:val="000000"/>
                <w:kern w:val="0"/>
                <w:szCs w:val="21"/>
              </w:rPr>
              <w:t xml:space="preserve"> /m</w:t>
            </w:r>
            <w:r>
              <w:rPr>
                <w:bCs/>
                <w:color w:val="000000"/>
                <w:kern w:val="0"/>
                <w:szCs w:val="21"/>
                <w:vertAlign w:val="superscript"/>
              </w:rPr>
              <w:t>3</w:t>
            </w:r>
            <w:r>
              <w:rPr>
                <w:bCs/>
                <w:color w:val="000000"/>
                <w:kern w:val="0"/>
                <w:szCs w:val="21"/>
              </w:rPr>
              <w:t>）</w:t>
            </w:r>
          </w:p>
        </w:tc>
        <w:tc>
          <w:tcPr>
            <w:tcW w:w="1850" w:type="dxa"/>
            <w:noWrap w:val="0"/>
            <w:vAlign w:val="center"/>
          </w:tcPr>
          <w:p>
            <w:pPr>
              <w:spacing w:line="360" w:lineRule="exact"/>
              <w:jc w:val="center"/>
              <w:rPr>
                <w:bCs/>
                <w:color w:val="000000"/>
                <w:szCs w:val="21"/>
              </w:rPr>
            </w:pPr>
            <w:r>
              <w:rPr>
                <w:bCs/>
                <w:color w:val="000000"/>
                <w:kern w:val="0"/>
                <w:szCs w:val="21"/>
              </w:rPr>
              <w:t>占标率（%）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443" w:type="dxa"/>
            <w:noWrap w:val="0"/>
            <w:vAlign w:val="center"/>
          </w:tcPr>
          <w:p>
            <w:pPr>
              <w:spacing w:line="360" w:lineRule="exact"/>
              <w:ind w:left="-105" w:leftChars="-50" w:right="-105" w:rightChars="-50"/>
              <w:jc w:val="center"/>
              <w:rPr>
                <w:bCs/>
                <w:color w:val="000000"/>
                <w:szCs w:val="21"/>
              </w:rPr>
            </w:pPr>
            <w:r>
              <w:rPr>
                <w:bCs/>
                <w:color w:val="000000"/>
                <w:kern w:val="0"/>
                <w:szCs w:val="21"/>
              </w:rPr>
              <w:t>北场界</w:t>
            </w:r>
          </w:p>
        </w:tc>
        <w:tc>
          <w:tcPr>
            <w:tcW w:w="1851" w:type="dxa"/>
            <w:noWrap w:val="0"/>
            <w:vAlign w:val="center"/>
          </w:tcPr>
          <w:p>
            <w:pPr>
              <w:jc w:val="center"/>
              <w:rPr>
                <w:rFonts w:hint="eastAsia" w:eastAsia="宋体"/>
                <w:bCs/>
                <w:color w:val="000000"/>
                <w:sz w:val="22"/>
                <w:szCs w:val="22"/>
                <w:lang w:eastAsia="zh-CN"/>
              </w:rPr>
            </w:pPr>
            <w:r>
              <w:rPr>
                <w:rFonts w:hint="eastAsia"/>
                <w:bCs/>
                <w:color w:val="000000"/>
                <w:sz w:val="22"/>
                <w:szCs w:val="22"/>
              </w:rPr>
              <w:t>1.0</w:t>
            </w:r>
            <w:r>
              <w:rPr>
                <w:rFonts w:hint="eastAsia"/>
                <w:bCs/>
                <w:color w:val="000000"/>
                <w:sz w:val="22"/>
                <w:szCs w:val="22"/>
                <w:lang w:val="en-US" w:eastAsia="zh-CN"/>
              </w:rPr>
              <w:t>2</w:t>
            </w:r>
          </w:p>
        </w:tc>
        <w:tc>
          <w:tcPr>
            <w:tcW w:w="1850" w:type="dxa"/>
            <w:noWrap w:val="0"/>
            <w:vAlign w:val="center"/>
          </w:tcPr>
          <w:p>
            <w:pPr>
              <w:jc w:val="center"/>
              <w:rPr>
                <w:rFonts w:hint="eastAsia" w:eastAsia="宋体"/>
                <w:bCs/>
                <w:color w:val="000000"/>
                <w:sz w:val="22"/>
                <w:szCs w:val="22"/>
                <w:lang w:eastAsia="zh-CN"/>
              </w:rPr>
            </w:pPr>
            <w:r>
              <w:rPr>
                <w:rFonts w:hint="eastAsia"/>
                <w:bCs/>
                <w:color w:val="000000"/>
                <w:sz w:val="22"/>
                <w:szCs w:val="22"/>
              </w:rPr>
              <w:t>0.5</w:t>
            </w:r>
            <w:r>
              <w:rPr>
                <w:rFonts w:hint="eastAsia"/>
                <w:bCs/>
                <w:color w:val="000000"/>
                <w:sz w:val="22"/>
                <w:szCs w:val="22"/>
                <w:lang w:val="en-US" w:eastAsia="zh-CN"/>
              </w:rPr>
              <w:t>0</w:t>
            </w:r>
          </w:p>
        </w:tc>
        <w:tc>
          <w:tcPr>
            <w:tcW w:w="1850" w:type="dxa"/>
            <w:noWrap w:val="0"/>
            <w:vAlign w:val="center"/>
          </w:tcPr>
          <w:p>
            <w:pPr>
              <w:jc w:val="center"/>
              <w:rPr>
                <w:rFonts w:hint="eastAsia" w:eastAsia="宋体"/>
                <w:bCs/>
                <w:color w:val="000000"/>
                <w:sz w:val="22"/>
                <w:szCs w:val="22"/>
                <w:lang w:eastAsia="zh-CN"/>
              </w:rPr>
            </w:pPr>
            <w:r>
              <w:rPr>
                <w:rFonts w:hint="eastAsia"/>
                <w:bCs/>
                <w:color w:val="000000"/>
                <w:sz w:val="22"/>
                <w:szCs w:val="22"/>
              </w:rPr>
              <w:t>0.0</w:t>
            </w:r>
            <w:r>
              <w:rPr>
                <w:rFonts w:hint="eastAsia"/>
                <w:bCs/>
                <w:color w:val="000000"/>
                <w:sz w:val="22"/>
                <w:szCs w:val="22"/>
                <w:lang w:val="en-US" w:eastAsia="zh-CN"/>
              </w:rPr>
              <w:t>8</w:t>
            </w:r>
          </w:p>
        </w:tc>
        <w:tc>
          <w:tcPr>
            <w:tcW w:w="1850" w:type="dxa"/>
            <w:noWrap w:val="0"/>
            <w:vAlign w:val="center"/>
          </w:tcPr>
          <w:p>
            <w:pPr>
              <w:jc w:val="center"/>
              <w:rPr>
                <w:rFonts w:hint="eastAsia" w:eastAsia="宋体"/>
                <w:bCs/>
                <w:color w:val="000000"/>
                <w:sz w:val="22"/>
                <w:szCs w:val="22"/>
                <w:lang w:eastAsia="zh-CN"/>
              </w:rPr>
            </w:pPr>
            <w:r>
              <w:rPr>
                <w:rFonts w:hint="eastAsia"/>
                <w:bCs/>
                <w:color w:val="000000"/>
                <w:sz w:val="22"/>
                <w:szCs w:val="22"/>
              </w:rPr>
              <w:t>0.8</w:t>
            </w:r>
            <w:r>
              <w:rPr>
                <w:rFonts w:hint="eastAsia"/>
                <w:bCs/>
                <w:color w:val="000000"/>
                <w:sz w:val="22"/>
                <w:szCs w:val="22"/>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443" w:type="dxa"/>
            <w:noWrap w:val="0"/>
            <w:vAlign w:val="center"/>
          </w:tcPr>
          <w:p>
            <w:pPr>
              <w:spacing w:line="360" w:lineRule="exact"/>
              <w:ind w:left="-105" w:leftChars="-50" w:right="-105" w:rightChars="-50"/>
              <w:jc w:val="center"/>
              <w:rPr>
                <w:bCs/>
                <w:color w:val="000000"/>
                <w:szCs w:val="21"/>
              </w:rPr>
            </w:pPr>
            <w:r>
              <w:rPr>
                <w:bCs/>
                <w:color w:val="000000"/>
                <w:kern w:val="0"/>
                <w:szCs w:val="21"/>
              </w:rPr>
              <w:t>南场界</w:t>
            </w:r>
          </w:p>
        </w:tc>
        <w:tc>
          <w:tcPr>
            <w:tcW w:w="1851" w:type="dxa"/>
            <w:noWrap w:val="0"/>
            <w:vAlign w:val="center"/>
          </w:tcPr>
          <w:p>
            <w:pPr>
              <w:jc w:val="center"/>
              <w:rPr>
                <w:rFonts w:hint="eastAsia" w:eastAsia="宋体"/>
                <w:bCs/>
                <w:color w:val="000000"/>
                <w:szCs w:val="21"/>
                <w:lang w:eastAsia="zh-CN"/>
              </w:rPr>
            </w:pPr>
            <w:r>
              <w:rPr>
                <w:rFonts w:hint="eastAsia"/>
                <w:bCs/>
                <w:color w:val="000000"/>
                <w:szCs w:val="21"/>
              </w:rPr>
              <w:t>0.7</w:t>
            </w:r>
            <w:r>
              <w:rPr>
                <w:rFonts w:hint="eastAsia"/>
                <w:bCs/>
                <w:color w:val="000000"/>
                <w:szCs w:val="21"/>
                <w:lang w:val="en-US" w:eastAsia="zh-CN"/>
              </w:rPr>
              <w:t>7</w:t>
            </w:r>
          </w:p>
        </w:tc>
        <w:tc>
          <w:tcPr>
            <w:tcW w:w="1850" w:type="dxa"/>
            <w:noWrap w:val="0"/>
            <w:vAlign w:val="center"/>
          </w:tcPr>
          <w:p>
            <w:pPr>
              <w:jc w:val="center"/>
              <w:rPr>
                <w:rFonts w:hint="eastAsia" w:eastAsia="宋体"/>
                <w:bCs/>
                <w:color w:val="000000"/>
                <w:szCs w:val="21"/>
                <w:lang w:eastAsia="zh-CN"/>
              </w:rPr>
            </w:pPr>
            <w:r>
              <w:rPr>
                <w:rFonts w:hint="eastAsia"/>
                <w:bCs/>
                <w:color w:val="000000"/>
                <w:szCs w:val="21"/>
              </w:rPr>
              <w:t>0.9</w:t>
            </w:r>
            <w:r>
              <w:rPr>
                <w:rFonts w:hint="eastAsia"/>
                <w:bCs/>
                <w:color w:val="000000"/>
                <w:szCs w:val="21"/>
                <w:lang w:val="en-US" w:eastAsia="zh-CN"/>
              </w:rPr>
              <w:t>2</w:t>
            </w:r>
          </w:p>
        </w:tc>
        <w:tc>
          <w:tcPr>
            <w:tcW w:w="1850" w:type="dxa"/>
            <w:noWrap w:val="0"/>
            <w:vAlign w:val="center"/>
          </w:tcPr>
          <w:p>
            <w:pPr>
              <w:jc w:val="center"/>
              <w:rPr>
                <w:rFonts w:hint="eastAsia" w:eastAsia="宋体"/>
                <w:bCs/>
                <w:color w:val="000000"/>
                <w:szCs w:val="21"/>
                <w:lang w:eastAsia="zh-CN"/>
              </w:rPr>
            </w:pPr>
            <w:r>
              <w:rPr>
                <w:rFonts w:hint="eastAsia"/>
                <w:bCs/>
                <w:color w:val="000000"/>
                <w:szCs w:val="21"/>
              </w:rPr>
              <w:t>0.0</w:t>
            </w:r>
            <w:r>
              <w:rPr>
                <w:rFonts w:hint="eastAsia"/>
                <w:bCs/>
                <w:color w:val="000000"/>
                <w:szCs w:val="21"/>
                <w:lang w:val="en-US" w:eastAsia="zh-CN"/>
              </w:rPr>
              <w:t>6</w:t>
            </w:r>
          </w:p>
        </w:tc>
        <w:tc>
          <w:tcPr>
            <w:tcW w:w="1850" w:type="dxa"/>
            <w:noWrap w:val="0"/>
            <w:vAlign w:val="center"/>
          </w:tcPr>
          <w:p>
            <w:pPr>
              <w:jc w:val="center"/>
              <w:rPr>
                <w:rFonts w:hint="eastAsia" w:eastAsia="宋体"/>
                <w:bCs/>
                <w:color w:val="000000"/>
                <w:szCs w:val="21"/>
                <w:lang w:eastAsia="zh-CN"/>
              </w:rPr>
            </w:pPr>
            <w:r>
              <w:rPr>
                <w:rFonts w:hint="eastAsia"/>
                <w:bCs/>
                <w:color w:val="000000"/>
                <w:szCs w:val="21"/>
              </w:rPr>
              <w:t>0.6</w:t>
            </w:r>
            <w:r>
              <w:rPr>
                <w:rFonts w:hint="eastAsia"/>
                <w:bCs/>
                <w:color w:val="000000"/>
                <w:szCs w:val="21"/>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443" w:type="dxa"/>
            <w:noWrap w:val="0"/>
            <w:vAlign w:val="center"/>
          </w:tcPr>
          <w:p>
            <w:pPr>
              <w:spacing w:line="360" w:lineRule="exact"/>
              <w:ind w:left="-105" w:leftChars="-50" w:right="-105" w:rightChars="-50"/>
              <w:jc w:val="center"/>
              <w:rPr>
                <w:bCs/>
                <w:color w:val="000000"/>
                <w:szCs w:val="21"/>
              </w:rPr>
            </w:pPr>
            <w:r>
              <w:rPr>
                <w:bCs/>
                <w:color w:val="000000"/>
                <w:kern w:val="0"/>
                <w:szCs w:val="21"/>
              </w:rPr>
              <w:t>东场界</w:t>
            </w:r>
          </w:p>
        </w:tc>
        <w:tc>
          <w:tcPr>
            <w:tcW w:w="1851" w:type="dxa"/>
            <w:noWrap w:val="0"/>
            <w:vAlign w:val="center"/>
          </w:tcPr>
          <w:p>
            <w:pPr>
              <w:jc w:val="center"/>
              <w:rPr>
                <w:rFonts w:hint="eastAsia" w:eastAsia="宋体"/>
                <w:bCs/>
                <w:color w:val="000000"/>
                <w:szCs w:val="21"/>
                <w:lang w:eastAsia="zh-CN"/>
              </w:rPr>
            </w:pPr>
            <w:r>
              <w:rPr>
                <w:rFonts w:hint="eastAsia"/>
                <w:bCs/>
                <w:color w:val="000000"/>
                <w:szCs w:val="21"/>
              </w:rPr>
              <w:t>0.8</w:t>
            </w:r>
            <w:r>
              <w:rPr>
                <w:rFonts w:hint="eastAsia"/>
                <w:bCs/>
                <w:color w:val="000000"/>
                <w:szCs w:val="21"/>
                <w:lang w:val="en-US" w:eastAsia="zh-CN"/>
              </w:rPr>
              <w:t>8</w:t>
            </w:r>
          </w:p>
        </w:tc>
        <w:tc>
          <w:tcPr>
            <w:tcW w:w="1850" w:type="dxa"/>
            <w:noWrap w:val="0"/>
            <w:vAlign w:val="center"/>
          </w:tcPr>
          <w:p>
            <w:pPr>
              <w:jc w:val="center"/>
              <w:rPr>
                <w:rFonts w:hint="eastAsia" w:eastAsia="宋体"/>
                <w:bCs/>
                <w:color w:val="000000"/>
                <w:szCs w:val="21"/>
                <w:lang w:eastAsia="zh-CN"/>
              </w:rPr>
            </w:pPr>
            <w:r>
              <w:rPr>
                <w:rFonts w:hint="eastAsia"/>
                <w:bCs/>
                <w:color w:val="000000"/>
                <w:szCs w:val="21"/>
              </w:rPr>
              <w:t>0.4</w:t>
            </w:r>
            <w:r>
              <w:rPr>
                <w:rFonts w:hint="eastAsia"/>
                <w:bCs/>
                <w:color w:val="000000"/>
                <w:szCs w:val="21"/>
                <w:lang w:val="en-US" w:eastAsia="zh-CN"/>
              </w:rPr>
              <w:t>1</w:t>
            </w:r>
          </w:p>
        </w:tc>
        <w:tc>
          <w:tcPr>
            <w:tcW w:w="1850" w:type="dxa"/>
            <w:noWrap w:val="0"/>
            <w:vAlign w:val="center"/>
          </w:tcPr>
          <w:p>
            <w:pPr>
              <w:jc w:val="center"/>
              <w:rPr>
                <w:bCs/>
                <w:color w:val="000000"/>
                <w:sz w:val="22"/>
                <w:szCs w:val="22"/>
              </w:rPr>
            </w:pPr>
            <w:r>
              <w:rPr>
                <w:rFonts w:hint="eastAsia"/>
                <w:bCs/>
                <w:color w:val="000000"/>
                <w:sz w:val="22"/>
                <w:szCs w:val="22"/>
              </w:rPr>
              <w:t>0.08</w:t>
            </w:r>
          </w:p>
        </w:tc>
        <w:tc>
          <w:tcPr>
            <w:tcW w:w="1850" w:type="dxa"/>
            <w:noWrap w:val="0"/>
            <w:vAlign w:val="center"/>
          </w:tcPr>
          <w:p>
            <w:pPr>
              <w:jc w:val="center"/>
              <w:rPr>
                <w:rFonts w:hint="eastAsia" w:eastAsia="宋体"/>
                <w:bCs/>
                <w:color w:val="000000"/>
                <w:sz w:val="22"/>
                <w:szCs w:val="22"/>
                <w:lang w:eastAsia="zh-CN"/>
              </w:rPr>
            </w:pPr>
            <w:r>
              <w:rPr>
                <w:rFonts w:hint="eastAsia"/>
                <w:bCs/>
                <w:color w:val="000000"/>
                <w:sz w:val="22"/>
                <w:szCs w:val="22"/>
              </w:rPr>
              <w:t>0.7</w:t>
            </w:r>
            <w:r>
              <w:rPr>
                <w:rFonts w:hint="eastAsia"/>
                <w:bCs/>
                <w:color w:val="000000"/>
                <w:sz w:val="22"/>
                <w:szCs w:val="22"/>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443" w:type="dxa"/>
            <w:noWrap w:val="0"/>
            <w:vAlign w:val="center"/>
          </w:tcPr>
          <w:p>
            <w:pPr>
              <w:spacing w:line="360" w:lineRule="exact"/>
              <w:ind w:left="-105" w:leftChars="-50" w:right="-105" w:rightChars="-50"/>
              <w:jc w:val="center"/>
              <w:rPr>
                <w:bCs/>
                <w:color w:val="000000"/>
                <w:szCs w:val="21"/>
              </w:rPr>
            </w:pPr>
            <w:r>
              <w:rPr>
                <w:bCs/>
                <w:color w:val="000000"/>
                <w:kern w:val="0"/>
                <w:szCs w:val="21"/>
              </w:rPr>
              <w:t>西场界</w:t>
            </w:r>
          </w:p>
        </w:tc>
        <w:tc>
          <w:tcPr>
            <w:tcW w:w="1851" w:type="dxa"/>
            <w:noWrap w:val="0"/>
            <w:vAlign w:val="center"/>
          </w:tcPr>
          <w:p>
            <w:pPr>
              <w:jc w:val="center"/>
              <w:rPr>
                <w:rFonts w:hint="eastAsia" w:eastAsia="宋体"/>
                <w:bCs/>
                <w:color w:val="000000"/>
                <w:szCs w:val="21"/>
                <w:lang w:eastAsia="zh-CN"/>
              </w:rPr>
            </w:pPr>
            <w:r>
              <w:rPr>
                <w:rFonts w:hint="eastAsia"/>
                <w:bCs/>
                <w:color w:val="000000"/>
                <w:szCs w:val="21"/>
              </w:rPr>
              <w:t>0.7</w:t>
            </w:r>
            <w:r>
              <w:rPr>
                <w:rFonts w:hint="eastAsia"/>
                <w:bCs/>
                <w:color w:val="000000"/>
                <w:szCs w:val="21"/>
                <w:lang w:val="en-US" w:eastAsia="zh-CN"/>
              </w:rPr>
              <w:t>5</w:t>
            </w:r>
          </w:p>
        </w:tc>
        <w:tc>
          <w:tcPr>
            <w:tcW w:w="1850" w:type="dxa"/>
            <w:noWrap w:val="0"/>
            <w:vAlign w:val="center"/>
          </w:tcPr>
          <w:p>
            <w:pPr>
              <w:jc w:val="center"/>
              <w:rPr>
                <w:rFonts w:hint="eastAsia" w:eastAsia="宋体"/>
                <w:bCs/>
                <w:color w:val="000000"/>
                <w:szCs w:val="21"/>
                <w:lang w:eastAsia="zh-CN"/>
              </w:rPr>
            </w:pPr>
            <w:r>
              <w:rPr>
                <w:rFonts w:hint="eastAsia"/>
                <w:bCs/>
                <w:color w:val="000000"/>
                <w:szCs w:val="21"/>
              </w:rPr>
              <w:t>0.9</w:t>
            </w:r>
            <w:r>
              <w:rPr>
                <w:rFonts w:hint="eastAsia"/>
                <w:bCs/>
                <w:color w:val="000000"/>
                <w:szCs w:val="21"/>
                <w:lang w:val="en-US" w:eastAsia="zh-CN"/>
              </w:rPr>
              <w:t>1</w:t>
            </w:r>
          </w:p>
        </w:tc>
        <w:tc>
          <w:tcPr>
            <w:tcW w:w="1850" w:type="dxa"/>
            <w:noWrap w:val="0"/>
            <w:vAlign w:val="center"/>
          </w:tcPr>
          <w:p>
            <w:pPr>
              <w:jc w:val="center"/>
              <w:rPr>
                <w:bCs/>
                <w:color w:val="000000"/>
                <w:sz w:val="22"/>
                <w:szCs w:val="22"/>
              </w:rPr>
            </w:pPr>
            <w:r>
              <w:rPr>
                <w:rFonts w:hint="eastAsia"/>
                <w:bCs/>
                <w:color w:val="000000"/>
                <w:sz w:val="22"/>
                <w:szCs w:val="22"/>
              </w:rPr>
              <w:t>0.08</w:t>
            </w:r>
          </w:p>
        </w:tc>
        <w:tc>
          <w:tcPr>
            <w:tcW w:w="1850" w:type="dxa"/>
            <w:noWrap w:val="0"/>
            <w:vAlign w:val="center"/>
          </w:tcPr>
          <w:p>
            <w:pPr>
              <w:jc w:val="center"/>
              <w:rPr>
                <w:rFonts w:hint="eastAsia" w:eastAsia="宋体"/>
                <w:bCs/>
                <w:color w:val="000000"/>
                <w:sz w:val="22"/>
                <w:szCs w:val="22"/>
                <w:lang w:val="en-US" w:eastAsia="zh-CN"/>
              </w:rPr>
            </w:pPr>
            <w:r>
              <w:rPr>
                <w:rFonts w:hint="eastAsia"/>
                <w:bCs/>
                <w:color w:val="000000"/>
                <w:sz w:val="22"/>
                <w:szCs w:val="22"/>
              </w:rPr>
              <w:t>0.7</w:t>
            </w:r>
            <w:r>
              <w:rPr>
                <w:rFonts w:hint="eastAsia"/>
                <w:bCs/>
                <w:color w:val="000000"/>
                <w:sz w:val="22"/>
                <w:szCs w:val="22"/>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443" w:type="dxa"/>
            <w:noWrap w:val="0"/>
            <w:vAlign w:val="center"/>
          </w:tcPr>
          <w:p>
            <w:pPr>
              <w:spacing w:line="360" w:lineRule="exact"/>
              <w:ind w:left="-105" w:leftChars="-50" w:right="-105" w:rightChars="-50"/>
              <w:jc w:val="center"/>
              <w:rPr>
                <w:bCs/>
                <w:color w:val="000000"/>
                <w:szCs w:val="21"/>
              </w:rPr>
            </w:pPr>
            <w:r>
              <w:rPr>
                <w:bCs/>
                <w:color w:val="000000"/>
                <w:kern w:val="0"/>
                <w:szCs w:val="21"/>
              </w:rPr>
              <w:t>标准值</w:t>
            </w:r>
          </w:p>
        </w:tc>
        <w:tc>
          <w:tcPr>
            <w:tcW w:w="3701" w:type="dxa"/>
            <w:gridSpan w:val="2"/>
            <w:noWrap w:val="0"/>
            <w:vAlign w:val="center"/>
          </w:tcPr>
          <w:p>
            <w:pPr>
              <w:spacing w:line="360" w:lineRule="exact"/>
              <w:jc w:val="center"/>
              <w:rPr>
                <w:bCs/>
                <w:color w:val="000000"/>
                <w:szCs w:val="21"/>
              </w:rPr>
            </w:pPr>
            <w:r>
              <w:rPr>
                <w:bCs/>
                <w:color w:val="000000"/>
                <w:kern w:val="0"/>
                <w:szCs w:val="21"/>
              </w:rPr>
              <w:t>60</w:t>
            </w:r>
          </w:p>
        </w:tc>
        <w:tc>
          <w:tcPr>
            <w:tcW w:w="3700" w:type="dxa"/>
            <w:gridSpan w:val="2"/>
            <w:noWrap w:val="0"/>
            <w:vAlign w:val="center"/>
          </w:tcPr>
          <w:p>
            <w:pPr>
              <w:spacing w:line="360" w:lineRule="exact"/>
              <w:jc w:val="center"/>
              <w:rPr>
                <w:bCs/>
                <w:color w:val="000000"/>
                <w:szCs w:val="21"/>
              </w:rPr>
            </w:pPr>
            <w:r>
              <w:rPr>
                <w:bCs/>
                <w:color w:val="000000"/>
                <w:kern w:val="0"/>
                <w:szCs w:val="21"/>
              </w:rPr>
              <w:t>1500</w:t>
            </w:r>
          </w:p>
        </w:tc>
      </w:tr>
    </w:tbl>
    <w:p>
      <w:pPr>
        <w:adjustRightInd w:val="0"/>
        <w:snapToGrid w:val="0"/>
        <w:spacing w:line="520" w:lineRule="exact"/>
        <w:ind w:firstLine="480" w:firstLineChars="200"/>
        <w:rPr>
          <w:rFonts w:hint="eastAsia"/>
          <w:sz w:val="24"/>
          <w:szCs w:val="22"/>
        </w:rPr>
      </w:pPr>
      <w:r>
        <w:rPr>
          <w:bCs/>
          <w:color w:val="000000"/>
          <w:sz w:val="24"/>
        </w:rPr>
        <w:t>由上表可知，本项目无组织排放的NH</w:t>
      </w:r>
      <w:r>
        <w:rPr>
          <w:bCs/>
          <w:color w:val="000000"/>
          <w:sz w:val="24"/>
          <w:vertAlign w:val="subscript"/>
        </w:rPr>
        <w:t>3</w:t>
      </w:r>
      <w:r>
        <w:rPr>
          <w:bCs/>
          <w:color w:val="000000"/>
          <w:sz w:val="24"/>
        </w:rPr>
        <w:t>、H</w:t>
      </w:r>
      <w:r>
        <w:rPr>
          <w:bCs/>
          <w:color w:val="000000"/>
          <w:sz w:val="24"/>
          <w:vertAlign w:val="subscript"/>
        </w:rPr>
        <w:t>2</w:t>
      </w:r>
      <w:r>
        <w:rPr>
          <w:bCs/>
          <w:color w:val="000000"/>
          <w:sz w:val="24"/>
        </w:rPr>
        <w:t>S在各场界处的预测值均可达到对应的《恶臭污染物排放标准》（GB14554-93）场界浓度限值要求。</w:t>
      </w:r>
    </w:p>
    <w:p>
      <w:pPr>
        <w:adjustRightInd w:val="0"/>
        <w:snapToGrid w:val="0"/>
        <w:spacing w:line="500" w:lineRule="exact"/>
        <w:ind w:firstLine="480" w:firstLineChars="200"/>
        <w:rPr>
          <w:bCs/>
          <w:color w:val="000000"/>
          <w:sz w:val="24"/>
        </w:rPr>
      </w:pPr>
      <w:r>
        <w:rPr>
          <w:rFonts w:hint="eastAsia"/>
          <w:bCs/>
          <w:color w:val="000000"/>
          <w:sz w:val="24"/>
        </w:rPr>
        <w:t>（2）</w:t>
      </w:r>
      <w:r>
        <w:rPr>
          <w:bCs/>
          <w:color w:val="000000"/>
          <w:sz w:val="24"/>
        </w:rPr>
        <w:t>有组织排放污染源贡献浓度预测</w:t>
      </w:r>
    </w:p>
    <w:p>
      <w:pPr>
        <w:adjustRightInd w:val="0"/>
        <w:snapToGrid w:val="0"/>
        <w:spacing w:line="500" w:lineRule="exact"/>
        <w:ind w:firstLine="480" w:firstLineChars="200"/>
        <w:rPr>
          <w:bCs/>
          <w:color w:val="000000"/>
          <w:sz w:val="24"/>
        </w:rPr>
      </w:pPr>
      <w:r>
        <w:rPr>
          <w:bCs/>
          <w:color w:val="000000"/>
          <w:sz w:val="24"/>
        </w:rPr>
        <w:t>有组织排放污染源贡献浓度预测结果见下表。</w:t>
      </w:r>
    </w:p>
    <w:p>
      <w:pPr>
        <w:jc w:val="center"/>
        <w:rPr>
          <w:bCs/>
          <w:color w:val="000000"/>
          <w:szCs w:val="21"/>
        </w:rPr>
      </w:pPr>
      <w:r>
        <w:rPr>
          <w:b/>
          <w:color w:val="000000"/>
          <w:szCs w:val="21"/>
        </w:rPr>
        <w:t>表</w:t>
      </w:r>
      <w:r>
        <w:rPr>
          <w:rFonts w:hint="eastAsia"/>
          <w:b/>
          <w:color w:val="000000"/>
          <w:szCs w:val="21"/>
        </w:rPr>
        <w:t>4.2-6</w:t>
      </w:r>
      <w:r>
        <w:rPr>
          <w:b/>
          <w:color w:val="000000"/>
          <w:szCs w:val="21"/>
        </w:rPr>
        <w:t xml:space="preserve">   本项目有组织排放SO</w:t>
      </w:r>
      <w:r>
        <w:rPr>
          <w:b/>
          <w:color w:val="000000"/>
          <w:szCs w:val="21"/>
          <w:vertAlign w:val="subscript"/>
        </w:rPr>
        <w:t>2</w:t>
      </w:r>
      <w:r>
        <w:rPr>
          <w:b/>
          <w:color w:val="000000"/>
          <w:szCs w:val="21"/>
        </w:rPr>
        <w:t>及NO</w:t>
      </w:r>
      <w:r>
        <w:rPr>
          <w:b/>
          <w:color w:val="000000"/>
          <w:szCs w:val="21"/>
          <w:vertAlign w:val="subscript"/>
        </w:rPr>
        <w:t>X</w:t>
      </w:r>
      <w:r>
        <w:rPr>
          <w:b/>
          <w:color w:val="000000"/>
          <w:szCs w:val="21"/>
        </w:rPr>
        <w:t>贡献值预测结果</w:t>
      </w:r>
      <w:r>
        <w:rPr>
          <w:bCs/>
          <w:color w:val="000000"/>
          <w:szCs w:val="21"/>
        </w:rPr>
        <w:t>（µg /m</w:t>
      </w:r>
      <w:r>
        <w:rPr>
          <w:bCs/>
          <w:color w:val="000000"/>
          <w:szCs w:val="21"/>
          <w:vertAlign w:val="superscript"/>
        </w:rPr>
        <w:t>3</w:t>
      </w:r>
      <w:r>
        <w:rPr>
          <w:bCs/>
          <w:color w:val="000000"/>
          <w:szCs w:val="21"/>
        </w:rPr>
        <w:t>）</w:t>
      </w:r>
    </w:p>
    <w:tbl>
      <w:tblPr>
        <w:tblStyle w:val="17"/>
        <w:tblW w:w="8846"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57" w:type="dxa"/>
          <w:bottom w:w="0" w:type="dxa"/>
          <w:right w:w="57" w:type="dxa"/>
        </w:tblCellMar>
      </w:tblPr>
      <w:tblGrid>
        <w:gridCol w:w="1676"/>
        <w:gridCol w:w="1785"/>
        <w:gridCol w:w="1629"/>
        <w:gridCol w:w="2128"/>
        <w:gridCol w:w="1628"/>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blHeader/>
          <w:jc w:val="center"/>
        </w:trPr>
        <w:tc>
          <w:tcPr>
            <w:tcW w:w="1676" w:type="dxa"/>
            <w:vMerge w:val="restart"/>
            <w:tcBorders>
              <w:top w:val="single" w:color="auto" w:sz="12" w:space="0"/>
              <w:left w:val="single" w:color="auto" w:sz="12"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距离（m）</w:t>
            </w:r>
          </w:p>
        </w:tc>
        <w:tc>
          <w:tcPr>
            <w:tcW w:w="3414" w:type="dxa"/>
            <w:gridSpan w:val="2"/>
            <w:tcBorders>
              <w:top w:val="single" w:color="auto" w:sz="12" w:space="0"/>
              <w:left w:val="single" w:color="auto" w:sz="4" w:space="0"/>
              <w:bottom w:val="single" w:color="auto" w:sz="4" w:space="0"/>
              <w:right w:val="single" w:color="auto" w:sz="4" w:space="0"/>
            </w:tcBorders>
            <w:noWrap w:val="0"/>
            <w:vAlign w:val="center"/>
          </w:tcPr>
          <w:p>
            <w:pPr>
              <w:ind w:firstLine="396" w:firstLineChars="200"/>
              <w:jc w:val="center"/>
              <w:rPr>
                <w:bCs/>
                <w:color w:val="000000"/>
                <w:spacing w:val="-6"/>
                <w:szCs w:val="21"/>
              </w:rPr>
            </w:pPr>
            <w:r>
              <w:rPr>
                <w:bCs/>
                <w:color w:val="000000"/>
                <w:spacing w:val="-6"/>
                <w:kern w:val="0"/>
                <w:szCs w:val="21"/>
              </w:rPr>
              <w:t>SO</w:t>
            </w:r>
            <w:r>
              <w:rPr>
                <w:bCs/>
                <w:color w:val="000000"/>
                <w:spacing w:val="-6"/>
                <w:kern w:val="0"/>
                <w:szCs w:val="21"/>
                <w:vertAlign w:val="subscript"/>
              </w:rPr>
              <w:t>2</w:t>
            </w:r>
            <w:r>
              <w:rPr>
                <w:bCs/>
                <w:color w:val="000000"/>
                <w:spacing w:val="-6"/>
                <w:kern w:val="0"/>
                <w:szCs w:val="21"/>
              </w:rPr>
              <w:t>1小时最大浓度</w:t>
            </w:r>
          </w:p>
        </w:tc>
        <w:tc>
          <w:tcPr>
            <w:tcW w:w="3756" w:type="dxa"/>
            <w:gridSpan w:val="2"/>
            <w:tcBorders>
              <w:top w:val="single" w:color="auto" w:sz="12" w:space="0"/>
              <w:left w:val="single" w:color="auto" w:sz="4" w:space="0"/>
              <w:bottom w:val="single" w:color="auto" w:sz="4" w:space="0"/>
              <w:right w:val="single" w:color="auto" w:sz="12" w:space="0"/>
            </w:tcBorders>
            <w:noWrap w:val="0"/>
            <w:vAlign w:val="center"/>
          </w:tcPr>
          <w:p>
            <w:pPr>
              <w:jc w:val="center"/>
              <w:rPr>
                <w:bCs/>
                <w:color w:val="000000"/>
                <w:spacing w:val="-6"/>
                <w:szCs w:val="21"/>
              </w:rPr>
            </w:pPr>
            <w:r>
              <w:rPr>
                <w:bCs/>
                <w:color w:val="000000"/>
                <w:spacing w:val="-6"/>
                <w:kern w:val="0"/>
                <w:szCs w:val="21"/>
              </w:rPr>
              <w:t>NO</w:t>
            </w:r>
            <w:r>
              <w:rPr>
                <w:bCs/>
                <w:color w:val="000000"/>
                <w:spacing w:val="-6"/>
                <w:kern w:val="0"/>
                <w:szCs w:val="21"/>
                <w:vertAlign w:val="subscript"/>
              </w:rPr>
              <w:t>X</w:t>
            </w:r>
            <w:r>
              <w:rPr>
                <w:bCs/>
                <w:color w:val="000000"/>
                <w:spacing w:val="-6"/>
                <w:kern w:val="0"/>
                <w:szCs w:val="21"/>
              </w:rPr>
              <w:t>1小时平均最大浓度</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tblHeader/>
          <w:jc w:val="center"/>
        </w:trPr>
        <w:tc>
          <w:tcPr>
            <w:tcW w:w="1676" w:type="dxa"/>
            <w:vMerge w:val="continue"/>
            <w:tcBorders>
              <w:top w:val="single" w:color="auto" w:sz="4" w:space="0"/>
              <w:left w:val="single" w:color="auto" w:sz="12" w:space="0"/>
              <w:bottom w:val="single" w:color="auto" w:sz="4" w:space="0"/>
              <w:right w:val="single" w:color="auto" w:sz="4" w:space="0"/>
            </w:tcBorders>
            <w:noWrap w:val="0"/>
            <w:vAlign w:val="center"/>
          </w:tcPr>
          <w:p>
            <w:pPr>
              <w:jc w:val="center"/>
              <w:rPr>
                <w:bCs/>
                <w:color w:val="000000"/>
                <w:szCs w:val="21"/>
              </w:rPr>
            </w:pPr>
          </w:p>
        </w:tc>
        <w:tc>
          <w:tcPr>
            <w:tcW w:w="178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预测浓度</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占标率%</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预测浓度</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adjustRightInd w:val="0"/>
              <w:snapToGrid w:val="0"/>
              <w:jc w:val="center"/>
              <w:rPr>
                <w:bCs/>
                <w:color w:val="000000"/>
                <w:spacing w:val="-6"/>
                <w:szCs w:val="21"/>
              </w:rPr>
            </w:pPr>
            <w:r>
              <w:rPr>
                <w:bCs/>
                <w:color w:val="000000"/>
                <w:spacing w:val="-6"/>
                <w:kern w:val="0"/>
                <w:szCs w:val="21"/>
              </w:rPr>
              <w:t>占标率%</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0.00</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0.00</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tcMar>
              <w:left w:w="28" w:type="dxa"/>
              <w:right w:w="28" w:type="dxa"/>
            </w:tcMar>
            <w:vAlign w:val="center"/>
          </w:tcPr>
          <w:p>
            <w:pPr>
              <w:widowControl/>
              <w:jc w:val="center"/>
              <w:textAlignment w:val="center"/>
              <w:rPr>
                <w:bCs/>
                <w:color w:val="000000"/>
                <w:spacing w:val="-6"/>
                <w:szCs w:val="21"/>
              </w:rPr>
            </w:pPr>
            <w:r>
              <w:rPr>
                <w:bCs/>
                <w:color w:val="000000"/>
                <w:kern w:val="0"/>
                <w:szCs w:val="21"/>
              </w:rPr>
              <w:t>100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0.02</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0.7</w:t>
            </w:r>
            <w:r>
              <w:rPr>
                <w:rFonts w:hint="eastAsia"/>
                <w:bCs/>
                <w:color w:val="000000"/>
                <w:sz w:val="22"/>
                <w:szCs w:val="22"/>
                <w:lang w:val="en-US" w:eastAsia="zh-CN"/>
              </w:rPr>
              <w:t>1</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0.3</w:t>
            </w:r>
            <w:r>
              <w:rPr>
                <w:rFonts w:hint="eastAsia"/>
                <w:bCs/>
                <w:color w:val="000000"/>
                <w:sz w:val="22"/>
                <w:szCs w:val="22"/>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200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0.02</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val="en-US" w:eastAsia="zh-CN"/>
              </w:rPr>
            </w:pPr>
            <w:r>
              <w:rPr>
                <w:rFonts w:hint="eastAsia"/>
                <w:bCs/>
                <w:color w:val="000000"/>
                <w:sz w:val="22"/>
                <w:szCs w:val="22"/>
              </w:rPr>
              <w:t>0.5</w:t>
            </w:r>
            <w:r>
              <w:rPr>
                <w:rFonts w:hint="eastAsia"/>
                <w:bCs/>
                <w:color w:val="000000"/>
                <w:sz w:val="22"/>
                <w:szCs w:val="22"/>
                <w:lang w:val="en-US" w:eastAsia="zh-CN"/>
              </w:rPr>
              <w:t>0</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0.2</w:t>
            </w:r>
            <w:r>
              <w:rPr>
                <w:rFonts w:hint="eastAsia"/>
                <w:bCs/>
                <w:color w:val="000000"/>
                <w:sz w:val="22"/>
                <w:szCs w:val="22"/>
                <w:lang w:val="en-US" w:eastAsia="zh-CN"/>
              </w:rPr>
              <w:t>1</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300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0.4</w:t>
            </w:r>
            <w:r>
              <w:rPr>
                <w:rFonts w:hint="eastAsia"/>
                <w:bCs/>
                <w:color w:val="000000"/>
                <w:sz w:val="22"/>
                <w:szCs w:val="22"/>
                <w:lang w:val="en-US" w:eastAsia="zh-CN"/>
              </w:rPr>
              <w:t>0</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0.2</w:t>
            </w:r>
            <w:r>
              <w:rPr>
                <w:rFonts w:hint="eastAsia"/>
                <w:bCs/>
                <w:color w:val="000000"/>
                <w:sz w:val="22"/>
                <w:szCs w:val="22"/>
                <w:lang w:val="en-US" w:eastAsia="zh-CN"/>
              </w:rPr>
              <w:t>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400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0.3</w:t>
            </w:r>
            <w:r>
              <w:rPr>
                <w:rFonts w:hint="eastAsia"/>
                <w:bCs/>
                <w:color w:val="000000"/>
                <w:sz w:val="22"/>
                <w:szCs w:val="22"/>
                <w:lang w:val="en-US" w:eastAsia="zh-CN"/>
              </w:rPr>
              <w:t>2</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500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0.3</w:t>
            </w:r>
            <w:r>
              <w:rPr>
                <w:rFonts w:hint="eastAsia"/>
                <w:bCs/>
                <w:color w:val="000000"/>
                <w:sz w:val="22"/>
                <w:szCs w:val="22"/>
                <w:lang w:val="en-US" w:eastAsia="zh-CN"/>
              </w:rPr>
              <w:t>2</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val="en-US" w:eastAsia="zh-CN"/>
              </w:rPr>
            </w:pPr>
            <w:r>
              <w:rPr>
                <w:rFonts w:hint="eastAsia"/>
                <w:bCs/>
                <w:color w:val="000000"/>
                <w:sz w:val="22"/>
                <w:szCs w:val="22"/>
              </w:rPr>
              <w:t>0.1</w:t>
            </w:r>
            <w:r>
              <w:rPr>
                <w:rFonts w:hint="eastAsia"/>
                <w:bCs/>
                <w:color w:val="000000"/>
                <w:sz w:val="22"/>
                <w:szCs w:val="22"/>
                <w:lang w:val="en-US" w:eastAsia="zh-CN"/>
              </w:rPr>
              <w:t>5</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600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0.3</w:t>
            </w:r>
            <w:r>
              <w:rPr>
                <w:rFonts w:hint="eastAsia"/>
                <w:bCs/>
                <w:color w:val="000000"/>
                <w:sz w:val="22"/>
                <w:szCs w:val="22"/>
                <w:lang w:val="en-US" w:eastAsia="zh-CN"/>
              </w:rPr>
              <w:t>1</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700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0.31</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4</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800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0.2</w:t>
            </w:r>
            <w:r>
              <w:rPr>
                <w:rFonts w:hint="eastAsia"/>
                <w:bCs/>
                <w:color w:val="000000"/>
                <w:sz w:val="22"/>
                <w:szCs w:val="22"/>
                <w:lang w:val="en-US" w:eastAsia="zh-CN"/>
              </w:rPr>
              <w:t>7</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900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0.2</w:t>
            </w:r>
            <w:r>
              <w:rPr>
                <w:rFonts w:hint="eastAsia"/>
                <w:bCs/>
                <w:color w:val="000000"/>
                <w:sz w:val="22"/>
                <w:szCs w:val="22"/>
                <w:lang w:val="en-US" w:eastAsia="zh-CN"/>
              </w:rPr>
              <w:t>7</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0.13</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1000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0.2</w:t>
            </w:r>
            <w:r>
              <w:rPr>
                <w:rFonts w:hint="eastAsia"/>
                <w:bCs/>
                <w:color w:val="000000"/>
                <w:sz w:val="22"/>
                <w:szCs w:val="22"/>
                <w:lang w:val="en-US" w:eastAsia="zh-CN"/>
              </w:rPr>
              <w:t>5</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1250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0.01</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8</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1500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0.00</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7</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1750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0.00</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5</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2000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0.00</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3</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szCs w:val="21"/>
              </w:rPr>
            </w:pPr>
            <w:r>
              <w:rPr>
                <w:bCs/>
                <w:color w:val="000000"/>
                <w:kern w:val="0"/>
                <w:szCs w:val="21"/>
              </w:rPr>
              <w:t>2250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0.00</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0.1</w:t>
            </w:r>
            <w:r>
              <w:rPr>
                <w:rFonts w:hint="eastAsia"/>
                <w:bCs/>
                <w:color w:val="000000"/>
                <w:sz w:val="22"/>
                <w:szCs w:val="22"/>
                <w:lang w:val="en-US" w:eastAsia="zh-CN"/>
              </w:rPr>
              <w:t>2</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widowControl/>
              <w:jc w:val="center"/>
              <w:textAlignment w:val="center"/>
              <w:rPr>
                <w:bCs/>
                <w:color w:val="000000"/>
                <w:spacing w:val="-6"/>
                <w:kern w:val="0"/>
                <w:szCs w:val="21"/>
              </w:rPr>
            </w:pPr>
            <w:r>
              <w:rPr>
                <w:bCs/>
                <w:color w:val="000000"/>
                <w:kern w:val="0"/>
                <w:szCs w:val="21"/>
              </w:rPr>
              <w:t>2500</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0.00</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bCs/>
                <w:color w:val="000000"/>
                <w:sz w:val="22"/>
                <w:szCs w:val="22"/>
              </w:rPr>
              <w:t>0.09</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bCs/>
                <w:color w:val="000000"/>
                <w:sz w:val="22"/>
                <w:szCs w:val="22"/>
              </w:rPr>
            </w:pPr>
            <w:r>
              <w:rPr>
                <w:rFonts w:hint="eastAsia"/>
                <w:bCs/>
                <w:color w:val="000000"/>
                <w:sz w:val="22"/>
                <w:szCs w:val="22"/>
              </w:rPr>
              <w:t>0.00</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4"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最大浓度（91m）</w:t>
            </w:r>
          </w:p>
        </w:tc>
        <w:tc>
          <w:tcPr>
            <w:tcW w:w="1785"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bCs/>
                <w:color w:val="000000"/>
                <w:sz w:val="22"/>
                <w:szCs w:val="22"/>
              </w:rPr>
              <w:t>0.02</w:t>
            </w:r>
          </w:p>
        </w:tc>
        <w:tc>
          <w:tcPr>
            <w:tcW w:w="1629" w:type="dxa"/>
            <w:tcBorders>
              <w:top w:val="single" w:color="auto" w:sz="4" w:space="0"/>
              <w:left w:val="single" w:color="auto" w:sz="4" w:space="0"/>
              <w:bottom w:val="single" w:color="auto" w:sz="4" w:space="0"/>
              <w:right w:val="single" w:color="auto" w:sz="4" w:space="0"/>
            </w:tcBorders>
            <w:noWrap w:val="0"/>
            <w:vAlign w:val="center"/>
          </w:tcPr>
          <w:p>
            <w:pPr>
              <w:jc w:val="center"/>
              <w:rPr>
                <w:bCs/>
                <w:color w:val="000000"/>
                <w:sz w:val="22"/>
                <w:szCs w:val="22"/>
              </w:rPr>
            </w:pPr>
            <w:r>
              <w:rPr>
                <w:rFonts w:hint="eastAsia"/>
              </w:rPr>
              <w:t>0.00</w:t>
            </w:r>
          </w:p>
        </w:tc>
        <w:tc>
          <w:tcPr>
            <w:tcW w:w="212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bCs/>
                <w:color w:val="000000"/>
                <w:sz w:val="22"/>
                <w:szCs w:val="22"/>
                <w:lang w:eastAsia="zh-CN"/>
              </w:rPr>
            </w:pPr>
            <w:r>
              <w:rPr>
                <w:bCs/>
                <w:color w:val="000000"/>
                <w:sz w:val="22"/>
                <w:szCs w:val="22"/>
              </w:rPr>
              <w:t>0.7</w:t>
            </w:r>
            <w:r>
              <w:rPr>
                <w:rFonts w:hint="eastAsia"/>
                <w:bCs/>
                <w:color w:val="000000"/>
                <w:sz w:val="22"/>
                <w:szCs w:val="22"/>
                <w:lang w:val="en-US" w:eastAsia="zh-CN"/>
              </w:rPr>
              <w:t>1</w:t>
            </w:r>
          </w:p>
        </w:tc>
        <w:tc>
          <w:tcPr>
            <w:tcW w:w="1628" w:type="dxa"/>
            <w:tcBorders>
              <w:top w:val="single" w:color="auto" w:sz="4" w:space="0"/>
              <w:left w:val="single" w:color="auto" w:sz="4" w:space="0"/>
              <w:bottom w:val="single" w:color="auto" w:sz="4" w:space="0"/>
              <w:right w:val="single" w:color="auto" w:sz="12" w:space="0"/>
            </w:tcBorders>
            <w:noWrap w:val="0"/>
            <w:vAlign w:val="center"/>
          </w:tcPr>
          <w:p>
            <w:pPr>
              <w:jc w:val="center"/>
              <w:rPr>
                <w:rFonts w:hint="eastAsia" w:eastAsia="宋体"/>
                <w:bCs/>
                <w:color w:val="000000"/>
                <w:sz w:val="22"/>
                <w:szCs w:val="22"/>
                <w:lang w:eastAsia="zh-CN"/>
              </w:rPr>
            </w:pPr>
            <w:r>
              <w:rPr>
                <w:rFonts w:hint="eastAsia"/>
                <w:bCs/>
                <w:color w:val="000000"/>
                <w:sz w:val="22"/>
                <w:szCs w:val="22"/>
              </w:rPr>
              <w:t>0.3</w:t>
            </w:r>
            <w:r>
              <w:rPr>
                <w:rFonts w:hint="eastAsia"/>
                <w:bCs/>
                <w:color w:val="000000"/>
                <w:sz w:val="22"/>
                <w:szCs w:val="22"/>
                <w:lang w:val="en-US" w:eastAsia="zh-CN"/>
              </w:rPr>
              <w:t>2</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57" w:type="dxa"/>
            <w:bottom w:w="0" w:type="dxa"/>
            <w:right w:w="57" w:type="dxa"/>
          </w:tblCellMar>
        </w:tblPrEx>
        <w:trPr>
          <w:trHeight w:val="397" w:hRule="atLeast"/>
          <w:jc w:val="center"/>
        </w:trPr>
        <w:tc>
          <w:tcPr>
            <w:tcW w:w="1676" w:type="dxa"/>
            <w:tcBorders>
              <w:top w:val="single" w:color="auto" w:sz="4" w:space="0"/>
              <w:left w:val="single" w:color="auto" w:sz="12" w:space="0"/>
              <w:bottom w:val="single" w:color="auto" w:sz="12" w:space="0"/>
              <w:right w:val="single" w:color="auto" w:sz="4" w:space="0"/>
            </w:tcBorders>
            <w:noWrap w:val="0"/>
            <w:vAlign w:val="center"/>
          </w:tcPr>
          <w:p>
            <w:pPr>
              <w:adjustRightInd w:val="0"/>
              <w:snapToGrid w:val="0"/>
              <w:jc w:val="center"/>
              <w:rPr>
                <w:bCs/>
                <w:color w:val="000000"/>
                <w:spacing w:val="-6"/>
                <w:szCs w:val="21"/>
              </w:rPr>
            </w:pPr>
            <w:r>
              <w:rPr>
                <w:bCs/>
                <w:color w:val="000000"/>
                <w:spacing w:val="-6"/>
                <w:kern w:val="0"/>
                <w:szCs w:val="21"/>
              </w:rPr>
              <w:t>标准</w:t>
            </w:r>
          </w:p>
        </w:tc>
        <w:tc>
          <w:tcPr>
            <w:tcW w:w="3414" w:type="dxa"/>
            <w:gridSpan w:val="2"/>
            <w:tcBorders>
              <w:top w:val="single" w:color="auto" w:sz="4" w:space="0"/>
              <w:left w:val="single" w:color="auto" w:sz="4" w:space="0"/>
              <w:bottom w:val="single" w:color="auto" w:sz="12" w:space="0"/>
              <w:right w:val="single" w:color="auto" w:sz="4" w:space="0"/>
            </w:tcBorders>
            <w:noWrap w:val="0"/>
            <w:vAlign w:val="center"/>
          </w:tcPr>
          <w:p>
            <w:pPr>
              <w:jc w:val="center"/>
              <w:rPr>
                <w:bCs/>
                <w:color w:val="000000"/>
                <w:spacing w:val="-6"/>
                <w:szCs w:val="21"/>
              </w:rPr>
            </w:pPr>
            <w:r>
              <w:rPr>
                <w:bCs/>
                <w:color w:val="000000"/>
                <w:spacing w:val="-6"/>
                <w:kern w:val="0"/>
                <w:szCs w:val="21"/>
              </w:rPr>
              <w:t>500µg /m</w:t>
            </w:r>
            <w:r>
              <w:rPr>
                <w:bCs/>
                <w:color w:val="000000"/>
                <w:spacing w:val="-6"/>
                <w:kern w:val="0"/>
                <w:szCs w:val="21"/>
                <w:vertAlign w:val="superscript"/>
              </w:rPr>
              <w:t>3</w:t>
            </w:r>
          </w:p>
        </w:tc>
        <w:tc>
          <w:tcPr>
            <w:tcW w:w="3756" w:type="dxa"/>
            <w:gridSpan w:val="2"/>
            <w:tcBorders>
              <w:top w:val="single" w:color="auto" w:sz="4" w:space="0"/>
              <w:left w:val="single" w:color="auto" w:sz="4" w:space="0"/>
              <w:bottom w:val="single" w:color="auto" w:sz="12" w:space="0"/>
              <w:right w:val="single" w:color="auto" w:sz="12" w:space="0"/>
            </w:tcBorders>
            <w:noWrap w:val="0"/>
            <w:vAlign w:val="center"/>
          </w:tcPr>
          <w:p>
            <w:pPr>
              <w:jc w:val="center"/>
              <w:rPr>
                <w:bCs/>
                <w:color w:val="000000"/>
                <w:spacing w:val="-6"/>
                <w:szCs w:val="21"/>
              </w:rPr>
            </w:pPr>
            <w:r>
              <w:rPr>
                <w:bCs/>
                <w:color w:val="000000"/>
                <w:spacing w:val="-6"/>
                <w:kern w:val="0"/>
                <w:szCs w:val="21"/>
              </w:rPr>
              <w:t>200</w:t>
            </w:r>
            <w:r>
              <w:rPr>
                <w:szCs w:val="21"/>
              </w:rPr>
              <w:t>µg</w:t>
            </w:r>
            <w:r>
              <w:rPr>
                <w:bCs/>
                <w:color w:val="000000"/>
                <w:spacing w:val="-6"/>
                <w:kern w:val="0"/>
                <w:szCs w:val="21"/>
              </w:rPr>
              <w:t xml:space="preserve"> /m</w:t>
            </w:r>
            <w:r>
              <w:rPr>
                <w:bCs/>
                <w:color w:val="000000"/>
                <w:spacing w:val="-6"/>
                <w:kern w:val="0"/>
                <w:szCs w:val="21"/>
                <w:vertAlign w:val="superscript"/>
              </w:rPr>
              <w:t>3</w:t>
            </w:r>
          </w:p>
        </w:tc>
      </w:tr>
    </w:tbl>
    <w:p>
      <w:pPr>
        <w:adjustRightInd w:val="0"/>
        <w:snapToGrid w:val="0"/>
        <w:spacing w:line="520" w:lineRule="exact"/>
        <w:ind w:firstLine="480" w:firstLineChars="200"/>
        <w:rPr>
          <w:rFonts w:hint="eastAsia"/>
          <w:bCs/>
          <w:color w:val="000000"/>
          <w:sz w:val="24"/>
        </w:rPr>
      </w:pPr>
      <w:r>
        <w:rPr>
          <w:bCs/>
          <w:color w:val="000000"/>
          <w:sz w:val="24"/>
        </w:rPr>
        <w:t>从上表可以看出，本项目有组织排放SO</w:t>
      </w:r>
      <w:r>
        <w:rPr>
          <w:bCs/>
          <w:color w:val="000000"/>
          <w:sz w:val="24"/>
          <w:vertAlign w:val="subscript"/>
        </w:rPr>
        <w:t>2</w:t>
      </w:r>
      <w:r>
        <w:rPr>
          <w:bCs/>
          <w:color w:val="000000"/>
          <w:sz w:val="24"/>
        </w:rPr>
        <w:t>、NO</w:t>
      </w:r>
      <w:r>
        <w:rPr>
          <w:bCs/>
          <w:color w:val="000000"/>
          <w:sz w:val="24"/>
          <w:vertAlign w:val="subscript"/>
        </w:rPr>
        <w:t>X</w:t>
      </w:r>
      <w:r>
        <w:rPr>
          <w:bCs/>
          <w:color w:val="000000"/>
          <w:sz w:val="24"/>
        </w:rPr>
        <w:t>小时最大浓度贡献值出现在9</w:t>
      </w:r>
      <w:r>
        <w:rPr>
          <w:rFonts w:hint="eastAsia"/>
          <w:bCs/>
          <w:color w:val="000000"/>
          <w:sz w:val="24"/>
          <w:lang w:val="en-US" w:eastAsia="zh-CN"/>
        </w:rPr>
        <w:t>3</w:t>
      </w:r>
      <w:r>
        <w:rPr>
          <w:bCs/>
          <w:color w:val="000000"/>
          <w:sz w:val="24"/>
        </w:rPr>
        <w:t>m，占标率分别为0.0</w:t>
      </w:r>
      <w:r>
        <w:rPr>
          <w:rFonts w:hint="eastAsia"/>
          <w:bCs/>
          <w:color w:val="000000"/>
          <w:sz w:val="24"/>
        </w:rPr>
        <w:t>0</w:t>
      </w:r>
      <w:r>
        <w:rPr>
          <w:bCs/>
          <w:color w:val="000000"/>
          <w:sz w:val="24"/>
        </w:rPr>
        <w:t>%、</w:t>
      </w:r>
      <w:r>
        <w:rPr>
          <w:rFonts w:hint="eastAsia"/>
          <w:bCs/>
          <w:color w:val="000000"/>
          <w:sz w:val="24"/>
        </w:rPr>
        <w:t>0.3</w:t>
      </w:r>
      <w:r>
        <w:rPr>
          <w:rFonts w:hint="eastAsia"/>
          <w:bCs/>
          <w:color w:val="000000"/>
          <w:sz w:val="24"/>
          <w:lang w:val="en-US" w:eastAsia="zh-CN"/>
        </w:rPr>
        <w:t>2</w:t>
      </w:r>
      <w:r>
        <w:rPr>
          <w:bCs/>
          <w:color w:val="000000"/>
          <w:sz w:val="24"/>
        </w:rPr>
        <w:t>%。</w:t>
      </w:r>
    </w:p>
    <w:p>
      <w:pPr>
        <w:adjustRightInd w:val="0"/>
        <w:snapToGrid w:val="0"/>
        <w:spacing w:line="500" w:lineRule="exact"/>
        <w:ind w:firstLine="480" w:firstLineChars="200"/>
        <w:rPr>
          <w:bCs/>
          <w:color w:val="000000"/>
          <w:sz w:val="24"/>
        </w:rPr>
      </w:pPr>
      <w:r>
        <w:rPr>
          <w:rFonts w:hint="eastAsia"/>
          <w:bCs/>
          <w:color w:val="000000"/>
          <w:sz w:val="24"/>
        </w:rPr>
        <w:t>7</w:t>
      </w:r>
      <w:r>
        <w:rPr>
          <w:bCs/>
          <w:color w:val="000000"/>
          <w:sz w:val="24"/>
        </w:rPr>
        <w:t>、环境防护距离的确定</w:t>
      </w:r>
    </w:p>
    <w:p>
      <w:pPr>
        <w:adjustRightInd w:val="0"/>
        <w:snapToGrid w:val="0"/>
        <w:spacing w:line="500" w:lineRule="exact"/>
        <w:ind w:firstLine="480" w:firstLineChars="200"/>
        <w:rPr>
          <w:bCs/>
          <w:color w:val="000000"/>
          <w:sz w:val="24"/>
        </w:rPr>
      </w:pPr>
      <w:r>
        <w:rPr>
          <w:bCs/>
          <w:color w:val="000000"/>
          <w:sz w:val="24"/>
        </w:rPr>
        <w:t>（1）大气防护距离</w:t>
      </w:r>
    </w:p>
    <w:p>
      <w:pPr>
        <w:spacing w:line="500" w:lineRule="exact"/>
        <w:ind w:firstLine="480" w:firstLineChars="200"/>
        <w:rPr>
          <w:sz w:val="24"/>
        </w:rPr>
      </w:pPr>
      <w:r>
        <w:rPr>
          <w:kern w:val="0"/>
          <w:sz w:val="24"/>
          <w:lang w:bidi="ar"/>
        </w:rPr>
        <w:t>参考同类环评报告，本次计算大气环境防护距离时将养殖场猪舍、粪污处理系统</w:t>
      </w:r>
      <w:r>
        <w:rPr>
          <w:rFonts w:hint="eastAsia"/>
          <w:kern w:val="0"/>
          <w:sz w:val="24"/>
          <w:lang w:bidi="ar"/>
        </w:rPr>
        <w:t>、</w:t>
      </w:r>
      <w:r>
        <w:rPr>
          <w:bCs/>
          <w:sz w:val="24"/>
        </w:rPr>
        <w:t>沼液储存池</w:t>
      </w:r>
      <w:r>
        <w:rPr>
          <w:kern w:val="0"/>
          <w:sz w:val="24"/>
          <w:lang w:bidi="ar"/>
        </w:rPr>
        <w:t>作为一个整体无组织排放单元计算项目实施后大气环境防护距离。根据《环境影响评价技术导则--大气环境》（HJ2.2-2018）要求，采用推荐模式中的大气环境防护距离模式计算本项目无组织排放单元的大气环境防护距离。经计算本项目无组织排放单元大气环境防护距离见表4.2-7。</w:t>
      </w:r>
    </w:p>
    <w:p>
      <w:pPr>
        <w:spacing w:after="93" w:afterLines="30" w:line="500" w:lineRule="exact"/>
        <w:jc w:val="center"/>
        <w:rPr>
          <w:b/>
          <w:sz w:val="24"/>
        </w:rPr>
      </w:pPr>
      <w:r>
        <w:rPr>
          <w:b/>
          <w:kern w:val="0"/>
          <w:sz w:val="24"/>
          <w:lang w:bidi="ar"/>
        </w:rPr>
        <w:t>表4.2-7    本项目无组织排放单元大气环境防护距离    单位：mg/m</w:t>
      </w:r>
      <w:r>
        <w:rPr>
          <w:b/>
          <w:kern w:val="0"/>
          <w:sz w:val="24"/>
          <w:vertAlign w:val="superscript"/>
          <w:lang w:bidi="ar"/>
        </w:rPr>
        <w:t>3</w:t>
      </w:r>
    </w:p>
    <w:tbl>
      <w:tblPr>
        <w:tblStyle w:val="17"/>
        <w:tblW w:w="0" w:type="auto"/>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28" w:type="dxa"/>
          <w:bottom w:w="0" w:type="dxa"/>
          <w:right w:w="28" w:type="dxa"/>
        </w:tblCellMar>
      </w:tblPr>
      <w:tblGrid>
        <w:gridCol w:w="1498"/>
        <w:gridCol w:w="1005"/>
        <w:gridCol w:w="923"/>
        <w:gridCol w:w="1232"/>
        <w:gridCol w:w="1385"/>
        <w:gridCol w:w="1232"/>
        <w:gridCol w:w="151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675" w:hRule="atLeast"/>
          <w:jc w:val="center"/>
        </w:trPr>
        <w:tc>
          <w:tcPr>
            <w:tcW w:w="1498" w:type="dxa"/>
            <w:noWrap w:val="0"/>
            <w:vAlign w:val="center"/>
          </w:tcPr>
          <w:p>
            <w:pPr>
              <w:spacing w:line="360" w:lineRule="exact"/>
              <w:jc w:val="center"/>
              <w:rPr>
                <w:b/>
                <w:szCs w:val="21"/>
              </w:rPr>
            </w:pPr>
            <w:r>
              <w:rPr>
                <w:b/>
                <w:kern w:val="0"/>
                <w:szCs w:val="21"/>
                <w:lang w:bidi="ar"/>
              </w:rPr>
              <w:t>无组织排放</w:t>
            </w:r>
          </w:p>
          <w:p>
            <w:pPr>
              <w:spacing w:line="360" w:lineRule="exact"/>
              <w:jc w:val="center"/>
              <w:rPr>
                <w:b/>
                <w:szCs w:val="21"/>
              </w:rPr>
            </w:pPr>
            <w:r>
              <w:rPr>
                <w:b/>
                <w:kern w:val="0"/>
                <w:szCs w:val="21"/>
                <w:lang w:bidi="ar"/>
              </w:rPr>
              <w:t>单元</w:t>
            </w:r>
          </w:p>
        </w:tc>
        <w:tc>
          <w:tcPr>
            <w:tcW w:w="1005" w:type="dxa"/>
            <w:noWrap w:val="0"/>
            <w:vAlign w:val="center"/>
          </w:tcPr>
          <w:p>
            <w:pPr>
              <w:spacing w:line="360" w:lineRule="exact"/>
              <w:jc w:val="center"/>
              <w:rPr>
                <w:b/>
                <w:szCs w:val="21"/>
              </w:rPr>
            </w:pPr>
            <w:r>
              <w:rPr>
                <w:b/>
                <w:kern w:val="0"/>
                <w:szCs w:val="21"/>
                <w:lang w:bidi="ar"/>
              </w:rPr>
              <w:t>污染物</w:t>
            </w:r>
          </w:p>
        </w:tc>
        <w:tc>
          <w:tcPr>
            <w:tcW w:w="923" w:type="dxa"/>
            <w:noWrap w:val="0"/>
            <w:vAlign w:val="center"/>
          </w:tcPr>
          <w:p>
            <w:pPr>
              <w:spacing w:line="360" w:lineRule="exact"/>
              <w:jc w:val="center"/>
              <w:rPr>
                <w:b/>
                <w:szCs w:val="21"/>
              </w:rPr>
            </w:pPr>
            <w:r>
              <w:rPr>
                <w:b/>
                <w:kern w:val="0"/>
                <w:szCs w:val="21"/>
                <w:lang w:bidi="ar"/>
              </w:rPr>
              <w:t>源强值</w:t>
            </w:r>
          </w:p>
          <w:p>
            <w:pPr>
              <w:spacing w:line="360" w:lineRule="exact"/>
              <w:jc w:val="center"/>
              <w:rPr>
                <w:b/>
                <w:szCs w:val="21"/>
              </w:rPr>
            </w:pPr>
            <w:r>
              <w:rPr>
                <w:b/>
                <w:kern w:val="0"/>
                <w:szCs w:val="21"/>
                <w:lang w:bidi="ar"/>
              </w:rPr>
              <w:t>（t/a）</w:t>
            </w:r>
          </w:p>
        </w:tc>
        <w:tc>
          <w:tcPr>
            <w:tcW w:w="1232" w:type="dxa"/>
            <w:noWrap w:val="0"/>
            <w:vAlign w:val="center"/>
          </w:tcPr>
          <w:p>
            <w:pPr>
              <w:spacing w:line="360" w:lineRule="exact"/>
              <w:jc w:val="center"/>
              <w:rPr>
                <w:b/>
                <w:szCs w:val="21"/>
              </w:rPr>
            </w:pPr>
            <w:r>
              <w:rPr>
                <w:b/>
                <w:kern w:val="0"/>
                <w:szCs w:val="21"/>
                <w:lang w:bidi="ar"/>
              </w:rPr>
              <w:t>面积/m</w:t>
            </w:r>
            <w:r>
              <w:rPr>
                <w:b/>
                <w:kern w:val="0"/>
                <w:szCs w:val="21"/>
                <w:vertAlign w:val="superscript"/>
                <w:lang w:bidi="ar"/>
              </w:rPr>
              <w:t>2</w:t>
            </w:r>
          </w:p>
        </w:tc>
        <w:tc>
          <w:tcPr>
            <w:tcW w:w="1385" w:type="dxa"/>
            <w:noWrap w:val="0"/>
            <w:vAlign w:val="center"/>
          </w:tcPr>
          <w:p>
            <w:pPr>
              <w:spacing w:line="360" w:lineRule="exact"/>
              <w:jc w:val="center"/>
              <w:rPr>
                <w:b/>
                <w:szCs w:val="21"/>
              </w:rPr>
            </w:pPr>
            <w:r>
              <w:rPr>
                <w:b/>
                <w:kern w:val="0"/>
                <w:szCs w:val="21"/>
                <w:lang w:bidi="ar"/>
              </w:rPr>
              <w:t>面源高度/m</w:t>
            </w:r>
          </w:p>
        </w:tc>
        <w:tc>
          <w:tcPr>
            <w:tcW w:w="1232" w:type="dxa"/>
            <w:noWrap w:val="0"/>
            <w:vAlign w:val="center"/>
          </w:tcPr>
          <w:p>
            <w:pPr>
              <w:spacing w:line="360" w:lineRule="exact"/>
              <w:jc w:val="center"/>
              <w:rPr>
                <w:b/>
                <w:szCs w:val="21"/>
              </w:rPr>
            </w:pPr>
            <w:r>
              <w:rPr>
                <w:b/>
                <w:kern w:val="0"/>
                <w:szCs w:val="21"/>
                <w:lang w:bidi="ar"/>
              </w:rPr>
              <w:t>小时标准值</w:t>
            </w:r>
          </w:p>
          <w:p>
            <w:pPr>
              <w:spacing w:line="360" w:lineRule="exact"/>
              <w:jc w:val="center"/>
              <w:rPr>
                <w:b/>
                <w:szCs w:val="21"/>
              </w:rPr>
            </w:pPr>
            <w:r>
              <w:rPr>
                <w:b/>
                <w:kern w:val="0"/>
                <w:szCs w:val="21"/>
                <w:lang w:bidi="ar"/>
              </w:rPr>
              <w:t>（mg/m</w:t>
            </w:r>
            <w:r>
              <w:rPr>
                <w:b/>
                <w:kern w:val="0"/>
                <w:szCs w:val="21"/>
                <w:vertAlign w:val="superscript"/>
                <w:lang w:bidi="ar"/>
              </w:rPr>
              <w:t>3</w:t>
            </w:r>
            <w:r>
              <w:rPr>
                <w:b/>
                <w:kern w:val="0"/>
                <w:szCs w:val="21"/>
                <w:lang w:bidi="ar"/>
              </w:rPr>
              <w:t>）</w:t>
            </w:r>
          </w:p>
        </w:tc>
        <w:tc>
          <w:tcPr>
            <w:tcW w:w="1511" w:type="dxa"/>
            <w:noWrap w:val="0"/>
            <w:vAlign w:val="center"/>
          </w:tcPr>
          <w:p>
            <w:pPr>
              <w:spacing w:line="360" w:lineRule="exact"/>
              <w:jc w:val="center"/>
              <w:rPr>
                <w:b/>
                <w:szCs w:val="21"/>
              </w:rPr>
            </w:pPr>
            <w:r>
              <w:rPr>
                <w:b/>
                <w:kern w:val="0"/>
                <w:szCs w:val="21"/>
                <w:lang w:bidi="ar"/>
              </w:rPr>
              <w:t>大气环境</w:t>
            </w:r>
          </w:p>
          <w:p>
            <w:pPr>
              <w:spacing w:line="360" w:lineRule="exact"/>
              <w:jc w:val="center"/>
              <w:rPr>
                <w:b/>
                <w:szCs w:val="21"/>
              </w:rPr>
            </w:pPr>
            <w:r>
              <w:rPr>
                <w:b/>
                <w:kern w:val="0"/>
                <w:szCs w:val="21"/>
                <w:lang w:bidi="ar"/>
              </w:rPr>
              <w:t>防护距离/m</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675" w:hRule="atLeast"/>
          <w:jc w:val="center"/>
        </w:trPr>
        <w:tc>
          <w:tcPr>
            <w:tcW w:w="1498" w:type="dxa"/>
            <w:vMerge w:val="restart"/>
            <w:noWrap w:val="0"/>
            <w:vAlign w:val="center"/>
          </w:tcPr>
          <w:p>
            <w:pPr>
              <w:spacing w:line="360" w:lineRule="exact"/>
              <w:jc w:val="center"/>
              <w:rPr>
                <w:szCs w:val="21"/>
              </w:rPr>
            </w:pPr>
            <w:r>
              <w:rPr>
                <w:kern w:val="0"/>
                <w:szCs w:val="21"/>
                <w:lang w:bidi="ar"/>
              </w:rPr>
              <w:t>整个厂区</w:t>
            </w:r>
          </w:p>
        </w:tc>
        <w:tc>
          <w:tcPr>
            <w:tcW w:w="1005" w:type="dxa"/>
            <w:noWrap w:val="0"/>
            <w:vAlign w:val="center"/>
          </w:tcPr>
          <w:p>
            <w:pPr>
              <w:spacing w:line="360" w:lineRule="exact"/>
              <w:jc w:val="center"/>
              <w:rPr>
                <w:szCs w:val="21"/>
              </w:rPr>
            </w:pPr>
            <w:r>
              <w:rPr>
                <w:kern w:val="0"/>
                <w:szCs w:val="21"/>
                <w:lang w:bidi="ar"/>
              </w:rPr>
              <w:t>NH</w:t>
            </w:r>
            <w:r>
              <w:rPr>
                <w:kern w:val="0"/>
                <w:szCs w:val="21"/>
                <w:vertAlign w:val="subscript"/>
                <w:lang w:bidi="ar"/>
              </w:rPr>
              <w:t>3</w:t>
            </w:r>
          </w:p>
        </w:tc>
        <w:tc>
          <w:tcPr>
            <w:tcW w:w="923" w:type="dxa"/>
            <w:noWrap w:val="0"/>
            <w:vAlign w:val="center"/>
          </w:tcPr>
          <w:p>
            <w:pPr>
              <w:spacing w:line="280" w:lineRule="exact"/>
              <w:jc w:val="center"/>
              <w:rPr>
                <w:rFonts w:hint="eastAsia" w:eastAsia="宋体"/>
                <w:snapToGrid w:val="0"/>
                <w:spacing w:val="-4"/>
                <w:szCs w:val="21"/>
                <w:lang w:eastAsia="zh-CN"/>
              </w:rPr>
            </w:pPr>
            <w:r>
              <w:rPr>
                <w:rFonts w:hint="eastAsia"/>
                <w:snapToGrid w:val="0"/>
                <w:spacing w:val="-4"/>
                <w:szCs w:val="21"/>
                <w:lang w:eastAsia="zh-CN"/>
              </w:rPr>
              <w:t>0.2561</w:t>
            </w:r>
          </w:p>
        </w:tc>
        <w:tc>
          <w:tcPr>
            <w:tcW w:w="1232" w:type="dxa"/>
            <w:vMerge w:val="restart"/>
            <w:noWrap w:val="0"/>
            <w:vAlign w:val="center"/>
          </w:tcPr>
          <w:p>
            <w:pPr>
              <w:spacing w:line="360" w:lineRule="exact"/>
              <w:jc w:val="center"/>
              <w:rPr>
                <w:rFonts w:hint="eastAsia" w:eastAsia="宋体"/>
                <w:szCs w:val="21"/>
                <w:lang w:eastAsia="zh-CN"/>
              </w:rPr>
            </w:pPr>
            <w:r>
              <w:rPr>
                <w:rFonts w:hint="eastAsia"/>
                <w:snapToGrid w:val="0"/>
                <w:spacing w:val="-4"/>
                <w:szCs w:val="21"/>
                <w:lang w:eastAsia="zh-CN"/>
              </w:rPr>
              <w:t>17831.57</w:t>
            </w:r>
          </w:p>
        </w:tc>
        <w:tc>
          <w:tcPr>
            <w:tcW w:w="1385" w:type="dxa"/>
            <w:vMerge w:val="restart"/>
            <w:noWrap w:val="0"/>
            <w:vAlign w:val="center"/>
          </w:tcPr>
          <w:p>
            <w:pPr>
              <w:spacing w:line="360" w:lineRule="exact"/>
              <w:jc w:val="center"/>
              <w:rPr>
                <w:szCs w:val="21"/>
              </w:rPr>
            </w:pPr>
            <w:r>
              <w:rPr>
                <w:kern w:val="0"/>
                <w:szCs w:val="21"/>
                <w:lang w:bidi="ar"/>
              </w:rPr>
              <w:t>6.0</w:t>
            </w:r>
          </w:p>
        </w:tc>
        <w:tc>
          <w:tcPr>
            <w:tcW w:w="1232" w:type="dxa"/>
            <w:noWrap w:val="0"/>
            <w:vAlign w:val="center"/>
          </w:tcPr>
          <w:p>
            <w:pPr>
              <w:spacing w:line="360" w:lineRule="exact"/>
              <w:jc w:val="center"/>
              <w:rPr>
                <w:szCs w:val="21"/>
              </w:rPr>
            </w:pPr>
            <w:r>
              <w:rPr>
                <w:kern w:val="0"/>
                <w:szCs w:val="21"/>
                <w:lang w:bidi="ar"/>
              </w:rPr>
              <w:t>0.2</w:t>
            </w:r>
          </w:p>
        </w:tc>
        <w:tc>
          <w:tcPr>
            <w:tcW w:w="1511" w:type="dxa"/>
            <w:noWrap w:val="0"/>
            <w:vAlign w:val="center"/>
          </w:tcPr>
          <w:p>
            <w:pPr>
              <w:spacing w:line="360" w:lineRule="exact"/>
              <w:jc w:val="center"/>
              <w:rPr>
                <w:szCs w:val="21"/>
              </w:rPr>
            </w:pPr>
            <w:r>
              <w:rPr>
                <w:kern w:val="0"/>
                <w:szCs w:val="21"/>
                <w:lang w:bidi="ar"/>
              </w:rPr>
              <w:t>无超标点</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28" w:type="dxa"/>
            <w:bottom w:w="0" w:type="dxa"/>
            <w:right w:w="28" w:type="dxa"/>
          </w:tblCellMar>
        </w:tblPrEx>
        <w:trPr>
          <w:trHeight w:val="675" w:hRule="atLeast"/>
          <w:jc w:val="center"/>
        </w:trPr>
        <w:tc>
          <w:tcPr>
            <w:tcW w:w="1498" w:type="dxa"/>
            <w:vMerge w:val="continue"/>
            <w:noWrap w:val="0"/>
            <w:vAlign w:val="center"/>
          </w:tcPr>
          <w:p>
            <w:pPr>
              <w:rPr>
                <w:sz w:val="20"/>
                <w:szCs w:val="20"/>
              </w:rPr>
            </w:pPr>
          </w:p>
        </w:tc>
        <w:tc>
          <w:tcPr>
            <w:tcW w:w="1005" w:type="dxa"/>
            <w:noWrap w:val="0"/>
            <w:vAlign w:val="center"/>
          </w:tcPr>
          <w:p>
            <w:pPr>
              <w:spacing w:line="360" w:lineRule="exact"/>
              <w:jc w:val="center"/>
              <w:rPr>
                <w:szCs w:val="21"/>
              </w:rPr>
            </w:pPr>
            <w:r>
              <w:rPr>
                <w:kern w:val="0"/>
                <w:szCs w:val="21"/>
                <w:lang w:bidi="ar"/>
              </w:rPr>
              <w:t>H</w:t>
            </w:r>
            <w:r>
              <w:rPr>
                <w:kern w:val="0"/>
                <w:szCs w:val="21"/>
                <w:vertAlign w:val="subscript"/>
                <w:lang w:bidi="ar"/>
              </w:rPr>
              <w:t>2</w:t>
            </w:r>
            <w:r>
              <w:rPr>
                <w:kern w:val="0"/>
                <w:szCs w:val="21"/>
                <w:lang w:bidi="ar"/>
              </w:rPr>
              <w:t>S</w:t>
            </w:r>
          </w:p>
        </w:tc>
        <w:tc>
          <w:tcPr>
            <w:tcW w:w="923" w:type="dxa"/>
            <w:noWrap w:val="0"/>
            <w:vAlign w:val="center"/>
          </w:tcPr>
          <w:p>
            <w:pPr>
              <w:spacing w:line="280" w:lineRule="exact"/>
              <w:jc w:val="center"/>
              <w:rPr>
                <w:rFonts w:hint="eastAsia" w:eastAsia="宋体"/>
                <w:snapToGrid w:val="0"/>
                <w:spacing w:val="-4"/>
                <w:szCs w:val="21"/>
                <w:lang w:eastAsia="zh-CN"/>
              </w:rPr>
            </w:pPr>
            <w:r>
              <w:rPr>
                <w:rFonts w:hint="eastAsia"/>
                <w:snapToGrid w:val="0"/>
                <w:spacing w:val="-4"/>
                <w:szCs w:val="21"/>
                <w:lang w:eastAsia="zh-CN"/>
              </w:rPr>
              <w:t>0.0175</w:t>
            </w:r>
          </w:p>
        </w:tc>
        <w:tc>
          <w:tcPr>
            <w:tcW w:w="1232" w:type="dxa"/>
            <w:vMerge w:val="continue"/>
            <w:noWrap w:val="0"/>
            <w:vAlign w:val="center"/>
          </w:tcPr>
          <w:p>
            <w:pPr>
              <w:rPr>
                <w:sz w:val="20"/>
                <w:szCs w:val="20"/>
              </w:rPr>
            </w:pPr>
          </w:p>
        </w:tc>
        <w:tc>
          <w:tcPr>
            <w:tcW w:w="1385" w:type="dxa"/>
            <w:vMerge w:val="continue"/>
            <w:noWrap w:val="0"/>
            <w:vAlign w:val="center"/>
          </w:tcPr>
          <w:p>
            <w:pPr>
              <w:rPr>
                <w:sz w:val="20"/>
                <w:szCs w:val="20"/>
              </w:rPr>
            </w:pPr>
          </w:p>
        </w:tc>
        <w:tc>
          <w:tcPr>
            <w:tcW w:w="1232" w:type="dxa"/>
            <w:noWrap w:val="0"/>
            <w:vAlign w:val="center"/>
          </w:tcPr>
          <w:p>
            <w:pPr>
              <w:spacing w:line="360" w:lineRule="exact"/>
              <w:jc w:val="center"/>
              <w:rPr>
                <w:szCs w:val="21"/>
              </w:rPr>
            </w:pPr>
            <w:r>
              <w:rPr>
                <w:kern w:val="0"/>
                <w:szCs w:val="21"/>
                <w:lang w:bidi="ar"/>
              </w:rPr>
              <w:t>0.01</w:t>
            </w:r>
          </w:p>
        </w:tc>
        <w:tc>
          <w:tcPr>
            <w:tcW w:w="1511" w:type="dxa"/>
            <w:noWrap w:val="0"/>
            <w:vAlign w:val="center"/>
          </w:tcPr>
          <w:p>
            <w:pPr>
              <w:spacing w:line="360" w:lineRule="exact"/>
              <w:jc w:val="center"/>
              <w:rPr>
                <w:szCs w:val="21"/>
              </w:rPr>
            </w:pPr>
            <w:r>
              <w:rPr>
                <w:kern w:val="0"/>
                <w:szCs w:val="21"/>
                <w:lang w:bidi="ar"/>
              </w:rPr>
              <w:t>无超标点</w:t>
            </w:r>
          </w:p>
        </w:tc>
      </w:tr>
    </w:tbl>
    <w:p>
      <w:pPr>
        <w:adjustRightInd w:val="0"/>
        <w:spacing w:line="520" w:lineRule="exact"/>
        <w:ind w:firstLine="480" w:firstLineChars="200"/>
        <w:textAlignment w:val="baseline"/>
        <w:rPr>
          <w:sz w:val="24"/>
        </w:rPr>
      </w:pPr>
      <w:r>
        <w:rPr>
          <w:kern w:val="0"/>
          <w:sz w:val="24"/>
          <w:lang w:bidi="ar"/>
        </w:rPr>
        <w:t>由上表可知，本项目无组织排放单元无需设置大气环境防护距离。</w:t>
      </w:r>
    </w:p>
    <w:p>
      <w:pPr>
        <w:adjustRightInd w:val="0"/>
        <w:snapToGrid w:val="0"/>
        <w:spacing w:line="500" w:lineRule="exact"/>
        <w:ind w:firstLine="480" w:firstLineChars="200"/>
        <w:rPr>
          <w:bCs/>
          <w:color w:val="000000"/>
          <w:sz w:val="24"/>
        </w:rPr>
      </w:pPr>
      <w:r>
        <w:rPr>
          <w:bCs/>
          <w:color w:val="000000"/>
          <w:sz w:val="24"/>
        </w:rPr>
        <w:t>（2）卫生防护距离核定</w:t>
      </w:r>
    </w:p>
    <w:p>
      <w:pPr>
        <w:adjustRightInd w:val="0"/>
        <w:snapToGrid w:val="0"/>
        <w:spacing w:line="500" w:lineRule="exact"/>
        <w:ind w:firstLine="480" w:firstLineChars="200"/>
        <w:rPr>
          <w:bCs/>
          <w:color w:val="000000"/>
          <w:sz w:val="24"/>
        </w:rPr>
      </w:pPr>
      <w:r>
        <w:rPr>
          <w:bCs/>
          <w:color w:val="000000"/>
          <w:sz w:val="24"/>
        </w:rPr>
        <w:t>依据《制定地方大气污染物排放标准的技术方法》(GB/T3840-1991)卫生防护距离确定方法，无组织排放源所在的生产单元（生产车间）与居住区之间应设置卫生防护距离，其计算公式为：</w:t>
      </w:r>
    </w:p>
    <w:p>
      <w:pPr>
        <w:adjustRightInd w:val="0"/>
        <w:snapToGrid w:val="0"/>
        <w:spacing w:line="360" w:lineRule="auto"/>
        <w:ind w:firstLine="480" w:firstLineChars="200"/>
        <w:jc w:val="center"/>
        <w:rPr>
          <w:bCs/>
          <w:color w:val="000000"/>
          <w:sz w:val="24"/>
        </w:rPr>
      </w:pPr>
      <w:r>
        <w:rPr>
          <w:color w:val="000000"/>
          <w:sz w:val="24"/>
        </w:rPr>
        <w:drawing>
          <wp:inline distT="0" distB="0" distL="114300" distR="114300">
            <wp:extent cx="2324100" cy="476250"/>
            <wp:effectExtent l="0" t="0" r="0" b="0"/>
            <wp:docPr id="6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4"/>
                    <pic:cNvPicPr>
                      <a:picLocks noChangeAspect="1"/>
                    </pic:cNvPicPr>
                  </pic:nvPicPr>
                  <pic:blipFill>
                    <a:blip r:embed="rId48"/>
                    <a:stretch>
                      <a:fillRect/>
                    </a:stretch>
                  </pic:blipFill>
                  <pic:spPr>
                    <a:xfrm>
                      <a:off x="0" y="0"/>
                      <a:ext cx="2324100" cy="476250"/>
                    </a:xfrm>
                    <a:prstGeom prst="rect">
                      <a:avLst/>
                    </a:prstGeom>
                    <a:noFill/>
                    <a:ln>
                      <a:noFill/>
                    </a:ln>
                  </pic:spPr>
                </pic:pic>
              </a:graphicData>
            </a:graphic>
          </wp:inline>
        </w:drawing>
      </w:r>
    </w:p>
    <w:p>
      <w:pPr>
        <w:adjustRightInd w:val="0"/>
        <w:snapToGrid w:val="0"/>
        <w:spacing w:line="500" w:lineRule="exact"/>
        <w:ind w:firstLine="480" w:firstLineChars="200"/>
        <w:rPr>
          <w:bCs/>
          <w:color w:val="000000"/>
          <w:sz w:val="24"/>
        </w:rPr>
      </w:pPr>
      <w:r>
        <w:rPr>
          <w:bCs/>
          <w:color w:val="000000"/>
          <w:sz w:val="24"/>
        </w:rPr>
        <w:t>式中：C</w:t>
      </w:r>
      <w:r>
        <w:rPr>
          <w:bCs/>
          <w:color w:val="000000"/>
          <w:sz w:val="24"/>
          <w:vertAlign w:val="subscript"/>
        </w:rPr>
        <w:t>m</w:t>
      </w:r>
      <w:r>
        <w:rPr>
          <w:bCs/>
          <w:color w:val="000000"/>
          <w:sz w:val="24"/>
        </w:rPr>
        <w:t>—标准浓度限值，mg/Nm</w:t>
      </w:r>
      <w:r>
        <w:rPr>
          <w:bCs/>
          <w:color w:val="000000"/>
          <w:sz w:val="24"/>
          <w:vertAlign w:val="superscript"/>
        </w:rPr>
        <w:t>3</w:t>
      </w:r>
      <w:r>
        <w:rPr>
          <w:bCs/>
          <w:color w:val="000000"/>
          <w:sz w:val="24"/>
        </w:rPr>
        <w:t>，取值分别为NH</w:t>
      </w:r>
      <w:r>
        <w:rPr>
          <w:bCs/>
          <w:color w:val="000000"/>
          <w:sz w:val="24"/>
          <w:vertAlign w:val="subscript"/>
        </w:rPr>
        <w:t>3</w:t>
      </w:r>
      <w:r>
        <w:rPr>
          <w:bCs/>
          <w:color w:val="000000"/>
          <w:sz w:val="24"/>
        </w:rPr>
        <w:t>为0.2，H</w:t>
      </w:r>
      <w:r>
        <w:rPr>
          <w:bCs/>
          <w:color w:val="000000"/>
          <w:sz w:val="24"/>
          <w:vertAlign w:val="subscript"/>
        </w:rPr>
        <w:t>2</w:t>
      </w:r>
      <w:r>
        <w:rPr>
          <w:bCs/>
          <w:color w:val="000000"/>
          <w:sz w:val="24"/>
        </w:rPr>
        <w:t>S为0.01（按居住区标准，即</w:t>
      </w:r>
      <w:r>
        <w:rPr>
          <w:rFonts w:hint="eastAsia"/>
          <w:bCs/>
          <w:color w:val="000000"/>
          <w:sz w:val="24"/>
        </w:rPr>
        <w:t>《环境影响评价技术导则 大气环境（HJ2.2-2018）》中附录D</w:t>
      </w:r>
      <w:r>
        <w:rPr>
          <w:bCs/>
          <w:color w:val="000000"/>
          <w:sz w:val="24"/>
        </w:rPr>
        <w:t>。</w:t>
      </w:r>
    </w:p>
    <w:p>
      <w:pPr>
        <w:adjustRightInd w:val="0"/>
        <w:snapToGrid w:val="0"/>
        <w:spacing w:line="500" w:lineRule="exact"/>
        <w:ind w:firstLine="1200" w:firstLineChars="500"/>
        <w:rPr>
          <w:bCs/>
          <w:color w:val="000000"/>
          <w:sz w:val="24"/>
        </w:rPr>
      </w:pPr>
      <w:r>
        <w:rPr>
          <w:bCs/>
          <w:color w:val="000000"/>
          <w:sz w:val="24"/>
        </w:rPr>
        <w:t>L—工业企业所需卫生防护距离，m。</w:t>
      </w:r>
    </w:p>
    <w:p>
      <w:pPr>
        <w:adjustRightInd w:val="0"/>
        <w:snapToGrid w:val="0"/>
        <w:spacing w:line="500" w:lineRule="exact"/>
        <w:ind w:firstLine="1200" w:firstLineChars="500"/>
        <w:rPr>
          <w:bCs/>
          <w:color w:val="000000"/>
          <w:sz w:val="24"/>
        </w:rPr>
      </w:pPr>
      <w:r>
        <w:rPr>
          <w:bCs/>
          <w:color w:val="000000"/>
          <w:sz w:val="24"/>
        </w:rPr>
        <w:t>r—有害气体无组织排放源所在生产单元的等效半径，m。根据该生产单元占地面积S(m</w:t>
      </w:r>
      <w:r>
        <w:rPr>
          <w:bCs/>
          <w:color w:val="000000"/>
          <w:sz w:val="24"/>
          <w:vertAlign w:val="superscript"/>
        </w:rPr>
        <w:t>2</w:t>
      </w:r>
      <w:r>
        <w:rPr>
          <w:bCs/>
          <w:color w:val="000000"/>
          <w:sz w:val="24"/>
        </w:rPr>
        <w:t>)计算，r=(S/</w:t>
      </w:r>
      <w:r>
        <w:rPr>
          <w:bCs/>
          <w:color w:val="000000"/>
          <w:sz w:val="24"/>
        </w:rPr>
        <w:sym w:font="Symbol" w:char="F070"/>
      </w:r>
      <w:r>
        <w:rPr>
          <w:bCs/>
          <w:color w:val="000000"/>
          <w:sz w:val="24"/>
        </w:rPr>
        <w:t>)</w:t>
      </w:r>
      <w:r>
        <w:rPr>
          <w:bCs/>
          <w:color w:val="000000"/>
          <w:sz w:val="24"/>
          <w:vertAlign w:val="superscript"/>
        </w:rPr>
        <w:t>0.5</w:t>
      </w:r>
      <w:r>
        <w:rPr>
          <w:bCs/>
          <w:color w:val="000000"/>
          <w:sz w:val="24"/>
        </w:rPr>
        <w:t>。</w:t>
      </w:r>
    </w:p>
    <w:p>
      <w:pPr>
        <w:adjustRightInd w:val="0"/>
        <w:snapToGrid w:val="0"/>
        <w:spacing w:line="500" w:lineRule="exact"/>
        <w:ind w:firstLine="1200" w:firstLineChars="500"/>
        <w:rPr>
          <w:bCs/>
          <w:color w:val="000000"/>
          <w:sz w:val="24"/>
        </w:rPr>
      </w:pPr>
      <w:r>
        <w:rPr>
          <w:bCs/>
          <w:color w:val="000000"/>
          <w:sz w:val="24"/>
        </w:rPr>
        <w:t>A，B，C，D—卫生防护距离计算系数，无因次，根据工业企业所在地区近五年平均风速及工业企业大气污染源构成类别确定；v=1.9m/s，L≤1000m，工业企业大气污染源构成类型为</w:t>
      </w:r>
      <w:r>
        <w:rPr>
          <w:bCs/>
          <w:color w:val="000000"/>
          <w:sz w:val="24"/>
        </w:rPr>
        <w:fldChar w:fldCharType="begin"/>
      </w:r>
      <w:r>
        <w:rPr>
          <w:bCs/>
          <w:color w:val="000000"/>
          <w:sz w:val="24"/>
        </w:rPr>
        <w:instrText xml:space="preserve">= 3 \* ROMAN</w:instrText>
      </w:r>
      <w:r>
        <w:rPr>
          <w:bCs/>
          <w:color w:val="000000"/>
          <w:sz w:val="24"/>
        </w:rPr>
        <w:fldChar w:fldCharType="separate"/>
      </w:r>
      <w:r>
        <w:rPr>
          <w:bCs/>
          <w:color w:val="000000"/>
          <w:sz w:val="24"/>
        </w:rPr>
        <w:t>III</w:t>
      </w:r>
      <w:r>
        <w:rPr>
          <w:bCs/>
          <w:color w:val="000000"/>
          <w:sz w:val="24"/>
        </w:rPr>
        <w:fldChar w:fldCharType="end"/>
      </w:r>
      <w:r>
        <w:rPr>
          <w:bCs/>
          <w:color w:val="000000"/>
          <w:sz w:val="24"/>
        </w:rPr>
        <w:t>类，取值A=400，B=0.010，C=1.85，D=0.78。</w:t>
      </w:r>
    </w:p>
    <w:p>
      <w:pPr>
        <w:adjustRightInd w:val="0"/>
        <w:snapToGrid w:val="0"/>
        <w:spacing w:line="500" w:lineRule="exact"/>
        <w:ind w:firstLine="1200" w:firstLineChars="500"/>
        <w:rPr>
          <w:bCs/>
          <w:color w:val="000000"/>
          <w:sz w:val="24"/>
        </w:rPr>
      </w:pPr>
      <w:r>
        <w:rPr>
          <w:bCs/>
          <w:color w:val="000000"/>
          <w:sz w:val="24"/>
        </w:rPr>
        <w:t>Q</w:t>
      </w:r>
      <w:r>
        <w:rPr>
          <w:bCs/>
          <w:color w:val="000000"/>
          <w:sz w:val="24"/>
          <w:vertAlign w:val="subscript"/>
        </w:rPr>
        <w:t>c</w:t>
      </w:r>
      <w:r>
        <w:rPr>
          <w:bCs/>
          <w:color w:val="000000"/>
          <w:sz w:val="24"/>
        </w:rPr>
        <w:t>—工业企业有害气体无组织排放量可以达到的控制水平，kg/h。</w:t>
      </w:r>
    </w:p>
    <w:p>
      <w:pPr>
        <w:spacing w:line="500" w:lineRule="exact"/>
        <w:ind w:firstLine="480" w:firstLineChars="200"/>
        <w:jc w:val="left"/>
        <w:rPr>
          <w:bCs/>
          <w:color w:val="000000"/>
          <w:sz w:val="24"/>
          <w:szCs w:val="22"/>
        </w:rPr>
      </w:pPr>
      <w:r>
        <w:rPr>
          <w:bCs/>
          <w:color w:val="000000"/>
          <w:sz w:val="24"/>
          <w:szCs w:val="22"/>
        </w:rPr>
        <w:t>依照上述公式无组织排放单元与居住区之间卫生防护距离计算参数及其结果见表</w:t>
      </w:r>
      <w:r>
        <w:rPr>
          <w:rFonts w:hint="eastAsia"/>
          <w:bCs/>
          <w:color w:val="000000"/>
          <w:sz w:val="24"/>
          <w:szCs w:val="22"/>
        </w:rPr>
        <w:t>4.2-9</w:t>
      </w:r>
      <w:r>
        <w:rPr>
          <w:bCs/>
          <w:color w:val="000000"/>
          <w:sz w:val="24"/>
          <w:szCs w:val="22"/>
        </w:rPr>
        <w:t>。</w:t>
      </w:r>
    </w:p>
    <w:p>
      <w:pPr>
        <w:jc w:val="center"/>
        <w:rPr>
          <w:b/>
          <w:color w:val="000000"/>
          <w:szCs w:val="21"/>
        </w:rPr>
      </w:pPr>
      <w:r>
        <w:rPr>
          <w:b/>
          <w:color w:val="000000"/>
          <w:szCs w:val="21"/>
        </w:rPr>
        <w:t>表</w:t>
      </w:r>
      <w:r>
        <w:rPr>
          <w:rFonts w:hint="eastAsia"/>
          <w:b/>
          <w:color w:val="000000"/>
          <w:szCs w:val="21"/>
        </w:rPr>
        <w:t>4.2-9</w:t>
      </w:r>
      <w:r>
        <w:rPr>
          <w:b/>
          <w:color w:val="000000"/>
          <w:szCs w:val="21"/>
        </w:rPr>
        <w:t xml:space="preserve">  无组织排放单元卫生防护距离计算参数及其结果</w:t>
      </w:r>
    </w:p>
    <w:tbl>
      <w:tblPr>
        <w:tblStyle w:val="17"/>
        <w:tblW w:w="894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42"/>
        <w:gridCol w:w="852"/>
        <w:gridCol w:w="850"/>
        <w:gridCol w:w="1134"/>
        <w:gridCol w:w="567"/>
        <w:gridCol w:w="710"/>
        <w:gridCol w:w="567"/>
        <w:gridCol w:w="569"/>
        <w:gridCol w:w="1417"/>
        <w:gridCol w:w="103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74" w:hRule="atLeast"/>
          <w:jc w:val="center"/>
        </w:trPr>
        <w:tc>
          <w:tcPr>
            <w:tcW w:w="1242" w:type="dxa"/>
            <w:vMerge w:val="restart"/>
            <w:noWrap w:val="0"/>
            <w:vAlign w:val="center"/>
          </w:tcPr>
          <w:p>
            <w:pPr>
              <w:spacing w:line="260" w:lineRule="exact"/>
              <w:jc w:val="center"/>
              <w:rPr>
                <w:bCs/>
                <w:color w:val="000000"/>
                <w:sz w:val="18"/>
                <w:szCs w:val="18"/>
              </w:rPr>
            </w:pPr>
            <w:r>
              <w:rPr>
                <w:bCs/>
                <w:color w:val="000000"/>
                <w:sz w:val="18"/>
                <w:szCs w:val="18"/>
              </w:rPr>
              <w:t>无组织</w:t>
            </w:r>
          </w:p>
          <w:p>
            <w:pPr>
              <w:spacing w:line="260" w:lineRule="exact"/>
              <w:jc w:val="center"/>
              <w:rPr>
                <w:bCs/>
                <w:color w:val="000000"/>
                <w:sz w:val="18"/>
                <w:szCs w:val="18"/>
              </w:rPr>
            </w:pPr>
            <w:r>
              <w:rPr>
                <w:bCs/>
                <w:color w:val="000000"/>
                <w:sz w:val="18"/>
                <w:szCs w:val="18"/>
              </w:rPr>
              <w:t>排放源</w:t>
            </w:r>
          </w:p>
        </w:tc>
        <w:tc>
          <w:tcPr>
            <w:tcW w:w="852" w:type="dxa"/>
            <w:vMerge w:val="restart"/>
            <w:noWrap w:val="0"/>
            <w:vAlign w:val="center"/>
          </w:tcPr>
          <w:p>
            <w:pPr>
              <w:spacing w:line="260" w:lineRule="exact"/>
              <w:jc w:val="center"/>
              <w:rPr>
                <w:bCs/>
                <w:color w:val="000000"/>
                <w:sz w:val="18"/>
                <w:szCs w:val="18"/>
              </w:rPr>
            </w:pPr>
            <w:r>
              <w:rPr>
                <w:bCs/>
                <w:color w:val="000000"/>
                <w:sz w:val="18"/>
                <w:szCs w:val="18"/>
              </w:rPr>
              <w:t>主要</w:t>
            </w:r>
          </w:p>
          <w:p>
            <w:pPr>
              <w:spacing w:line="260" w:lineRule="exact"/>
              <w:jc w:val="center"/>
              <w:rPr>
                <w:bCs/>
                <w:color w:val="000000"/>
                <w:sz w:val="18"/>
                <w:szCs w:val="18"/>
              </w:rPr>
            </w:pPr>
            <w:r>
              <w:rPr>
                <w:bCs/>
                <w:color w:val="000000"/>
                <w:sz w:val="18"/>
                <w:szCs w:val="18"/>
              </w:rPr>
              <w:t>污染物</w:t>
            </w:r>
          </w:p>
        </w:tc>
        <w:tc>
          <w:tcPr>
            <w:tcW w:w="850" w:type="dxa"/>
            <w:vMerge w:val="restart"/>
            <w:noWrap w:val="0"/>
            <w:vAlign w:val="center"/>
          </w:tcPr>
          <w:p>
            <w:pPr>
              <w:spacing w:line="260" w:lineRule="exact"/>
              <w:jc w:val="center"/>
              <w:rPr>
                <w:bCs/>
                <w:color w:val="000000"/>
                <w:sz w:val="18"/>
                <w:szCs w:val="18"/>
              </w:rPr>
            </w:pPr>
            <w:r>
              <w:rPr>
                <w:bCs/>
                <w:color w:val="000000"/>
                <w:sz w:val="18"/>
                <w:szCs w:val="18"/>
              </w:rPr>
              <w:t>排放量kg/h</w:t>
            </w:r>
          </w:p>
        </w:tc>
        <w:tc>
          <w:tcPr>
            <w:tcW w:w="1134" w:type="dxa"/>
            <w:vMerge w:val="restart"/>
            <w:noWrap w:val="0"/>
            <w:vAlign w:val="center"/>
          </w:tcPr>
          <w:p>
            <w:pPr>
              <w:spacing w:line="260" w:lineRule="exact"/>
              <w:jc w:val="center"/>
              <w:rPr>
                <w:bCs/>
                <w:color w:val="000000"/>
                <w:sz w:val="18"/>
                <w:szCs w:val="18"/>
              </w:rPr>
            </w:pPr>
            <w:r>
              <w:rPr>
                <w:bCs/>
                <w:color w:val="000000"/>
                <w:sz w:val="18"/>
                <w:szCs w:val="18"/>
              </w:rPr>
              <w:t>评价标准</w:t>
            </w:r>
          </w:p>
          <w:p>
            <w:pPr>
              <w:spacing w:line="260" w:lineRule="exact"/>
              <w:jc w:val="center"/>
              <w:rPr>
                <w:bCs/>
                <w:color w:val="000000"/>
                <w:sz w:val="18"/>
                <w:szCs w:val="18"/>
              </w:rPr>
            </w:pPr>
            <w:r>
              <w:rPr>
                <w:bCs/>
                <w:color w:val="000000"/>
                <w:sz w:val="18"/>
                <w:szCs w:val="18"/>
              </w:rPr>
              <w:t>mg/m</w:t>
            </w:r>
            <w:r>
              <w:rPr>
                <w:bCs/>
                <w:color w:val="000000"/>
                <w:sz w:val="18"/>
                <w:szCs w:val="18"/>
                <w:vertAlign w:val="superscript"/>
              </w:rPr>
              <w:t>3</w:t>
            </w:r>
          </w:p>
        </w:tc>
        <w:tc>
          <w:tcPr>
            <w:tcW w:w="2413" w:type="dxa"/>
            <w:gridSpan w:val="4"/>
            <w:noWrap w:val="0"/>
            <w:vAlign w:val="center"/>
          </w:tcPr>
          <w:p>
            <w:pPr>
              <w:spacing w:line="260" w:lineRule="exact"/>
              <w:jc w:val="center"/>
              <w:rPr>
                <w:bCs/>
                <w:color w:val="000000"/>
                <w:sz w:val="18"/>
                <w:szCs w:val="18"/>
              </w:rPr>
            </w:pPr>
            <w:r>
              <w:rPr>
                <w:bCs/>
                <w:color w:val="000000"/>
                <w:sz w:val="18"/>
                <w:szCs w:val="18"/>
              </w:rPr>
              <w:t>计算参数</w:t>
            </w:r>
          </w:p>
        </w:tc>
        <w:tc>
          <w:tcPr>
            <w:tcW w:w="1417" w:type="dxa"/>
            <w:vMerge w:val="restart"/>
            <w:noWrap w:val="0"/>
            <w:vAlign w:val="center"/>
          </w:tcPr>
          <w:p>
            <w:pPr>
              <w:spacing w:line="260" w:lineRule="exact"/>
              <w:jc w:val="center"/>
              <w:rPr>
                <w:bCs/>
                <w:color w:val="000000"/>
                <w:sz w:val="18"/>
                <w:szCs w:val="18"/>
              </w:rPr>
            </w:pPr>
            <w:r>
              <w:rPr>
                <w:bCs/>
                <w:color w:val="000000"/>
                <w:sz w:val="18"/>
                <w:szCs w:val="18"/>
              </w:rPr>
              <w:t>卫生防护距离</w:t>
            </w:r>
          </w:p>
          <w:p>
            <w:pPr>
              <w:spacing w:line="260" w:lineRule="exact"/>
              <w:jc w:val="center"/>
              <w:rPr>
                <w:bCs/>
                <w:color w:val="000000"/>
                <w:sz w:val="18"/>
                <w:szCs w:val="18"/>
              </w:rPr>
            </w:pPr>
            <w:r>
              <w:rPr>
                <w:bCs/>
                <w:color w:val="000000"/>
                <w:sz w:val="18"/>
                <w:szCs w:val="18"/>
              </w:rPr>
              <w:t>计算值（m）</w:t>
            </w:r>
          </w:p>
        </w:tc>
        <w:tc>
          <w:tcPr>
            <w:tcW w:w="1038" w:type="dxa"/>
            <w:vMerge w:val="restart"/>
            <w:noWrap w:val="0"/>
            <w:vAlign w:val="center"/>
          </w:tcPr>
          <w:p>
            <w:pPr>
              <w:spacing w:line="260" w:lineRule="exact"/>
              <w:jc w:val="center"/>
              <w:rPr>
                <w:bCs/>
                <w:color w:val="000000"/>
                <w:sz w:val="18"/>
                <w:szCs w:val="18"/>
              </w:rPr>
            </w:pPr>
            <w:r>
              <w:rPr>
                <w:bCs/>
                <w:color w:val="000000"/>
                <w:sz w:val="18"/>
                <w:szCs w:val="18"/>
              </w:rPr>
              <w:t>提级后</w:t>
            </w:r>
          </w:p>
          <w:p>
            <w:pPr>
              <w:spacing w:line="260" w:lineRule="exact"/>
              <w:jc w:val="center"/>
              <w:rPr>
                <w:bCs/>
                <w:color w:val="000000"/>
                <w:sz w:val="18"/>
                <w:szCs w:val="18"/>
              </w:rPr>
            </w:pPr>
            <w:r>
              <w:rPr>
                <w:bCs/>
                <w:color w:val="000000"/>
                <w:sz w:val="18"/>
                <w:szCs w:val="18"/>
              </w:rPr>
              <w:t>距离(m)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83" w:hRule="atLeast"/>
          <w:jc w:val="center"/>
        </w:trPr>
        <w:tc>
          <w:tcPr>
            <w:tcW w:w="1242" w:type="dxa"/>
            <w:vMerge w:val="continue"/>
            <w:noWrap w:val="0"/>
            <w:vAlign w:val="center"/>
          </w:tcPr>
          <w:p>
            <w:pPr>
              <w:jc w:val="center"/>
              <w:rPr>
                <w:bCs/>
                <w:color w:val="000000"/>
                <w:sz w:val="18"/>
                <w:szCs w:val="18"/>
              </w:rPr>
            </w:pPr>
          </w:p>
        </w:tc>
        <w:tc>
          <w:tcPr>
            <w:tcW w:w="852" w:type="dxa"/>
            <w:vMerge w:val="continue"/>
            <w:noWrap w:val="0"/>
            <w:vAlign w:val="center"/>
          </w:tcPr>
          <w:p>
            <w:pPr>
              <w:jc w:val="center"/>
              <w:rPr>
                <w:bCs/>
                <w:color w:val="000000"/>
                <w:sz w:val="18"/>
                <w:szCs w:val="18"/>
              </w:rPr>
            </w:pPr>
          </w:p>
        </w:tc>
        <w:tc>
          <w:tcPr>
            <w:tcW w:w="850" w:type="dxa"/>
            <w:vMerge w:val="continue"/>
            <w:noWrap w:val="0"/>
            <w:vAlign w:val="center"/>
          </w:tcPr>
          <w:p>
            <w:pPr>
              <w:jc w:val="center"/>
              <w:rPr>
                <w:bCs/>
                <w:color w:val="000000"/>
                <w:sz w:val="18"/>
                <w:szCs w:val="18"/>
              </w:rPr>
            </w:pPr>
          </w:p>
        </w:tc>
        <w:tc>
          <w:tcPr>
            <w:tcW w:w="1134" w:type="dxa"/>
            <w:vMerge w:val="continue"/>
            <w:noWrap w:val="0"/>
            <w:vAlign w:val="center"/>
          </w:tcPr>
          <w:p>
            <w:pPr>
              <w:jc w:val="center"/>
              <w:rPr>
                <w:bCs/>
                <w:color w:val="000000"/>
                <w:sz w:val="18"/>
                <w:szCs w:val="18"/>
              </w:rPr>
            </w:pPr>
          </w:p>
        </w:tc>
        <w:tc>
          <w:tcPr>
            <w:tcW w:w="567" w:type="dxa"/>
            <w:noWrap w:val="0"/>
            <w:vAlign w:val="center"/>
          </w:tcPr>
          <w:p>
            <w:pPr>
              <w:spacing w:line="320" w:lineRule="exact"/>
              <w:jc w:val="center"/>
              <w:rPr>
                <w:bCs/>
                <w:color w:val="000000"/>
                <w:sz w:val="18"/>
                <w:szCs w:val="18"/>
              </w:rPr>
            </w:pPr>
            <w:r>
              <w:rPr>
                <w:bCs/>
                <w:color w:val="000000"/>
                <w:sz w:val="18"/>
                <w:szCs w:val="18"/>
              </w:rPr>
              <w:t>A</w:t>
            </w:r>
          </w:p>
        </w:tc>
        <w:tc>
          <w:tcPr>
            <w:tcW w:w="710" w:type="dxa"/>
            <w:noWrap w:val="0"/>
            <w:vAlign w:val="center"/>
          </w:tcPr>
          <w:p>
            <w:pPr>
              <w:spacing w:line="320" w:lineRule="exact"/>
              <w:jc w:val="center"/>
              <w:rPr>
                <w:bCs/>
                <w:color w:val="000000"/>
                <w:sz w:val="18"/>
                <w:szCs w:val="18"/>
              </w:rPr>
            </w:pPr>
            <w:r>
              <w:rPr>
                <w:bCs/>
                <w:color w:val="000000"/>
                <w:sz w:val="18"/>
                <w:szCs w:val="18"/>
              </w:rPr>
              <w:t>B</w:t>
            </w:r>
          </w:p>
        </w:tc>
        <w:tc>
          <w:tcPr>
            <w:tcW w:w="567" w:type="dxa"/>
            <w:noWrap w:val="0"/>
            <w:vAlign w:val="center"/>
          </w:tcPr>
          <w:p>
            <w:pPr>
              <w:spacing w:line="320" w:lineRule="exact"/>
              <w:jc w:val="center"/>
              <w:rPr>
                <w:bCs/>
                <w:color w:val="000000"/>
                <w:sz w:val="18"/>
                <w:szCs w:val="18"/>
              </w:rPr>
            </w:pPr>
            <w:r>
              <w:rPr>
                <w:bCs/>
                <w:color w:val="000000"/>
                <w:sz w:val="18"/>
                <w:szCs w:val="18"/>
              </w:rPr>
              <w:t>C</w:t>
            </w:r>
          </w:p>
        </w:tc>
        <w:tc>
          <w:tcPr>
            <w:tcW w:w="569" w:type="dxa"/>
            <w:noWrap w:val="0"/>
            <w:vAlign w:val="center"/>
          </w:tcPr>
          <w:p>
            <w:pPr>
              <w:spacing w:line="320" w:lineRule="exact"/>
              <w:jc w:val="center"/>
              <w:rPr>
                <w:bCs/>
                <w:color w:val="000000"/>
                <w:sz w:val="18"/>
                <w:szCs w:val="18"/>
              </w:rPr>
            </w:pPr>
            <w:r>
              <w:rPr>
                <w:bCs/>
                <w:color w:val="000000"/>
                <w:sz w:val="18"/>
                <w:szCs w:val="18"/>
              </w:rPr>
              <w:t>D</w:t>
            </w:r>
          </w:p>
        </w:tc>
        <w:tc>
          <w:tcPr>
            <w:tcW w:w="1417" w:type="dxa"/>
            <w:vMerge w:val="continue"/>
            <w:noWrap w:val="0"/>
            <w:vAlign w:val="center"/>
          </w:tcPr>
          <w:p>
            <w:pPr>
              <w:spacing w:line="240" w:lineRule="atLeast"/>
              <w:jc w:val="center"/>
              <w:rPr>
                <w:bCs/>
                <w:color w:val="000000"/>
                <w:sz w:val="18"/>
                <w:szCs w:val="18"/>
              </w:rPr>
            </w:pPr>
          </w:p>
        </w:tc>
        <w:tc>
          <w:tcPr>
            <w:tcW w:w="1038" w:type="dxa"/>
            <w:vMerge w:val="continue"/>
            <w:noWrap w:val="0"/>
            <w:vAlign w:val="center"/>
          </w:tcPr>
          <w:p>
            <w:pPr>
              <w:spacing w:line="240" w:lineRule="atLeast"/>
              <w:jc w:val="center"/>
              <w:rPr>
                <w:bCs/>
                <w:color w:val="000000"/>
                <w:sz w:val="18"/>
                <w:szCs w:val="18"/>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1242" w:type="dxa"/>
            <w:vMerge w:val="restart"/>
            <w:noWrap w:val="0"/>
            <w:vAlign w:val="center"/>
          </w:tcPr>
          <w:p>
            <w:pPr>
              <w:spacing w:line="240" w:lineRule="atLeast"/>
              <w:jc w:val="center"/>
              <w:rPr>
                <w:bCs/>
                <w:color w:val="000000"/>
                <w:sz w:val="18"/>
                <w:szCs w:val="18"/>
              </w:rPr>
            </w:pPr>
            <w:r>
              <w:rPr>
                <w:bCs/>
                <w:color w:val="000000"/>
                <w:sz w:val="18"/>
                <w:szCs w:val="18"/>
              </w:rPr>
              <w:t>厂区</w:t>
            </w:r>
          </w:p>
        </w:tc>
        <w:tc>
          <w:tcPr>
            <w:tcW w:w="852" w:type="dxa"/>
            <w:noWrap w:val="0"/>
            <w:vAlign w:val="center"/>
          </w:tcPr>
          <w:p>
            <w:pPr>
              <w:jc w:val="center"/>
              <w:rPr>
                <w:bCs/>
                <w:color w:val="000000"/>
                <w:sz w:val="18"/>
                <w:szCs w:val="18"/>
              </w:rPr>
            </w:pPr>
            <w:r>
              <w:rPr>
                <w:bCs/>
                <w:color w:val="000000"/>
                <w:sz w:val="18"/>
                <w:szCs w:val="18"/>
              </w:rPr>
              <w:t>H</w:t>
            </w:r>
            <w:r>
              <w:rPr>
                <w:bCs/>
                <w:color w:val="000000"/>
                <w:sz w:val="18"/>
                <w:szCs w:val="18"/>
                <w:vertAlign w:val="subscript"/>
              </w:rPr>
              <w:t>2</w:t>
            </w:r>
            <w:r>
              <w:rPr>
                <w:bCs/>
                <w:color w:val="000000"/>
                <w:sz w:val="18"/>
                <w:szCs w:val="18"/>
              </w:rPr>
              <w:t>S</w:t>
            </w:r>
          </w:p>
        </w:tc>
        <w:tc>
          <w:tcPr>
            <w:tcW w:w="850" w:type="dxa"/>
            <w:noWrap w:val="0"/>
            <w:vAlign w:val="center"/>
          </w:tcPr>
          <w:p>
            <w:pPr>
              <w:jc w:val="center"/>
              <w:rPr>
                <w:rFonts w:hint="default" w:eastAsia="宋体"/>
                <w:bCs/>
                <w:color w:val="000000"/>
                <w:sz w:val="18"/>
                <w:szCs w:val="18"/>
                <w:lang w:val="en-US" w:eastAsia="zh-CN"/>
              </w:rPr>
            </w:pPr>
            <w:r>
              <w:rPr>
                <w:rFonts w:hint="eastAsia"/>
                <w:bCs/>
                <w:color w:val="000000"/>
                <w:sz w:val="18"/>
                <w:szCs w:val="18"/>
                <w:lang w:val="en-US" w:eastAsia="zh-CN"/>
              </w:rPr>
              <w:t>0.0059</w:t>
            </w:r>
          </w:p>
        </w:tc>
        <w:tc>
          <w:tcPr>
            <w:tcW w:w="1134" w:type="dxa"/>
            <w:noWrap w:val="0"/>
            <w:vAlign w:val="center"/>
          </w:tcPr>
          <w:p>
            <w:pPr>
              <w:jc w:val="center"/>
              <w:rPr>
                <w:bCs/>
                <w:color w:val="000000"/>
                <w:sz w:val="18"/>
                <w:szCs w:val="18"/>
              </w:rPr>
            </w:pPr>
            <w:r>
              <w:rPr>
                <w:bCs/>
                <w:color w:val="000000"/>
                <w:sz w:val="18"/>
                <w:szCs w:val="18"/>
              </w:rPr>
              <w:t>0.01</w:t>
            </w:r>
          </w:p>
        </w:tc>
        <w:tc>
          <w:tcPr>
            <w:tcW w:w="567" w:type="dxa"/>
            <w:vMerge w:val="restart"/>
            <w:noWrap w:val="0"/>
            <w:vAlign w:val="center"/>
          </w:tcPr>
          <w:p>
            <w:pPr>
              <w:jc w:val="center"/>
              <w:rPr>
                <w:rFonts w:hint="default" w:eastAsia="宋体"/>
                <w:bCs/>
                <w:color w:val="000000"/>
                <w:sz w:val="18"/>
                <w:szCs w:val="18"/>
                <w:lang w:val="en-US" w:eastAsia="zh-CN"/>
              </w:rPr>
            </w:pPr>
            <w:r>
              <w:rPr>
                <w:bCs/>
                <w:color w:val="000000"/>
                <w:sz w:val="18"/>
                <w:szCs w:val="18"/>
              </w:rPr>
              <w:t>4</w:t>
            </w:r>
            <w:r>
              <w:rPr>
                <w:rFonts w:hint="eastAsia"/>
                <w:bCs/>
                <w:color w:val="000000"/>
                <w:sz w:val="18"/>
                <w:szCs w:val="18"/>
                <w:lang w:val="en-US" w:eastAsia="zh-CN"/>
              </w:rPr>
              <w:t>50</w:t>
            </w:r>
          </w:p>
        </w:tc>
        <w:tc>
          <w:tcPr>
            <w:tcW w:w="710" w:type="dxa"/>
            <w:vMerge w:val="restart"/>
            <w:noWrap w:val="0"/>
            <w:vAlign w:val="center"/>
          </w:tcPr>
          <w:p>
            <w:pPr>
              <w:jc w:val="center"/>
              <w:rPr>
                <w:rFonts w:hint="default" w:eastAsia="宋体"/>
                <w:bCs/>
                <w:color w:val="000000"/>
                <w:sz w:val="18"/>
                <w:szCs w:val="18"/>
                <w:lang w:val="en-US" w:eastAsia="zh-CN"/>
              </w:rPr>
            </w:pPr>
            <w:r>
              <w:rPr>
                <w:bCs/>
                <w:color w:val="000000"/>
                <w:sz w:val="18"/>
                <w:szCs w:val="18"/>
              </w:rPr>
              <w:t>0.0</w:t>
            </w:r>
            <w:r>
              <w:rPr>
                <w:rFonts w:hint="eastAsia"/>
                <w:bCs/>
                <w:color w:val="000000"/>
                <w:sz w:val="18"/>
                <w:szCs w:val="18"/>
                <w:lang w:val="en-US" w:eastAsia="zh-CN"/>
              </w:rPr>
              <w:t>19</w:t>
            </w:r>
          </w:p>
        </w:tc>
        <w:tc>
          <w:tcPr>
            <w:tcW w:w="567" w:type="dxa"/>
            <w:vMerge w:val="restart"/>
            <w:noWrap w:val="0"/>
            <w:vAlign w:val="center"/>
          </w:tcPr>
          <w:p>
            <w:pPr>
              <w:jc w:val="center"/>
              <w:rPr>
                <w:rFonts w:hint="eastAsia" w:eastAsia="宋体"/>
                <w:bCs/>
                <w:color w:val="000000"/>
                <w:sz w:val="18"/>
                <w:szCs w:val="18"/>
                <w:lang w:eastAsia="zh-CN"/>
              </w:rPr>
            </w:pPr>
            <w:r>
              <w:rPr>
                <w:bCs/>
                <w:color w:val="000000"/>
                <w:sz w:val="18"/>
                <w:szCs w:val="18"/>
              </w:rPr>
              <w:t>1.8</w:t>
            </w:r>
            <w:r>
              <w:rPr>
                <w:rFonts w:hint="eastAsia"/>
                <w:bCs/>
                <w:color w:val="000000"/>
                <w:sz w:val="18"/>
                <w:szCs w:val="18"/>
                <w:lang w:val="en-US" w:eastAsia="zh-CN"/>
              </w:rPr>
              <w:t>3</w:t>
            </w:r>
          </w:p>
        </w:tc>
        <w:tc>
          <w:tcPr>
            <w:tcW w:w="569" w:type="dxa"/>
            <w:vMerge w:val="restart"/>
            <w:noWrap w:val="0"/>
            <w:vAlign w:val="center"/>
          </w:tcPr>
          <w:p>
            <w:pPr>
              <w:jc w:val="center"/>
              <w:rPr>
                <w:rFonts w:hint="eastAsia" w:eastAsia="宋体"/>
                <w:bCs/>
                <w:color w:val="000000"/>
                <w:sz w:val="18"/>
                <w:szCs w:val="18"/>
                <w:lang w:eastAsia="zh-CN"/>
              </w:rPr>
            </w:pPr>
            <w:r>
              <w:rPr>
                <w:bCs/>
                <w:color w:val="000000"/>
                <w:sz w:val="18"/>
                <w:szCs w:val="18"/>
              </w:rPr>
              <w:t>0.8</w:t>
            </w:r>
            <w:r>
              <w:rPr>
                <w:rFonts w:hint="eastAsia"/>
                <w:bCs/>
                <w:color w:val="000000"/>
                <w:sz w:val="18"/>
                <w:szCs w:val="18"/>
                <w:lang w:val="en-US" w:eastAsia="zh-CN"/>
              </w:rPr>
              <w:t>1</w:t>
            </w:r>
          </w:p>
        </w:tc>
        <w:tc>
          <w:tcPr>
            <w:tcW w:w="1417" w:type="dxa"/>
            <w:noWrap w:val="0"/>
            <w:vAlign w:val="center"/>
          </w:tcPr>
          <w:p>
            <w:pPr>
              <w:jc w:val="center"/>
              <w:rPr>
                <w:rFonts w:hint="eastAsia" w:eastAsia="宋体"/>
                <w:bCs/>
                <w:color w:val="000000"/>
                <w:sz w:val="18"/>
                <w:szCs w:val="18"/>
                <w:lang w:eastAsia="zh-CN"/>
              </w:rPr>
            </w:pPr>
            <w:r>
              <w:rPr>
                <w:rFonts w:hint="eastAsia"/>
                <w:bCs/>
                <w:color w:val="000000"/>
                <w:sz w:val="18"/>
                <w:szCs w:val="18"/>
              </w:rPr>
              <w:t>2.4</w:t>
            </w:r>
            <w:r>
              <w:rPr>
                <w:rFonts w:hint="eastAsia"/>
                <w:bCs/>
                <w:color w:val="000000"/>
                <w:sz w:val="18"/>
                <w:szCs w:val="18"/>
                <w:lang w:val="en-US" w:eastAsia="zh-CN"/>
              </w:rPr>
              <w:t>0</w:t>
            </w:r>
          </w:p>
        </w:tc>
        <w:tc>
          <w:tcPr>
            <w:tcW w:w="1038" w:type="dxa"/>
            <w:noWrap w:val="0"/>
            <w:vAlign w:val="center"/>
          </w:tcPr>
          <w:p>
            <w:pPr>
              <w:jc w:val="center"/>
              <w:rPr>
                <w:bCs/>
                <w:color w:val="000000"/>
                <w:sz w:val="18"/>
                <w:szCs w:val="18"/>
              </w:rPr>
            </w:pPr>
            <w:r>
              <w:rPr>
                <w:rFonts w:hint="eastAsia"/>
                <w:bCs/>
                <w:color w:val="000000"/>
                <w:sz w:val="18"/>
                <w:szCs w:val="18"/>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1242" w:type="dxa"/>
            <w:vMerge w:val="continue"/>
            <w:noWrap w:val="0"/>
            <w:vAlign w:val="center"/>
          </w:tcPr>
          <w:p>
            <w:pPr>
              <w:jc w:val="center"/>
              <w:rPr>
                <w:bCs/>
                <w:color w:val="000000"/>
                <w:sz w:val="18"/>
                <w:szCs w:val="18"/>
              </w:rPr>
            </w:pPr>
          </w:p>
        </w:tc>
        <w:tc>
          <w:tcPr>
            <w:tcW w:w="852" w:type="dxa"/>
            <w:noWrap w:val="0"/>
            <w:vAlign w:val="center"/>
          </w:tcPr>
          <w:p>
            <w:pPr>
              <w:jc w:val="center"/>
              <w:rPr>
                <w:bCs/>
                <w:color w:val="000000"/>
                <w:sz w:val="18"/>
                <w:szCs w:val="18"/>
              </w:rPr>
            </w:pPr>
            <w:r>
              <w:rPr>
                <w:bCs/>
                <w:color w:val="000000"/>
                <w:sz w:val="18"/>
                <w:szCs w:val="18"/>
              </w:rPr>
              <w:t>NH</w:t>
            </w:r>
            <w:r>
              <w:rPr>
                <w:bCs/>
                <w:color w:val="000000"/>
                <w:sz w:val="18"/>
                <w:szCs w:val="18"/>
                <w:vertAlign w:val="subscript"/>
              </w:rPr>
              <w:t>3</w:t>
            </w:r>
          </w:p>
        </w:tc>
        <w:tc>
          <w:tcPr>
            <w:tcW w:w="850" w:type="dxa"/>
            <w:noWrap w:val="0"/>
            <w:vAlign w:val="center"/>
          </w:tcPr>
          <w:p>
            <w:pPr>
              <w:jc w:val="center"/>
              <w:rPr>
                <w:rFonts w:hint="default" w:eastAsia="宋体"/>
                <w:bCs/>
                <w:color w:val="000000"/>
                <w:sz w:val="18"/>
                <w:szCs w:val="18"/>
                <w:lang w:val="en-US" w:eastAsia="zh-CN"/>
              </w:rPr>
            </w:pPr>
            <w:r>
              <w:rPr>
                <w:rFonts w:hint="eastAsia"/>
                <w:bCs/>
                <w:color w:val="000000"/>
                <w:sz w:val="18"/>
                <w:szCs w:val="18"/>
                <w:lang w:val="en-US" w:eastAsia="zh-CN"/>
              </w:rPr>
              <w:t>0.0877</w:t>
            </w:r>
          </w:p>
        </w:tc>
        <w:tc>
          <w:tcPr>
            <w:tcW w:w="1134" w:type="dxa"/>
            <w:noWrap w:val="0"/>
            <w:vAlign w:val="center"/>
          </w:tcPr>
          <w:p>
            <w:pPr>
              <w:jc w:val="center"/>
              <w:rPr>
                <w:bCs/>
                <w:color w:val="000000"/>
                <w:sz w:val="18"/>
                <w:szCs w:val="18"/>
              </w:rPr>
            </w:pPr>
            <w:r>
              <w:rPr>
                <w:bCs/>
                <w:color w:val="000000"/>
                <w:sz w:val="18"/>
                <w:szCs w:val="18"/>
              </w:rPr>
              <w:t>0.20</w:t>
            </w:r>
          </w:p>
        </w:tc>
        <w:tc>
          <w:tcPr>
            <w:tcW w:w="567" w:type="dxa"/>
            <w:vMerge w:val="continue"/>
            <w:noWrap w:val="0"/>
            <w:vAlign w:val="center"/>
          </w:tcPr>
          <w:p>
            <w:pPr>
              <w:jc w:val="center"/>
              <w:rPr>
                <w:bCs/>
                <w:color w:val="000000"/>
                <w:sz w:val="18"/>
                <w:szCs w:val="18"/>
              </w:rPr>
            </w:pPr>
          </w:p>
        </w:tc>
        <w:tc>
          <w:tcPr>
            <w:tcW w:w="710" w:type="dxa"/>
            <w:vMerge w:val="continue"/>
            <w:noWrap w:val="0"/>
            <w:vAlign w:val="center"/>
          </w:tcPr>
          <w:p>
            <w:pPr>
              <w:jc w:val="center"/>
              <w:rPr>
                <w:bCs/>
                <w:color w:val="000000"/>
                <w:sz w:val="18"/>
                <w:szCs w:val="18"/>
              </w:rPr>
            </w:pPr>
          </w:p>
        </w:tc>
        <w:tc>
          <w:tcPr>
            <w:tcW w:w="567" w:type="dxa"/>
            <w:vMerge w:val="continue"/>
            <w:noWrap w:val="0"/>
            <w:vAlign w:val="center"/>
          </w:tcPr>
          <w:p>
            <w:pPr>
              <w:jc w:val="center"/>
              <w:rPr>
                <w:bCs/>
                <w:color w:val="000000"/>
                <w:sz w:val="18"/>
                <w:szCs w:val="18"/>
              </w:rPr>
            </w:pPr>
          </w:p>
        </w:tc>
        <w:tc>
          <w:tcPr>
            <w:tcW w:w="569" w:type="dxa"/>
            <w:vMerge w:val="continue"/>
            <w:noWrap w:val="0"/>
            <w:vAlign w:val="center"/>
          </w:tcPr>
          <w:p>
            <w:pPr>
              <w:jc w:val="center"/>
              <w:rPr>
                <w:bCs/>
                <w:color w:val="000000"/>
                <w:sz w:val="18"/>
                <w:szCs w:val="18"/>
              </w:rPr>
            </w:pPr>
          </w:p>
        </w:tc>
        <w:tc>
          <w:tcPr>
            <w:tcW w:w="1417" w:type="dxa"/>
            <w:noWrap w:val="0"/>
            <w:vAlign w:val="center"/>
          </w:tcPr>
          <w:p>
            <w:pPr>
              <w:jc w:val="center"/>
              <w:rPr>
                <w:rFonts w:hint="default" w:eastAsia="宋体"/>
                <w:bCs/>
                <w:color w:val="000000"/>
                <w:sz w:val="18"/>
                <w:szCs w:val="18"/>
                <w:lang w:val="en-US" w:eastAsia="zh-CN"/>
              </w:rPr>
            </w:pPr>
            <w:r>
              <w:rPr>
                <w:rFonts w:hint="eastAsia"/>
                <w:bCs/>
                <w:color w:val="000000"/>
                <w:sz w:val="18"/>
                <w:szCs w:val="18"/>
              </w:rPr>
              <w:t>1.</w:t>
            </w:r>
            <w:r>
              <w:rPr>
                <w:rFonts w:hint="eastAsia"/>
                <w:bCs/>
                <w:color w:val="000000"/>
                <w:sz w:val="18"/>
                <w:szCs w:val="18"/>
                <w:lang w:val="en-US" w:eastAsia="zh-CN"/>
              </w:rPr>
              <w:t>99</w:t>
            </w:r>
          </w:p>
        </w:tc>
        <w:tc>
          <w:tcPr>
            <w:tcW w:w="1038" w:type="dxa"/>
            <w:noWrap w:val="0"/>
            <w:vAlign w:val="center"/>
          </w:tcPr>
          <w:p>
            <w:pPr>
              <w:jc w:val="center"/>
              <w:rPr>
                <w:bCs/>
                <w:color w:val="000000"/>
              </w:rPr>
            </w:pPr>
            <w:r>
              <w:rPr>
                <w:rFonts w:hint="eastAsia"/>
                <w:bCs/>
                <w:color w:val="000000"/>
              </w:rPr>
              <w:t>50</w:t>
            </w:r>
          </w:p>
        </w:tc>
      </w:tr>
    </w:tbl>
    <w:p>
      <w:pPr>
        <w:spacing w:line="460" w:lineRule="exact"/>
        <w:ind w:firstLine="480" w:firstLineChars="200"/>
        <w:rPr>
          <w:bCs/>
          <w:color w:val="000000"/>
          <w:sz w:val="24"/>
          <w:szCs w:val="22"/>
        </w:rPr>
      </w:pPr>
      <w:r>
        <w:rPr>
          <w:bCs/>
          <w:color w:val="000000"/>
          <w:sz w:val="24"/>
          <w:szCs w:val="22"/>
        </w:rPr>
        <w:t>根据《制定地方大气污染物排放标准的技术方法》规定，“无组织排放多种有害气体的工业企业，按Q</w:t>
      </w:r>
      <w:r>
        <w:rPr>
          <w:bCs/>
          <w:color w:val="000000"/>
          <w:sz w:val="24"/>
          <w:szCs w:val="22"/>
          <w:vertAlign w:val="subscript"/>
        </w:rPr>
        <w:t>c</w:t>
      </w:r>
      <w:r>
        <w:rPr>
          <w:bCs/>
          <w:color w:val="000000"/>
          <w:sz w:val="24"/>
          <w:szCs w:val="22"/>
        </w:rPr>
        <w:t>/C</w:t>
      </w:r>
      <w:r>
        <w:rPr>
          <w:bCs/>
          <w:color w:val="000000"/>
          <w:sz w:val="24"/>
          <w:szCs w:val="22"/>
          <w:vertAlign w:val="subscript"/>
        </w:rPr>
        <w:t>m</w:t>
      </w:r>
      <w:r>
        <w:rPr>
          <w:bCs/>
          <w:color w:val="000000"/>
          <w:sz w:val="24"/>
          <w:szCs w:val="22"/>
        </w:rPr>
        <w:t>的最大值计算其所需卫生防护距离；但当按两种或两种以上的有害气体的Q</w:t>
      </w:r>
      <w:r>
        <w:rPr>
          <w:bCs/>
          <w:color w:val="000000"/>
          <w:sz w:val="24"/>
          <w:szCs w:val="22"/>
          <w:vertAlign w:val="subscript"/>
        </w:rPr>
        <w:t>c</w:t>
      </w:r>
      <w:r>
        <w:rPr>
          <w:bCs/>
          <w:color w:val="000000"/>
          <w:sz w:val="24"/>
          <w:szCs w:val="22"/>
        </w:rPr>
        <w:t>/C</w:t>
      </w:r>
      <w:r>
        <w:rPr>
          <w:bCs/>
          <w:color w:val="000000"/>
          <w:sz w:val="24"/>
          <w:szCs w:val="22"/>
          <w:vertAlign w:val="subscript"/>
        </w:rPr>
        <w:t>m</w:t>
      </w:r>
      <w:r>
        <w:rPr>
          <w:bCs/>
          <w:color w:val="000000"/>
          <w:sz w:val="24"/>
          <w:szCs w:val="22"/>
        </w:rPr>
        <w:t>值计算的卫生防护距离在同一级别时，该类工业企业的卫生防护距离级别应该高一级。”</w:t>
      </w:r>
    </w:p>
    <w:p>
      <w:pPr>
        <w:spacing w:line="460" w:lineRule="exact"/>
        <w:ind w:firstLine="480" w:firstLineChars="200"/>
        <w:rPr>
          <w:bCs/>
          <w:sz w:val="24"/>
          <w:szCs w:val="22"/>
        </w:rPr>
      </w:pPr>
      <w:r>
        <w:rPr>
          <w:bCs/>
          <w:sz w:val="24"/>
          <w:szCs w:val="22"/>
        </w:rPr>
        <w:t>经计算，项目无组织排放2种有害气体，因此，场区需设置卫生防护距离为100m。</w:t>
      </w:r>
    </w:p>
    <w:p>
      <w:pPr>
        <w:adjustRightInd w:val="0"/>
        <w:snapToGrid w:val="0"/>
        <w:spacing w:line="520" w:lineRule="exact"/>
        <w:ind w:firstLine="480" w:firstLineChars="200"/>
        <w:rPr>
          <w:rFonts w:hint="eastAsia" w:hAnsi="宋体"/>
          <w:sz w:val="24"/>
        </w:rPr>
      </w:pPr>
      <w:r>
        <w:rPr>
          <w:rFonts w:hAnsi="宋体"/>
          <w:sz w:val="24"/>
        </w:rPr>
        <w:t>根据《畜禽养殖业污染防治技术规范》（HJ</w:t>
      </w:r>
      <w:r>
        <w:rPr>
          <w:rFonts w:hint="eastAsia" w:hAnsi="宋体"/>
          <w:sz w:val="24"/>
        </w:rPr>
        <w:t>/</w:t>
      </w:r>
      <w:r>
        <w:rPr>
          <w:rFonts w:hAnsi="宋体"/>
          <w:sz w:val="24"/>
        </w:rPr>
        <w:t>T81－2001）</w:t>
      </w:r>
      <w:r>
        <w:rPr>
          <w:rFonts w:hint="eastAsia" w:hAnsi="宋体"/>
          <w:sz w:val="24"/>
        </w:rPr>
        <w:t>规定：“新建改建、扩建的畜禽养殖场选址应避开禁建区域，在禁建区域附近建设的，应设在禁建区域常年主导风向的下风向或侧风向处，场界与禁建区域边界的最小距离不得小于500m”，</w:t>
      </w:r>
      <w:r>
        <w:rPr>
          <w:rFonts w:hAnsi="宋体"/>
          <w:sz w:val="24"/>
        </w:rPr>
        <w:t>最终核定项目</w:t>
      </w:r>
      <w:r>
        <w:rPr>
          <w:rFonts w:hint="eastAsia" w:hAnsi="宋体"/>
          <w:sz w:val="24"/>
        </w:rPr>
        <w:t>养殖区环境</w:t>
      </w:r>
      <w:r>
        <w:rPr>
          <w:rFonts w:hAnsi="宋体"/>
          <w:sz w:val="24"/>
        </w:rPr>
        <w:t>防护距离为500m</w:t>
      </w:r>
      <w:r>
        <w:rPr>
          <w:rFonts w:hint="eastAsia" w:hAnsi="宋体"/>
          <w:sz w:val="24"/>
        </w:rPr>
        <w:t>（环境防护</w:t>
      </w:r>
      <w:r>
        <w:rPr>
          <w:rFonts w:hAnsi="宋体"/>
          <w:sz w:val="24"/>
        </w:rPr>
        <w:t>距离包络线图见图</w:t>
      </w:r>
      <w:r>
        <w:rPr>
          <w:rFonts w:hint="eastAsia" w:hAnsi="宋体"/>
          <w:sz w:val="24"/>
        </w:rPr>
        <w:t>4</w:t>
      </w:r>
      <w:r>
        <w:rPr>
          <w:rFonts w:hAnsi="宋体"/>
          <w:sz w:val="24"/>
        </w:rPr>
        <w:t>-1</w:t>
      </w:r>
      <w:r>
        <w:rPr>
          <w:rFonts w:hint="eastAsia" w:hAnsi="宋体"/>
          <w:sz w:val="24"/>
        </w:rPr>
        <w:t>）。</w:t>
      </w:r>
      <w:r>
        <w:rPr>
          <w:rFonts w:hAnsi="宋体"/>
          <w:sz w:val="24"/>
        </w:rPr>
        <w:t>为了</w:t>
      </w:r>
      <w:r>
        <w:rPr>
          <w:rFonts w:hint="eastAsia" w:hAnsi="宋体"/>
          <w:sz w:val="24"/>
        </w:rPr>
        <w:t>保证</w:t>
      </w:r>
      <w:r>
        <w:rPr>
          <w:rFonts w:hAnsi="宋体"/>
          <w:sz w:val="24"/>
        </w:rPr>
        <w:t>其生活环境质量，建设单位在运营期间应加强</w:t>
      </w:r>
      <w:r>
        <w:rPr>
          <w:rFonts w:hint="eastAsia" w:hAnsi="宋体"/>
          <w:sz w:val="24"/>
        </w:rPr>
        <w:t>自身</w:t>
      </w:r>
      <w:r>
        <w:rPr>
          <w:rFonts w:hAnsi="宋体"/>
          <w:sz w:val="24"/>
        </w:rPr>
        <w:t>管理且</w:t>
      </w:r>
      <w:r>
        <w:rPr>
          <w:rFonts w:hint="eastAsia" w:hAnsi="宋体"/>
          <w:sz w:val="24"/>
        </w:rPr>
        <w:t>及时做好</w:t>
      </w:r>
      <w:r>
        <w:rPr>
          <w:rFonts w:hAnsi="宋体"/>
          <w:sz w:val="24"/>
        </w:rPr>
        <w:t>与周边居民的沟通</w:t>
      </w:r>
      <w:r>
        <w:rPr>
          <w:rFonts w:hint="eastAsia" w:hAnsi="宋体"/>
          <w:sz w:val="24"/>
        </w:rPr>
        <w:t>协商</w:t>
      </w:r>
      <w:r>
        <w:rPr>
          <w:rFonts w:hAnsi="宋体"/>
          <w:sz w:val="24"/>
        </w:rPr>
        <w:t>，避免矛盾</w:t>
      </w:r>
      <w:r>
        <w:rPr>
          <w:rFonts w:hint="eastAsia" w:hAnsi="宋体"/>
          <w:sz w:val="24"/>
        </w:rPr>
        <w:t>的</w:t>
      </w:r>
      <w:r>
        <w:rPr>
          <w:rFonts w:hAnsi="宋体"/>
          <w:sz w:val="24"/>
        </w:rPr>
        <w:t>发生</w:t>
      </w:r>
      <w:r>
        <w:rPr>
          <w:rFonts w:hint="eastAsia" w:hAnsi="宋体"/>
          <w:sz w:val="24"/>
        </w:rPr>
        <w:t>。</w:t>
      </w:r>
    </w:p>
    <w:p>
      <w:pPr>
        <w:adjustRightInd w:val="0"/>
        <w:snapToGrid w:val="0"/>
        <w:spacing w:line="520" w:lineRule="exact"/>
        <w:ind w:firstLine="420" w:firstLineChars="200"/>
        <w:rPr>
          <w:rFonts w:hint="eastAsia" w:hAnsi="宋体" w:eastAsia="宋体"/>
          <w:sz w:val="24"/>
          <w:lang w:eastAsia="zh-CN"/>
        </w:rPr>
      </w:pPr>
      <w:r>
        <w:rPr>
          <w:color w:val="FF0000"/>
        </w:rPr>
        <mc:AlternateContent>
          <mc:Choice Requires="wps">
            <w:drawing>
              <wp:anchor distT="0" distB="0" distL="114300" distR="114300" simplePos="0" relativeHeight="251767808" behindDoc="0" locked="0" layoutInCell="1" allowOverlap="1">
                <wp:simplePos x="0" y="0"/>
                <wp:positionH relativeFrom="column">
                  <wp:posOffset>3060065</wp:posOffset>
                </wp:positionH>
                <wp:positionV relativeFrom="paragraph">
                  <wp:posOffset>-653226405</wp:posOffset>
                </wp:positionV>
                <wp:extent cx="0" cy="310515"/>
                <wp:effectExtent l="52070" t="0" r="62230" b="13335"/>
                <wp:wrapNone/>
                <wp:docPr id="477" name="自选图形 1326"/>
                <wp:cNvGraphicFramePr/>
                <a:graphic xmlns:a="http://schemas.openxmlformats.org/drawingml/2006/main">
                  <a:graphicData uri="http://schemas.microsoft.com/office/word/2010/wordprocessingShape">
                    <wps:wsp>
                      <wps:cNvCnPr/>
                      <wps:spPr>
                        <a:xfrm flipV="1">
                          <a:off x="0" y="0"/>
                          <a:ext cx="0" cy="310515"/>
                        </a:xfrm>
                        <a:prstGeom prst="straightConnector1">
                          <a:avLst/>
                        </a:prstGeom>
                        <a:ln w="34925" cap="flat" cmpd="sng">
                          <a:solidFill>
                            <a:srgbClr val="FFFF00"/>
                          </a:solidFill>
                          <a:prstDash val="solid"/>
                          <a:headEnd type="none" w="med" len="med"/>
                          <a:tailEnd type="triangle" w="med" len="med"/>
                        </a:ln>
                      </wps:spPr>
                      <wps:bodyPr/>
                    </wps:wsp>
                  </a:graphicData>
                </a:graphic>
              </wp:anchor>
            </w:drawing>
          </mc:Choice>
          <mc:Fallback>
            <w:pict>
              <v:shape id="自选图形 1326" o:spid="_x0000_s1026" o:spt="32" type="#_x0000_t32" style="position:absolute;left:0pt;flip:y;margin-left:240.95pt;margin-top:-51435.15pt;height:24.45pt;width:0pt;z-index:251767808;mso-width-relative:page;mso-height-relative:page;" filled="f" stroked="t" coordsize="21600,21600" o:gfxdata="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K6AnD9wAAAATAQAADwAAAAAAAAABACAA&#10;AAAiAAAAZHJzL2Rvd25yZXYueG1sUEsBAhQAFAAAAAgAh07iQEbFrWEJAgAA9gMAAA4AAAAAAAAA&#10;AQAgAAAAKwEAAGRycy9lMm9Eb2MueG1sUEsFBgAAAAAGAAYAWQEAAKYFAAAAAA==&#10;">
                <v:fill on="f" focussize="0,0"/>
                <v:stroke weight="2.75pt" color="#FFFF00" joinstyle="round" endarrow="block"/>
                <v:imagedata o:title=""/>
                <o:lock v:ext="edit" aspectratio="f"/>
              </v:shape>
            </w:pict>
          </mc:Fallback>
        </mc:AlternateContent>
      </w:r>
      <w:r>
        <w:rPr>
          <w:color w:val="FF0000"/>
        </w:rPr>
        <mc:AlternateContent>
          <mc:Choice Requires="wps">
            <w:drawing>
              <wp:anchor distT="0" distB="0" distL="114300" distR="114300" simplePos="0" relativeHeight="251766784" behindDoc="0" locked="0" layoutInCell="1" allowOverlap="1">
                <wp:simplePos x="0" y="0"/>
                <wp:positionH relativeFrom="column">
                  <wp:posOffset>5107305</wp:posOffset>
                </wp:positionH>
                <wp:positionV relativeFrom="paragraph">
                  <wp:posOffset>-4172585</wp:posOffset>
                </wp:positionV>
                <wp:extent cx="457200" cy="319405"/>
                <wp:effectExtent l="0" t="0" r="0" b="0"/>
                <wp:wrapNone/>
                <wp:docPr id="476" name="矩形 1327"/>
                <wp:cNvGraphicFramePr/>
                <a:graphic xmlns:a="http://schemas.openxmlformats.org/drawingml/2006/main">
                  <a:graphicData uri="http://schemas.microsoft.com/office/word/2010/wordprocessingShape">
                    <wps:wsp>
                      <wps:cNvSpPr/>
                      <wps:spPr>
                        <a:xfrm>
                          <a:off x="0" y="0"/>
                          <a:ext cx="457200" cy="319405"/>
                        </a:xfrm>
                        <a:prstGeom prst="rect">
                          <a:avLst/>
                        </a:prstGeom>
                        <a:noFill/>
                        <a:ln>
                          <a:noFill/>
                        </a:ln>
                      </wps:spPr>
                      <wps:txbx>
                        <w:txbxContent>
                          <w:p>
                            <w:pPr>
                              <w:rPr>
                                <w:rFonts w:hint="eastAsia"/>
                                <w:color w:val="FFFF00"/>
                              </w:rPr>
                            </w:pPr>
                            <w:r>
                              <w:rPr>
                                <w:rFonts w:hint="eastAsia"/>
                                <w:color w:val="FFFF00"/>
                              </w:rPr>
                              <w:t>北</w:t>
                            </w:r>
                          </w:p>
                        </w:txbxContent>
                      </wps:txbx>
                      <wps:bodyPr upright="1"/>
                    </wps:wsp>
                  </a:graphicData>
                </a:graphic>
              </wp:anchor>
            </w:drawing>
          </mc:Choice>
          <mc:Fallback>
            <w:pict>
              <v:rect id="矩形 1327" o:spid="_x0000_s1026" o:spt="1" style="position:absolute;left:0pt;margin-left:402.15pt;margin-top:-328.55pt;height:25.15pt;width:36pt;z-index:251766784;mso-width-relative:page;mso-height-relative:page;" filled="f" stroked="f" coordsize="21600,21600" o:gfxdata="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NqJnNTdAAAA&#10;DQEAAA8AAAAAAAAAAQAgAAAAIgAAAGRycy9kb3ducmV2LnhtbFBLAQIUABQAAAAIAIdO4kAtTQyd&#10;pgEAAEUDAAAOAAAAAAAAAAEAIAAAACwBAABkcnMvZTJvRG9jLnhtbFBLBQYAAAAABgAGAFkBAABE&#10;BQAAAAA=&#10;">
                <v:fill on="f" focussize="0,0"/>
                <v:stroke on="f"/>
                <v:imagedata o:title=""/>
                <o:lock v:ext="edit" aspectratio="f"/>
                <v:textbox>
                  <w:txbxContent>
                    <w:p>
                      <w:pPr>
                        <w:rPr>
                          <w:rFonts w:hint="eastAsia"/>
                          <w:color w:val="FFFF00"/>
                        </w:rPr>
                      </w:pPr>
                      <w:r>
                        <w:rPr>
                          <w:rFonts w:hint="eastAsia"/>
                          <w:color w:val="FFFF00"/>
                        </w:rPr>
                        <w:t>北</w:t>
                      </w:r>
                    </w:p>
                  </w:txbxContent>
                </v:textbox>
              </v:rect>
            </w:pict>
          </mc:Fallback>
        </mc:AlternateContent>
      </w:r>
      <w:r>
        <w:rPr>
          <w:color w:val="FF0000"/>
        </w:rPr>
        <mc:AlternateContent>
          <mc:Choice Requires="wps">
            <w:drawing>
              <wp:anchor distT="0" distB="0" distL="114300" distR="114300" simplePos="0" relativeHeight="251765760" behindDoc="0" locked="0" layoutInCell="1" allowOverlap="1">
                <wp:simplePos x="0" y="0"/>
                <wp:positionH relativeFrom="column">
                  <wp:posOffset>2600325</wp:posOffset>
                </wp:positionH>
                <wp:positionV relativeFrom="paragraph">
                  <wp:posOffset>-1526540</wp:posOffset>
                </wp:positionV>
                <wp:extent cx="631190" cy="309880"/>
                <wp:effectExtent l="0" t="0" r="0" b="0"/>
                <wp:wrapNone/>
                <wp:docPr id="475" name="矩形 1267"/>
                <wp:cNvGraphicFramePr/>
                <a:graphic xmlns:a="http://schemas.openxmlformats.org/drawingml/2006/main">
                  <a:graphicData uri="http://schemas.microsoft.com/office/word/2010/wordprocessingShape">
                    <wps:wsp>
                      <wps:cNvSpPr/>
                      <wps:spPr>
                        <a:xfrm>
                          <a:off x="0" y="0"/>
                          <a:ext cx="631190" cy="309880"/>
                        </a:xfrm>
                        <a:prstGeom prst="rect">
                          <a:avLst/>
                        </a:prstGeom>
                        <a:noFill/>
                        <a:ln>
                          <a:noFill/>
                        </a:ln>
                      </wps:spPr>
                      <wps:txbx>
                        <w:txbxContent>
                          <w:p>
                            <w:pPr>
                              <w:rPr>
                                <w:color w:val="00B050"/>
                              </w:rPr>
                            </w:pPr>
                            <w:r>
                              <w:rPr>
                                <w:rFonts w:hint="eastAsia"/>
                                <w:color w:val="00B050"/>
                              </w:rPr>
                              <w:t>500m</w:t>
                            </w:r>
                          </w:p>
                        </w:txbxContent>
                      </wps:txbx>
                      <wps:bodyPr upright="1"/>
                    </wps:wsp>
                  </a:graphicData>
                </a:graphic>
              </wp:anchor>
            </w:drawing>
          </mc:Choice>
          <mc:Fallback>
            <w:pict>
              <v:rect id="矩形 1267" o:spid="_x0000_s1026" o:spt="1" style="position:absolute;left:0pt;margin-left:204.75pt;margin-top:-120.2pt;height:24.4pt;width:49.7pt;z-index:251765760;mso-width-relative:page;mso-height-relative:page;" filled="f" stroked="f" coordsize="21600,21600" o:gfxdata="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gKP073QAA&#10;AA0BAAAPAAAAAAAAAAEAIAAAACIAAABkcnMvZG93bnJldi54bWxQSwECFAAUAAAACACHTuJAgJfl&#10;cKcBAABFAwAADgAAAAAAAAABACAAAAAsAQAAZHJzL2Uyb0RvYy54bWxQSwUGAAAAAAYABgBZAQAA&#10;RQUAAAAA&#10;">
                <v:fill on="f" focussize="0,0"/>
                <v:stroke on="f"/>
                <v:imagedata o:title=""/>
                <o:lock v:ext="edit" aspectratio="f"/>
                <v:textbox>
                  <w:txbxContent>
                    <w:p>
                      <w:pPr>
                        <w:rPr>
                          <w:color w:val="00B050"/>
                        </w:rPr>
                      </w:pPr>
                      <w:r>
                        <w:rPr>
                          <w:rFonts w:hint="eastAsia"/>
                          <w:color w:val="00B050"/>
                        </w:rPr>
                        <w:t>500m</w:t>
                      </w:r>
                    </w:p>
                  </w:txbxContent>
                </v:textbox>
              </v:rect>
            </w:pict>
          </mc:Fallback>
        </mc:AlternateContent>
      </w:r>
      <w:r>
        <w:rPr>
          <w:color w:val="FF0000"/>
        </w:rPr>
        <mc:AlternateContent>
          <mc:Choice Requires="wps">
            <w:drawing>
              <wp:anchor distT="0" distB="0" distL="114300" distR="114300" simplePos="0" relativeHeight="251763712" behindDoc="0" locked="0" layoutInCell="1" allowOverlap="1">
                <wp:simplePos x="0" y="0"/>
                <wp:positionH relativeFrom="column">
                  <wp:posOffset>2523490</wp:posOffset>
                </wp:positionH>
                <wp:positionV relativeFrom="paragraph">
                  <wp:posOffset>-652915890</wp:posOffset>
                </wp:positionV>
                <wp:extent cx="536575" cy="977265"/>
                <wp:effectExtent l="0" t="0" r="15875" b="13335"/>
                <wp:wrapNone/>
                <wp:docPr id="473" name="自选图形 1266"/>
                <wp:cNvGraphicFramePr/>
                <a:graphic xmlns:a="http://schemas.openxmlformats.org/drawingml/2006/main">
                  <a:graphicData uri="http://schemas.microsoft.com/office/word/2010/wordprocessingShape">
                    <wps:wsp>
                      <wps:cNvCnPr/>
                      <wps:spPr>
                        <a:xfrm flipH="1">
                          <a:off x="0" y="0"/>
                          <a:ext cx="536575" cy="977265"/>
                        </a:xfrm>
                        <a:prstGeom prst="straightConnector1">
                          <a:avLst/>
                        </a:prstGeom>
                        <a:ln w="9525" cap="flat" cmpd="sng">
                          <a:solidFill>
                            <a:srgbClr val="00B050"/>
                          </a:solidFill>
                          <a:prstDash val="dash"/>
                          <a:headEnd type="triangle" w="med" len="med"/>
                          <a:tailEnd type="triangle" w="med" len="med"/>
                        </a:ln>
                      </wps:spPr>
                      <wps:bodyPr/>
                    </wps:wsp>
                  </a:graphicData>
                </a:graphic>
              </wp:anchor>
            </w:drawing>
          </mc:Choice>
          <mc:Fallback>
            <w:pict>
              <v:shape id="自选图形 1266" o:spid="_x0000_s1026" o:spt="32" type="#_x0000_t32" style="position:absolute;left:0pt;flip:x;margin-left:198.7pt;margin-top:-51410.7pt;height:76.95pt;width:42.25pt;z-index:251763712;mso-width-relative:page;mso-height-relative:page;" filled="f" stroked="t" coordsize="21600,21600" o:gfxdata="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LhzO24AAAABMBAAAPAAAAAAAA&#10;AAEAIAAAACIAAABkcnMvZG93bnJldi54bWxQSwECFAAUAAAACACHTuJAx8abwAoCAAD9AwAADgAA&#10;AAAAAAABACAAAAAvAQAAZHJzL2Uyb0RvYy54bWxQSwUGAAAAAAYABgBZAQAAqwUAAAAA&#10;">
                <v:fill on="f" focussize="0,0"/>
                <v:stroke color="#00B050" joinstyle="round" dashstyle="dash" startarrow="block" endarrow="block"/>
                <v:imagedata o:title=""/>
                <o:lock v:ext="edit" aspectratio="f"/>
              </v:shape>
            </w:pict>
          </mc:Fallback>
        </mc:AlternateContent>
      </w:r>
      <w:r>
        <w:rPr>
          <w:color w:val="FF0000"/>
        </w:rPr>
        <mc:AlternateContent>
          <mc:Choice Requires="wps">
            <w:drawing>
              <wp:anchor distT="0" distB="0" distL="114300" distR="114300" simplePos="0" relativeHeight="251764736" behindDoc="0" locked="0" layoutInCell="1" allowOverlap="1">
                <wp:simplePos x="0" y="0"/>
                <wp:positionH relativeFrom="column">
                  <wp:posOffset>3622675</wp:posOffset>
                </wp:positionH>
                <wp:positionV relativeFrom="paragraph">
                  <wp:posOffset>-871855</wp:posOffset>
                </wp:positionV>
                <wp:extent cx="1725295" cy="297815"/>
                <wp:effectExtent l="5080" t="724535" r="22225" b="6350"/>
                <wp:wrapNone/>
                <wp:docPr id="474" name="自选图形 1268"/>
                <wp:cNvGraphicFramePr/>
                <a:graphic xmlns:a="http://schemas.openxmlformats.org/drawingml/2006/main">
                  <a:graphicData uri="http://schemas.microsoft.com/office/word/2010/wordprocessingShape">
                    <wps:wsp>
                      <wps:cNvSpPr/>
                      <wps:spPr>
                        <a:xfrm>
                          <a:off x="0" y="0"/>
                          <a:ext cx="1725295" cy="297815"/>
                        </a:xfrm>
                        <a:prstGeom prst="wedgeRoundRectCallout">
                          <a:avLst>
                            <a:gd name="adj1" fmla="val -27403"/>
                            <a:gd name="adj2" fmla="val -287736"/>
                            <a:gd name="adj3" fmla="val 16667"/>
                          </a:avLst>
                        </a:prstGeom>
                        <a:noFill/>
                        <a:ln w="9525" cap="flat" cmpd="sng">
                          <a:solidFill>
                            <a:srgbClr val="00B0F0"/>
                          </a:solidFill>
                          <a:prstDash val="solid"/>
                          <a:miter/>
                          <a:headEnd type="none" w="med" len="med"/>
                          <a:tailEnd type="none" w="med" len="med"/>
                        </a:ln>
                      </wps:spPr>
                      <wps:txbx>
                        <w:txbxContent>
                          <w:p>
                            <w:pPr>
                              <w:rPr>
                                <w:rFonts w:hint="eastAsia"/>
                                <w:color w:val="00B050"/>
                              </w:rPr>
                            </w:pPr>
                            <w:r>
                              <w:rPr>
                                <w:rFonts w:hint="eastAsia"/>
                                <w:color w:val="00B050"/>
                              </w:rPr>
                              <w:t>500m防护距离</w:t>
                            </w:r>
                            <w:r>
                              <w:rPr>
                                <w:color w:val="00B050"/>
                              </w:rPr>
                              <w:t>包络线图</w:t>
                            </w:r>
                          </w:p>
                        </w:txbxContent>
                      </wps:txbx>
                      <wps:bodyPr upright="1"/>
                    </wps:wsp>
                  </a:graphicData>
                </a:graphic>
              </wp:anchor>
            </w:drawing>
          </mc:Choice>
          <mc:Fallback>
            <w:pict>
              <v:shape id="自选图形 1268" o:spid="_x0000_s1026" o:spt="62" type="#_x0000_t62" style="position:absolute;left:0pt;margin-left:285.25pt;margin-top:-68.65pt;height:23.45pt;width:135.85pt;z-index:251764736;mso-width-relative:page;mso-height-relative:page;" filled="f" stroked="t" coordsize="21600,21600" o:gfxdata="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w24+e3QAAAAwBAAAP&#10;AAAAAAAAAAEAIAAAACIAAABkcnMvZG93bnJldi54bWxQSwECFAAUAAAACACHTuJATUry8EwCAACU&#10;BAAADgAAAAAAAAABACAAAAAsAQAAZHJzL2Uyb0RvYy54bWxQSwUGAAAAAAYABgBZAQAA6gUAAAAA&#10;" adj="4881,-51351,14400">
                <v:fill on="f" focussize="0,0"/>
                <v:stroke color="#00B0F0" joinstyle="miter"/>
                <v:imagedata o:title=""/>
                <o:lock v:ext="edit" aspectratio="f"/>
                <v:textbox>
                  <w:txbxContent>
                    <w:p>
                      <w:pPr>
                        <w:rPr>
                          <w:rFonts w:hint="eastAsia"/>
                          <w:color w:val="00B050"/>
                        </w:rPr>
                      </w:pPr>
                      <w:r>
                        <w:rPr>
                          <w:rFonts w:hint="eastAsia"/>
                          <w:color w:val="00B050"/>
                        </w:rPr>
                        <w:t>500m防护距离</w:t>
                      </w:r>
                      <w:r>
                        <w:rPr>
                          <w:color w:val="00B050"/>
                        </w:rPr>
                        <w:t>包络线图</w:t>
                      </w:r>
                    </w:p>
                  </w:txbxContent>
                </v:textbox>
              </v:shape>
            </w:pict>
          </mc:Fallback>
        </mc:AlternateContent>
      </w:r>
      <w:r>
        <w:rPr>
          <w:color w:val="FF0000"/>
        </w:rPr>
        <mc:AlternateContent>
          <mc:Choice Requires="wps">
            <w:drawing>
              <wp:anchor distT="0" distB="0" distL="114300" distR="114300" simplePos="0" relativeHeight="251762688" behindDoc="0" locked="0" layoutInCell="1" allowOverlap="1">
                <wp:simplePos x="0" y="0"/>
                <wp:positionH relativeFrom="column">
                  <wp:posOffset>2837815</wp:posOffset>
                </wp:positionH>
                <wp:positionV relativeFrom="paragraph">
                  <wp:posOffset>-653082260</wp:posOffset>
                </wp:positionV>
                <wp:extent cx="222250" cy="166370"/>
                <wp:effectExtent l="0" t="0" r="6350" b="5080"/>
                <wp:wrapNone/>
                <wp:docPr id="472" name="自选图形 1336"/>
                <wp:cNvGraphicFramePr/>
                <a:graphic xmlns:a="http://schemas.openxmlformats.org/drawingml/2006/main">
                  <a:graphicData uri="http://schemas.microsoft.com/office/word/2010/wordprocessingShape">
                    <wps:wsp>
                      <wps:cNvCnPr/>
                      <wps:spPr>
                        <a:xfrm flipH="1" flipV="1">
                          <a:off x="0" y="0"/>
                          <a:ext cx="222250" cy="166370"/>
                        </a:xfrm>
                        <a:prstGeom prst="straightConnector1">
                          <a:avLst/>
                        </a:prstGeom>
                        <a:ln w="9525" cap="flat" cmpd="sng">
                          <a:solidFill>
                            <a:srgbClr val="FFFF00"/>
                          </a:solidFill>
                          <a:prstDash val="dash"/>
                          <a:headEnd type="triangle" w="med" len="med"/>
                          <a:tailEnd type="triangle" w="med" len="med"/>
                        </a:ln>
                      </wps:spPr>
                      <wps:bodyPr/>
                    </wps:wsp>
                  </a:graphicData>
                </a:graphic>
              </wp:anchor>
            </w:drawing>
          </mc:Choice>
          <mc:Fallback>
            <w:pict>
              <v:shape id="自选图形 1336" o:spid="_x0000_s1026" o:spt="32" type="#_x0000_t32" style="position:absolute;left:0pt;flip:x y;margin-left:223.45pt;margin-top:-51423.8pt;height:13.1pt;width:17.5pt;z-index:251762688;mso-width-relative:page;mso-height-relative:page;" filled="f" stroked="t" coordsize="21600,21600" o:gfxdata="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1mu76N4AAAATAQAADwAAAAAAAAAB&#10;ACAAAAAiAAAAZHJzL2Rvd25yZXYueG1sUEsBAhQAFAAAAAgAh07iQEOiAesKAgAABwQAAA4AAAAA&#10;AAAAAQAgAAAALQEAAGRycy9lMm9Eb2MueG1sUEsFBgAAAAAGAAYAWQEAAKkFAAAAAA==&#10;">
                <v:fill on="f" focussize="0,0"/>
                <v:stroke color="#FFFF00" joinstyle="round" dashstyle="dash" startarrow="block" endarrow="block"/>
                <v:imagedata o:title=""/>
                <o:lock v:ext="edit" aspectratio="f"/>
              </v:shape>
            </w:pict>
          </mc:Fallback>
        </mc:AlternateContent>
      </w:r>
      <w:r>
        <w:rPr>
          <w:color w:val="FF0000"/>
        </w:rPr>
        <mc:AlternateContent>
          <mc:Choice Requires="wps">
            <w:drawing>
              <wp:anchor distT="0" distB="0" distL="114300" distR="114300" simplePos="0" relativeHeight="251761664" behindDoc="0" locked="0" layoutInCell="1" allowOverlap="1">
                <wp:simplePos x="0" y="0"/>
                <wp:positionH relativeFrom="column">
                  <wp:posOffset>2145665</wp:posOffset>
                </wp:positionH>
                <wp:positionV relativeFrom="paragraph">
                  <wp:posOffset>-2812415</wp:posOffset>
                </wp:positionV>
                <wp:extent cx="592455" cy="274955"/>
                <wp:effectExtent l="0" t="0" r="0" b="0"/>
                <wp:wrapNone/>
                <wp:docPr id="471" name="矩形 1337"/>
                <wp:cNvGraphicFramePr/>
                <a:graphic xmlns:a="http://schemas.openxmlformats.org/drawingml/2006/main">
                  <a:graphicData uri="http://schemas.microsoft.com/office/word/2010/wordprocessingShape">
                    <wps:wsp>
                      <wps:cNvSpPr/>
                      <wps:spPr>
                        <a:xfrm>
                          <a:off x="0" y="0"/>
                          <a:ext cx="592455" cy="274955"/>
                        </a:xfrm>
                        <a:prstGeom prst="rect">
                          <a:avLst/>
                        </a:prstGeom>
                        <a:noFill/>
                        <a:ln>
                          <a:noFill/>
                        </a:ln>
                      </wps:spPr>
                      <wps:txbx>
                        <w:txbxContent>
                          <w:p>
                            <w:pPr>
                              <w:rPr>
                                <w:color w:val="FFFF00"/>
                              </w:rPr>
                            </w:pPr>
                            <w:r>
                              <w:rPr>
                                <w:color w:val="FFFF00"/>
                              </w:rPr>
                              <w:t>1</w:t>
                            </w:r>
                            <w:r>
                              <w:rPr>
                                <w:rFonts w:hint="eastAsia"/>
                                <w:color w:val="FFFF00"/>
                              </w:rPr>
                              <w:t>00m</w:t>
                            </w:r>
                          </w:p>
                        </w:txbxContent>
                      </wps:txbx>
                      <wps:bodyPr upright="1"/>
                    </wps:wsp>
                  </a:graphicData>
                </a:graphic>
              </wp:anchor>
            </w:drawing>
          </mc:Choice>
          <mc:Fallback>
            <w:pict>
              <v:rect id="矩形 1337" o:spid="_x0000_s1026" o:spt="1" style="position:absolute;left:0pt;margin-left:168.95pt;margin-top:-221.45pt;height:21.65pt;width:46.65pt;z-index:251761664;mso-width-relative:page;mso-height-relative:page;" filled="f" stroked="f" coordsize="21600,21600" o:gfxdata="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OtwCjzdAAAA&#10;DQEAAA8AAAAAAAAAAQAgAAAAIgAAAGRycy9kb3ducmV2LnhtbFBLAQIUABQAAAAIAIdO4kCJQ2bF&#10;pgEAAEUDAAAOAAAAAAAAAAEAIAAAACwBAABkcnMvZTJvRG9jLnhtbFBLBQYAAAAABgAGAFkBAABE&#10;BQAAAAA=&#10;">
                <v:fill on="f" focussize="0,0"/>
                <v:stroke on="f"/>
                <v:imagedata o:title=""/>
                <o:lock v:ext="edit" aspectratio="f"/>
                <v:textbox>
                  <w:txbxContent>
                    <w:p>
                      <w:pPr>
                        <w:rPr>
                          <w:color w:val="FFFF00"/>
                        </w:rPr>
                      </w:pPr>
                      <w:r>
                        <w:rPr>
                          <w:color w:val="FFFF00"/>
                        </w:rPr>
                        <w:t>1</w:t>
                      </w:r>
                      <w:r>
                        <w:rPr>
                          <w:rFonts w:hint="eastAsia"/>
                          <w:color w:val="FFFF00"/>
                        </w:rPr>
                        <w:t>00m</w:t>
                      </w:r>
                    </w:p>
                  </w:txbxContent>
                </v:textbox>
              </v:rect>
            </w:pict>
          </mc:Fallback>
        </mc:AlternateContent>
      </w:r>
      <w:r>
        <w:rPr>
          <w:color w:val="FF0000"/>
        </w:rPr>
        <mc:AlternateContent>
          <mc:Choice Requires="wps">
            <w:drawing>
              <wp:anchor distT="0" distB="0" distL="114300" distR="114300" simplePos="0" relativeHeight="251759616" behindDoc="0" locked="0" layoutInCell="1" allowOverlap="1">
                <wp:simplePos x="0" y="0"/>
                <wp:positionH relativeFrom="column">
                  <wp:posOffset>111760</wp:posOffset>
                </wp:positionH>
                <wp:positionV relativeFrom="paragraph">
                  <wp:posOffset>-3470910</wp:posOffset>
                </wp:positionV>
                <wp:extent cx="1725295" cy="287020"/>
                <wp:effectExtent l="5080" t="5080" r="365125" b="774700"/>
                <wp:wrapNone/>
                <wp:docPr id="469" name="自选图形 1338"/>
                <wp:cNvGraphicFramePr/>
                <a:graphic xmlns:a="http://schemas.openxmlformats.org/drawingml/2006/main">
                  <a:graphicData uri="http://schemas.microsoft.com/office/word/2010/wordprocessingShape">
                    <wps:wsp>
                      <wps:cNvSpPr/>
                      <wps:spPr>
                        <a:xfrm>
                          <a:off x="0" y="0"/>
                          <a:ext cx="1725295" cy="287020"/>
                        </a:xfrm>
                        <a:prstGeom prst="wedgeRoundRectCallout">
                          <a:avLst>
                            <a:gd name="adj1" fmla="val 69065"/>
                            <a:gd name="adj2" fmla="val 310620"/>
                            <a:gd name="adj3" fmla="val 16667"/>
                          </a:avLst>
                        </a:prstGeom>
                        <a:noFill/>
                        <a:ln w="9525" cap="flat" cmpd="sng">
                          <a:solidFill>
                            <a:srgbClr val="FFFF00"/>
                          </a:solidFill>
                          <a:prstDash val="solid"/>
                          <a:miter/>
                          <a:headEnd type="none" w="med" len="med"/>
                          <a:tailEnd type="none" w="med" len="med"/>
                        </a:ln>
                      </wps:spPr>
                      <wps:txbx>
                        <w:txbxContent>
                          <w:p>
                            <w:pPr>
                              <w:rPr>
                                <w:rFonts w:hint="eastAsia"/>
                                <w:color w:val="FFFF00"/>
                              </w:rPr>
                            </w:pPr>
                            <w:r>
                              <w:rPr>
                                <w:color w:val="FFFF00"/>
                              </w:rPr>
                              <w:t>1</w:t>
                            </w:r>
                            <w:r>
                              <w:rPr>
                                <w:rFonts w:hint="eastAsia"/>
                                <w:color w:val="FFFF00"/>
                              </w:rPr>
                              <w:t>00m防护距离</w:t>
                            </w:r>
                            <w:r>
                              <w:rPr>
                                <w:color w:val="FFFF00"/>
                              </w:rPr>
                              <w:t>包络线图</w:t>
                            </w:r>
                          </w:p>
                        </w:txbxContent>
                      </wps:txbx>
                      <wps:bodyPr upright="1"/>
                    </wps:wsp>
                  </a:graphicData>
                </a:graphic>
              </wp:anchor>
            </w:drawing>
          </mc:Choice>
          <mc:Fallback>
            <w:pict>
              <v:shape id="自选图形 1338" o:spid="_x0000_s1026" o:spt="62" type="#_x0000_t62" style="position:absolute;left:0pt;margin-left:8.8pt;margin-top:-273.3pt;height:22.6pt;width:135.85pt;z-index:251759616;mso-width-relative:page;mso-height-relative:page;" filled="f" stroked="t" coordsize="21600,21600" o:gfxdata="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JgqNvaAAAADAEAAA8AAAAA&#10;AAAAAQAgAAAAIgAAAGRycy9kb3ducmV2LnhtbFBLAQIUABQAAAAIAIdO4kC9yfY6SwIAAJIEAAAO&#10;AAAAAAAAAAEAIAAAACkBAABkcnMvZTJvRG9jLnhtbFBLBQYAAAAABgAGAFkBAADmBQAAAAA=&#10;" adj="25718,77894,14400">
                <v:fill on="f" focussize="0,0"/>
                <v:stroke color="#FFFF00" joinstyle="miter"/>
                <v:imagedata o:title=""/>
                <o:lock v:ext="edit" aspectratio="f"/>
                <v:textbox>
                  <w:txbxContent>
                    <w:p>
                      <w:pPr>
                        <w:rPr>
                          <w:rFonts w:hint="eastAsia"/>
                          <w:color w:val="FFFF00"/>
                        </w:rPr>
                      </w:pPr>
                      <w:r>
                        <w:rPr>
                          <w:color w:val="FFFF00"/>
                        </w:rPr>
                        <w:t>1</w:t>
                      </w:r>
                      <w:r>
                        <w:rPr>
                          <w:rFonts w:hint="eastAsia"/>
                          <w:color w:val="FFFF00"/>
                        </w:rPr>
                        <w:t>00m防护距离</w:t>
                      </w:r>
                      <w:r>
                        <w:rPr>
                          <w:color w:val="FFFF00"/>
                        </w:rPr>
                        <w:t>包络线图</w:t>
                      </w:r>
                    </w:p>
                  </w:txbxContent>
                </v:textbox>
              </v:shape>
            </w:pict>
          </mc:Fallback>
        </mc:AlternateContent>
      </w:r>
      <w:r>
        <w:rPr>
          <w:sz w:val="24"/>
        </w:rPr>
        <mc:AlternateContent>
          <mc:Choice Requires="wps">
            <w:drawing>
              <wp:anchor distT="0" distB="0" distL="114300" distR="114300" simplePos="0" relativeHeight="251760640" behindDoc="0" locked="0" layoutInCell="1" allowOverlap="1">
                <wp:simplePos x="0" y="0"/>
                <wp:positionH relativeFrom="column">
                  <wp:posOffset>2183765</wp:posOffset>
                </wp:positionH>
                <wp:positionV relativeFrom="paragraph">
                  <wp:posOffset>-2664460</wp:posOffset>
                </wp:positionV>
                <wp:extent cx="1283970" cy="1056005"/>
                <wp:effectExtent l="4445" t="4445" r="6985" b="6350"/>
                <wp:wrapNone/>
                <wp:docPr id="470" name="任意多边形 2181"/>
                <wp:cNvGraphicFramePr/>
                <a:graphic xmlns:a="http://schemas.openxmlformats.org/drawingml/2006/main">
                  <a:graphicData uri="http://schemas.microsoft.com/office/word/2010/wordprocessingShape">
                    <wps:wsp>
                      <wps:cNvSpPr/>
                      <wps:spPr>
                        <a:xfrm>
                          <a:off x="0" y="0"/>
                          <a:ext cx="1283970" cy="1056005"/>
                        </a:xfrm>
                        <a:custGeom>
                          <a:avLst/>
                          <a:gdLst/>
                          <a:ahLst/>
                          <a:cxnLst/>
                          <a:pathLst>
                            <a:path w="1228" h="872">
                              <a:moveTo>
                                <a:pt x="0" y="190"/>
                              </a:moveTo>
                              <a:lnTo>
                                <a:pt x="137" y="872"/>
                              </a:lnTo>
                              <a:lnTo>
                                <a:pt x="1228" y="669"/>
                              </a:lnTo>
                              <a:lnTo>
                                <a:pt x="996" y="0"/>
                              </a:lnTo>
                              <a:lnTo>
                                <a:pt x="0" y="190"/>
                              </a:lnTo>
                              <a:close/>
                            </a:path>
                          </a:pathLst>
                        </a:custGeom>
                        <a:noFill/>
                        <a:ln w="9525" cap="flat" cmpd="sng">
                          <a:solidFill>
                            <a:srgbClr val="FFFF00"/>
                          </a:solidFill>
                          <a:prstDash val="solid"/>
                          <a:headEnd type="none" w="med" len="med"/>
                          <a:tailEnd type="none" w="med" len="med"/>
                        </a:ln>
                      </wps:spPr>
                      <wps:bodyPr upright="1"/>
                    </wps:wsp>
                  </a:graphicData>
                </a:graphic>
              </wp:anchor>
            </w:drawing>
          </mc:Choice>
          <mc:Fallback>
            <w:pict>
              <v:shape id="任意多边形 2181" o:spid="_x0000_s1026" o:spt="100" style="position:absolute;left:0pt;margin-left:171.95pt;margin-top:-209.8pt;height:83.15pt;width:101.1pt;z-index:251760640;mso-width-relative:page;mso-height-relative:page;" filled="f" stroked="t" coordsize="1228,872" o:gfxdata="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AuHQT23QAAAA0BAAAPAAAAAAAAAAEAIAAAACIAAABkcnMvZG93bnJldi54&#10;bWxQSwECFAAUAAAACACHTuJAZPg5GmcCAAAXBQAADgAAAAAAAAABACAAAAAsAQAAZHJzL2Uyb0Rv&#10;Yy54bWxQSwUGAAAAAAYABgBZAQAABQYAAAAA&#10;" path="m0,190l137,872,1228,669,996,0,0,190xe">
                <v:fill on="f" focussize="0,0"/>
                <v:stroke color="#FFFF00" joinstyle="round"/>
                <v:imagedata o:title=""/>
                <o:lock v:ext="edit" aspectratio="f"/>
              </v:shape>
            </w:pict>
          </mc:Fallback>
        </mc:AlternateContent>
      </w:r>
      <w:r>
        <w:rPr>
          <w:sz w:val="24"/>
        </w:rPr>
        <mc:AlternateContent>
          <mc:Choice Requires="wps">
            <w:drawing>
              <wp:anchor distT="0" distB="0" distL="114300" distR="114300" simplePos="0" relativeHeight="251758592" behindDoc="0" locked="0" layoutInCell="1" allowOverlap="1">
                <wp:simplePos x="0" y="0"/>
                <wp:positionH relativeFrom="column">
                  <wp:posOffset>1445260</wp:posOffset>
                </wp:positionH>
                <wp:positionV relativeFrom="paragraph">
                  <wp:posOffset>-3543935</wp:posOffset>
                </wp:positionV>
                <wp:extent cx="2696845" cy="2706370"/>
                <wp:effectExtent l="4445" t="4445" r="22860" b="13335"/>
                <wp:wrapNone/>
                <wp:docPr id="468" name="椭圆 2179"/>
                <wp:cNvGraphicFramePr/>
                <a:graphic xmlns:a="http://schemas.openxmlformats.org/drawingml/2006/main">
                  <a:graphicData uri="http://schemas.microsoft.com/office/word/2010/wordprocessingShape">
                    <wps:wsp>
                      <wps:cNvSpPr/>
                      <wps:spPr>
                        <a:xfrm>
                          <a:off x="0" y="0"/>
                          <a:ext cx="2696845" cy="2706370"/>
                        </a:xfrm>
                        <a:prstGeom prst="ellipse">
                          <a:avLst/>
                        </a:prstGeom>
                        <a:noFill/>
                        <a:ln w="9525" cap="flat" cmpd="sng">
                          <a:solidFill>
                            <a:srgbClr val="00B0F0"/>
                          </a:solidFill>
                          <a:prstDash val="solid"/>
                          <a:headEnd type="none" w="med" len="med"/>
                          <a:tailEnd type="none" w="med" len="med"/>
                        </a:ln>
                      </wps:spPr>
                      <wps:bodyPr upright="1"/>
                    </wps:wsp>
                  </a:graphicData>
                </a:graphic>
              </wp:anchor>
            </w:drawing>
          </mc:Choice>
          <mc:Fallback>
            <w:pict>
              <v:shape id="椭圆 2179" o:spid="_x0000_s1026" o:spt="3" type="#_x0000_t3" style="position:absolute;left:0pt;margin-left:113.8pt;margin-top:-279.05pt;height:213.1pt;width:212.35pt;z-index:251758592;mso-width-relative:page;mso-height-relative:page;" filled="f" stroked="t" coordsize="21600,21600" o:gfxdata="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HULLl3cAAAADQEAAA8AAAAAAAAAAQAgAAAAIgAAAGRycy9kb3du&#10;cmV2LnhtbFBLAQIUABQAAAAIAIdO4kDVv+6e+wEAAPQDAAAOAAAAAAAAAAEAIAAAACsBAABkcnMv&#10;ZTJvRG9jLnhtbFBLBQYAAAAABgAGAFkBAACYBQAAAAA=&#10;">
                <v:fill on="f" focussize="0,0"/>
                <v:stroke color="#00B0F0" joinstyle="round"/>
                <v:imagedata o:title=""/>
                <o:lock v:ext="edit" aspectratio="f"/>
              </v:shape>
            </w:pict>
          </mc:Fallback>
        </mc:AlternateContent>
      </w:r>
      <w:r>
        <w:rPr>
          <w:rFonts w:hint="eastAsia" w:hAnsi="宋体" w:eastAsia="宋体"/>
          <w:sz w:val="24"/>
          <w:lang w:eastAsia="zh-CN"/>
        </w:rPr>
        <w:drawing>
          <wp:anchor distT="0" distB="0" distL="114300" distR="114300" simplePos="0" relativeHeight="251756544" behindDoc="1" locked="0" layoutInCell="1" allowOverlap="1">
            <wp:simplePos x="0" y="0"/>
            <wp:positionH relativeFrom="column">
              <wp:posOffset>-102235</wp:posOffset>
            </wp:positionH>
            <wp:positionV relativeFrom="paragraph">
              <wp:posOffset>238125</wp:posOffset>
            </wp:positionV>
            <wp:extent cx="5678170" cy="4272280"/>
            <wp:effectExtent l="0" t="0" r="17780" b="13970"/>
            <wp:wrapTight wrapText="bothSides">
              <wp:wrapPolygon>
                <wp:start x="0" y="0"/>
                <wp:lineTo x="0" y="21478"/>
                <wp:lineTo x="21523" y="21478"/>
                <wp:lineTo x="21523" y="0"/>
                <wp:lineTo x="0" y="0"/>
              </wp:wrapPolygon>
            </wp:wrapTight>
            <wp:docPr id="79" name="图片 2176" descr="屏幕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176" descr="屏幕截图"/>
                    <pic:cNvPicPr>
                      <a:picLocks noChangeAspect="1"/>
                    </pic:cNvPicPr>
                  </pic:nvPicPr>
                  <pic:blipFill>
                    <a:blip r:embed="rId49"/>
                    <a:srcRect l="15471" r="22038"/>
                    <a:stretch>
                      <a:fillRect/>
                    </a:stretch>
                  </pic:blipFill>
                  <pic:spPr>
                    <a:xfrm>
                      <a:off x="0" y="0"/>
                      <a:ext cx="5678170" cy="4272280"/>
                    </a:xfrm>
                    <a:prstGeom prst="rect">
                      <a:avLst/>
                    </a:prstGeom>
                    <a:noFill/>
                    <a:ln>
                      <a:noFill/>
                    </a:ln>
                  </pic:spPr>
                </pic:pic>
              </a:graphicData>
            </a:graphic>
          </wp:anchor>
        </w:drawing>
      </w:r>
      <w:r>
        <w:rPr>
          <w:sz w:val="24"/>
        </w:rPr>
        <mc:AlternateContent>
          <mc:Choice Requires="wps">
            <w:drawing>
              <wp:anchor distT="0" distB="0" distL="114300" distR="114300" simplePos="0" relativeHeight="251757568" behindDoc="0" locked="0" layoutInCell="1" allowOverlap="1">
                <wp:simplePos x="0" y="0"/>
                <wp:positionH relativeFrom="column">
                  <wp:posOffset>2430780</wp:posOffset>
                </wp:positionH>
                <wp:positionV relativeFrom="paragraph">
                  <wp:posOffset>-2409190</wp:posOffset>
                </wp:positionV>
                <wp:extent cx="779780" cy="553720"/>
                <wp:effectExtent l="4445" t="4445" r="15875" b="13335"/>
                <wp:wrapNone/>
                <wp:docPr id="467" name="任意多边形 2177"/>
                <wp:cNvGraphicFramePr/>
                <a:graphic xmlns:a="http://schemas.openxmlformats.org/drawingml/2006/main">
                  <a:graphicData uri="http://schemas.microsoft.com/office/word/2010/wordprocessingShape">
                    <wps:wsp>
                      <wps:cNvSpPr/>
                      <wps:spPr>
                        <a:xfrm>
                          <a:off x="0" y="0"/>
                          <a:ext cx="779780" cy="553720"/>
                        </a:xfrm>
                        <a:custGeom>
                          <a:avLst/>
                          <a:gdLst/>
                          <a:ahLst/>
                          <a:cxnLst/>
                          <a:pathLst>
                            <a:path w="1228" h="872">
                              <a:moveTo>
                                <a:pt x="0" y="190"/>
                              </a:moveTo>
                              <a:lnTo>
                                <a:pt x="137" y="872"/>
                              </a:lnTo>
                              <a:lnTo>
                                <a:pt x="1228" y="669"/>
                              </a:lnTo>
                              <a:lnTo>
                                <a:pt x="996" y="0"/>
                              </a:lnTo>
                              <a:lnTo>
                                <a:pt x="0" y="190"/>
                              </a:lnTo>
                              <a:close/>
                            </a:path>
                          </a:pathLst>
                        </a:custGeom>
                        <a:noFill/>
                        <a:ln w="9525" cap="flat" cmpd="sng">
                          <a:solidFill>
                            <a:srgbClr val="FF0000"/>
                          </a:solidFill>
                          <a:prstDash val="solid"/>
                          <a:headEnd type="none" w="med" len="med"/>
                          <a:tailEnd type="none" w="med" len="med"/>
                        </a:ln>
                      </wps:spPr>
                      <wps:bodyPr upright="1"/>
                    </wps:wsp>
                  </a:graphicData>
                </a:graphic>
              </wp:anchor>
            </w:drawing>
          </mc:Choice>
          <mc:Fallback>
            <w:pict>
              <v:shape id="任意多边形 2177" o:spid="_x0000_s1026" o:spt="100" style="position:absolute;left:0pt;margin-left:191.4pt;margin-top:-189.7pt;height:43.6pt;width:61.4pt;z-index:251757568;mso-width-relative:page;mso-height-relative:page;" filled="f" stroked="t" coordsize="1228,872" o:gfxdata="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PB1dabcAAAADQEAAA8AAAAAAAAAAQAgAAAAIgAAAGRycy9kb3ducmV2Lnht&#10;bFBLAQIUABQAAAAIAIdO4kBrxNQkZwIAABUFAAAOAAAAAAAAAAEAIAAAACsBAABkcnMvZTJvRG9j&#10;LnhtbFBLBQYAAAAABgAGAFkBAAAEBgAAAAA=&#10;" path="m0,190l137,872,1228,669,996,0,0,190xe">
                <v:fill on="f" focussize="0,0"/>
                <v:stroke color="#FF0000" joinstyle="round"/>
                <v:imagedata o:title=""/>
                <o:lock v:ext="edit" aspectratio="f"/>
              </v:shape>
            </w:pict>
          </mc:Fallback>
        </mc:AlternateContent>
      </w:r>
    </w:p>
    <w:p>
      <w:pPr>
        <w:adjustRightInd w:val="0"/>
        <w:snapToGrid w:val="0"/>
        <w:spacing w:line="520" w:lineRule="exact"/>
        <w:jc w:val="center"/>
        <w:rPr>
          <w:b/>
          <w:kern w:val="0"/>
          <w:sz w:val="24"/>
          <w:lang w:bidi="ar"/>
        </w:rPr>
      </w:pPr>
      <w:r>
        <w:rPr>
          <w:b/>
          <w:kern w:val="0"/>
          <w:sz w:val="24"/>
          <w:lang w:bidi="ar"/>
        </w:rPr>
        <w:t>图4-1    防护距离包络线</w:t>
      </w:r>
    </w:p>
    <w:p>
      <w:pPr>
        <w:adjustRightInd w:val="0"/>
        <w:snapToGrid w:val="0"/>
        <w:spacing w:line="520" w:lineRule="exact"/>
        <w:ind w:firstLine="480" w:firstLineChars="200"/>
        <w:rPr>
          <w:rFonts w:hint="eastAsia"/>
          <w:bCs/>
          <w:sz w:val="24"/>
        </w:rPr>
      </w:pPr>
      <w:r>
        <w:rPr>
          <w:bCs/>
          <w:sz w:val="24"/>
        </w:rPr>
        <w:t>根据现场踏勘，项目500m的选址</w:t>
      </w:r>
      <w:r>
        <w:rPr>
          <w:rFonts w:hint="eastAsia"/>
          <w:bCs/>
          <w:sz w:val="24"/>
        </w:rPr>
        <w:t>范围内无医院</w:t>
      </w:r>
      <w:r>
        <w:rPr>
          <w:bCs/>
          <w:sz w:val="24"/>
        </w:rPr>
        <w:t>、学校及集中</w:t>
      </w:r>
      <w:r>
        <w:rPr>
          <w:rFonts w:hint="eastAsia"/>
          <w:bCs/>
          <w:sz w:val="24"/>
        </w:rPr>
        <w:t>居民区</w:t>
      </w:r>
      <w:r>
        <w:rPr>
          <w:bCs/>
          <w:sz w:val="24"/>
        </w:rPr>
        <w:t>，</w:t>
      </w:r>
      <w:r>
        <w:rPr>
          <w:rFonts w:hint="eastAsia"/>
          <w:bCs/>
          <w:sz w:val="24"/>
        </w:rPr>
        <w:t>建议当地规划部门</w:t>
      </w:r>
      <w:r>
        <w:rPr>
          <w:bCs/>
          <w:sz w:val="24"/>
        </w:rPr>
        <w:t>在该场</w:t>
      </w:r>
      <w:r>
        <w:rPr>
          <w:rFonts w:hint="eastAsia"/>
          <w:bCs/>
          <w:sz w:val="24"/>
        </w:rPr>
        <w:t>500</w:t>
      </w:r>
      <w:r>
        <w:rPr>
          <w:bCs/>
          <w:sz w:val="24"/>
        </w:rPr>
        <w:t>m</w:t>
      </w:r>
      <w:r>
        <w:rPr>
          <w:rFonts w:hint="eastAsia"/>
          <w:bCs/>
          <w:sz w:val="24"/>
        </w:rPr>
        <w:t>范围内</w:t>
      </w:r>
      <w:r>
        <w:rPr>
          <w:bCs/>
          <w:sz w:val="24"/>
        </w:rPr>
        <w:t>不</w:t>
      </w:r>
      <w:r>
        <w:rPr>
          <w:rFonts w:hint="eastAsia"/>
          <w:bCs/>
          <w:sz w:val="24"/>
        </w:rPr>
        <w:t>再</w:t>
      </w:r>
      <w:r>
        <w:rPr>
          <w:bCs/>
          <w:sz w:val="24"/>
        </w:rPr>
        <w:t>规划新的居民点、学校、医院等环境敏感点。</w:t>
      </w:r>
    </w:p>
    <w:p>
      <w:pPr>
        <w:adjustRightInd w:val="0"/>
        <w:snapToGrid w:val="0"/>
        <w:spacing w:line="520" w:lineRule="exact"/>
        <w:ind w:firstLine="480" w:firstLineChars="200"/>
        <w:rPr>
          <w:rFonts w:hint="eastAsia"/>
          <w:bCs/>
          <w:sz w:val="24"/>
        </w:rPr>
      </w:pPr>
      <w:r>
        <w:rPr>
          <w:rFonts w:hint="eastAsia"/>
          <w:bCs/>
          <w:sz w:val="24"/>
        </w:rPr>
        <w:t>8、食堂油烟</w:t>
      </w:r>
    </w:p>
    <w:p>
      <w:pPr>
        <w:adjustRightInd w:val="0"/>
        <w:snapToGrid w:val="0"/>
        <w:spacing w:line="520" w:lineRule="exact"/>
        <w:ind w:firstLine="480" w:firstLineChars="200"/>
        <w:rPr>
          <w:bCs/>
          <w:sz w:val="24"/>
        </w:rPr>
      </w:pPr>
      <w:r>
        <w:rPr>
          <w:bCs/>
          <w:sz w:val="24"/>
        </w:rPr>
        <w:t>项目厨房油烟产生浓度为1.85mg/m</w:t>
      </w:r>
      <w:r>
        <w:rPr>
          <w:bCs/>
          <w:sz w:val="24"/>
          <w:vertAlign w:val="superscript"/>
        </w:rPr>
        <w:t>3</w:t>
      </w:r>
      <w:r>
        <w:rPr>
          <w:bCs/>
          <w:sz w:val="24"/>
        </w:rPr>
        <w:t>，产生量约0.0027t/a。建设单位拟安装风量为</w:t>
      </w:r>
      <w:r>
        <w:rPr>
          <w:rFonts w:hint="eastAsia"/>
          <w:bCs/>
          <w:sz w:val="24"/>
        </w:rPr>
        <w:t>1</w:t>
      </w:r>
      <w:r>
        <w:rPr>
          <w:bCs/>
          <w:sz w:val="24"/>
        </w:rPr>
        <w:t>000m</w:t>
      </w:r>
      <w:r>
        <w:rPr>
          <w:bCs/>
          <w:sz w:val="24"/>
          <w:vertAlign w:val="superscript"/>
        </w:rPr>
        <w:t>3</w:t>
      </w:r>
      <w:r>
        <w:rPr>
          <w:bCs/>
          <w:sz w:val="24"/>
        </w:rPr>
        <w:t>/h、净化效率不低于90%的油烟净化装置，经处理后由高于本体建筑物3m的排气筒排放。经计算，处理后厨房油烟年排放量为0.0003t/a，排放浓度为0.19mg/m</w:t>
      </w:r>
      <w:r>
        <w:rPr>
          <w:bCs/>
          <w:sz w:val="24"/>
          <w:vertAlign w:val="superscript"/>
        </w:rPr>
        <w:t>3</w:t>
      </w:r>
      <w:r>
        <w:rPr>
          <w:bCs/>
          <w:sz w:val="24"/>
        </w:rPr>
        <w:t>，</w:t>
      </w:r>
      <w:r>
        <w:rPr>
          <w:rFonts w:hint="eastAsia"/>
          <w:sz w:val="24"/>
          <w:lang w:bidi="ar"/>
        </w:rPr>
        <w:t>能够满足《餐饮业油烟污染物排放标准》</w:t>
      </w:r>
      <w:r>
        <w:rPr>
          <w:sz w:val="24"/>
          <w:lang w:bidi="ar"/>
        </w:rPr>
        <w:t>(DB41/1604—2018)</w:t>
      </w:r>
      <w:r>
        <w:rPr>
          <w:rFonts w:hint="eastAsia"/>
          <w:sz w:val="24"/>
          <w:lang w:bidi="ar"/>
        </w:rPr>
        <w:t>规定限值油烟</w:t>
      </w:r>
      <w:r>
        <w:rPr>
          <w:sz w:val="24"/>
          <w:lang w:bidi="ar"/>
        </w:rPr>
        <w:t>1.5mg/m</w:t>
      </w:r>
      <w:r>
        <w:rPr>
          <w:sz w:val="24"/>
          <w:vertAlign w:val="superscript"/>
          <w:lang w:bidi="ar"/>
        </w:rPr>
        <w:t>3</w:t>
      </w:r>
      <w:r>
        <w:rPr>
          <w:rFonts w:hint="eastAsia"/>
          <w:sz w:val="24"/>
          <w:lang w:bidi="ar"/>
        </w:rPr>
        <w:t>要求，实现达标排放</w:t>
      </w:r>
      <w:r>
        <w:rPr>
          <w:bCs/>
          <w:sz w:val="24"/>
        </w:rPr>
        <w:t>。</w:t>
      </w:r>
    </w:p>
    <w:p>
      <w:pPr>
        <w:adjustRightInd w:val="0"/>
        <w:snapToGrid w:val="0"/>
        <w:spacing w:line="500" w:lineRule="exact"/>
        <w:rPr>
          <w:bCs/>
          <w:color w:val="000000"/>
          <w:sz w:val="24"/>
        </w:rPr>
      </w:pPr>
      <w:r>
        <w:rPr>
          <w:rFonts w:hint="eastAsia"/>
          <w:bCs/>
          <w:color w:val="000000"/>
          <w:sz w:val="24"/>
        </w:rPr>
        <w:t>4.</w:t>
      </w:r>
      <w:r>
        <w:rPr>
          <w:bCs/>
          <w:color w:val="000000"/>
          <w:sz w:val="24"/>
        </w:rPr>
        <w:t>2.1.</w:t>
      </w:r>
      <w:r>
        <w:rPr>
          <w:rFonts w:hint="eastAsia"/>
          <w:bCs/>
          <w:color w:val="000000"/>
          <w:sz w:val="24"/>
        </w:rPr>
        <w:t>2</w:t>
      </w:r>
      <w:r>
        <w:rPr>
          <w:bCs/>
          <w:color w:val="000000"/>
          <w:sz w:val="24"/>
        </w:rPr>
        <w:t>大气环境预测结论</w:t>
      </w:r>
    </w:p>
    <w:p>
      <w:pPr>
        <w:adjustRightInd w:val="0"/>
        <w:snapToGrid w:val="0"/>
        <w:spacing w:line="500" w:lineRule="exact"/>
        <w:ind w:firstLine="480" w:firstLineChars="200"/>
        <w:rPr>
          <w:bCs/>
          <w:color w:val="000000"/>
          <w:sz w:val="24"/>
        </w:rPr>
      </w:pPr>
      <w:r>
        <w:rPr>
          <w:rFonts w:hint="eastAsia" w:ascii="宋体" w:hAnsi="宋体" w:cs="宋体"/>
          <w:bCs/>
          <w:color w:val="000000"/>
          <w:sz w:val="24"/>
        </w:rPr>
        <w:t>①</w:t>
      </w:r>
      <w:r>
        <w:rPr>
          <w:bCs/>
          <w:color w:val="000000"/>
          <w:sz w:val="24"/>
        </w:rPr>
        <w:t xml:space="preserve"> 项目实施后，沼气燃烧产生的SO</w:t>
      </w:r>
      <w:r>
        <w:rPr>
          <w:bCs/>
          <w:color w:val="000000"/>
          <w:sz w:val="24"/>
          <w:vertAlign w:val="subscript"/>
        </w:rPr>
        <w:t>2</w:t>
      </w:r>
      <w:r>
        <w:rPr>
          <w:bCs/>
          <w:color w:val="000000"/>
          <w:sz w:val="24"/>
        </w:rPr>
        <w:t>、NO</w:t>
      </w:r>
      <w:r>
        <w:rPr>
          <w:bCs/>
          <w:color w:val="000000"/>
          <w:sz w:val="24"/>
          <w:vertAlign w:val="subscript"/>
        </w:rPr>
        <w:t>X</w:t>
      </w:r>
      <w:r>
        <w:rPr>
          <w:bCs/>
          <w:color w:val="000000"/>
          <w:sz w:val="24"/>
        </w:rPr>
        <w:t>在各敏感点处的污染物浓度均能满足《环境空气质量标准》（GB3095-2012）中SO</w:t>
      </w:r>
      <w:r>
        <w:rPr>
          <w:bCs/>
          <w:color w:val="000000"/>
          <w:sz w:val="24"/>
          <w:vertAlign w:val="subscript"/>
        </w:rPr>
        <w:t>2</w:t>
      </w:r>
      <w:r>
        <w:rPr>
          <w:bCs/>
          <w:color w:val="000000"/>
          <w:sz w:val="24"/>
        </w:rPr>
        <w:t>、NO</w:t>
      </w:r>
      <w:r>
        <w:rPr>
          <w:bCs/>
          <w:color w:val="000000"/>
          <w:sz w:val="24"/>
          <w:vertAlign w:val="subscript"/>
        </w:rPr>
        <w:t>X</w:t>
      </w:r>
      <w:r>
        <w:rPr>
          <w:bCs/>
          <w:color w:val="000000"/>
          <w:sz w:val="24"/>
        </w:rPr>
        <w:t>的二级标准浓度限值要求；工经程采取脱臭措施后排放的H</w:t>
      </w:r>
      <w:r>
        <w:rPr>
          <w:bCs/>
          <w:color w:val="000000"/>
          <w:sz w:val="24"/>
          <w:vertAlign w:val="subscript"/>
        </w:rPr>
        <w:t>2</w:t>
      </w:r>
      <w:r>
        <w:rPr>
          <w:bCs/>
          <w:color w:val="000000"/>
          <w:sz w:val="24"/>
        </w:rPr>
        <w:t>S、NH</w:t>
      </w:r>
      <w:r>
        <w:rPr>
          <w:bCs/>
          <w:color w:val="000000"/>
          <w:sz w:val="24"/>
          <w:vertAlign w:val="subscript"/>
        </w:rPr>
        <w:t>3</w:t>
      </w:r>
      <w:r>
        <w:rPr>
          <w:bCs/>
          <w:color w:val="000000"/>
          <w:sz w:val="24"/>
        </w:rPr>
        <w:t>在各敏感点处的污染物浓度均能满足</w:t>
      </w:r>
      <w:r>
        <w:rPr>
          <w:rFonts w:hint="eastAsia"/>
          <w:bCs/>
          <w:color w:val="000000"/>
          <w:sz w:val="24"/>
        </w:rPr>
        <w:t>《环境影响评价技术导则 大气环境（HJ2.2-2018）》中附录D</w:t>
      </w:r>
      <w:r>
        <w:rPr>
          <w:bCs/>
          <w:color w:val="000000"/>
          <w:sz w:val="24"/>
        </w:rPr>
        <w:t>中大气中有害物质的最高允许浓度限值。</w:t>
      </w:r>
    </w:p>
    <w:p>
      <w:pPr>
        <w:adjustRightInd w:val="0"/>
        <w:snapToGrid w:val="0"/>
        <w:spacing w:line="500" w:lineRule="exact"/>
        <w:ind w:firstLine="480" w:firstLineChars="200"/>
        <w:rPr>
          <w:bCs/>
          <w:color w:val="000000"/>
          <w:sz w:val="24"/>
        </w:rPr>
      </w:pPr>
      <w:r>
        <w:rPr>
          <w:rFonts w:hint="eastAsia" w:ascii="宋体" w:hAnsi="宋体" w:cs="宋体"/>
          <w:bCs/>
          <w:color w:val="000000"/>
          <w:sz w:val="24"/>
        </w:rPr>
        <w:t>②</w:t>
      </w:r>
      <w:r>
        <w:rPr>
          <w:bCs/>
          <w:color w:val="000000"/>
          <w:sz w:val="24"/>
        </w:rPr>
        <w:t xml:space="preserve"> 经计算，工程采取脱臭措施后排放的H</w:t>
      </w:r>
      <w:r>
        <w:rPr>
          <w:bCs/>
          <w:color w:val="000000"/>
          <w:sz w:val="24"/>
          <w:vertAlign w:val="subscript"/>
        </w:rPr>
        <w:t>2</w:t>
      </w:r>
      <w:r>
        <w:rPr>
          <w:bCs/>
          <w:color w:val="000000"/>
          <w:sz w:val="24"/>
        </w:rPr>
        <w:t>S、NH</w:t>
      </w:r>
      <w:r>
        <w:rPr>
          <w:bCs/>
          <w:color w:val="000000"/>
          <w:sz w:val="24"/>
          <w:vertAlign w:val="subscript"/>
        </w:rPr>
        <w:t>3</w:t>
      </w:r>
      <w:r>
        <w:rPr>
          <w:bCs/>
          <w:color w:val="000000"/>
          <w:sz w:val="24"/>
        </w:rPr>
        <w:t>在各场界处的预测值均可达到对应的《恶臭污染物排放标准》（GB14554-93）场界浓度限值要求。</w:t>
      </w:r>
    </w:p>
    <w:p>
      <w:pPr>
        <w:adjustRightInd w:val="0"/>
        <w:snapToGrid w:val="0"/>
        <w:spacing w:line="500" w:lineRule="exact"/>
        <w:ind w:firstLine="480" w:firstLineChars="200"/>
        <w:rPr>
          <w:rFonts w:ascii="Times New Roman" w:hAnsi="Times New Roman" w:eastAsia="宋体" w:cs="Times New Roman"/>
          <w:bCs/>
          <w:color w:val="000000"/>
          <w:sz w:val="24"/>
        </w:rPr>
      </w:pPr>
      <w:r>
        <w:rPr>
          <w:rFonts w:hint="eastAsia" w:ascii="Times New Roman" w:hAnsi="Times New Roman" w:eastAsia="宋体" w:cs="Times New Roman"/>
          <w:bCs/>
          <w:color w:val="000000"/>
          <w:sz w:val="24"/>
        </w:rPr>
        <w:t>③</w:t>
      </w:r>
      <w:r>
        <w:rPr>
          <w:rFonts w:ascii="Times New Roman" w:hAnsi="Times New Roman" w:eastAsia="宋体" w:cs="Times New Roman"/>
          <w:bCs/>
          <w:color w:val="000000"/>
          <w:sz w:val="24"/>
        </w:rPr>
        <w:t>经计算，本项目的卫生防护距离均为100m，大气环境防护距离计算无超标点，根据《畜禽养殖业污染防治技术规范》（HJ</w:t>
      </w:r>
      <w:r>
        <w:rPr>
          <w:rFonts w:hint="eastAsia" w:ascii="Times New Roman" w:hAnsi="Times New Roman" w:eastAsia="宋体" w:cs="Times New Roman"/>
          <w:bCs/>
          <w:color w:val="000000"/>
          <w:sz w:val="24"/>
        </w:rPr>
        <w:t>/</w:t>
      </w:r>
      <w:r>
        <w:rPr>
          <w:rFonts w:ascii="Times New Roman" w:hAnsi="Times New Roman" w:eastAsia="宋体" w:cs="Times New Roman"/>
          <w:bCs/>
          <w:color w:val="000000"/>
          <w:sz w:val="24"/>
        </w:rPr>
        <w:t>T81－2001）</w:t>
      </w:r>
      <w:r>
        <w:rPr>
          <w:rFonts w:hint="eastAsia" w:ascii="Times New Roman" w:hAnsi="Times New Roman" w:eastAsia="宋体" w:cs="Times New Roman"/>
          <w:bCs/>
          <w:color w:val="000000"/>
          <w:sz w:val="24"/>
        </w:rPr>
        <w:t>规定：“新建改建、扩建的畜禽养殖场选址应避开禁建区域，在禁建区域附近建设的，应设在禁建区域常年主导风向的下风向或侧风向处，场界与禁建区域边界的最小距离不得小于500m”，</w:t>
      </w:r>
      <w:r>
        <w:rPr>
          <w:rFonts w:ascii="Times New Roman" w:hAnsi="Times New Roman" w:eastAsia="宋体" w:cs="Times New Roman"/>
          <w:bCs/>
          <w:color w:val="000000"/>
          <w:sz w:val="24"/>
        </w:rPr>
        <w:t>最终核定项目</w:t>
      </w:r>
      <w:r>
        <w:rPr>
          <w:rFonts w:hint="eastAsia" w:ascii="Times New Roman" w:hAnsi="Times New Roman" w:eastAsia="宋体" w:cs="Times New Roman"/>
          <w:bCs/>
          <w:color w:val="000000"/>
          <w:sz w:val="24"/>
        </w:rPr>
        <w:t>养殖区环境</w:t>
      </w:r>
      <w:r>
        <w:rPr>
          <w:rFonts w:ascii="Times New Roman" w:hAnsi="Times New Roman" w:eastAsia="宋体" w:cs="Times New Roman"/>
          <w:bCs/>
          <w:color w:val="000000"/>
          <w:sz w:val="24"/>
        </w:rPr>
        <w:t>防护距离为500m</w:t>
      </w:r>
      <w:r>
        <w:rPr>
          <w:rFonts w:hint="eastAsia" w:ascii="Times New Roman" w:hAnsi="Times New Roman" w:eastAsia="宋体" w:cs="Times New Roman"/>
          <w:bCs/>
          <w:color w:val="000000"/>
          <w:sz w:val="24"/>
        </w:rPr>
        <w:t>（环境防护</w:t>
      </w:r>
      <w:r>
        <w:rPr>
          <w:rFonts w:ascii="Times New Roman" w:hAnsi="Times New Roman" w:eastAsia="宋体" w:cs="Times New Roman"/>
          <w:bCs/>
          <w:color w:val="000000"/>
          <w:sz w:val="24"/>
        </w:rPr>
        <w:t>距离包络线图见图</w:t>
      </w:r>
      <w:r>
        <w:rPr>
          <w:rFonts w:hint="eastAsia" w:ascii="Times New Roman" w:hAnsi="Times New Roman" w:eastAsia="宋体" w:cs="Times New Roman"/>
          <w:bCs/>
          <w:color w:val="000000"/>
          <w:sz w:val="24"/>
        </w:rPr>
        <w:t>4</w:t>
      </w:r>
      <w:r>
        <w:rPr>
          <w:rFonts w:ascii="Times New Roman" w:hAnsi="Times New Roman" w:eastAsia="宋体" w:cs="Times New Roman"/>
          <w:bCs/>
          <w:color w:val="000000"/>
          <w:sz w:val="24"/>
        </w:rPr>
        <w:t>-1</w:t>
      </w:r>
      <w:r>
        <w:rPr>
          <w:rFonts w:hint="eastAsia" w:ascii="Times New Roman" w:hAnsi="Times New Roman" w:eastAsia="宋体" w:cs="Times New Roman"/>
          <w:bCs/>
          <w:color w:val="000000"/>
          <w:sz w:val="24"/>
        </w:rPr>
        <w:t>）。</w:t>
      </w:r>
      <w:r>
        <w:rPr>
          <w:rFonts w:ascii="Times New Roman" w:hAnsi="Times New Roman" w:eastAsia="宋体" w:cs="Times New Roman"/>
          <w:bCs/>
          <w:color w:val="000000"/>
          <w:sz w:val="24"/>
        </w:rPr>
        <w:t>为了</w:t>
      </w:r>
      <w:r>
        <w:rPr>
          <w:rFonts w:hint="eastAsia" w:ascii="Times New Roman" w:hAnsi="Times New Roman" w:eastAsia="宋体" w:cs="Times New Roman"/>
          <w:bCs/>
          <w:color w:val="000000"/>
          <w:sz w:val="24"/>
        </w:rPr>
        <w:t>保证</w:t>
      </w:r>
      <w:r>
        <w:rPr>
          <w:rFonts w:ascii="Times New Roman" w:hAnsi="Times New Roman" w:eastAsia="宋体" w:cs="Times New Roman"/>
          <w:bCs/>
          <w:color w:val="000000"/>
          <w:sz w:val="24"/>
        </w:rPr>
        <w:t>其生活环境质量，建设单位在运营期间应加强</w:t>
      </w:r>
      <w:r>
        <w:rPr>
          <w:rFonts w:hint="eastAsia" w:ascii="Times New Roman" w:hAnsi="Times New Roman" w:eastAsia="宋体" w:cs="Times New Roman"/>
          <w:bCs/>
          <w:color w:val="000000"/>
          <w:sz w:val="24"/>
        </w:rPr>
        <w:t>自身</w:t>
      </w:r>
      <w:r>
        <w:rPr>
          <w:rFonts w:ascii="Times New Roman" w:hAnsi="Times New Roman" w:eastAsia="宋体" w:cs="Times New Roman"/>
          <w:bCs/>
          <w:color w:val="000000"/>
          <w:sz w:val="24"/>
        </w:rPr>
        <w:t>管理且</w:t>
      </w:r>
      <w:r>
        <w:rPr>
          <w:rFonts w:hint="eastAsia" w:ascii="Times New Roman" w:hAnsi="Times New Roman" w:eastAsia="宋体" w:cs="Times New Roman"/>
          <w:bCs/>
          <w:color w:val="000000"/>
          <w:sz w:val="24"/>
        </w:rPr>
        <w:t>及时做好</w:t>
      </w:r>
      <w:r>
        <w:rPr>
          <w:rFonts w:ascii="Times New Roman" w:hAnsi="Times New Roman" w:eastAsia="宋体" w:cs="Times New Roman"/>
          <w:bCs/>
          <w:color w:val="000000"/>
          <w:sz w:val="24"/>
        </w:rPr>
        <w:t>与周边居民的沟通</w:t>
      </w:r>
      <w:r>
        <w:rPr>
          <w:rFonts w:hint="eastAsia" w:ascii="Times New Roman" w:hAnsi="Times New Roman" w:eastAsia="宋体" w:cs="Times New Roman"/>
          <w:bCs/>
          <w:color w:val="000000"/>
          <w:sz w:val="24"/>
        </w:rPr>
        <w:t>协商</w:t>
      </w:r>
      <w:r>
        <w:rPr>
          <w:rFonts w:ascii="Times New Roman" w:hAnsi="Times New Roman" w:eastAsia="宋体" w:cs="Times New Roman"/>
          <w:bCs/>
          <w:color w:val="000000"/>
          <w:sz w:val="24"/>
        </w:rPr>
        <w:t>，避免矛盾</w:t>
      </w:r>
      <w:r>
        <w:rPr>
          <w:rFonts w:hint="eastAsia" w:ascii="Times New Roman" w:hAnsi="Times New Roman" w:eastAsia="宋体" w:cs="Times New Roman"/>
          <w:bCs/>
          <w:color w:val="000000"/>
          <w:sz w:val="24"/>
        </w:rPr>
        <w:t>的</w:t>
      </w:r>
      <w:r>
        <w:rPr>
          <w:rFonts w:ascii="Times New Roman" w:hAnsi="Times New Roman" w:eastAsia="宋体" w:cs="Times New Roman"/>
          <w:bCs/>
          <w:color w:val="000000"/>
          <w:sz w:val="24"/>
        </w:rPr>
        <w:t>发生</w:t>
      </w:r>
      <w:r>
        <w:rPr>
          <w:rFonts w:hint="eastAsia" w:ascii="Times New Roman" w:hAnsi="Times New Roman" w:eastAsia="宋体" w:cs="Times New Roman"/>
          <w:bCs/>
          <w:color w:val="000000"/>
          <w:sz w:val="24"/>
        </w:rPr>
        <w:t>。</w:t>
      </w:r>
    </w:p>
    <w:p>
      <w:pPr>
        <w:pStyle w:val="2"/>
        <w:spacing w:before="0" w:after="0" w:line="520" w:lineRule="exact"/>
        <w:rPr>
          <w:rFonts w:eastAsia="黑体"/>
          <w:b w:val="0"/>
          <w:sz w:val="24"/>
          <w:szCs w:val="24"/>
        </w:rPr>
      </w:pPr>
      <w:r>
        <w:rPr>
          <w:rFonts w:eastAsia="黑体"/>
          <w:b w:val="0"/>
          <w:sz w:val="24"/>
          <w:szCs w:val="24"/>
        </w:rPr>
        <w:t>4.2.2地表水环境分析</w:t>
      </w:r>
    </w:p>
    <w:p>
      <w:pPr>
        <w:pStyle w:val="4"/>
        <w:numPr>
          <w:ilvl w:val="0"/>
          <w:numId w:val="0"/>
        </w:numPr>
        <w:spacing w:before="0" w:after="0" w:line="520" w:lineRule="exact"/>
        <w:rPr>
          <w:sz w:val="24"/>
          <w:szCs w:val="24"/>
        </w:rPr>
      </w:pPr>
      <w:bookmarkStart w:id="414" w:name="_Toc413053021"/>
      <w:r>
        <w:rPr>
          <w:sz w:val="24"/>
          <w:szCs w:val="24"/>
        </w:rPr>
        <w:t xml:space="preserve">4.2.2.1正常工况 </w:t>
      </w:r>
    </w:p>
    <w:p>
      <w:pPr>
        <w:spacing w:line="520" w:lineRule="exact"/>
        <w:ind w:firstLine="480" w:firstLineChars="200"/>
        <w:rPr>
          <w:sz w:val="24"/>
        </w:rPr>
      </w:pPr>
      <w:r>
        <w:rPr>
          <w:sz w:val="24"/>
        </w:rPr>
        <w:t>工程废水产生量为</w:t>
      </w:r>
      <w:r>
        <w:rPr>
          <w:bCs/>
          <w:sz w:val="24"/>
        </w:rPr>
        <w:t>夏季</w:t>
      </w:r>
      <w:r>
        <w:rPr>
          <w:rFonts w:hint="eastAsia"/>
          <w:bCs/>
          <w:sz w:val="24"/>
          <w:lang w:eastAsia="zh-CN"/>
        </w:rPr>
        <w:t>23.18</w:t>
      </w:r>
      <w:r>
        <w:rPr>
          <w:bCs/>
          <w:sz w:val="24"/>
        </w:rPr>
        <w:t>m</w:t>
      </w:r>
      <w:r>
        <w:rPr>
          <w:bCs/>
          <w:sz w:val="24"/>
          <w:vertAlign w:val="superscript"/>
        </w:rPr>
        <w:t>3</w:t>
      </w:r>
      <w:r>
        <w:rPr>
          <w:bCs/>
          <w:sz w:val="24"/>
        </w:rPr>
        <w:t>/d，其他季节</w:t>
      </w:r>
      <w:r>
        <w:rPr>
          <w:rFonts w:hint="eastAsia"/>
          <w:bCs/>
          <w:sz w:val="24"/>
          <w:lang w:eastAsia="zh-CN"/>
        </w:rPr>
        <w:t>14.69</w:t>
      </w:r>
      <w:r>
        <w:rPr>
          <w:bCs/>
          <w:sz w:val="24"/>
        </w:rPr>
        <w:t>m</w:t>
      </w:r>
      <w:r>
        <w:rPr>
          <w:bCs/>
          <w:sz w:val="24"/>
          <w:vertAlign w:val="superscript"/>
        </w:rPr>
        <w:t>3</w:t>
      </w:r>
      <w:r>
        <w:rPr>
          <w:bCs/>
          <w:sz w:val="24"/>
        </w:rPr>
        <w:t>/d</w:t>
      </w:r>
      <w:r>
        <w:rPr>
          <w:rFonts w:hint="eastAsia" w:hAnsi="宋体"/>
          <w:bCs/>
          <w:sz w:val="24"/>
        </w:rPr>
        <w:t>，</w:t>
      </w:r>
      <w:r>
        <w:rPr>
          <w:sz w:val="24"/>
        </w:rPr>
        <w:t>作为农肥施用于项目周边农田。废水全部消纳利用，不外排。工程的生产运营不会对评价区地表水环境造成污染影响。</w:t>
      </w:r>
    </w:p>
    <w:p>
      <w:pPr>
        <w:pStyle w:val="4"/>
        <w:numPr>
          <w:ilvl w:val="0"/>
          <w:numId w:val="0"/>
        </w:numPr>
        <w:spacing w:before="0" w:after="0" w:line="520" w:lineRule="exact"/>
        <w:rPr>
          <w:sz w:val="24"/>
          <w:szCs w:val="24"/>
        </w:rPr>
      </w:pPr>
      <w:r>
        <w:rPr>
          <w:sz w:val="24"/>
          <w:szCs w:val="24"/>
        </w:rPr>
        <w:t xml:space="preserve">4.2.2.2非正常工况 </w:t>
      </w:r>
    </w:p>
    <w:p>
      <w:pPr>
        <w:spacing w:line="520" w:lineRule="exact"/>
        <w:ind w:firstLine="480" w:firstLineChars="200"/>
      </w:pPr>
      <w:r>
        <w:rPr>
          <w:sz w:val="24"/>
        </w:rPr>
        <w:t>本项目事故主要考虑沼气工程处理单元事故状况，无法处理运营期废水的情况，此时，收集池兼做事故池，生产和生活废水先进入收集池内暂存，待沼气工程正常运行后，未处理废水再进入沼气工程进行处理。</w:t>
      </w:r>
    </w:p>
    <w:p>
      <w:pPr>
        <w:pStyle w:val="4"/>
        <w:numPr>
          <w:ilvl w:val="0"/>
          <w:numId w:val="0"/>
        </w:numPr>
        <w:spacing w:before="0" w:after="0" w:line="520" w:lineRule="exact"/>
        <w:rPr>
          <w:sz w:val="24"/>
          <w:szCs w:val="24"/>
        </w:rPr>
      </w:pPr>
      <w:r>
        <w:rPr>
          <w:sz w:val="24"/>
          <w:szCs w:val="24"/>
        </w:rPr>
        <w:t>4.2.2.3雨季及非施肥期</w:t>
      </w:r>
    </w:p>
    <w:p>
      <w:pPr>
        <w:spacing w:line="520" w:lineRule="exact"/>
        <w:ind w:firstLine="480" w:firstLineChars="200"/>
        <w:rPr>
          <w:sz w:val="24"/>
        </w:rPr>
      </w:pPr>
      <w:r>
        <w:rPr>
          <w:sz w:val="24"/>
        </w:rPr>
        <w:t>雨季及非施肥期，工程所产生的沼液（</w:t>
      </w:r>
      <w:r>
        <w:rPr>
          <w:bCs/>
          <w:sz w:val="24"/>
        </w:rPr>
        <w:t>夏季</w:t>
      </w:r>
      <w:r>
        <w:rPr>
          <w:rFonts w:hint="eastAsia"/>
          <w:bCs/>
          <w:sz w:val="24"/>
          <w:lang w:eastAsia="zh-CN"/>
        </w:rPr>
        <w:t>23.18</w:t>
      </w:r>
      <w:r>
        <w:rPr>
          <w:bCs/>
          <w:sz w:val="24"/>
        </w:rPr>
        <w:t>m</w:t>
      </w:r>
      <w:r>
        <w:rPr>
          <w:bCs/>
          <w:sz w:val="24"/>
          <w:vertAlign w:val="superscript"/>
        </w:rPr>
        <w:t>3</w:t>
      </w:r>
      <w:r>
        <w:rPr>
          <w:bCs/>
          <w:sz w:val="24"/>
        </w:rPr>
        <w:t>/d，其他季节</w:t>
      </w:r>
      <w:r>
        <w:rPr>
          <w:rFonts w:hint="eastAsia"/>
          <w:bCs/>
          <w:sz w:val="24"/>
          <w:lang w:eastAsia="zh-CN"/>
        </w:rPr>
        <w:t>14.69</w:t>
      </w:r>
      <w:r>
        <w:rPr>
          <w:bCs/>
          <w:sz w:val="24"/>
        </w:rPr>
        <w:t>m</w:t>
      </w:r>
      <w:r>
        <w:rPr>
          <w:bCs/>
          <w:sz w:val="24"/>
          <w:vertAlign w:val="superscript"/>
        </w:rPr>
        <w:t>3</w:t>
      </w:r>
      <w:r>
        <w:rPr>
          <w:bCs/>
          <w:sz w:val="24"/>
        </w:rPr>
        <w:t>/d</w:t>
      </w:r>
      <w:r>
        <w:rPr>
          <w:rFonts w:hAnsi="宋体"/>
          <w:bCs/>
          <w:sz w:val="24"/>
        </w:rPr>
        <w:t>。</w:t>
      </w:r>
      <w:r>
        <w:rPr>
          <w:sz w:val="24"/>
        </w:rPr>
        <w:t>）无法及时消纳，全部暂存于沼液储池。</w:t>
      </w:r>
    </w:p>
    <w:p>
      <w:pPr>
        <w:spacing w:line="520" w:lineRule="exact"/>
        <w:ind w:firstLine="480" w:firstLineChars="200"/>
        <w:rPr>
          <w:rFonts w:hint="eastAsia"/>
          <w:sz w:val="24"/>
        </w:rPr>
      </w:pPr>
      <w:r>
        <w:rPr>
          <w:rFonts w:hint="eastAsia"/>
          <w:sz w:val="24"/>
        </w:rPr>
        <w:t>项目</w:t>
      </w:r>
      <w:r>
        <w:rPr>
          <w:sz w:val="24"/>
        </w:rPr>
        <w:t>废水</w:t>
      </w:r>
      <w:r>
        <w:rPr>
          <w:rFonts w:hint="eastAsia"/>
          <w:sz w:val="24"/>
        </w:rPr>
        <w:t>类别</w:t>
      </w:r>
      <w:r>
        <w:rPr>
          <w:sz w:val="24"/>
        </w:rPr>
        <w:t>、污染物及污染治理设施信息表见表</w:t>
      </w:r>
      <w:r>
        <w:rPr>
          <w:rFonts w:hint="eastAsia"/>
          <w:sz w:val="24"/>
        </w:rPr>
        <w:t>4.2-10。项目废水</w:t>
      </w:r>
      <w:r>
        <w:rPr>
          <w:sz w:val="24"/>
        </w:rPr>
        <w:t>综合利用，</w:t>
      </w:r>
      <w:r>
        <w:rPr>
          <w:rFonts w:hint="eastAsia"/>
          <w:sz w:val="24"/>
        </w:rPr>
        <w:t>不外排</w:t>
      </w:r>
      <w:r>
        <w:rPr>
          <w:sz w:val="24"/>
        </w:rPr>
        <w:t>，项目水污染影响型为三级B评价，根据《</w:t>
      </w:r>
      <w:r>
        <w:rPr>
          <w:rFonts w:hint="eastAsia"/>
          <w:sz w:val="24"/>
        </w:rPr>
        <w:t>环境</w:t>
      </w:r>
      <w:r>
        <w:rPr>
          <w:sz w:val="24"/>
        </w:rPr>
        <w:t>影响评价技术导则</w:t>
      </w:r>
      <w:r>
        <w:rPr>
          <w:rFonts w:hint="eastAsia"/>
          <w:sz w:val="24"/>
        </w:rPr>
        <w:t xml:space="preserve">  地表水</w:t>
      </w:r>
      <w:r>
        <w:rPr>
          <w:sz w:val="24"/>
        </w:rPr>
        <w:t>环境》</w:t>
      </w:r>
      <w:r>
        <w:rPr>
          <w:rFonts w:hint="eastAsia"/>
          <w:sz w:val="24"/>
        </w:rPr>
        <w:t>（HJ</w:t>
      </w:r>
      <w:r>
        <w:rPr>
          <w:sz w:val="24"/>
        </w:rPr>
        <w:t>2.3-2018</w:t>
      </w:r>
      <w:r>
        <w:rPr>
          <w:rFonts w:hint="eastAsia"/>
          <w:sz w:val="24"/>
        </w:rPr>
        <w:t>）可知</w:t>
      </w:r>
      <w:r>
        <w:rPr>
          <w:sz w:val="24"/>
        </w:rPr>
        <w:t>，项目可不进行水环境影响预测。</w:t>
      </w:r>
    </w:p>
    <w:p>
      <w:pPr>
        <w:spacing w:line="520" w:lineRule="exact"/>
        <w:ind w:firstLine="480" w:firstLineChars="200"/>
        <w:jc w:val="center"/>
        <w:rPr>
          <w:b/>
          <w:sz w:val="24"/>
        </w:rPr>
      </w:pPr>
      <w:r>
        <w:rPr>
          <w:rFonts w:hint="eastAsia"/>
          <w:b/>
          <w:sz w:val="24"/>
        </w:rPr>
        <w:t>表4</w:t>
      </w:r>
      <w:r>
        <w:rPr>
          <w:b/>
          <w:sz w:val="24"/>
        </w:rPr>
        <w:t>.2-10</w:t>
      </w:r>
      <w:r>
        <w:rPr>
          <w:rFonts w:hint="eastAsia"/>
          <w:b/>
          <w:sz w:val="24"/>
        </w:rPr>
        <w:t xml:space="preserve">  </w:t>
      </w:r>
      <w:r>
        <w:rPr>
          <w:b/>
          <w:sz w:val="24"/>
        </w:rPr>
        <w:t xml:space="preserve"> </w:t>
      </w:r>
      <w:r>
        <w:rPr>
          <w:rFonts w:hint="eastAsia"/>
          <w:b/>
          <w:sz w:val="24"/>
        </w:rPr>
        <w:t>废水</w:t>
      </w:r>
      <w:r>
        <w:rPr>
          <w:b/>
          <w:sz w:val="24"/>
        </w:rPr>
        <w:t>类别、污染物及污染治理设施信息表</w:t>
      </w:r>
    </w:p>
    <w:tbl>
      <w:tblPr>
        <w:tblStyle w:val="1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427"/>
        <w:gridCol w:w="427"/>
        <w:gridCol w:w="952"/>
        <w:gridCol w:w="853"/>
        <w:gridCol w:w="993"/>
        <w:gridCol w:w="709"/>
        <w:gridCol w:w="709"/>
        <w:gridCol w:w="980"/>
        <w:gridCol w:w="428"/>
        <w:gridCol w:w="1004"/>
        <w:gridCol w:w="146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600" w:hRule="atLeast"/>
        </w:trPr>
        <w:tc>
          <w:tcPr>
            <w:tcW w:w="239" w:type="pct"/>
            <w:vMerge w:val="restart"/>
            <w:noWrap w:val="0"/>
            <w:vAlign w:val="center"/>
          </w:tcPr>
          <w:p>
            <w:pPr>
              <w:spacing w:line="360" w:lineRule="exact"/>
              <w:jc w:val="center"/>
              <w:rPr>
                <w:rFonts w:hint="eastAsia"/>
                <w:szCs w:val="21"/>
              </w:rPr>
            </w:pPr>
            <w:r>
              <w:rPr>
                <w:rFonts w:hint="eastAsia"/>
                <w:szCs w:val="21"/>
              </w:rPr>
              <w:t>序号</w:t>
            </w:r>
          </w:p>
        </w:tc>
        <w:tc>
          <w:tcPr>
            <w:tcW w:w="239" w:type="pct"/>
            <w:vMerge w:val="restart"/>
            <w:noWrap w:val="0"/>
            <w:vAlign w:val="center"/>
          </w:tcPr>
          <w:p>
            <w:pPr>
              <w:spacing w:line="360" w:lineRule="exact"/>
              <w:jc w:val="center"/>
              <w:rPr>
                <w:rFonts w:hint="eastAsia"/>
                <w:szCs w:val="21"/>
              </w:rPr>
            </w:pPr>
            <w:r>
              <w:rPr>
                <w:rFonts w:hint="eastAsia"/>
                <w:szCs w:val="21"/>
              </w:rPr>
              <w:t>废水类别</w:t>
            </w:r>
          </w:p>
        </w:tc>
        <w:tc>
          <w:tcPr>
            <w:tcW w:w="532" w:type="pct"/>
            <w:vMerge w:val="restart"/>
            <w:noWrap w:val="0"/>
            <w:vAlign w:val="center"/>
          </w:tcPr>
          <w:p>
            <w:pPr>
              <w:spacing w:line="360" w:lineRule="exact"/>
              <w:jc w:val="center"/>
              <w:rPr>
                <w:rFonts w:hint="eastAsia"/>
                <w:szCs w:val="21"/>
              </w:rPr>
            </w:pPr>
            <w:r>
              <w:rPr>
                <w:rFonts w:hint="eastAsia"/>
                <w:szCs w:val="21"/>
              </w:rPr>
              <w:t>污染物</w:t>
            </w:r>
            <w:r>
              <w:rPr>
                <w:szCs w:val="21"/>
              </w:rPr>
              <w:t>种类</w:t>
            </w:r>
          </w:p>
        </w:tc>
        <w:tc>
          <w:tcPr>
            <w:tcW w:w="477" w:type="pct"/>
            <w:vMerge w:val="restart"/>
            <w:noWrap w:val="0"/>
            <w:vAlign w:val="center"/>
          </w:tcPr>
          <w:p>
            <w:pPr>
              <w:spacing w:line="360" w:lineRule="exact"/>
              <w:jc w:val="center"/>
              <w:rPr>
                <w:rFonts w:hint="eastAsia"/>
                <w:szCs w:val="21"/>
              </w:rPr>
            </w:pPr>
            <w:r>
              <w:rPr>
                <w:rFonts w:hint="eastAsia"/>
                <w:szCs w:val="21"/>
              </w:rPr>
              <w:t>排放去向</w:t>
            </w:r>
          </w:p>
        </w:tc>
        <w:tc>
          <w:tcPr>
            <w:tcW w:w="555" w:type="pct"/>
            <w:vMerge w:val="restart"/>
            <w:noWrap w:val="0"/>
            <w:vAlign w:val="center"/>
          </w:tcPr>
          <w:p>
            <w:pPr>
              <w:spacing w:line="360" w:lineRule="exact"/>
              <w:jc w:val="center"/>
              <w:rPr>
                <w:rFonts w:hint="eastAsia"/>
                <w:szCs w:val="21"/>
              </w:rPr>
            </w:pPr>
            <w:r>
              <w:rPr>
                <w:rFonts w:hint="eastAsia"/>
                <w:szCs w:val="21"/>
              </w:rPr>
              <w:t>排放</w:t>
            </w:r>
            <w:r>
              <w:rPr>
                <w:szCs w:val="21"/>
              </w:rPr>
              <w:t>规律</w:t>
            </w:r>
          </w:p>
        </w:tc>
        <w:tc>
          <w:tcPr>
            <w:tcW w:w="1340" w:type="pct"/>
            <w:gridSpan w:val="3"/>
            <w:noWrap w:val="0"/>
            <w:vAlign w:val="center"/>
          </w:tcPr>
          <w:p>
            <w:pPr>
              <w:spacing w:line="360" w:lineRule="exact"/>
              <w:jc w:val="center"/>
              <w:rPr>
                <w:rFonts w:hint="eastAsia"/>
                <w:szCs w:val="21"/>
              </w:rPr>
            </w:pPr>
            <w:r>
              <w:rPr>
                <w:rFonts w:hint="eastAsia"/>
                <w:szCs w:val="21"/>
              </w:rPr>
              <w:t>污染</w:t>
            </w:r>
            <w:r>
              <w:rPr>
                <w:szCs w:val="21"/>
              </w:rPr>
              <w:t>治理设施</w:t>
            </w:r>
          </w:p>
        </w:tc>
        <w:tc>
          <w:tcPr>
            <w:tcW w:w="239" w:type="pct"/>
            <w:vMerge w:val="restart"/>
            <w:noWrap w:val="0"/>
            <w:vAlign w:val="center"/>
          </w:tcPr>
          <w:p>
            <w:pPr>
              <w:spacing w:line="360" w:lineRule="exact"/>
              <w:jc w:val="center"/>
              <w:rPr>
                <w:rFonts w:hint="eastAsia"/>
                <w:szCs w:val="21"/>
              </w:rPr>
            </w:pPr>
            <w:r>
              <w:rPr>
                <w:rFonts w:hint="eastAsia"/>
                <w:szCs w:val="21"/>
              </w:rPr>
              <w:t>排放口</w:t>
            </w:r>
            <w:r>
              <w:rPr>
                <w:szCs w:val="21"/>
              </w:rPr>
              <w:t>编号</w:t>
            </w:r>
          </w:p>
        </w:tc>
        <w:tc>
          <w:tcPr>
            <w:tcW w:w="561" w:type="pct"/>
            <w:vMerge w:val="restart"/>
            <w:noWrap w:val="0"/>
            <w:vAlign w:val="center"/>
          </w:tcPr>
          <w:p>
            <w:pPr>
              <w:spacing w:line="360" w:lineRule="exact"/>
              <w:jc w:val="center"/>
              <w:rPr>
                <w:rFonts w:hint="eastAsia"/>
                <w:szCs w:val="21"/>
              </w:rPr>
            </w:pPr>
            <w:r>
              <w:rPr>
                <w:rFonts w:hint="eastAsia"/>
                <w:szCs w:val="21"/>
              </w:rPr>
              <w:t>排放口</w:t>
            </w:r>
            <w:r>
              <w:rPr>
                <w:szCs w:val="21"/>
              </w:rPr>
              <w:t>设置是否符合要求</w:t>
            </w:r>
          </w:p>
        </w:tc>
        <w:tc>
          <w:tcPr>
            <w:tcW w:w="818" w:type="pct"/>
            <w:vMerge w:val="restart"/>
            <w:noWrap w:val="0"/>
            <w:vAlign w:val="center"/>
          </w:tcPr>
          <w:p>
            <w:pPr>
              <w:spacing w:line="360" w:lineRule="exact"/>
              <w:jc w:val="center"/>
              <w:rPr>
                <w:rFonts w:hint="eastAsia"/>
                <w:szCs w:val="21"/>
              </w:rPr>
            </w:pPr>
            <w:r>
              <w:rPr>
                <w:rFonts w:hint="eastAsia"/>
                <w:szCs w:val="21"/>
              </w:rPr>
              <w:t>排放口</w:t>
            </w:r>
            <w:r>
              <w:rPr>
                <w:szCs w:val="21"/>
              </w:rPr>
              <w:t>类型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80" w:hRule="atLeast"/>
        </w:trPr>
        <w:tc>
          <w:tcPr>
            <w:tcW w:w="239" w:type="pct"/>
            <w:vMerge w:val="continue"/>
            <w:noWrap w:val="0"/>
            <w:vAlign w:val="center"/>
          </w:tcPr>
          <w:p>
            <w:pPr>
              <w:spacing w:line="360" w:lineRule="exact"/>
              <w:jc w:val="center"/>
              <w:rPr>
                <w:rFonts w:hint="eastAsia"/>
                <w:szCs w:val="21"/>
              </w:rPr>
            </w:pPr>
          </w:p>
        </w:tc>
        <w:tc>
          <w:tcPr>
            <w:tcW w:w="239" w:type="pct"/>
            <w:vMerge w:val="continue"/>
            <w:noWrap w:val="0"/>
            <w:vAlign w:val="center"/>
          </w:tcPr>
          <w:p>
            <w:pPr>
              <w:spacing w:line="360" w:lineRule="exact"/>
              <w:jc w:val="center"/>
              <w:rPr>
                <w:rFonts w:hint="eastAsia"/>
                <w:szCs w:val="21"/>
              </w:rPr>
            </w:pPr>
          </w:p>
        </w:tc>
        <w:tc>
          <w:tcPr>
            <w:tcW w:w="532" w:type="pct"/>
            <w:vMerge w:val="continue"/>
            <w:noWrap w:val="0"/>
            <w:vAlign w:val="center"/>
          </w:tcPr>
          <w:p>
            <w:pPr>
              <w:spacing w:line="360" w:lineRule="exact"/>
              <w:jc w:val="center"/>
              <w:rPr>
                <w:rFonts w:hint="eastAsia"/>
                <w:szCs w:val="21"/>
              </w:rPr>
            </w:pPr>
          </w:p>
        </w:tc>
        <w:tc>
          <w:tcPr>
            <w:tcW w:w="477" w:type="pct"/>
            <w:vMerge w:val="continue"/>
            <w:noWrap w:val="0"/>
            <w:vAlign w:val="center"/>
          </w:tcPr>
          <w:p>
            <w:pPr>
              <w:spacing w:line="360" w:lineRule="exact"/>
              <w:jc w:val="center"/>
              <w:rPr>
                <w:rFonts w:hint="eastAsia"/>
                <w:szCs w:val="21"/>
              </w:rPr>
            </w:pPr>
          </w:p>
        </w:tc>
        <w:tc>
          <w:tcPr>
            <w:tcW w:w="555" w:type="pct"/>
            <w:vMerge w:val="continue"/>
            <w:noWrap w:val="0"/>
            <w:vAlign w:val="center"/>
          </w:tcPr>
          <w:p>
            <w:pPr>
              <w:spacing w:line="360" w:lineRule="exact"/>
              <w:jc w:val="center"/>
              <w:rPr>
                <w:rFonts w:hint="eastAsia"/>
                <w:szCs w:val="21"/>
              </w:rPr>
            </w:pPr>
          </w:p>
        </w:tc>
        <w:tc>
          <w:tcPr>
            <w:tcW w:w="396" w:type="pct"/>
            <w:noWrap w:val="0"/>
            <w:vAlign w:val="center"/>
          </w:tcPr>
          <w:p>
            <w:pPr>
              <w:spacing w:line="360" w:lineRule="exact"/>
              <w:jc w:val="center"/>
              <w:rPr>
                <w:rFonts w:hint="eastAsia"/>
                <w:szCs w:val="21"/>
              </w:rPr>
            </w:pPr>
            <w:r>
              <w:rPr>
                <w:rFonts w:hint="eastAsia"/>
                <w:szCs w:val="21"/>
              </w:rPr>
              <w:t>污染治理设施</w:t>
            </w:r>
            <w:r>
              <w:rPr>
                <w:szCs w:val="21"/>
              </w:rPr>
              <w:t>编号</w:t>
            </w:r>
          </w:p>
        </w:tc>
        <w:tc>
          <w:tcPr>
            <w:tcW w:w="396" w:type="pct"/>
            <w:noWrap w:val="0"/>
            <w:vAlign w:val="center"/>
          </w:tcPr>
          <w:p>
            <w:pPr>
              <w:spacing w:line="360" w:lineRule="exact"/>
              <w:jc w:val="center"/>
              <w:rPr>
                <w:rFonts w:hint="eastAsia"/>
                <w:szCs w:val="21"/>
              </w:rPr>
            </w:pPr>
            <w:r>
              <w:rPr>
                <w:rFonts w:hint="eastAsia"/>
                <w:szCs w:val="21"/>
              </w:rPr>
              <w:t>污染治理设施</w:t>
            </w:r>
            <w:r>
              <w:rPr>
                <w:szCs w:val="21"/>
              </w:rPr>
              <w:t>名称</w:t>
            </w:r>
          </w:p>
        </w:tc>
        <w:tc>
          <w:tcPr>
            <w:tcW w:w="548" w:type="pct"/>
            <w:noWrap w:val="0"/>
            <w:vAlign w:val="center"/>
          </w:tcPr>
          <w:p>
            <w:pPr>
              <w:spacing w:line="360" w:lineRule="exact"/>
              <w:jc w:val="center"/>
              <w:rPr>
                <w:rFonts w:hint="eastAsia"/>
                <w:szCs w:val="21"/>
              </w:rPr>
            </w:pPr>
            <w:r>
              <w:rPr>
                <w:rFonts w:hint="eastAsia"/>
                <w:szCs w:val="21"/>
              </w:rPr>
              <w:t>污染治理</w:t>
            </w:r>
            <w:r>
              <w:rPr>
                <w:szCs w:val="21"/>
              </w:rPr>
              <w:t>设施工艺</w:t>
            </w:r>
          </w:p>
        </w:tc>
        <w:tc>
          <w:tcPr>
            <w:tcW w:w="239" w:type="pct"/>
            <w:vMerge w:val="continue"/>
            <w:noWrap w:val="0"/>
            <w:vAlign w:val="center"/>
          </w:tcPr>
          <w:p>
            <w:pPr>
              <w:spacing w:line="360" w:lineRule="exact"/>
              <w:jc w:val="center"/>
              <w:rPr>
                <w:rFonts w:hint="eastAsia"/>
                <w:szCs w:val="21"/>
              </w:rPr>
            </w:pPr>
          </w:p>
        </w:tc>
        <w:tc>
          <w:tcPr>
            <w:tcW w:w="561" w:type="pct"/>
            <w:vMerge w:val="continue"/>
            <w:noWrap w:val="0"/>
            <w:vAlign w:val="center"/>
          </w:tcPr>
          <w:p>
            <w:pPr>
              <w:spacing w:line="360" w:lineRule="exact"/>
              <w:jc w:val="center"/>
              <w:rPr>
                <w:rFonts w:hint="eastAsia"/>
                <w:szCs w:val="21"/>
              </w:rPr>
            </w:pPr>
          </w:p>
        </w:tc>
        <w:tc>
          <w:tcPr>
            <w:tcW w:w="818" w:type="pct"/>
            <w:vMerge w:val="continue"/>
            <w:noWrap w:val="0"/>
            <w:vAlign w:val="center"/>
          </w:tcPr>
          <w:p>
            <w:pPr>
              <w:spacing w:line="360" w:lineRule="exact"/>
              <w:jc w:val="center"/>
              <w:rPr>
                <w:rFonts w:hint="eastAsia"/>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239" w:type="pct"/>
            <w:noWrap w:val="0"/>
            <w:vAlign w:val="center"/>
          </w:tcPr>
          <w:p>
            <w:pPr>
              <w:spacing w:line="360" w:lineRule="exact"/>
              <w:jc w:val="center"/>
              <w:rPr>
                <w:rFonts w:hint="eastAsia"/>
                <w:szCs w:val="21"/>
              </w:rPr>
            </w:pPr>
            <w:r>
              <w:rPr>
                <w:rFonts w:hint="eastAsia"/>
                <w:szCs w:val="21"/>
              </w:rPr>
              <w:t>1</w:t>
            </w:r>
          </w:p>
        </w:tc>
        <w:tc>
          <w:tcPr>
            <w:tcW w:w="239" w:type="pct"/>
            <w:noWrap w:val="0"/>
            <w:vAlign w:val="center"/>
          </w:tcPr>
          <w:p>
            <w:pPr>
              <w:spacing w:line="360" w:lineRule="exact"/>
              <w:jc w:val="center"/>
              <w:rPr>
                <w:rFonts w:hint="eastAsia"/>
                <w:szCs w:val="21"/>
              </w:rPr>
            </w:pPr>
            <w:r>
              <w:rPr>
                <w:rFonts w:hint="eastAsia"/>
                <w:szCs w:val="21"/>
              </w:rPr>
              <w:t>综合</w:t>
            </w:r>
            <w:r>
              <w:rPr>
                <w:szCs w:val="21"/>
              </w:rPr>
              <w:t>废水</w:t>
            </w:r>
          </w:p>
        </w:tc>
        <w:tc>
          <w:tcPr>
            <w:tcW w:w="532" w:type="pct"/>
            <w:noWrap w:val="0"/>
            <w:vAlign w:val="center"/>
          </w:tcPr>
          <w:p>
            <w:pPr>
              <w:spacing w:line="360" w:lineRule="exact"/>
              <w:jc w:val="center"/>
              <w:rPr>
                <w:rFonts w:hint="eastAsia"/>
                <w:szCs w:val="21"/>
              </w:rPr>
            </w:pPr>
            <w:r>
              <w:rPr>
                <w:rFonts w:hint="eastAsia"/>
                <w:szCs w:val="21"/>
              </w:rPr>
              <w:t>COD、</w:t>
            </w:r>
            <w:r>
              <w:rPr>
                <w:szCs w:val="21"/>
              </w:rPr>
              <w:t>BOD</w:t>
            </w:r>
            <w:r>
              <w:rPr>
                <w:szCs w:val="21"/>
                <w:vertAlign w:val="subscript"/>
              </w:rPr>
              <w:t>5</w:t>
            </w:r>
            <w:r>
              <w:rPr>
                <w:rFonts w:hint="eastAsia"/>
                <w:szCs w:val="21"/>
              </w:rPr>
              <w:t>、SS</w:t>
            </w:r>
            <w:r>
              <w:rPr>
                <w:szCs w:val="21"/>
              </w:rPr>
              <w:t>、NH</w:t>
            </w:r>
            <w:r>
              <w:rPr>
                <w:szCs w:val="21"/>
                <w:vertAlign w:val="subscript"/>
              </w:rPr>
              <w:t>3</w:t>
            </w:r>
            <w:r>
              <w:rPr>
                <w:szCs w:val="21"/>
              </w:rPr>
              <w:t>-N</w:t>
            </w:r>
          </w:p>
        </w:tc>
        <w:tc>
          <w:tcPr>
            <w:tcW w:w="477" w:type="pct"/>
            <w:noWrap w:val="0"/>
            <w:vAlign w:val="center"/>
          </w:tcPr>
          <w:p>
            <w:pPr>
              <w:spacing w:line="360" w:lineRule="exact"/>
              <w:jc w:val="center"/>
              <w:rPr>
                <w:rFonts w:hint="eastAsia"/>
                <w:szCs w:val="21"/>
              </w:rPr>
            </w:pPr>
            <w:r>
              <w:rPr>
                <w:rFonts w:hint="eastAsia"/>
                <w:szCs w:val="21"/>
              </w:rPr>
              <w:t>排至</w:t>
            </w:r>
            <w:r>
              <w:rPr>
                <w:szCs w:val="21"/>
              </w:rPr>
              <w:t>厂内污水处理站</w:t>
            </w:r>
          </w:p>
        </w:tc>
        <w:tc>
          <w:tcPr>
            <w:tcW w:w="555" w:type="pct"/>
            <w:noWrap w:val="0"/>
            <w:vAlign w:val="center"/>
          </w:tcPr>
          <w:p>
            <w:pPr>
              <w:spacing w:line="360" w:lineRule="exact"/>
              <w:jc w:val="center"/>
              <w:rPr>
                <w:rFonts w:hint="eastAsia"/>
                <w:szCs w:val="21"/>
              </w:rPr>
            </w:pPr>
            <w:r>
              <w:rPr>
                <w:rFonts w:hint="eastAsia"/>
                <w:szCs w:val="21"/>
              </w:rPr>
              <w:t>连续</w:t>
            </w:r>
            <w:r>
              <w:rPr>
                <w:szCs w:val="21"/>
              </w:rPr>
              <w:t>排放，流量不稳定</w:t>
            </w:r>
            <w:r>
              <w:rPr>
                <w:rFonts w:hint="eastAsia"/>
                <w:szCs w:val="21"/>
              </w:rPr>
              <w:t>，</w:t>
            </w:r>
            <w:r>
              <w:rPr>
                <w:szCs w:val="21"/>
              </w:rPr>
              <w:t>但有规律，且不属于周期性规律</w:t>
            </w:r>
          </w:p>
        </w:tc>
        <w:tc>
          <w:tcPr>
            <w:tcW w:w="396" w:type="pct"/>
            <w:noWrap w:val="0"/>
            <w:vAlign w:val="center"/>
          </w:tcPr>
          <w:p>
            <w:pPr>
              <w:spacing w:line="360" w:lineRule="exact"/>
              <w:jc w:val="center"/>
              <w:rPr>
                <w:rFonts w:hint="eastAsia"/>
                <w:szCs w:val="21"/>
              </w:rPr>
            </w:pPr>
            <w:r>
              <w:rPr>
                <w:rFonts w:hint="eastAsia"/>
                <w:szCs w:val="21"/>
              </w:rPr>
              <w:t>1</w:t>
            </w:r>
          </w:p>
        </w:tc>
        <w:tc>
          <w:tcPr>
            <w:tcW w:w="396" w:type="pct"/>
            <w:noWrap w:val="0"/>
            <w:vAlign w:val="center"/>
          </w:tcPr>
          <w:p>
            <w:pPr>
              <w:spacing w:line="360" w:lineRule="exact"/>
              <w:jc w:val="center"/>
              <w:rPr>
                <w:rFonts w:hint="eastAsia"/>
                <w:szCs w:val="21"/>
              </w:rPr>
            </w:pPr>
            <w:r>
              <w:rPr>
                <w:rFonts w:hint="eastAsia"/>
                <w:szCs w:val="21"/>
              </w:rPr>
              <w:t>收集池</w:t>
            </w:r>
            <w:r>
              <w:rPr>
                <w:szCs w:val="21"/>
              </w:rPr>
              <w:t>、沼液暂存池、</w:t>
            </w:r>
            <w:r>
              <w:rPr>
                <w:rFonts w:hint="eastAsia"/>
                <w:szCs w:val="21"/>
              </w:rPr>
              <w:t>黑膜</w:t>
            </w:r>
            <w:r>
              <w:rPr>
                <w:szCs w:val="21"/>
              </w:rPr>
              <w:t>沼气池</w:t>
            </w:r>
          </w:p>
        </w:tc>
        <w:tc>
          <w:tcPr>
            <w:tcW w:w="548" w:type="pct"/>
            <w:noWrap w:val="0"/>
            <w:vAlign w:val="center"/>
          </w:tcPr>
          <w:p>
            <w:pPr>
              <w:spacing w:line="360" w:lineRule="exact"/>
              <w:jc w:val="center"/>
              <w:rPr>
                <w:rFonts w:hint="eastAsia"/>
                <w:szCs w:val="21"/>
              </w:rPr>
            </w:pPr>
            <w:r>
              <w:rPr>
                <w:rFonts w:hint="eastAsia"/>
                <w:szCs w:val="21"/>
              </w:rPr>
              <w:t>漏缝板黑膜</w:t>
            </w:r>
            <w:r>
              <w:rPr>
                <w:szCs w:val="21"/>
              </w:rPr>
              <w:t>沼气池、沼气沼液、沼渣综合</w:t>
            </w:r>
            <w:r>
              <w:rPr>
                <w:rFonts w:hint="eastAsia"/>
                <w:szCs w:val="21"/>
              </w:rPr>
              <w:t>利用</w:t>
            </w:r>
          </w:p>
        </w:tc>
        <w:tc>
          <w:tcPr>
            <w:tcW w:w="239" w:type="pct"/>
            <w:noWrap w:val="0"/>
            <w:vAlign w:val="center"/>
          </w:tcPr>
          <w:p>
            <w:pPr>
              <w:spacing w:line="360" w:lineRule="exact"/>
              <w:jc w:val="center"/>
              <w:rPr>
                <w:rFonts w:hint="eastAsia"/>
                <w:szCs w:val="21"/>
              </w:rPr>
            </w:pPr>
            <w:r>
              <w:rPr>
                <w:rFonts w:hint="eastAsia"/>
                <w:szCs w:val="21"/>
              </w:rPr>
              <w:t>无</w:t>
            </w:r>
          </w:p>
        </w:tc>
        <w:tc>
          <w:tcPr>
            <w:tcW w:w="561" w:type="pct"/>
            <w:noWrap w:val="0"/>
            <w:vAlign w:val="center"/>
          </w:tcPr>
          <w:p>
            <w:pPr>
              <w:spacing w:line="360" w:lineRule="exact"/>
              <w:jc w:val="center"/>
              <w:rPr>
                <w:szCs w:val="21"/>
              </w:rPr>
            </w:pPr>
            <w:r>
              <w:rPr>
                <w:szCs w:val="21"/>
              </w:rPr>
              <w:sym w:font="Wingdings 2" w:char="00A3"/>
            </w:r>
            <w:r>
              <w:rPr>
                <w:rFonts w:hint="eastAsia"/>
                <w:szCs w:val="21"/>
              </w:rPr>
              <w:t>是</w:t>
            </w:r>
          </w:p>
          <w:p>
            <w:pPr>
              <w:spacing w:line="360" w:lineRule="exact"/>
              <w:jc w:val="center"/>
              <w:rPr>
                <w:rFonts w:hint="eastAsia"/>
                <w:szCs w:val="21"/>
              </w:rPr>
            </w:pPr>
            <w:r>
              <w:rPr>
                <w:szCs w:val="21"/>
              </w:rPr>
              <w:t>□</w:t>
            </w:r>
            <w:r>
              <w:rPr>
                <w:rFonts w:hint="eastAsia"/>
                <w:szCs w:val="21"/>
              </w:rPr>
              <w:t>否</w:t>
            </w:r>
          </w:p>
        </w:tc>
        <w:tc>
          <w:tcPr>
            <w:tcW w:w="818" w:type="pct"/>
            <w:noWrap w:val="0"/>
            <w:vAlign w:val="center"/>
          </w:tcPr>
          <w:p>
            <w:pPr>
              <w:spacing w:line="360" w:lineRule="exact"/>
              <w:rPr>
                <w:szCs w:val="21"/>
              </w:rPr>
            </w:pPr>
            <w:r>
              <w:rPr>
                <w:szCs w:val="21"/>
              </w:rPr>
              <w:t>□</w:t>
            </w:r>
            <w:r>
              <w:rPr>
                <w:rFonts w:hint="eastAsia"/>
                <w:szCs w:val="21"/>
              </w:rPr>
              <w:t>企业</w:t>
            </w:r>
            <w:r>
              <w:rPr>
                <w:szCs w:val="21"/>
              </w:rPr>
              <w:t>总排口</w:t>
            </w:r>
          </w:p>
          <w:p>
            <w:pPr>
              <w:spacing w:line="360" w:lineRule="exact"/>
              <w:rPr>
                <w:szCs w:val="21"/>
              </w:rPr>
            </w:pPr>
            <w:r>
              <w:rPr>
                <w:szCs w:val="21"/>
              </w:rPr>
              <w:t>□</w:t>
            </w:r>
            <w:r>
              <w:rPr>
                <w:rFonts w:hint="eastAsia"/>
                <w:szCs w:val="21"/>
              </w:rPr>
              <w:t>雨水</w:t>
            </w:r>
            <w:r>
              <w:rPr>
                <w:szCs w:val="21"/>
              </w:rPr>
              <w:t>排放</w:t>
            </w:r>
          </w:p>
          <w:p>
            <w:pPr>
              <w:spacing w:line="360" w:lineRule="exact"/>
              <w:rPr>
                <w:szCs w:val="21"/>
              </w:rPr>
            </w:pPr>
            <w:r>
              <w:rPr>
                <w:szCs w:val="21"/>
              </w:rPr>
              <w:t>□</w:t>
            </w:r>
            <w:r>
              <w:rPr>
                <w:rFonts w:hint="eastAsia"/>
                <w:szCs w:val="21"/>
              </w:rPr>
              <w:t>清净下水</w:t>
            </w:r>
            <w:r>
              <w:rPr>
                <w:szCs w:val="21"/>
              </w:rPr>
              <w:t>排放</w:t>
            </w:r>
          </w:p>
          <w:p>
            <w:pPr>
              <w:spacing w:line="360" w:lineRule="exact"/>
              <w:rPr>
                <w:szCs w:val="21"/>
              </w:rPr>
            </w:pPr>
            <w:r>
              <w:rPr>
                <w:szCs w:val="21"/>
              </w:rPr>
              <w:t>□</w:t>
            </w:r>
            <w:r>
              <w:rPr>
                <w:rFonts w:hint="eastAsia"/>
                <w:szCs w:val="21"/>
              </w:rPr>
              <w:t>温排水</w:t>
            </w:r>
            <w:r>
              <w:rPr>
                <w:szCs w:val="21"/>
              </w:rPr>
              <w:t>排放</w:t>
            </w:r>
          </w:p>
          <w:p>
            <w:pPr>
              <w:spacing w:line="360" w:lineRule="exact"/>
              <w:rPr>
                <w:rFonts w:hint="eastAsia"/>
                <w:szCs w:val="21"/>
              </w:rPr>
            </w:pPr>
            <w:r>
              <w:rPr>
                <w:szCs w:val="21"/>
              </w:rPr>
              <w:t>□</w:t>
            </w:r>
            <w:r>
              <w:rPr>
                <w:rFonts w:hint="eastAsia"/>
                <w:szCs w:val="21"/>
              </w:rPr>
              <w:t>车间</w:t>
            </w:r>
            <w:r>
              <w:rPr>
                <w:szCs w:val="21"/>
              </w:rPr>
              <w:t>或车间处理设施排放口</w:t>
            </w:r>
          </w:p>
        </w:tc>
      </w:tr>
    </w:tbl>
    <w:p>
      <w:pPr>
        <w:pStyle w:val="34"/>
        <w:ind w:firstLine="480"/>
        <w:rPr>
          <w:rFonts w:hint="eastAsia"/>
        </w:rPr>
      </w:pPr>
      <w:r>
        <w:rPr>
          <w:rFonts w:hint="eastAsia"/>
        </w:rPr>
        <w:t>项目</w:t>
      </w:r>
      <w:r>
        <w:t>废水综合利用，不外排</w:t>
      </w:r>
      <w:r>
        <w:rPr>
          <w:rFonts w:hint="eastAsia"/>
        </w:rPr>
        <w:t>。</w:t>
      </w:r>
      <w:r>
        <w:t>项目</w:t>
      </w:r>
      <w:r>
        <w:rPr>
          <w:rFonts w:hint="eastAsia"/>
        </w:rPr>
        <w:t>沼液消纳地</w:t>
      </w:r>
      <w:r>
        <w:t>围绕项目区周边，</w:t>
      </w:r>
      <w:r>
        <w:rPr>
          <w:rFonts w:hint="eastAsia"/>
        </w:rPr>
        <w:t>项目区域</w:t>
      </w:r>
      <w:r>
        <w:t>地势北高南</w:t>
      </w:r>
      <w:r>
        <w:rPr>
          <w:rFonts w:hint="eastAsia"/>
        </w:rPr>
        <w:t>低，雨涝季节</w:t>
      </w:r>
      <w:r>
        <w:t>项目区及周边消纳地的积水随地势由北向南流，工程的生产运营不会对评价区地表水环境造成污染影响</w:t>
      </w:r>
      <w:r>
        <w:rPr>
          <w:rFonts w:hint="eastAsia"/>
        </w:rPr>
        <w:t>。</w:t>
      </w:r>
    </w:p>
    <w:p>
      <w:pPr>
        <w:spacing w:line="520" w:lineRule="exact"/>
        <w:ind w:firstLine="480" w:firstLineChars="200"/>
        <w:rPr>
          <w:sz w:val="24"/>
        </w:rPr>
      </w:pPr>
      <w:r>
        <w:rPr>
          <w:rFonts w:hint="eastAsia"/>
          <w:sz w:val="24"/>
          <w:szCs w:val="22"/>
        </w:rPr>
        <w:t>项目东侧</w:t>
      </w:r>
      <w:r>
        <w:rPr>
          <w:rFonts w:hint="eastAsia"/>
          <w:sz w:val="24"/>
          <w:szCs w:val="22"/>
          <w:lang w:eastAsia="zh-CN"/>
        </w:rPr>
        <w:t>2800</w:t>
      </w:r>
      <w:r>
        <w:rPr>
          <w:rFonts w:hint="eastAsia"/>
          <w:sz w:val="24"/>
          <w:szCs w:val="22"/>
        </w:rPr>
        <w:t>m</w:t>
      </w:r>
      <w:r>
        <w:rPr>
          <w:sz w:val="24"/>
          <w:szCs w:val="22"/>
        </w:rPr>
        <w:t>为</w:t>
      </w:r>
      <w:r>
        <w:rPr>
          <w:rFonts w:hint="eastAsia" w:hAnsi="宋体"/>
          <w:snapToGrid w:val="0"/>
          <w:sz w:val="24"/>
          <w:lang w:eastAsia="zh-CN"/>
        </w:rPr>
        <w:t>黄大港</w:t>
      </w:r>
      <w:r>
        <w:rPr>
          <w:rFonts w:hint="eastAsia" w:hAnsi="宋体"/>
          <w:snapToGrid w:val="0"/>
          <w:sz w:val="24"/>
        </w:rPr>
        <w:t>（</w:t>
      </w:r>
      <w:r>
        <w:rPr>
          <w:rFonts w:hint="eastAsia" w:hAnsi="宋体"/>
          <w:snapToGrid w:val="0"/>
          <w:sz w:val="24"/>
          <w:lang w:eastAsia="zh-CN"/>
        </w:rPr>
        <w:t>黄大港为汝河支流，汝河为淮河支流</w:t>
      </w:r>
      <w:r>
        <w:rPr>
          <w:rFonts w:hint="eastAsia" w:hAnsi="宋体"/>
          <w:snapToGrid w:val="0"/>
          <w:sz w:val="24"/>
        </w:rPr>
        <w:t>）</w:t>
      </w:r>
      <w:r>
        <w:rPr>
          <w:sz w:val="24"/>
        </w:rPr>
        <w:t>，项目</w:t>
      </w:r>
      <w:r>
        <w:rPr>
          <w:rFonts w:hint="eastAsia"/>
          <w:sz w:val="24"/>
        </w:rPr>
        <w:t>区域地势</w:t>
      </w:r>
      <w:r>
        <w:rPr>
          <w:sz w:val="24"/>
        </w:rPr>
        <w:t>整体</w:t>
      </w:r>
      <w:r>
        <w:rPr>
          <w:rFonts w:hint="eastAsia"/>
          <w:sz w:val="24"/>
        </w:rPr>
        <w:t>北高南低，西高东低，项目所在地海拔高度为7</w:t>
      </w:r>
      <w:r>
        <w:rPr>
          <w:rFonts w:hint="eastAsia"/>
          <w:sz w:val="24"/>
          <w:lang w:val="en-US" w:eastAsia="zh-CN"/>
        </w:rPr>
        <w:t>4</w:t>
      </w:r>
      <w:r>
        <w:rPr>
          <w:rFonts w:hint="eastAsia"/>
          <w:sz w:val="24"/>
        </w:rPr>
        <w:t>m，项目四周区域消纳地海拔高度分别为：东侧</w:t>
      </w:r>
      <w:r>
        <w:rPr>
          <w:rFonts w:hint="eastAsia"/>
          <w:sz w:val="24"/>
          <w:lang w:val="en-US" w:eastAsia="zh-CN"/>
        </w:rPr>
        <w:t>69</w:t>
      </w:r>
      <w:r>
        <w:rPr>
          <w:rFonts w:hint="eastAsia"/>
          <w:sz w:val="24"/>
        </w:rPr>
        <w:t>m，南侧</w:t>
      </w:r>
      <w:r>
        <w:rPr>
          <w:rFonts w:hint="eastAsia"/>
          <w:sz w:val="24"/>
          <w:lang w:val="en-US" w:eastAsia="zh-CN"/>
        </w:rPr>
        <w:t>69</w:t>
      </w:r>
      <w:r>
        <w:rPr>
          <w:rFonts w:hint="eastAsia"/>
          <w:sz w:val="24"/>
        </w:rPr>
        <w:t>m，西侧</w:t>
      </w:r>
      <w:r>
        <w:rPr>
          <w:rFonts w:hint="eastAsia"/>
          <w:sz w:val="24"/>
          <w:lang w:val="en-US" w:eastAsia="zh-CN"/>
        </w:rPr>
        <w:t>71</w:t>
      </w:r>
      <w:r>
        <w:rPr>
          <w:rFonts w:hint="eastAsia"/>
          <w:sz w:val="24"/>
        </w:rPr>
        <w:t>m，北侧</w:t>
      </w:r>
      <w:r>
        <w:rPr>
          <w:rFonts w:hint="eastAsia"/>
          <w:sz w:val="24"/>
          <w:lang w:val="en-US" w:eastAsia="zh-CN"/>
        </w:rPr>
        <w:t>73</w:t>
      </w:r>
      <w:r>
        <w:rPr>
          <w:rFonts w:hint="eastAsia"/>
          <w:sz w:val="24"/>
        </w:rPr>
        <w:t>m，项目四周是北高，西、东、南侧相对较低，雨水流向是从项目区向其他三个方向径流，小区域内东侧比西侧低。雨水季节，项目地表水体流向是从项目首先向东侧进入</w:t>
      </w:r>
      <w:r>
        <w:rPr>
          <w:rFonts w:hint="eastAsia"/>
          <w:sz w:val="24"/>
          <w:lang w:eastAsia="zh-CN"/>
        </w:rPr>
        <w:t>黄大港</w:t>
      </w:r>
      <w:r>
        <w:rPr>
          <w:rFonts w:hint="eastAsia"/>
          <w:sz w:val="24"/>
        </w:rPr>
        <w:t>，向南流入白河，最终进入淮河。</w:t>
      </w:r>
    </w:p>
    <w:p>
      <w:pPr>
        <w:spacing w:line="520" w:lineRule="exact"/>
        <w:ind w:firstLine="480" w:firstLineChars="200"/>
        <w:rPr>
          <w:rFonts w:hint="eastAsia"/>
          <w:sz w:val="24"/>
        </w:rPr>
      </w:pPr>
      <w:r>
        <w:rPr>
          <w:sz w:val="24"/>
        </w:rPr>
        <w:t>根据项目四周水力联系</w:t>
      </w:r>
      <w:r>
        <w:rPr>
          <w:rFonts w:hint="eastAsia"/>
          <w:sz w:val="24"/>
        </w:rPr>
        <w:t>，雨水季节，沼液消纳地在没有充分吸收消纳沼液时，遇雨水冲洗，将形成地表径流，经项目东侧的</w:t>
      </w:r>
      <w:r>
        <w:rPr>
          <w:rFonts w:hint="eastAsia"/>
          <w:sz w:val="24"/>
          <w:lang w:eastAsia="zh-CN"/>
        </w:rPr>
        <w:t>黄大港</w:t>
      </w:r>
      <w:r>
        <w:rPr>
          <w:rFonts w:hint="eastAsia"/>
          <w:sz w:val="24"/>
        </w:rPr>
        <w:t>流入</w:t>
      </w:r>
      <w:r>
        <w:rPr>
          <w:rFonts w:hint="eastAsia"/>
          <w:sz w:val="24"/>
          <w:lang w:val="en-US" w:eastAsia="zh-CN"/>
        </w:rPr>
        <w:t>汝河</w:t>
      </w:r>
      <w:r>
        <w:rPr>
          <w:rFonts w:hint="eastAsia"/>
          <w:sz w:val="24"/>
        </w:rPr>
        <w:t>，最终汇入淮河，污染淮河水源，故环评提出，</w:t>
      </w:r>
      <w:r>
        <w:rPr>
          <w:sz w:val="24"/>
        </w:rPr>
        <w:t>建设单位对沼液消纳地应建立科学合理的沼液利用制度，</w:t>
      </w:r>
      <w:r>
        <w:rPr>
          <w:rFonts w:hint="eastAsia"/>
          <w:sz w:val="24"/>
        </w:rPr>
        <w:t>沼液</w:t>
      </w:r>
      <w:r>
        <w:rPr>
          <w:sz w:val="24"/>
        </w:rPr>
        <w:t>适当施用，由企业结合农业技术部门根据天气状况、当地土地消纳能力、农田施肥及灌溉规律等定时定量合理施肥，</w:t>
      </w:r>
      <w:r>
        <w:rPr>
          <w:rFonts w:hint="eastAsia"/>
          <w:sz w:val="24"/>
        </w:rPr>
        <w:t>遇雨季，应将沼液暂存于暂存池内，严禁进行消纳地施肥，防止沼液雨季随地表径流进入淮河，污染地表水体</w:t>
      </w:r>
      <w:r>
        <w:rPr>
          <w:sz w:val="24"/>
          <w:szCs w:val="22"/>
        </w:rPr>
        <w:t>。</w:t>
      </w:r>
    </w:p>
    <w:p>
      <w:pPr>
        <w:pStyle w:val="2"/>
        <w:spacing w:before="0" w:after="0" w:line="520" w:lineRule="exact"/>
        <w:rPr>
          <w:rFonts w:hint="eastAsia" w:eastAsia="黑体"/>
          <w:b w:val="0"/>
          <w:sz w:val="24"/>
          <w:szCs w:val="24"/>
        </w:rPr>
      </w:pPr>
      <w:r>
        <w:rPr>
          <w:rFonts w:eastAsia="黑体"/>
          <w:b w:val="0"/>
          <w:sz w:val="24"/>
          <w:szCs w:val="24"/>
        </w:rPr>
        <w:t>4</w:t>
      </w:r>
      <w:bookmarkEnd w:id="414"/>
      <w:r>
        <w:rPr>
          <w:rFonts w:eastAsia="黑体"/>
          <w:b w:val="0"/>
          <w:sz w:val="24"/>
          <w:szCs w:val="24"/>
        </w:rPr>
        <w:t>.2.3地下水环境影响分析</w:t>
      </w:r>
    </w:p>
    <w:p>
      <w:pPr>
        <w:spacing w:line="520" w:lineRule="exact"/>
        <w:ind w:firstLine="480" w:firstLineChars="200"/>
        <w:rPr>
          <w:sz w:val="24"/>
        </w:rPr>
      </w:pPr>
      <w:r>
        <w:rPr>
          <w:rFonts w:hint="eastAsia"/>
          <w:sz w:val="24"/>
        </w:rPr>
        <w:t>污染物对地下水的影响主要是由于降雨或废水排放等通过垂直渗透进入包气带，进入包气带的污染物在物理、化学和生物作用下经吸附、转化、迁移和分解后输入地下水。因此，包气带是联接地面污染物与地下含水层的主要通道和过渡带，既是污染物媒介体，又是污染物的净化场所和防护层。地下水能否被污染以及污染物的种类和性质。一般说来，土壤粒细而紧密，渗透性差，则污染慢；反之，颗粒大松散，渗透性能良好则污染重。</w:t>
      </w:r>
    </w:p>
    <w:p>
      <w:pPr>
        <w:spacing w:line="520" w:lineRule="exact"/>
        <w:rPr>
          <w:rFonts w:hint="eastAsia"/>
          <w:b/>
          <w:sz w:val="24"/>
        </w:rPr>
      </w:pPr>
      <w:r>
        <w:rPr>
          <w:b/>
          <w:kern w:val="0"/>
          <w:sz w:val="24"/>
          <w:lang w:bidi="ar"/>
        </w:rPr>
        <w:t xml:space="preserve">4.2.3.1 </w:t>
      </w:r>
      <w:r>
        <w:rPr>
          <w:rFonts w:hint="eastAsia"/>
          <w:b/>
          <w:kern w:val="0"/>
          <w:sz w:val="24"/>
          <w:lang w:bidi="ar"/>
        </w:rPr>
        <w:t>评价工作</w:t>
      </w:r>
      <w:r>
        <w:rPr>
          <w:b/>
          <w:kern w:val="0"/>
          <w:sz w:val="24"/>
          <w:lang w:bidi="ar"/>
        </w:rPr>
        <w:t>等级确定</w:t>
      </w:r>
    </w:p>
    <w:p>
      <w:pPr>
        <w:topLinePunct/>
        <w:spacing w:line="520" w:lineRule="exact"/>
        <w:ind w:firstLine="480" w:firstLineChars="200"/>
        <w:rPr>
          <w:bCs/>
          <w:color w:val="000000"/>
          <w:sz w:val="24"/>
          <w:szCs w:val="28"/>
          <w:lang w:val="en-GB"/>
        </w:rPr>
      </w:pPr>
      <w:r>
        <w:rPr>
          <w:bCs/>
          <w:color w:val="000000"/>
          <w:sz w:val="24"/>
          <w:szCs w:val="28"/>
          <w:lang w:val="en-GB"/>
        </w:rPr>
        <w:t>根据《环境影响评价技术导则·地下水环境》（HJ610-2016）评价等级划分依据，建设项目评价等级由项目类别和环境敏感程度共同判定：</w:t>
      </w:r>
    </w:p>
    <w:p>
      <w:pPr>
        <w:topLinePunct/>
        <w:spacing w:line="520" w:lineRule="exact"/>
        <w:ind w:firstLine="480" w:firstLineChars="200"/>
        <w:rPr>
          <w:bCs/>
          <w:color w:val="000000"/>
          <w:sz w:val="24"/>
          <w:szCs w:val="28"/>
          <w:lang w:val="en-GB"/>
        </w:rPr>
      </w:pPr>
      <w:r>
        <w:rPr>
          <w:bCs/>
          <w:color w:val="000000"/>
          <w:sz w:val="24"/>
          <w:szCs w:val="28"/>
          <w:lang w:val="en-GB"/>
        </w:rPr>
        <w:t>（1）地下水环境影响评价项目类别：根据HJ610-2016附录A“地下水环境影响评价行业分类表”，本项目行业类别属于畜禽养殖场、养殖小区项目，环境影响评价文件类型为报告书，因此其地下水环境影响评价项目类别为</w:t>
      </w:r>
      <w:r>
        <w:rPr>
          <w:rFonts w:hint="eastAsia" w:ascii="宋体" w:hAnsi="宋体" w:cs="宋体"/>
          <w:bCs/>
          <w:color w:val="000000"/>
          <w:sz w:val="24"/>
          <w:szCs w:val="28"/>
          <w:lang w:val="en-GB"/>
        </w:rPr>
        <w:t>Ⅲ</w:t>
      </w:r>
      <w:r>
        <w:rPr>
          <w:bCs/>
          <w:color w:val="000000"/>
          <w:sz w:val="24"/>
          <w:szCs w:val="28"/>
          <w:lang w:val="en-GB"/>
        </w:rPr>
        <w:t>类。</w:t>
      </w:r>
    </w:p>
    <w:p>
      <w:pPr>
        <w:topLinePunct/>
        <w:spacing w:line="520" w:lineRule="exact"/>
        <w:ind w:firstLine="480" w:firstLineChars="200"/>
        <w:rPr>
          <w:bCs/>
          <w:color w:val="000000"/>
          <w:sz w:val="24"/>
          <w:szCs w:val="28"/>
          <w:lang w:val="en-GB"/>
        </w:rPr>
      </w:pPr>
      <w:r>
        <w:rPr>
          <w:bCs/>
          <w:color w:val="000000"/>
          <w:sz w:val="24"/>
          <w:szCs w:val="28"/>
          <w:lang w:val="en-GB"/>
        </w:rPr>
        <w:t>（2）建设项目场地的地下水环境敏感程度：根据《河南省县级集中式饮用水水源保护区划》，本项目在饮用水源保护区范围之外，不会对</w:t>
      </w:r>
      <w:r>
        <w:rPr>
          <w:rFonts w:hint="eastAsia"/>
          <w:bCs/>
          <w:color w:val="000000"/>
          <w:sz w:val="24"/>
          <w:szCs w:val="28"/>
          <w:lang w:val="en-GB"/>
        </w:rPr>
        <w:t>正阳县</w:t>
      </w:r>
      <w:r>
        <w:rPr>
          <w:bCs/>
          <w:color w:val="000000"/>
          <w:sz w:val="24"/>
          <w:szCs w:val="28"/>
          <w:lang w:val="en-GB"/>
        </w:rPr>
        <w:t>饮用水源产生影响。且本项目周围无国家和地方政府设定的与地下水环境相关的其它保护区。因此，本项目的地下水环境敏感程度为不敏感。</w:t>
      </w:r>
    </w:p>
    <w:p>
      <w:pPr>
        <w:spacing w:line="520" w:lineRule="exact"/>
        <w:ind w:firstLine="480" w:firstLineChars="200"/>
        <w:rPr>
          <w:bCs/>
          <w:color w:val="000000"/>
          <w:sz w:val="24"/>
        </w:rPr>
      </w:pPr>
      <w:r>
        <w:rPr>
          <w:bCs/>
          <w:color w:val="000000"/>
          <w:sz w:val="24"/>
          <w:szCs w:val="28"/>
          <w:lang w:val="en-GB"/>
        </w:rPr>
        <w:t>根据评价工作等级分级表可知，本项目地下水评价工作等级为三级</w:t>
      </w:r>
      <w:r>
        <w:rPr>
          <w:sz w:val="24"/>
        </w:rPr>
        <w:t>。</w:t>
      </w:r>
    </w:p>
    <w:p>
      <w:pPr>
        <w:spacing w:line="520" w:lineRule="exact"/>
        <w:rPr>
          <w:rFonts w:hint="eastAsia"/>
          <w:b/>
          <w:sz w:val="24"/>
        </w:rPr>
      </w:pPr>
      <w:r>
        <w:rPr>
          <w:b/>
          <w:kern w:val="0"/>
          <w:sz w:val="24"/>
          <w:lang w:bidi="ar"/>
        </w:rPr>
        <w:t xml:space="preserve">4.2.3.2 </w:t>
      </w:r>
      <w:r>
        <w:rPr>
          <w:rFonts w:hint="eastAsia"/>
          <w:b/>
          <w:kern w:val="0"/>
          <w:sz w:val="24"/>
          <w:lang w:bidi="ar"/>
        </w:rPr>
        <w:t>项目区域地下水情况</w:t>
      </w:r>
    </w:p>
    <w:p>
      <w:pPr>
        <w:pStyle w:val="6"/>
        <w:spacing w:after="0" w:line="520" w:lineRule="exact"/>
        <w:ind w:firstLine="480" w:firstLineChars="200"/>
        <w:rPr>
          <w:color w:val="000000"/>
          <w:sz w:val="24"/>
        </w:rPr>
      </w:pPr>
      <w:r>
        <w:rPr>
          <w:color w:val="000000"/>
          <w:sz w:val="24"/>
        </w:rPr>
        <w:t>正阳县地下水地层结构主要为中更新统、上更新统、低洼处有零星全更新统。中更新统中下部的粉质粘土层，底板埋深72.94-92.76m，其上无砂层。在全县均有分布，很稳定。目前县区内农业开采井在30-60m，故以此为界（控制深度50m），以上划分为浅层含水层组，赋存其中的地下水位浅层地下水；其下至210m深度内为深层含水层组，赋存其中的地下水</w:t>
      </w:r>
      <w:r>
        <w:rPr>
          <w:rFonts w:hint="eastAsia"/>
          <w:color w:val="000000"/>
          <w:sz w:val="24"/>
        </w:rPr>
        <w:t>为</w:t>
      </w:r>
      <w:r>
        <w:rPr>
          <w:color w:val="000000"/>
          <w:sz w:val="24"/>
        </w:rPr>
        <w:t>深层地下水。</w:t>
      </w:r>
    </w:p>
    <w:p>
      <w:pPr>
        <w:pStyle w:val="6"/>
        <w:spacing w:after="0" w:line="520" w:lineRule="exact"/>
        <w:ind w:firstLine="480" w:firstLineChars="200"/>
        <w:rPr>
          <w:color w:val="000000"/>
          <w:sz w:val="24"/>
        </w:rPr>
      </w:pPr>
      <w:r>
        <w:rPr>
          <w:color w:val="000000"/>
          <w:sz w:val="24"/>
        </w:rPr>
        <w:t>（1）下更新统</w:t>
      </w:r>
    </w:p>
    <w:p>
      <w:pPr>
        <w:pStyle w:val="6"/>
        <w:spacing w:after="0" w:line="520" w:lineRule="exact"/>
        <w:ind w:firstLine="480" w:firstLineChars="200"/>
        <w:rPr>
          <w:color w:val="000000"/>
          <w:sz w:val="24"/>
        </w:rPr>
      </w:pPr>
      <w:r>
        <w:rPr>
          <w:color w:val="000000"/>
          <w:sz w:val="24"/>
        </w:rPr>
        <w:t>该统埋藏于中更新统之下，分布全县。为充洪积沉物，岩性为灰色、灰白色夹斑状黄色粘土，土黄色、褐黄色、少量灰绿色粉质粘土，灰黄、灰绿色砂、泥质砂砾石层，顶板埋深80-100m，钻探厚度220m，210m深度内砂层累计厚度71.68m。</w:t>
      </w:r>
    </w:p>
    <w:p>
      <w:pPr>
        <w:pStyle w:val="6"/>
        <w:spacing w:after="0" w:line="520" w:lineRule="exact"/>
        <w:ind w:firstLine="480" w:firstLineChars="200"/>
        <w:rPr>
          <w:color w:val="000000"/>
          <w:sz w:val="24"/>
        </w:rPr>
      </w:pPr>
      <w:r>
        <w:rPr>
          <w:color w:val="000000"/>
          <w:sz w:val="24"/>
        </w:rPr>
        <w:t>（2）中更新统</w:t>
      </w:r>
    </w:p>
    <w:p>
      <w:pPr>
        <w:pStyle w:val="6"/>
        <w:spacing w:after="0" w:line="520" w:lineRule="exact"/>
        <w:ind w:firstLine="480" w:firstLineChars="200"/>
        <w:rPr>
          <w:color w:val="000000"/>
          <w:sz w:val="24"/>
        </w:rPr>
      </w:pPr>
      <w:r>
        <w:rPr>
          <w:color w:val="000000"/>
          <w:sz w:val="24"/>
        </w:rPr>
        <w:t>中更新统出露在西北大部及中南部，大部分出露在侵蚀缓岗地带，其他部位埋深于更新统之下，为一套冲洪积沉物，岩性以土黄色、褐黄色粉质粘土为主，层位稳定，厚度大于83.44m。底部有一层细砂层（77.44-83.44m），松散，成分以石英、长石为主，含少量泥质。77.44m以上为粉质粘土、粘土，稍硬、微塑，块状结构，含铁锰质结核，裂隙发育，含粘土裂隙水、粉质粘土孔隙水。</w:t>
      </w:r>
    </w:p>
    <w:p>
      <w:pPr>
        <w:pStyle w:val="6"/>
        <w:spacing w:after="0" w:line="520" w:lineRule="exact"/>
        <w:ind w:firstLine="480" w:firstLineChars="200"/>
        <w:rPr>
          <w:color w:val="000000"/>
          <w:sz w:val="24"/>
        </w:rPr>
      </w:pPr>
      <w:r>
        <w:rPr>
          <w:color w:val="000000"/>
          <w:sz w:val="24"/>
        </w:rPr>
        <w:t>（3）上更新统</w:t>
      </w:r>
    </w:p>
    <w:p>
      <w:pPr>
        <w:pStyle w:val="6"/>
        <w:spacing w:after="0" w:line="520" w:lineRule="exact"/>
        <w:ind w:firstLine="480" w:firstLineChars="200"/>
        <w:rPr>
          <w:color w:val="000000"/>
          <w:sz w:val="24"/>
        </w:rPr>
      </w:pPr>
      <w:r>
        <w:rPr>
          <w:color w:val="000000"/>
          <w:sz w:val="24"/>
        </w:rPr>
        <w:t>出露于西南部和东北部，为冲湖积沉物，岩层主要为灰褐、灰黑色粉土、粉质粘土、含钙质小结核，厚度0.5-2.0m。</w:t>
      </w:r>
    </w:p>
    <w:p>
      <w:pPr>
        <w:pStyle w:val="6"/>
        <w:spacing w:after="0" w:line="520" w:lineRule="exact"/>
        <w:ind w:firstLine="480" w:firstLineChars="200"/>
        <w:rPr>
          <w:color w:val="000000"/>
          <w:sz w:val="24"/>
        </w:rPr>
      </w:pPr>
      <w:r>
        <w:rPr>
          <w:color w:val="000000"/>
          <w:sz w:val="24"/>
        </w:rPr>
        <w:t>（4）全新统</w:t>
      </w:r>
    </w:p>
    <w:p>
      <w:pPr>
        <w:pStyle w:val="6"/>
        <w:spacing w:after="0" w:line="520" w:lineRule="exact"/>
        <w:ind w:firstLine="480" w:firstLineChars="200"/>
        <w:rPr>
          <w:color w:val="000000"/>
          <w:sz w:val="24"/>
        </w:rPr>
      </w:pPr>
      <w:r>
        <w:rPr>
          <w:color w:val="000000"/>
          <w:sz w:val="24"/>
        </w:rPr>
        <w:t>全新统零星分布于河谷及地貌低洼部位，岩性以浅灰黄色粉土、中细砂为主。</w:t>
      </w:r>
    </w:p>
    <w:p>
      <w:pPr>
        <w:pStyle w:val="6"/>
        <w:spacing w:after="0" w:line="520" w:lineRule="exact"/>
        <w:ind w:firstLine="480" w:firstLineChars="200"/>
        <w:rPr>
          <w:color w:val="000000"/>
          <w:sz w:val="24"/>
        </w:rPr>
      </w:pPr>
      <w:r>
        <w:rPr>
          <w:color w:val="000000"/>
          <w:sz w:val="24"/>
        </w:rPr>
        <w:t>（5）浅层含水层组</w:t>
      </w:r>
    </w:p>
    <w:p>
      <w:pPr>
        <w:pStyle w:val="6"/>
        <w:spacing w:after="0" w:line="520" w:lineRule="exact"/>
        <w:ind w:firstLine="480" w:firstLineChars="200"/>
        <w:rPr>
          <w:color w:val="000000"/>
          <w:sz w:val="24"/>
        </w:rPr>
      </w:pPr>
      <w:r>
        <w:rPr>
          <w:color w:val="000000"/>
          <w:sz w:val="24"/>
        </w:rPr>
        <w:t>浅层地下水含水层组岩性为中更新统浅黄色—棕红色粉质粘土，节理及裂隙发育程度一般，地下水径流条件一般，径流总体方向自西向东流动，水利坡度＜3.0%，渗透系数10-15m/d，为中等径流带。浅层含水层组水化学类型为HCO</w:t>
      </w:r>
      <w:r>
        <w:rPr>
          <w:color w:val="000000"/>
          <w:sz w:val="24"/>
          <w:vertAlign w:val="subscript"/>
        </w:rPr>
        <w:t>3</w:t>
      </w:r>
      <w:r>
        <w:rPr>
          <w:color w:val="000000"/>
          <w:sz w:val="24"/>
        </w:rPr>
        <w:t>-Ca·Na和HCO</w:t>
      </w:r>
      <w:r>
        <w:rPr>
          <w:color w:val="000000"/>
          <w:sz w:val="24"/>
          <w:vertAlign w:val="subscript"/>
        </w:rPr>
        <w:t>3</w:t>
      </w:r>
      <w:r>
        <w:rPr>
          <w:color w:val="000000"/>
          <w:sz w:val="24"/>
        </w:rPr>
        <w:t>-Ca·Mg型水，矿化度500-700mg/l，属淡水。</w:t>
      </w:r>
    </w:p>
    <w:p>
      <w:pPr>
        <w:pStyle w:val="6"/>
        <w:spacing w:after="0" w:line="520" w:lineRule="exact"/>
        <w:ind w:firstLine="480" w:firstLineChars="200"/>
        <w:rPr>
          <w:color w:val="000000"/>
          <w:sz w:val="24"/>
        </w:rPr>
      </w:pPr>
      <w:r>
        <w:rPr>
          <w:color w:val="000000"/>
          <w:sz w:val="24"/>
        </w:rPr>
        <w:t>浅层含水层组单井涌水量7.39-195.40m³/d，可分为贫水区和弱富水区。浅层含水层组的补给主要为大气降水入渗补给、地下径流补给、灌溉回渗补给。浅层含水层组的排泄主要为蒸发排泄、河流排泄、人工开发排泄、越流排泄和径流排泄。通过多年平均补给量与消耗量的各均衡要素对比分析，大气降水入渗补给是正阳县浅层地下水的主要补给来源，占总补给量的82.05%；消耗量以人工开发为主，占总消耗量的70.41%，其次是蒸发排泄。</w:t>
      </w:r>
    </w:p>
    <w:p>
      <w:pPr>
        <w:pStyle w:val="6"/>
        <w:spacing w:after="0" w:line="520" w:lineRule="exact"/>
        <w:ind w:firstLine="480" w:firstLineChars="200"/>
        <w:rPr>
          <w:color w:val="000000"/>
          <w:sz w:val="24"/>
        </w:rPr>
      </w:pPr>
      <w:r>
        <w:rPr>
          <w:color w:val="000000"/>
          <w:sz w:val="24"/>
        </w:rPr>
        <w:t>（6）深层含水层组</w:t>
      </w:r>
    </w:p>
    <w:p>
      <w:pPr>
        <w:pStyle w:val="6"/>
        <w:spacing w:after="0" w:line="520" w:lineRule="exact"/>
        <w:ind w:firstLine="480" w:firstLineChars="200"/>
        <w:rPr>
          <w:color w:val="000000"/>
          <w:sz w:val="24"/>
        </w:rPr>
      </w:pPr>
      <w:r>
        <w:rPr>
          <w:color w:val="000000"/>
          <w:sz w:val="24"/>
        </w:rPr>
        <w:t>深层含水层组包括中更新统和下更新统细粉砂、中细砂、粗中砂、砂砾石及泥质混粒砂、砂砾石组成。深层含水层组含水层顶板埋深72.94-92.76m，底板埋深176.20-202.27m。砂层累计厚度33.00-82.00m，深层水头埋深19.22-34.00m，水化学类型为HCO</w:t>
      </w:r>
      <w:r>
        <w:rPr>
          <w:color w:val="000000"/>
          <w:sz w:val="24"/>
          <w:vertAlign w:val="subscript"/>
        </w:rPr>
        <w:t>3</w:t>
      </w:r>
      <w:r>
        <w:rPr>
          <w:color w:val="000000"/>
          <w:sz w:val="24"/>
        </w:rPr>
        <w:t>-Ca·Mg和HCO</w:t>
      </w:r>
      <w:r>
        <w:rPr>
          <w:color w:val="000000"/>
          <w:sz w:val="24"/>
          <w:vertAlign w:val="subscript"/>
        </w:rPr>
        <w:t>3</w:t>
      </w:r>
      <w:r>
        <w:rPr>
          <w:color w:val="000000"/>
          <w:sz w:val="24"/>
        </w:rPr>
        <w:t>-Ca·Na型水。</w:t>
      </w:r>
    </w:p>
    <w:p>
      <w:pPr>
        <w:pStyle w:val="6"/>
        <w:spacing w:after="0" w:line="520" w:lineRule="exact"/>
        <w:ind w:firstLine="480" w:firstLineChars="200"/>
        <w:rPr>
          <w:color w:val="000000"/>
          <w:sz w:val="24"/>
        </w:rPr>
      </w:pPr>
      <w:r>
        <w:rPr>
          <w:color w:val="000000"/>
          <w:sz w:val="24"/>
        </w:rPr>
        <w:t>深层含水层组单井涌水量1330.25-2386.29m³/d，属富水地区，导水系数242.2-394.3m³/d。深层含水层组地下水自西向东流动，其补给方式主要为径流补给和浅层水的越流补给。水源运行过程中，其补给量以径流补给为主，深层汗水层为无线含水层，且没有其他的集中开采，因此水源地的补给量是有保证的。</w:t>
      </w:r>
    </w:p>
    <w:p>
      <w:pPr>
        <w:spacing w:line="520" w:lineRule="exact"/>
        <w:ind w:firstLine="480" w:firstLineChars="200"/>
        <w:rPr>
          <w:color w:val="000000"/>
          <w:sz w:val="24"/>
        </w:rPr>
      </w:pPr>
      <w:r>
        <w:rPr>
          <w:rFonts w:hint="eastAsia"/>
          <w:color w:val="000000"/>
          <w:sz w:val="24"/>
        </w:rPr>
        <w:t>根据《环境影响评价技术导则 地下水环境》（HJ610-2016），渗透系数经验取值见表4.2-11。</w:t>
      </w:r>
    </w:p>
    <w:p>
      <w:pPr>
        <w:widowControl/>
        <w:adjustRightInd w:val="0"/>
        <w:snapToGrid w:val="0"/>
        <w:jc w:val="center"/>
        <w:rPr>
          <w:b/>
          <w:color w:val="000000"/>
          <w:sz w:val="24"/>
        </w:rPr>
      </w:pPr>
      <w:r>
        <w:rPr>
          <w:b/>
          <w:color w:val="000000"/>
          <w:sz w:val="24"/>
        </w:rPr>
        <w:t>表4.2-11    渗透系数经验值表</w:t>
      </w:r>
    </w:p>
    <w:tbl>
      <w:tblPr>
        <w:tblStyle w:val="1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2236"/>
        <w:gridCol w:w="2236"/>
        <w:gridCol w:w="2237"/>
        <w:gridCol w:w="223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trPr>
        <w:tc>
          <w:tcPr>
            <w:tcW w:w="1250" w:type="pct"/>
            <w:noWrap/>
            <w:vAlign w:val="center"/>
          </w:tcPr>
          <w:p>
            <w:pPr>
              <w:jc w:val="center"/>
              <w:rPr>
                <w:color w:val="000000"/>
                <w:szCs w:val="21"/>
              </w:rPr>
            </w:pPr>
            <w:r>
              <w:rPr>
                <w:rFonts w:hAnsi="宋体"/>
                <w:color w:val="000000"/>
                <w:szCs w:val="21"/>
              </w:rPr>
              <w:t>岩性名称</w:t>
            </w:r>
          </w:p>
        </w:tc>
        <w:tc>
          <w:tcPr>
            <w:tcW w:w="1250" w:type="pct"/>
            <w:noWrap/>
            <w:vAlign w:val="center"/>
          </w:tcPr>
          <w:p>
            <w:pPr>
              <w:jc w:val="center"/>
              <w:rPr>
                <w:color w:val="000000"/>
                <w:szCs w:val="21"/>
              </w:rPr>
            </w:pPr>
            <w:r>
              <w:rPr>
                <w:rFonts w:hAnsi="宋体"/>
                <w:color w:val="000000"/>
                <w:szCs w:val="21"/>
              </w:rPr>
              <w:t>主要颗粒粒径（</w:t>
            </w:r>
            <w:r>
              <w:rPr>
                <w:color w:val="000000"/>
                <w:szCs w:val="21"/>
              </w:rPr>
              <w:t>mm</w:t>
            </w:r>
            <w:r>
              <w:rPr>
                <w:rFonts w:hAnsi="宋体"/>
                <w:color w:val="000000"/>
                <w:szCs w:val="21"/>
              </w:rPr>
              <w:t>）</w:t>
            </w:r>
          </w:p>
        </w:tc>
        <w:tc>
          <w:tcPr>
            <w:tcW w:w="1250" w:type="pct"/>
            <w:noWrap/>
            <w:vAlign w:val="center"/>
          </w:tcPr>
          <w:p>
            <w:pPr>
              <w:jc w:val="center"/>
              <w:rPr>
                <w:color w:val="000000"/>
                <w:szCs w:val="21"/>
              </w:rPr>
            </w:pPr>
            <w:r>
              <w:rPr>
                <w:rFonts w:hAnsi="宋体"/>
                <w:color w:val="000000"/>
                <w:szCs w:val="21"/>
              </w:rPr>
              <w:t>渗透系数（</w:t>
            </w:r>
            <w:r>
              <w:rPr>
                <w:color w:val="000000"/>
                <w:szCs w:val="21"/>
              </w:rPr>
              <w:t>m/d</w:t>
            </w:r>
            <w:r>
              <w:rPr>
                <w:rFonts w:hAnsi="宋体"/>
                <w:color w:val="000000"/>
                <w:szCs w:val="21"/>
              </w:rPr>
              <w:t>）</w:t>
            </w:r>
          </w:p>
        </w:tc>
        <w:tc>
          <w:tcPr>
            <w:tcW w:w="1250" w:type="pct"/>
            <w:noWrap/>
            <w:vAlign w:val="center"/>
          </w:tcPr>
          <w:p>
            <w:pPr>
              <w:jc w:val="center"/>
              <w:rPr>
                <w:color w:val="000000"/>
                <w:szCs w:val="21"/>
              </w:rPr>
            </w:pPr>
            <w:r>
              <w:rPr>
                <w:rFonts w:hAnsi="宋体"/>
                <w:color w:val="000000"/>
                <w:szCs w:val="21"/>
              </w:rPr>
              <w:t>渗透系数（</w:t>
            </w:r>
            <w:r>
              <w:rPr>
                <w:color w:val="000000"/>
                <w:szCs w:val="21"/>
              </w:rPr>
              <w:t>cm/s</w:t>
            </w:r>
            <w:r>
              <w:rPr>
                <w:rFonts w:hAnsi="宋体"/>
                <w:color w:val="000000"/>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2" w:hRule="atLeast"/>
        </w:trPr>
        <w:tc>
          <w:tcPr>
            <w:tcW w:w="1250" w:type="pct"/>
            <w:noWrap/>
            <w:vAlign w:val="center"/>
          </w:tcPr>
          <w:p>
            <w:pPr>
              <w:jc w:val="center"/>
              <w:rPr>
                <w:color w:val="000000"/>
                <w:szCs w:val="21"/>
              </w:rPr>
            </w:pPr>
            <w:r>
              <w:rPr>
                <w:rFonts w:hAnsi="宋体"/>
                <w:color w:val="000000"/>
                <w:szCs w:val="21"/>
              </w:rPr>
              <w:t>轻亚黏土</w:t>
            </w:r>
          </w:p>
        </w:tc>
        <w:tc>
          <w:tcPr>
            <w:tcW w:w="1250" w:type="pct"/>
            <w:vMerge w:val="restart"/>
            <w:noWrap/>
            <w:vAlign w:val="center"/>
          </w:tcPr>
          <w:p>
            <w:pPr>
              <w:jc w:val="center"/>
              <w:rPr>
                <w:bCs/>
                <w:color w:val="000000"/>
                <w:szCs w:val="21"/>
              </w:rPr>
            </w:pPr>
            <w:r>
              <w:rPr>
                <w:bCs/>
                <w:color w:val="000000"/>
                <w:szCs w:val="21"/>
              </w:rPr>
              <w:t>0.05~0.1</w:t>
            </w:r>
          </w:p>
          <w:p>
            <w:pPr>
              <w:jc w:val="center"/>
              <w:rPr>
                <w:bCs/>
                <w:color w:val="000000"/>
                <w:szCs w:val="21"/>
              </w:rPr>
            </w:pPr>
            <w:r>
              <w:rPr>
                <w:bCs/>
                <w:color w:val="000000"/>
                <w:szCs w:val="21"/>
              </w:rPr>
              <w:t>0.1~0.25</w:t>
            </w:r>
          </w:p>
          <w:p>
            <w:pPr>
              <w:jc w:val="center"/>
              <w:rPr>
                <w:bCs/>
                <w:color w:val="000000"/>
                <w:szCs w:val="21"/>
              </w:rPr>
            </w:pPr>
            <w:r>
              <w:rPr>
                <w:bCs/>
                <w:color w:val="000000"/>
                <w:szCs w:val="21"/>
              </w:rPr>
              <w:t>0.25~0.5</w:t>
            </w:r>
          </w:p>
          <w:p>
            <w:pPr>
              <w:jc w:val="center"/>
              <w:rPr>
                <w:bCs/>
                <w:color w:val="000000"/>
                <w:szCs w:val="21"/>
              </w:rPr>
            </w:pPr>
            <w:r>
              <w:rPr>
                <w:bCs/>
                <w:color w:val="000000"/>
                <w:szCs w:val="21"/>
              </w:rPr>
              <w:t>0.5~1.0</w:t>
            </w:r>
          </w:p>
          <w:p>
            <w:pPr>
              <w:jc w:val="center"/>
              <w:rPr>
                <w:bCs/>
                <w:color w:val="000000"/>
                <w:szCs w:val="21"/>
              </w:rPr>
            </w:pPr>
            <w:r>
              <w:rPr>
                <w:bCs/>
                <w:color w:val="000000"/>
                <w:szCs w:val="21"/>
              </w:rPr>
              <w:t>1.0~2.0</w:t>
            </w:r>
          </w:p>
        </w:tc>
        <w:tc>
          <w:tcPr>
            <w:tcW w:w="1250" w:type="pct"/>
            <w:noWrap/>
            <w:vAlign w:val="center"/>
          </w:tcPr>
          <w:p>
            <w:pPr>
              <w:jc w:val="center"/>
              <w:rPr>
                <w:color w:val="000000"/>
                <w:szCs w:val="21"/>
              </w:rPr>
            </w:pPr>
            <w:r>
              <w:rPr>
                <w:color w:val="000000"/>
                <w:szCs w:val="21"/>
              </w:rPr>
              <w:t>0.05~0.1</w:t>
            </w:r>
          </w:p>
        </w:tc>
        <w:tc>
          <w:tcPr>
            <w:tcW w:w="1250" w:type="pct"/>
            <w:noWrap/>
            <w:vAlign w:val="center"/>
          </w:tcPr>
          <w:p>
            <w:pPr>
              <w:jc w:val="center"/>
              <w:rPr>
                <w:color w:val="000000"/>
                <w:szCs w:val="21"/>
              </w:rPr>
            </w:pPr>
            <w:r>
              <w:rPr>
                <w:color w:val="000000"/>
                <w:szCs w:val="21"/>
              </w:rPr>
              <w:t>5.79×10</w:t>
            </w:r>
            <w:r>
              <w:rPr>
                <w:color w:val="000000"/>
                <w:szCs w:val="21"/>
                <w:vertAlign w:val="superscript"/>
              </w:rPr>
              <w:t xml:space="preserve">-5 </w:t>
            </w:r>
            <w:r>
              <w:rPr>
                <w:color w:val="000000"/>
                <w:szCs w:val="21"/>
              </w:rPr>
              <w:t>~1.16×10</w:t>
            </w:r>
            <w:r>
              <w:rPr>
                <w:color w:val="000000"/>
                <w:szCs w:val="21"/>
                <w:vertAlign w:val="superscript"/>
              </w:rPr>
              <w:t>-4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6" w:hRule="atLeast"/>
        </w:trPr>
        <w:tc>
          <w:tcPr>
            <w:tcW w:w="1250" w:type="pct"/>
            <w:noWrap/>
            <w:vAlign w:val="center"/>
          </w:tcPr>
          <w:p>
            <w:pPr>
              <w:jc w:val="center"/>
              <w:rPr>
                <w:color w:val="000000"/>
                <w:szCs w:val="21"/>
              </w:rPr>
            </w:pPr>
            <w:r>
              <w:rPr>
                <w:rFonts w:hAnsi="宋体"/>
                <w:color w:val="000000"/>
                <w:szCs w:val="21"/>
              </w:rPr>
              <w:t>亚黏土</w:t>
            </w:r>
          </w:p>
        </w:tc>
        <w:tc>
          <w:tcPr>
            <w:tcW w:w="1250" w:type="pct"/>
            <w:vMerge w:val="continue"/>
            <w:noWrap/>
            <w:vAlign w:val="center"/>
          </w:tcPr>
          <w:p>
            <w:pPr>
              <w:ind w:firstLine="480"/>
              <w:jc w:val="center"/>
              <w:rPr>
                <w:bCs/>
                <w:color w:val="000000"/>
                <w:szCs w:val="21"/>
              </w:rPr>
            </w:pPr>
          </w:p>
        </w:tc>
        <w:tc>
          <w:tcPr>
            <w:tcW w:w="1250" w:type="pct"/>
            <w:noWrap/>
            <w:vAlign w:val="center"/>
          </w:tcPr>
          <w:p>
            <w:pPr>
              <w:jc w:val="center"/>
              <w:rPr>
                <w:color w:val="000000"/>
                <w:szCs w:val="21"/>
              </w:rPr>
            </w:pPr>
            <w:r>
              <w:rPr>
                <w:color w:val="000000"/>
                <w:szCs w:val="21"/>
              </w:rPr>
              <w:t>0.1~0.25</w:t>
            </w:r>
          </w:p>
        </w:tc>
        <w:tc>
          <w:tcPr>
            <w:tcW w:w="1250" w:type="pct"/>
            <w:noWrap/>
            <w:vAlign w:val="center"/>
          </w:tcPr>
          <w:p>
            <w:pPr>
              <w:jc w:val="center"/>
              <w:rPr>
                <w:color w:val="000000"/>
                <w:szCs w:val="21"/>
              </w:rPr>
            </w:pPr>
            <w:r>
              <w:rPr>
                <w:color w:val="000000"/>
                <w:szCs w:val="21"/>
              </w:rPr>
              <w:t>1.16×10</w:t>
            </w:r>
            <w:r>
              <w:rPr>
                <w:color w:val="000000"/>
                <w:szCs w:val="21"/>
                <w:vertAlign w:val="superscript"/>
              </w:rPr>
              <w:t>-4</w:t>
            </w:r>
            <w:r>
              <w:rPr>
                <w:color w:val="000000"/>
                <w:szCs w:val="21"/>
              </w:rPr>
              <w:t xml:space="preserve"> ~2.89×10</w:t>
            </w:r>
            <w:r>
              <w:rPr>
                <w:color w:val="000000"/>
                <w:szCs w:val="21"/>
                <w:vertAlign w:val="superscript"/>
              </w:rPr>
              <w:t>-4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61" w:hRule="atLeast"/>
        </w:trPr>
        <w:tc>
          <w:tcPr>
            <w:tcW w:w="1250" w:type="pct"/>
            <w:noWrap/>
            <w:vAlign w:val="center"/>
          </w:tcPr>
          <w:p>
            <w:pPr>
              <w:jc w:val="center"/>
              <w:rPr>
                <w:color w:val="000000"/>
                <w:szCs w:val="21"/>
              </w:rPr>
            </w:pPr>
            <w:r>
              <w:rPr>
                <w:rFonts w:hAnsi="宋体"/>
                <w:color w:val="000000"/>
                <w:szCs w:val="21"/>
              </w:rPr>
              <w:t>黄土</w:t>
            </w:r>
          </w:p>
        </w:tc>
        <w:tc>
          <w:tcPr>
            <w:tcW w:w="1250" w:type="pct"/>
            <w:vMerge w:val="continue"/>
            <w:noWrap/>
            <w:vAlign w:val="center"/>
          </w:tcPr>
          <w:p>
            <w:pPr>
              <w:ind w:firstLine="480"/>
              <w:jc w:val="center"/>
              <w:rPr>
                <w:bCs/>
                <w:color w:val="000000"/>
                <w:szCs w:val="21"/>
              </w:rPr>
            </w:pPr>
          </w:p>
        </w:tc>
        <w:tc>
          <w:tcPr>
            <w:tcW w:w="1250" w:type="pct"/>
            <w:noWrap/>
            <w:vAlign w:val="center"/>
          </w:tcPr>
          <w:p>
            <w:pPr>
              <w:jc w:val="center"/>
              <w:rPr>
                <w:color w:val="000000"/>
                <w:szCs w:val="21"/>
              </w:rPr>
            </w:pPr>
            <w:r>
              <w:rPr>
                <w:color w:val="000000"/>
                <w:szCs w:val="21"/>
              </w:rPr>
              <w:t>0.25~0.5</w:t>
            </w:r>
          </w:p>
        </w:tc>
        <w:tc>
          <w:tcPr>
            <w:tcW w:w="1250" w:type="pct"/>
            <w:noWrap/>
            <w:vAlign w:val="center"/>
          </w:tcPr>
          <w:p>
            <w:pPr>
              <w:jc w:val="center"/>
              <w:rPr>
                <w:color w:val="000000"/>
                <w:szCs w:val="21"/>
              </w:rPr>
            </w:pPr>
            <w:r>
              <w:rPr>
                <w:color w:val="000000"/>
                <w:szCs w:val="21"/>
              </w:rPr>
              <w:t>2.89×10</w:t>
            </w:r>
            <w:r>
              <w:rPr>
                <w:color w:val="000000"/>
                <w:szCs w:val="21"/>
                <w:vertAlign w:val="superscript"/>
              </w:rPr>
              <w:t>-4</w:t>
            </w:r>
            <w:r>
              <w:rPr>
                <w:color w:val="000000"/>
                <w:szCs w:val="21"/>
              </w:rPr>
              <w:t xml:space="preserve"> ~5.79×10</w:t>
            </w:r>
            <w:r>
              <w:rPr>
                <w:color w:val="000000"/>
                <w:szCs w:val="21"/>
                <w:vertAlign w:val="superscript"/>
              </w:rPr>
              <w:t>-4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0" w:hRule="atLeast"/>
        </w:trPr>
        <w:tc>
          <w:tcPr>
            <w:tcW w:w="1250" w:type="pct"/>
            <w:noWrap/>
            <w:vAlign w:val="center"/>
          </w:tcPr>
          <w:p>
            <w:pPr>
              <w:jc w:val="center"/>
              <w:rPr>
                <w:color w:val="000000"/>
                <w:szCs w:val="21"/>
              </w:rPr>
            </w:pPr>
            <w:r>
              <w:rPr>
                <w:rFonts w:hAnsi="宋体"/>
                <w:color w:val="000000"/>
                <w:szCs w:val="21"/>
              </w:rPr>
              <w:t>粉土质砂</w:t>
            </w:r>
          </w:p>
        </w:tc>
        <w:tc>
          <w:tcPr>
            <w:tcW w:w="1250" w:type="pct"/>
            <w:vMerge w:val="continue"/>
            <w:noWrap/>
            <w:vAlign w:val="center"/>
          </w:tcPr>
          <w:p>
            <w:pPr>
              <w:ind w:firstLine="480"/>
              <w:jc w:val="center"/>
              <w:rPr>
                <w:bCs/>
                <w:color w:val="000000"/>
                <w:szCs w:val="21"/>
              </w:rPr>
            </w:pPr>
          </w:p>
        </w:tc>
        <w:tc>
          <w:tcPr>
            <w:tcW w:w="1250" w:type="pct"/>
            <w:noWrap/>
            <w:vAlign w:val="center"/>
          </w:tcPr>
          <w:p>
            <w:pPr>
              <w:jc w:val="center"/>
              <w:rPr>
                <w:color w:val="000000"/>
                <w:szCs w:val="21"/>
              </w:rPr>
            </w:pPr>
            <w:r>
              <w:rPr>
                <w:color w:val="000000"/>
                <w:szCs w:val="21"/>
              </w:rPr>
              <w:t>0.5~1.0</w:t>
            </w:r>
          </w:p>
        </w:tc>
        <w:tc>
          <w:tcPr>
            <w:tcW w:w="1250" w:type="pct"/>
            <w:noWrap/>
            <w:vAlign w:val="center"/>
          </w:tcPr>
          <w:p>
            <w:pPr>
              <w:jc w:val="center"/>
              <w:rPr>
                <w:color w:val="000000"/>
                <w:szCs w:val="21"/>
              </w:rPr>
            </w:pPr>
            <w:r>
              <w:rPr>
                <w:color w:val="000000"/>
                <w:szCs w:val="21"/>
              </w:rPr>
              <w:t>5.79×10</w:t>
            </w:r>
            <w:r>
              <w:rPr>
                <w:color w:val="000000"/>
                <w:szCs w:val="21"/>
                <w:vertAlign w:val="superscript"/>
              </w:rPr>
              <w:t xml:space="preserve">-4 </w:t>
            </w:r>
            <w:r>
              <w:rPr>
                <w:color w:val="000000"/>
                <w:szCs w:val="21"/>
              </w:rPr>
              <w:t>~1.16×10</w:t>
            </w:r>
            <w:r>
              <w:rPr>
                <w:color w:val="000000"/>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250" w:type="pct"/>
            <w:noWrap/>
            <w:vAlign w:val="center"/>
          </w:tcPr>
          <w:p>
            <w:pPr>
              <w:jc w:val="center"/>
              <w:rPr>
                <w:color w:val="000000"/>
                <w:szCs w:val="21"/>
              </w:rPr>
            </w:pPr>
            <w:r>
              <w:rPr>
                <w:rFonts w:hAnsi="宋体"/>
                <w:color w:val="000000"/>
                <w:szCs w:val="21"/>
              </w:rPr>
              <w:t>粉砂</w:t>
            </w:r>
          </w:p>
        </w:tc>
        <w:tc>
          <w:tcPr>
            <w:tcW w:w="1250" w:type="pct"/>
            <w:vMerge w:val="continue"/>
            <w:noWrap/>
            <w:vAlign w:val="center"/>
          </w:tcPr>
          <w:p>
            <w:pPr>
              <w:ind w:firstLine="480"/>
              <w:jc w:val="center"/>
              <w:rPr>
                <w:bCs/>
                <w:color w:val="000000"/>
                <w:szCs w:val="21"/>
              </w:rPr>
            </w:pPr>
          </w:p>
        </w:tc>
        <w:tc>
          <w:tcPr>
            <w:tcW w:w="1250" w:type="pct"/>
            <w:noWrap/>
            <w:vAlign w:val="center"/>
          </w:tcPr>
          <w:p>
            <w:pPr>
              <w:jc w:val="center"/>
              <w:rPr>
                <w:color w:val="000000"/>
                <w:szCs w:val="21"/>
              </w:rPr>
            </w:pPr>
            <w:r>
              <w:rPr>
                <w:color w:val="000000"/>
                <w:szCs w:val="21"/>
              </w:rPr>
              <w:t>1.0~1.5</w:t>
            </w:r>
          </w:p>
        </w:tc>
        <w:tc>
          <w:tcPr>
            <w:tcW w:w="1250" w:type="pct"/>
            <w:noWrap/>
            <w:vAlign w:val="center"/>
          </w:tcPr>
          <w:p>
            <w:pPr>
              <w:jc w:val="center"/>
              <w:rPr>
                <w:color w:val="000000"/>
                <w:szCs w:val="21"/>
              </w:rPr>
            </w:pPr>
            <w:r>
              <w:rPr>
                <w:color w:val="000000"/>
                <w:szCs w:val="21"/>
              </w:rPr>
              <w:t>1.16×10</w:t>
            </w:r>
            <w:r>
              <w:rPr>
                <w:color w:val="000000"/>
                <w:szCs w:val="21"/>
                <w:vertAlign w:val="superscript"/>
              </w:rPr>
              <w:t>-3</w:t>
            </w:r>
            <w:r>
              <w:rPr>
                <w:color w:val="000000"/>
                <w:szCs w:val="21"/>
              </w:rPr>
              <w:t xml:space="preserve"> ~1.74×10</w:t>
            </w:r>
            <w:r>
              <w:rPr>
                <w:color w:val="000000"/>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7" w:hRule="atLeast"/>
        </w:trPr>
        <w:tc>
          <w:tcPr>
            <w:tcW w:w="1250" w:type="pct"/>
            <w:noWrap/>
            <w:vAlign w:val="center"/>
          </w:tcPr>
          <w:p>
            <w:pPr>
              <w:jc w:val="center"/>
              <w:rPr>
                <w:color w:val="000000"/>
                <w:szCs w:val="21"/>
              </w:rPr>
            </w:pPr>
            <w:r>
              <w:rPr>
                <w:rFonts w:hAnsi="宋体"/>
                <w:color w:val="000000"/>
                <w:szCs w:val="21"/>
              </w:rPr>
              <w:t>细砂</w:t>
            </w:r>
          </w:p>
        </w:tc>
        <w:tc>
          <w:tcPr>
            <w:tcW w:w="1250" w:type="pct"/>
            <w:vMerge w:val="continue"/>
            <w:noWrap/>
            <w:vAlign w:val="center"/>
          </w:tcPr>
          <w:p>
            <w:pPr>
              <w:ind w:firstLine="480"/>
              <w:jc w:val="center"/>
              <w:rPr>
                <w:bCs/>
                <w:color w:val="000000"/>
                <w:szCs w:val="21"/>
              </w:rPr>
            </w:pPr>
          </w:p>
        </w:tc>
        <w:tc>
          <w:tcPr>
            <w:tcW w:w="1250" w:type="pct"/>
            <w:noWrap/>
            <w:vAlign w:val="center"/>
          </w:tcPr>
          <w:p>
            <w:pPr>
              <w:jc w:val="center"/>
              <w:rPr>
                <w:color w:val="000000"/>
                <w:szCs w:val="21"/>
              </w:rPr>
            </w:pPr>
            <w:r>
              <w:rPr>
                <w:color w:val="000000"/>
                <w:szCs w:val="21"/>
              </w:rPr>
              <w:t>5.0~10</w:t>
            </w:r>
          </w:p>
        </w:tc>
        <w:tc>
          <w:tcPr>
            <w:tcW w:w="1250" w:type="pct"/>
            <w:noWrap/>
            <w:vAlign w:val="center"/>
          </w:tcPr>
          <w:p>
            <w:pPr>
              <w:jc w:val="center"/>
              <w:rPr>
                <w:color w:val="000000"/>
                <w:szCs w:val="21"/>
              </w:rPr>
            </w:pPr>
            <w:r>
              <w:rPr>
                <w:color w:val="000000"/>
                <w:szCs w:val="21"/>
              </w:rPr>
              <w:t>5.79×10</w:t>
            </w:r>
            <w:r>
              <w:rPr>
                <w:color w:val="000000"/>
                <w:szCs w:val="21"/>
                <w:vertAlign w:val="superscript"/>
              </w:rPr>
              <w:t>-3</w:t>
            </w:r>
            <w:r>
              <w:rPr>
                <w:color w:val="000000"/>
                <w:szCs w:val="21"/>
              </w:rPr>
              <w:t xml:space="preserve"> ~1.16×10</w:t>
            </w:r>
            <w:r>
              <w:rPr>
                <w:color w:val="000000"/>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5" w:hRule="atLeast"/>
        </w:trPr>
        <w:tc>
          <w:tcPr>
            <w:tcW w:w="1250" w:type="pct"/>
            <w:noWrap/>
            <w:vAlign w:val="center"/>
          </w:tcPr>
          <w:p>
            <w:pPr>
              <w:jc w:val="center"/>
              <w:rPr>
                <w:color w:val="000000"/>
                <w:szCs w:val="21"/>
              </w:rPr>
            </w:pPr>
            <w:r>
              <w:rPr>
                <w:rFonts w:hAnsi="宋体"/>
                <w:color w:val="000000"/>
                <w:szCs w:val="21"/>
              </w:rPr>
              <w:t>中砂</w:t>
            </w:r>
          </w:p>
        </w:tc>
        <w:tc>
          <w:tcPr>
            <w:tcW w:w="1250" w:type="pct"/>
            <w:vMerge w:val="continue"/>
            <w:noWrap/>
            <w:vAlign w:val="center"/>
          </w:tcPr>
          <w:p>
            <w:pPr>
              <w:ind w:firstLine="480"/>
              <w:jc w:val="center"/>
              <w:rPr>
                <w:bCs/>
                <w:color w:val="000000"/>
                <w:szCs w:val="21"/>
              </w:rPr>
            </w:pPr>
          </w:p>
        </w:tc>
        <w:tc>
          <w:tcPr>
            <w:tcW w:w="1250" w:type="pct"/>
            <w:noWrap/>
            <w:vAlign w:val="center"/>
          </w:tcPr>
          <w:p>
            <w:pPr>
              <w:jc w:val="center"/>
              <w:rPr>
                <w:color w:val="000000"/>
                <w:szCs w:val="21"/>
              </w:rPr>
            </w:pPr>
            <w:r>
              <w:rPr>
                <w:color w:val="000000"/>
                <w:szCs w:val="21"/>
              </w:rPr>
              <w:t>10.0~25</w:t>
            </w:r>
          </w:p>
        </w:tc>
        <w:tc>
          <w:tcPr>
            <w:tcW w:w="1250" w:type="pct"/>
            <w:noWrap/>
            <w:vAlign w:val="center"/>
          </w:tcPr>
          <w:p>
            <w:pPr>
              <w:jc w:val="center"/>
              <w:rPr>
                <w:color w:val="000000"/>
                <w:szCs w:val="21"/>
              </w:rPr>
            </w:pPr>
            <w:r>
              <w:rPr>
                <w:color w:val="000000"/>
                <w:szCs w:val="21"/>
              </w:rPr>
              <w:t>1.16×10</w:t>
            </w:r>
            <w:r>
              <w:rPr>
                <w:color w:val="000000"/>
                <w:szCs w:val="21"/>
                <w:vertAlign w:val="superscript"/>
              </w:rPr>
              <w:t xml:space="preserve">-2 </w:t>
            </w:r>
            <w:r>
              <w:rPr>
                <w:color w:val="000000"/>
                <w:szCs w:val="21"/>
              </w:rPr>
              <w:t>~2.89×10</w:t>
            </w:r>
            <w:r>
              <w:rPr>
                <w:color w:val="000000"/>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9" w:hRule="atLeast"/>
        </w:trPr>
        <w:tc>
          <w:tcPr>
            <w:tcW w:w="1250" w:type="pct"/>
            <w:noWrap/>
            <w:vAlign w:val="center"/>
          </w:tcPr>
          <w:p>
            <w:pPr>
              <w:jc w:val="center"/>
              <w:rPr>
                <w:color w:val="000000"/>
                <w:szCs w:val="21"/>
              </w:rPr>
            </w:pPr>
            <w:r>
              <w:rPr>
                <w:rFonts w:hAnsi="宋体"/>
                <w:color w:val="000000"/>
                <w:szCs w:val="21"/>
              </w:rPr>
              <w:t>粗砂</w:t>
            </w:r>
          </w:p>
        </w:tc>
        <w:tc>
          <w:tcPr>
            <w:tcW w:w="1250" w:type="pct"/>
            <w:vMerge w:val="continue"/>
            <w:noWrap/>
            <w:vAlign w:val="center"/>
          </w:tcPr>
          <w:p>
            <w:pPr>
              <w:ind w:firstLine="480"/>
              <w:jc w:val="center"/>
              <w:rPr>
                <w:bCs/>
                <w:color w:val="000000"/>
                <w:szCs w:val="21"/>
              </w:rPr>
            </w:pPr>
          </w:p>
        </w:tc>
        <w:tc>
          <w:tcPr>
            <w:tcW w:w="1250" w:type="pct"/>
            <w:noWrap/>
            <w:vAlign w:val="center"/>
          </w:tcPr>
          <w:p>
            <w:pPr>
              <w:jc w:val="center"/>
              <w:rPr>
                <w:color w:val="000000"/>
                <w:szCs w:val="21"/>
              </w:rPr>
            </w:pPr>
            <w:r>
              <w:rPr>
                <w:color w:val="000000"/>
                <w:szCs w:val="21"/>
              </w:rPr>
              <w:t>25~50</w:t>
            </w:r>
          </w:p>
        </w:tc>
        <w:tc>
          <w:tcPr>
            <w:tcW w:w="1250" w:type="pct"/>
            <w:noWrap/>
            <w:vAlign w:val="center"/>
          </w:tcPr>
          <w:p>
            <w:pPr>
              <w:jc w:val="center"/>
              <w:rPr>
                <w:color w:val="000000"/>
                <w:szCs w:val="21"/>
              </w:rPr>
            </w:pPr>
            <w:r>
              <w:rPr>
                <w:color w:val="000000"/>
                <w:szCs w:val="21"/>
              </w:rPr>
              <w:t>2.89×10</w:t>
            </w:r>
            <w:r>
              <w:rPr>
                <w:color w:val="000000"/>
                <w:szCs w:val="21"/>
                <w:vertAlign w:val="superscript"/>
              </w:rPr>
              <w:t>-2</w:t>
            </w:r>
            <w:r>
              <w:rPr>
                <w:color w:val="000000"/>
                <w:szCs w:val="21"/>
              </w:rPr>
              <w:t xml:space="preserve"> ~5.78×10</w:t>
            </w:r>
            <w:r>
              <w:rPr>
                <w:color w:val="000000"/>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9" w:hRule="atLeast"/>
        </w:trPr>
        <w:tc>
          <w:tcPr>
            <w:tcW w:w="1250" w:type="pct"/>
            <w:noWrap/>
            <w:vAlign w:val="center"/>
          </w:tcPr>
          <w:p>
            <w:pPr>
              <w:jc w:val="center"/>
              <w:rPr>
                <w:color w:val="000000"/>
                <w:szCs w:val="21"/>
              </w:rPr>
            </w:pPr>
            <w:r>
              <w:rPr>
                <w:rFonts w:hAnsi="宋体"/>
                <w:color w:val="000000"/>
                <w:szCs w:val="21"/>
              </w:rPr>
              <w:t>砾砂</w:t>
            </w:r>
          </w:p>
        </w:tc>
        <w:tc>
          <w:tcPr>
            <w:tcW w:w="1250" w:type="pct"/>
            <w:vMerge w:val="continue"/>
            <w:noWrap/>
            <w:vAlign w:val="center"/>
          </w:tcPr>
          <w:p>
            <w:pPr>
              <w:ind w:firstLine="480"/>
              <w:jc w:val="center"/>
              <w:rPr>
                <w:bCs/>
                <w:color w:val="000000"/>
                <w:szCs w:val="21"/>
              </w:rPr>
            </w:pPr>
          </w:p>
        </w:tc>
        <w:tc>
          <w:tcPr>
            <w:tcW w:w="1250" w:type="pct"/>
            <w:noWrap/>
            <w:vAlign w:val="center"/>
          </w:tcPr>
          <w:p>
            <w:pPr>
              <w:jc w:val="center"/>
              <w:rPr>
                <w:color w:val="000000"/>
                <w:szCs w:val="21"/>
              </w:rPr>
            </w:pPr>
            <w:r>
              <w:rPr>
                <w:color w:val="000000"/>
                <w:szCs w:val="21"/>
              </w:rPr>
              <w:t>50~100</w:t>
            </w:r>
          </w:p>
        </w:tc>
        <w:tc>
          <w:tcPr>
            <w:tcW w:w="1250" w:type="pct"/>
            <w:noWrap/>
            <w:vAlign w:val="center"/>
          </w:tcPr>
          <w:p>
            <w:pPr>
              <w:jc w:val="center"/>
              <w:rPr>
                <w:color w:val="000000"/>
                <w:szCs w:val="21"/>
              </w:rPr>
            </w:pPr>
            <w:r>
              <w:rPr>
                <w:color w:val="000000"/>
                <w:szCs w:val="21"/>
              </w:rPr>
              <w:t>5.78×10</w:t>
            </w:r>
            <w:r>
              <w:rPr>
                <w:color w:val="000000"/>
                <w:szCs w:val="21"/>
                <w:vertAlign w:val="superscript"/>
              </w:rPr>
              <w:t>-2</w:t>
            </w:r>
            <w:r>
              <w:rPr>
                <w:color w:val="000000"/>
                <w:szCs w:val="21"/>
              </w:rPr>
              <w:t xml:space="preserve"> ~1.16×10</w:t>
            </w:r>
            <w:r>
              <w:rPr>
                <w:color w:val="000000"/>
                <w:szCs w:val="21"/>
                <w:vertAlign w:val="superscript"/>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2" w:hRule="atLeast"/>
        </w:trPr>
        <w:tc>
          <w:tcPr>
            <w:tcW w:w="1250" w:type="pct"/>
            <w:noWrap/>
            <w:vAlign w:val="center"/>
          </w:tcPr>
          <w:p>
            <w:pPr>
              <w:jc w:val="center"/>
              <w:rPr>
                <w:color w:val="000000"/>
                <w:szCs w:val="21"/>
              </w:rPr>
            </w:pPr>
            <w:r>
              <w:rPr>
                <w:rFonts w:hAnsi="宋体"/>
                <w:color w:val="000000"/>
                <w:szCs w:val="21"/>
              </w:rPr>
              <w:t>圆砾</w:t>
            </w:r>
          </w:p>
        </w:tc>
        <w:tc>
          <w:tcPr>
            <w:tcW w:w="1250" w:type="pct"/>
            <w:vMerge w:val="continue"/>
            <w:noWrap/>
            <w:vAlign w:val="center"/>
          </w:tcPr>
          <w:p>
            <w:pPr>
              <w:ind w:firstLine="480"/>
              <w:jc w:val="center"/>
              <w:rPr>
                <w:bCs/>
                <w:color w:val="000000"/>
                <w:szCs w:val="21"/>
              </w:rPr>
            </w:pPr>
          </w:p>
        </w:tc>
        <w:tc>
          <w:tcPr>
            <w:tcW w:w="1250" w:type="pct"/>
            <w:noWrap/>
            <w:vAlign w:val="center"/>
          </w:tcPr>
          <w:p>
            <w:pPr>
              <w:jc w:val="center"/>
              <w:rPr>
                <w:color w:val="000000"/>
                <w:szCs w:val="21"/>
              </w:rPr>
            </w:pPr>
            <w:r>
              <w:rPr>
                <w:color w:val="000000"/>
                <w:szCs w:val="21"/>
              </w:rPr>
              <w:t>75~150</w:t>
            </w:r>
          </w:p>
        </w:tc>
        <w:tc>
          <w:tcPr>
            <w:tcW w:w="1250" w:type="pct"/>
            <w:noWrap/>
            <w:vAlign w:val="center"/>
          </w:tcPr>
          <w:p>
            <w:pPr>
              <w:jc w:val="center"/>
              <w:rPr>
                <w:color w:val="000000"/>
                <w:szCs w:val="21"/>
              </w:rPr>
            </w:pPr>
            <w:r>
              <w:rPr>
                <w:color w:val="000000"/>
                <w:szCs w:val="21"/>
              </w:rPr>
              <w:t>8.68×10</w:t>
            </w:r>
            <w:r>
              <w:rPr>
                <w:color w:val="000000"/>
                <w:szCs w:val="21"/>
                <w:vertAlign w:val="superscript"/>
              </w:rPr>
              <w:t>-2</w:t>
            </w:r>
            <w:r>
              <w:rPr>
                <w:color w:val="000000"/>
                <w:szCs w:val="21"/>
              </w:rPr>
              <w:t xml:space="preserve"> ~1.74×10</w:t>
            </w:r>
            <w:r>
              <w:rPr>
                <w:color w:val="000000"/>
                <w:szCs w:val="21"/>
                <w:vertAlign w:val="superscript"/>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3" w:hRule="atLeast"/>
        </w:trPr>
        <w:tc>
          <w:tcPr>
            <w:tcW w:w="1250" w:type="pct"/>
            <w:noWrap/>
            <w:vAlign w:val="center"/>
          </w:tcPr>
          <w:p>
            <w:pPr>
              <w:jc w:val="center"/>
              <w:rPr>
                <w:color w:val="000000"/>
                <w:szCs w:val="21"/>
              </w:rPr>
            </w:pPr>
            <w:r>
              <w:rPr>
                <w:rFonts w:hAnsi="宋体"/>
                <w:color w:val="000000"/>
                <w:szCs w:val="21"/>
              </w:rPr>
              <w:t>卵石</w:t>
            </w:r>
          </w:p>
        </w:tc>
        <w:tc>
          <w:tcPr>
            <w:tcW w:w="1250" w:type="pct"/>
            <w:vMerge w:val="continue"/>
            <w:noWrap/>
            <w:vAlign w:val="center"/>
          </w:tcPr>
          <w:p>
            <w:pPr>
              <w:ind w:firstLine="480"/>
              <w:jc w:val="center"/>
              <w:rPr>
                <w:bCs/>
                <w:color w:val="000000"/>
                <w:szCs w:val="21"/>
              </w:rPr>
            </w:pPr>
          </w:p>
        </w:tc>
        <w:tc>
          <w:tcPr>
            <w:tcW w:w="1250" w:type="pct"/>
            <w:noWrap/>
            <w:vAlign w:val="center"/>
          </w:tcPr>
          <w:p>
            <w:pPr>
              <w:jc w:val="center"/>
              <w:rPr>
                <w:color w:val="000000"/>
                <w:szCs w:val="21"/>
              </w:rPr>
            </w:pPr>
            <w:r>
              <w:rPr>
                <w:color w:val="000000"/>
                <w:szCs w:val="21"/>
              </w:rPr>
              <w:t>100~200</w:t>
            </w:r>
          </w:p>
        </w:tc>
        <w:tc>
          <w:tcPr>
            <w:tcW w:w="1250" w:type="pct"/>
            <w:noWrap/>
            <w:vAlign w:val="center"/>
          </w:tcPr>
          <w:p>
            <w:pPr>
              <w:jc w:val="center"/>
              <w:rPr>
                <w:color w:val="000000"/>
                <w:szCs w:val="21"/>
              </w:rPr>
            </w:pPr>
            <w:r>
              <w:rPr>
                <w:color w:val="000000"/>
                <w:szCs w:val="21"/>
              </w:rPr>
              <w:t>1.16×10</w:t>
            </w:r>
            <w:r>
              <w:rPr>
                <w:color w:val="000000"/>
                <w:szCs w:val="21"/>
                <w:vertAlign w:val="superscript"/>
              </w:rPr>
              <w:t xml:space="preserve">-1 </w:t>
            </w:r>
            <w:r>
              <w:rPr>
                <w:color w:val="000000"/>
                <w:szCs w:val="21"/>
              </w:rPr>
              <w:t>~2.31×10</w:t>
            </w:r>
            <w:r>
              <w:rPr>
                <w:color w:val="000000"/>
                <w:szCs w:val="21"/>
                <w:vertAlign w:val="superscript"/>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27" w:hRule="atLeast"/>
        </w:trPr>
        <w:tc>
          <w:tcPr>
            <w:tcW w:w="1250" w:type="pct"/>
            <w:noWrap/>
            <w:vAlign w:val="center"/>
          </w:tcPr>
          <w:p>
            <w:pPr>
              <w:jc w:val="center"/>
              <w:rPr>
                <w:color w:val="000000"/>
                <w:szCs w:val="21"/>
              </w:rPr>
            </w:pPr>
            <w:r>
              <w:rPr>
                <w:rFonts w:hAnsi="宋体"/>
                <w:color w:val="000000"/>
                <w:szCs w:val="21"/>
              </w:rPr>
              <w:t>块石</w:t>
            </w:r>
          </w:p>
        </w:tc>
        <w:tc>
          <w:tcPr>
            <w:tcW w:w="1250" w:type="pct"/>
            <w:vMerge w:val="continue"/>
            <w:noWrap/>
            <w:vAlign w:val="center"/>
          </w:tcPr>
          <w:p>
            <w:pPr>
              <w:ind w:firstLine="480"/>
              <w:jc w:val="center"/>
              <w:rPr>
                <w:bCs/>
                <w:color w:val="000000"/>
                <w:szCs w:val="21"/>
              </w:rPr>
            </w:pPr>
          </w:p>
        </w:tc>
        <w:tc>
          <w:tcPr>
            <w:tcW w:w="1250" w:type="pct"/>
            <w:noWrap/>
            <w:vAlign w:val="center"/>
          </w:tcPr>
          <w:p>
            <w:pPr>
              <w:jc w:val="center"/>
              <w:rPr>
                <w:color w:val="000000"/>
                <w:szCs w:val="21"/>
              </w:rPr>
            </w:pPr>
            <w:r>
              <w:rPr>
                <w:color w:val="000000"/>
                <w:szCs w:val="21"/>
              </w:rPr>
              <w:t>200~500</w:t>
            </w:r>
          </w:p>
        </w:tc>
        <w:tc>
          <w:tcPr>
            <w:tcW w:w="1250" w:type="pct"/>
            <w:noWrap/>
            <w:vAlign w:val="center"/>
          </w:tcPr>
          <w:p>
            <w:pPr>
              <w:jc w:val="center"/>
              <w:rPr>
                <w:color w:val="000000"/>
                <w:szCs w:val="21"/>
              </w:rPr>
            </w:pPr>
            <w:r>
              <w:rPr>
                <w:color w:val="000000"/>
                <w:szCs w:val="21"/>
              </w:rPr>
              <w:t>2.31×10</w:t>
            </w:r>
            <w:r>
              <w:rPr>
                <w:color w:val="000000"/>
                <w:szCs w:val="21"/>
                <w:vertAlign w:val="superscript"/>
              </w:rPr>
              <w:t xml:space="preserve">-1 </w:t>
            </w:r>
            <w:r>
              <w:rPr>
                <w:color w:val="000000"/>
                <w:szCs w:val="21"/>
              </w:rPr>
              <w:t>~5.79×10</w:t>
            </w:r>
            <w:r>
              <w:rPr>
                <w:color w:val="000000"/>
                <w:szCs w:val="21"/>
                <w:vertAlign w:val="superscript"/>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17" w:hRule="atLeast"/>
        </w:trPr>
        <w:tc>
          <w:tcPr>
            <w:tcW w:w="1250" w:type="pct"/>
            <w:noWrap/>
            <w:vAlign w:val="center"/>
          </w:tcPr>
          <w:p>
            <w:pPr>
              <w:jc w:val="center"/>
              <w:rPr>
                <w:color w:val="000000"/>
                <w:szCs w:val="21"/>
              </w:rPr>
            </w:pPr>
            <w:r>
              <w:rPr>
                <w:rFonts w:hAnsi="宋体"/>
                <w:color w:val="000000"/>
                <w:szCs w:val="21"/>
              </w:rPr>
              <w:t>漂石</w:t>
            </w:r>
          </w:p>
        </w:tc>
        <w:tc>
          <w:tcPr>
            <w:tcW w:w="1250" w:type="pct"/>
            <w:vMerge w:val="continue"/>
            <w:noWrap/>
            <w:vAlign w:val="center"/>
          </w:tcPr>
          <w:p>
            <w:pPr>
              <w:ind w:firstLine="480"/>
              <w:jc w:val="center"/>
              <w:rPr>
                <w:bCs/>
                <w:color w:val="000000"/>
                <w:szCs w:val="21"/>
              </w:rPr>
            </w:pPr>
          </w:p>
        </w:tc>
        <w:tc>
          <w:tcPr>
            <w:tcW w:w="1250" w:type="pct"/>
            <w:noWrap/>
            <w:vAlign w:val="center"/>
          </w:tcPr>
          <w:p>
            <w:pPr>
              <w:jc w:val="center"/>
              <w:rPr>
                <w:color w:val="000000"/>
                <w:szCs w:val="21"/>
              </w:rPr>
            </w:pPr>
            <w:r>
              <w:rPr>
                <w:color w:val="000000"/>
                <w:szCs w:val="21"/>
              </w:rPr>
              <w:t>500~1000</w:t>
            </w:r>
          </w:p>
        </w:tc>
        <w:tc>
          <w:tcPr>
            <w:tcW w:w="1250" w:type="pct"/>
            <w:noWrap/>
            <w:vAlign w:val="center"/>
          </w:tcPr>
          <w:p>
            <w:pPr>
              <w:jc w:val="center"/>
              <w:rPr>
                <w:color w:val="000000"/>
                <w:szCs w:val="21"/>
              </w:rPr>
            </w:pPr>
            <w:r>
              <w:rPr>
                <w:color w:val="000000"/>
                <w:szCs w:val="21"/>
              </w:rPr>
              <w:t>5.79×10</w:t>
            </w:r>
            <w:r>
              <w:rPr>
                <w:color w:val="000000"/>
                <w:szCs w:val="21"/>
                <w:vertAlign w:val="superscript"/>
              </w:rPr>
              <w:t>-1</w:t>
            </w:r>
            <w:r>
              <w:rPr>
                <w:color w:val="000000"/>
                <w:szCs w:val="21"/>
              </w:rPr>
              <w:t xml:space="preserve"> ~1.16×10</w:t>
            </w:r>
            <w:r>
              <w:rPr>
                <w:color w:val="000000"/>
                <w:szCs w:val="21"/>
                <w:vertAlign w:val="superscript"/>
              </w:rPr>
              <w:t>0</w:t>
            </w:r>
          </w:p>
        </w:tc>
      </w:tr>
    </w:tbl>
    <w:p>
      <w:pPr>
        <w:pStyle w:val="4"/>
        <w:numPr>
          <w:ilvl w:val="0"/>
          <w:numId w:val="0"/>
        </w:numPr>
        <w:spacing w:before="0" w:after="0" w:line="520" w:lineRule="exact"/>
        <w:rPr>
          <w:sz w:val="24"/>
          <w:szCs w:val="24"/>
        </w:rPr>
      </w:pPr>
      <w:r>
        <w:rPr>
          <w:sz w:val="24"/>
          <w:szCs w:val="24"/>
        </w:rPr>
        <w:t>4.2.3.4</w:t>
      </w:r>
      <w:r>
        <w:rPr>
          <w:rFonts w:hint="eastAsia"/>
          <w:sz w:val="24"/>
          <w:szCs w:val="24"/>
        </w:rPr>
        <w:t>地下水环境影响分析</w:t>
      </w:r>
    </w:p>
    <w:p>
      <w:pPr>
        <w:adjustRightInd w:val="0"/>
        <w:snapToGrid w:val="0"/>
        <w:spacing w:line="500" w:lineRule="exact"/>
        <w:ind w:firstLine="480" w:firstLineChars="200"/>
        <w:rPr>
          <w:bCs/>
          <w:color w:val="000000"/>
          <w:sz w:val="24"/>
        </w:rPr>
      </w:pPr>
      <w:r>
        <w:rPr>
          <w:bCs/>
          <w:color w:val="000000"/>
          <w:sz w:val="24"/>
        </w:rPr>
        <w:t>本项目产生的废水主要为养殖废水和员工生活污水，经管道收集后自流至污水处理系统统一处理，其中养殖废水为高浓度有机废水，经厌氧处理后用于附近</w:t>
      </w:r>
      <w:r>
        <w:rPr>
          <w:rFonts w:hint="eastAsia"/>
          <w:bCs/>
          <w:color w:val="000000"/>
          <w:sz w:val="24"/>
        </w:rPr>
        <w:t>农田</w:t>
      </w:r>
      <w:r>
        <w:rPr>
          <w:bCs/>
          <w:color w:val="000000"/>
          <w:sz w:val="24"/>
        </w:rPr>
        <w:t>施肥，雨季暂存在场区沼液池中，本次评价主要从以下方面分析营运期废水对地下水水质的影响。</w:t>
      </w:r>
    </w:p>
    <w:p>
      <w:pPr>
        <w:spacing w:line="500" w:lineRule="exact"/>
        <w:ind w:firstLine="480" w:firstLineChars="200"/>
        <w:rPr>
          <w:bCs/>
          <w:sz w:val="24"/>
        </w:rPr>
      </w:pPr>
      <w:r>
        <w:rPr>
          <w:bCs/>
          <w:sz w:val="24"/>
        </w:rPr>
        <w:t>本项目为养殖项目，营运期间无废水排放，项目地下水的影响主要为沼液储存池防渗衬层达不到防渗效果沼液泄漏对地下水的影响。</w:t>
      </w:r>
    </w:p>
    <w:p>
      <w:pPr>
        <w:spacing w:line="500" w:lineRule="exact"/>
        <w:ind w:firstLine="480" w:firstLineChars="200"/>
        <w:rPr>
          <w:bCs/>
          <w:sz w:val="24"/>
        </w:rPr>
      </w:pPr>
      <w:r>
        <w:rPr>
          <w:bCs/>
          <w:sz w:val="24"/>
        </w:rPr>
        <w:t>（1）预测时段</w:t>
      </w:r>
    </w:p>
    <w:p>
      <w:pPr>
        <w:spacing w:line="520" w:lineRule="exact"/>
        <w:ind w:firstLine="480" w:firstLineChars="200"/>
        <w:rPr>
          <w:bCs/>
          <w:sz w:val="24"/>
        </w:rPr>
      </w:pPr>
      <w:r>
        <w:rPr>
          <w:bCs/>
          <w:sz w:val="24"/>
        </w:rPr>
        <w:t>地下水环境影响预测时段为污染发生后1d、100d、1000d，和能反映特征因子迁移规律的其他时间节点。</w:t>
      </w:r>
    </w:p>
    <w:p>
      <w:pPr>
        <w:spacing w:line="500" w:lineRule="exact"/>
        <w:ind w:firstLine="480" w:firstLineChars="200"/>
        <w:rPr>
          <w:bCs/>
          <w:sz w:val="24"/>
        </w:rPr>
      </w:pPr>
      <w:r>
        <w:rPr>
          <w:bCs/>
          <w:sz w:val="24"/>
        </w:rPr>
        <w:t>（2）情景设置</w:t>
      </w:r>
    </w:p>
    <w:p>
      <w:pPr>
        <w:spacing w:line="500" w:lineRule="exact"/>
        <w:ind w:firstLine="480" w:firstLineChars="200"/>
        <w:rPr>
          <w:bCs/>
          <w:sz w:val="24"/>
        </w:rPr>
      </w:pPr>
      <w:r>
        <w:rPr>
          <w:bCs/>
          <w:sz w:val="24"/>
        </w:rPr>
        <w:t>根据《环境影响评价技术导则 地下水环境》（HJ610-2016），本项目场区划分为重点防渗区及一般防渗区，根据防渗级别采取不同的防渗材料，地下水防渗措施均为目前养殖行业普遍采用的成熟措施，沼液储存池防渗采用“素土夯实+HDPE膜”，渗透系数1.0×10</w:t>
      </w:r>
      <w:r>
        <w:rPr>
          <w:bCs/>
          <w:sz w:val="24"/>
          <w:vertAlign w:val="superscript"/>
        </w:rPr>
        <w:t>-10</w:t>
      </w:r>
      <w:r>
        <w:rPr>
          <w:bCs/>
          <w:sz w:val="24"/>
        </w:rPr>
        <w:t>cm/s，符合（GB18597-2001）、（GB18599-2001）的相关规定要求，故仅预测非正常状况下的影响结果。本次情景设置如下：</w:t>
      </w:r>
    </w:p>
    <w:p>
      <w:pPr>
        <w:spacing w:line="520" w:lineRule="exact"/>
        <w:ind w:firstLine="480" w:firstLineChars="200"/>
        <w:rPr>
          <w:bCs/>
          <w:sz w:val="24"/>
        </w:rPr>
      </w:pPr>
      <w:r>
        <w:rPr>
          <w:bCs/>
          <w:sz w:val="24"/>
        </w:rPr>
        <w:t>非正常状况下：沼液储存池防渗层达不到设计的防渗效果，沼液通过池底、池壁下渗经包气带进入潜层地下水对场界及下游保护目标</w:t>
      </w:r>
      <w:r>
        <w:rPr>
          <w:rFonts w:hint="eastAsia"/>
          <w:bCs/>
          <w:sz w:val="24"/>
        </w:rPr>
        <w:t>贾田</w:t>
      </w:r>
      <w:r>
        <w:rPr>
          <w:bCs/>
          <w:sz w:val="24"/>
        </w:rPr>
        <w:t>的影响进行预测。</w:t>
      </w:r>
    </w:p>
    <w:p>
      <w:pPr>
        <w:spacing w:line="500" w:lineRule="exact"/>
        <w:ind w:firstLine="480" w:firstLineChars="200"/>
        <w:rPr>
          <w:bCs/>
          <w:sz w:val="24"/>
        </w:rPr>
      </w:pPr>
      <w:r>
        <w:rPr>
          <w:bCs/>
          <w:sz w:val="24"/>
        </w:rPr>
        <w:t>（3）预测因子</w:t>
      </w:r>
    </w:p>
    <w:p>
      <w:pPr>
        <w:spacing w:line="520" w:lineRule="exact"/>
        <w:ind w:firstLine="480" w:firstLineChars="200"/>
        <w:rPr>
          <w:bCs/>
          <w:sz w:val="24"/>
        </w:rPr>
      </w:pPr>
      <w:r>
        <w:rPr>
          <w:bCs/>
          <w:sz w:val="24"/>
        </w:rPr>
        <w:t>本项目废水污染物特征因子不含重金属，不含持久性有机污染物，废水特征污染因子为COD</w:t>
      </w:r>
      <w:r>
        <w:rPr>
          <w:bCs/>
          <w:sz w:val="24"/>
          <w:vertAlign w:val="subscript"/>
        </w:rPr>
        <w:t>Mn</w:t>
      </w:r>
      <w:r>
        <w:rPr>
          <w:bCs/>
          <w:sz w:val="24"/>
        </w:rPr>
        <w:t>、氨氮。</w:t>
      </w:r>
    </w:p>
    <w:p>
      <w:pPr>
        <w:spacing w:line="500" w:lineRule="exact"/>
        <w:ind w:firstLine="480" w:firstLineChars="200"/>
        <w:rPr>
          <w:bCs/>
          <w:sz w:val="24"/>
        </w:rPr>
      </w:pPr>
      <w:r>
        <w:rPr>
          <w:bCs/>
          <w:sz w:val="24"/>
        </w:rPr>
        <w:t>（4）预测源强及预测模式</w:t>
      </w:r>
    </w:p>
    <w:p>
      <w:pPr>
        <w:spacing w:line="500" w:lineRule="exact"/>
        <w:ind w:firstLine="480" w:firstLineChars="200"/>
        <w:rPr>
          <w:bCs/>
          <w:sz w:val="24"/>
        </w:rPr>
      </w:pPr>
      <w:r>
        <w:rPr>
          <w:bCs/>
          <w:sz w:val="24"/>
        </w:rPr>
        <w:t>参照《给水排水构筑物工程施工及验收规范》（GB50141）中钢筋混凝土结构渗漏强度、渗漏量计算公式，确定本项目预测源强。其正常状况渗漏强度为：2L/（m</w:t>
      </w:r>
      <w:r>
        <w:rPr>
          <w:bCs/>
          <w:sz w:val="24"/>
          <w:vertAlign w:val="superscript"/>
        </w:rPr>
        <w:t>2</w:t>
      </w:r>
      <w:r>
        <w:rPr>
          <w:bCs/>
          <w:sz w:val="24"/>
        </w:rPr>
        <w:t>·d），非正常状况下泄漏强度按照正常状况下泄漏源强的10倍计，渗漏量（L/d）=渗漏面积（池底面积+池壁面积）×渗漏强度。考虑到本项目沼液储存池占地面积较大，整个沼液储存池同时发生防渗层达不到设计的防渗效果的可能性较小，故本项目非正常状况的渗漏面积按照沼液储存池有效内表面积的10%计。</w:t>
      </w:r>
    </w:p>
    <w:p>
      <w:pPr>
        <w:spacing w:line="520" w:lineRule="exact"/>
        <w:ind w:firstLine="480" w:firstLineChars="200"/>
        <w:rPr>
          <w:bCs/>
          <w:sz w:val="24"/>
        </w:rPr>
      </w:pPr>
      <w:r>
        <w:rPr>
          <w:bCs/>
          <w:sz w:val="24"/>
        </w:rPr>
        <w:t>本项目按照沼液储存池（</w:t>
      </w:r>
      <w:r>
        <w:rPr>
          <w:rFonts w:hint="eastAsia"/>
          <w:bCs/>
          <w:sz w:val="24"/>
        </w:rPr>
        <w:t>63</w:t>
      </w:r>
      <w:r>
        <w:rPr>
          <w:bCs/>
          <w:sz w:val="24"/>
        </w:rPr>
        <w:t>00m</w:t>
      </w:r>
      <w:r>
        <w:rPr>
          <w:bCs/>
          <w:sz w:val="24"/>
          <w:vertAlign w:val="superscript"/>
        </w:rPr>
        <w:t>3</w:t>
      </w:r>
      <w:r>
        <w:rPr>
          <w:bCs/>
          <w:sz w:val="24"/>
        </w:rPr>
        <w:t>）有效内表面积（池底面积+池壁面积）的10%为</w:t>
      </w:r>
      <w:r>
        <w:rPr>
          <w:rFonts w:hint="eastAsia"/>
          <w:bCs/>
          <w:sz w:val="24"/>
        </w:rPr>
        <w:t>200</w:t>
      </w:r>
      <w:r>
        <w:rPr>
          <w:bCs/>
          <w:sz w:val="24"/>
        </w:rPr>
        <w:t>m</w:t>
      </w:r>
      <w:r>
        <w:rPr>
          <w:bCs/>
          <w:sz w:val="24"/>
          <w:vertAlign w:val="superscript"/>
        </w:rPr>
        <w:t>2</w:t>
      </w:r>
      <w:r>
        <w:rPr>
          <w:bCs/>
          <w:sz w:val="24"/>
        </w:rPr>
        <w:t>，沼液渗漏量约为</w:t>
      </w:r>
      <w:r>
        <w:rPr>
          <w:rFonts w:hint="eastAsia"/>
          <w:bCs/>
          <w:sz w:val="24"/>
        </w:rPr>
        <w:t>3.5</w:t>
      </w:r>
      <w:r>
        <w:rPr>
          <w:bCs/>
          <w:sz w:val="24"/>
        </w:rPr>
        <w:t>m</w:t>
      </w:r>
      <w:r>
        <w:rPr>
          <w:bCs/>
          <w:sz w:val="24"/>
          <w:vertAlign w:val="superscript"/>
        </w:rPr>
        <w:t>3</w:t>
      </w:r>
      <w:r>
        <w:rPr>
          <w:bCs/>
          <w:sz w:val="24"/>
        </w:rPr>
        <w:t>。沼液中COD浓度为3000mg/L，氨氮为900mg/L，所以COD、氨氮泄漏量分别为COD</w:t>
      </w:r>
      <w:r>
        <w:rPr>
          <w:rFonts w:hint="eastAsia"/>
          <w:bCs/>
          <w:sz w:val="24"/>
        </w:rPr>
        <w:t>10.5</w:t>
      </w:r>
      <w:r>
        <w:rPr>
          <w:bCs/>
          <w:sz w:val="24"/>
        </w:rPr>
        <w:t>kg，氨氮</w:t>
      </w:r>
      <w:r>
        <w:rPr>
          <w:rFonts w:hint="eastAsia"/>
          <w:bCs/>
          <w:sz w:val="24"/>
        </w:rPr>
        <w:t>3.15</w:t>
      </w:r>
      <w:r>
        <w:rPr>
          <w:bCs/>
          <w:sz w:val="24"/>
        </w:rPr>
        <w:t>kg。根据有关资料，COD是高锰酸盐指数的2.7倍，因此，COD泄漏量折算成高锰酸盐指数为</w:t>
      </w:r>
      <w:r>
        <w:rPr>
          <w:rFonts w:hint="eastAsia"/>
          <w:bCs/>
          <w:sz w:val="24"/>
        </w:rPr>
        <w:t>3.89</w:t>
      </w:r>
      <w:r>
        <w:rPr>
          <w:bCs/>
          <w:sz w:val="24"/>
        </w:rPr>
        <w:t>kg。</w:t>
      </w:r>
    </w:p>
    <w:p>
      <w:pPr>
        <w:spacing w:line="520" w:lineRule="exact"/>
        <w:ind w:firstLine="480" w:firstLineChars="200"/>
        <w:rPr>
          <w:bCs/>
          <w:sz w:val="24"/>
        </w:rPr>
      </w:pPr>
      <w:r>
        <w:rPr>
          <w:bCs/>
          <w:sz w:val="24"/>
        </w:rPr>
        <w:t>预测模型采用地下水溶质运移解析法——一维无限长多孔介质柱体，示踪剂瞬时注入模型：</w:t>
      </w:r>
    </w:p>
    <w:p>
      <w:pPr>
        <w:ind w:firstLine="480"/>
        <w:rPr>
          <w:bCs/>
          <w:color w:val="FF0000"/>
          <w:sz w:val="24"/>
        </w:rPr>
      </w:pPr>
      <w:r>
        <w:rPr>
          <w:bCs/>
          <w:sz w:val="24"/>
        </w:rPr>
        <w:drawing>
          <wp:anchor distT="0" distB="0" distL="114300" distR="114300" simplePos="0" relativeHeight="251707392" behindDoc="1" locked="0" layoutInCell="1" allowOverlap="1">
            <wp:simplePos x="0" y="0"/>
            <wp:positionH relativeFrom="column">
              <wp:posOffset>1758950</wp:posOffset>
            </wp:positionH>
            <wp:positionV relativeFrom="paragraph">
              <wp:posOffset>-4445</wp:posOffset>
            </wp:positionV>
            <wp:extent cx="1454150" cy="502285"/>
            <wp:effectExtent l="0" t="0" r="12700" b="12065"/>
            <wp:wrapNone/>
            <wp:docPr id="80" name="图片 36" descr="C:\Users\mayn\AppData\Roaming\Tencent\Users\173754872\TIM\WinTemp\RichOle\CZIN%SE_EB@1VR}ZG%HBE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6" descr="C:\Users\mayn\AppData\Roaming\Tencent\Users\173754872\TIM\WinTemp\RichOle\CZIN%SE_EB@1VR}ZG%HBEUD.png"/>
                    <pic:cNvPicPr>
                      <a:picLocks noChangeAspect="1"/>
                    </pic:cNvPicPr>
                  </pic:nvPicPr>
                  <pic:blipFill>
                    <a:blip r:embed="rId50"/>
                    <a:stretch>
                      <a:fillRect/>
                    </a:stretch>
                  </pic:blipFill>
                  <pic:spPr>
                    <a:xfrm>
                      <a:off x="0" y="0"/>
                      <a:ext cx="1454150" cy="502285"/>
                    </a:xfrm>
                    <a:prstGeom prst="rect">
                      <a:avLst/>
                    </a:prstGeom>
                    <a:noFill/>
                    <a:ln>
                      <a:noFill/>
                    </a:ln>
                  </pic:spPr>
                </pic:pic>
              </a:graphicData>
            </a:graphic>
          </wp:anchor>
        </w:drawing>
      </w:r>
    </w:p>
    <w:p>
      <w:pPr>
        <w:pStyle w:val="16"/>
        <w:ind w:firstLine="480"/>
        <w:rPr>
          <w:bCs/>
          <w:color w:val="FF0000"/>
          <w:sz w:val="24"/>
        </w:rPr>
      </w:pPr>
    </w:p>
    <w:p>
      <w:pPr>
        <w:spacing w:line="500" w:lineRule="exact"/>
        <w:ind w:firstLine="480" w:firstLineChars="200"/>
        <w:rPr>
          <w:bCs/>
          <w:sz w:val="24"/>
        </w:rPr>
      </w:pPr>
      <w:r>
        <w:rPr>
          <w:rFonts w:hint="eastAsia"/>
          <w:bCs/>
          <w:sz w:val="24"/>
        </w:rPr>
        <w:t>式中：x——距注入点的距离，m；即预测点到污染源的距离，m；</w:t>
      </w:r>
    </w:p>
    <w:p>
      <w:pPr>
        <w:spacing w:line="500" w:lineRule="exact"/>
        <w:ind w:firstLine="480" w:firstLineChars="200"/>
        <w:rPr>
          <w:bCs/>
          <w:sz w:val="24"/>
        </w:rPr>
      </w:pPr>
      <w:r>
        <w:rPr>
          <w:rFonts w:hint="eastAsia"/>
          <w:bCs/>
          <w:sz w:val="24"/>
        </w:rPr>
        <w:t>t——时间，d；即泄漏发生时间；</w:t>
      </w:r>
    </w:p>
    <w:p>
      <w:pPr>
        <w:spacing w:line="500" w:lineRule="exact"/>
        <w:ind w:firstLine="480" w:firstLineChars="200"/>
        <w:rPr>
          <w:bCs/>
          <w:sz w:val="24"/>
        </w:rPr>
      </w:pPr>
      <w:r>
        <w:rPr>
          <w:rFonts w:hint="eastAsia"/>
          <w:bCs/>
          <w:sz w:val="24"/>
        </w:rPr>
        <w:t>C(x,t)——t 时刻 x 处的示踪剂浓度，mg/L；即泄漏发生 t 天后距离泄漏点 xm处的污染物浓度；</w:t>
      </w:r>
    </w:p>
    <w:p>
      <w:pPr>
        <w:spacing w:line="500" w:lineRule="exact"/>
        <w:ind w:firstLine="480" w:firstLineChars="200"/>
        <w:rPr>
          <w:bCs/>
          <w:sz w:val="24"/>
        </w:rPr>
      </w:pPr>
      <w:r>
        <w:rPr>
          <w:rFonts w:hint="eastAsia"/>
          <w:bCs/>
          <w:sz w:val="24"/>
        </w:rPr>
        <w:t>m——注入的示踪剂质量，kg；即污染源强。</w:t>
      </w:r>
    </w:p>
    <w:p>
      <w:pPr>
        <w:spacing w:line="500" w:lineRule="exact"/>
        <w:ind w:firstLine="480" w:firstLineChars="200"/>
        <w:rPr>
          <w:bCs/>
          <w:sz w:val="24"/>
        </w:rPr>
      </w:pPr>
      <w:r>
        <w:rPr>
          <w:rFonts w:hint="eastAsia"/>
          <w:bCs/>
          <w:sz w:val="24"/>
        </w:rPr>
        <w:t>w——横截面面积，m</w:t>
      </w:r>
      <w:r>
        <w:rPr>
          <w:rFonts w:hint="eastAsia"/>
          <w:bCs/>
          <w:sz w:val="24"/>
          <w:vertAlign w:val="superscript"/>
        </w:rPr>
        <w:t>2</w:t>
      </w:r>
      <w:r>
        <w:rPr>
          <w:rFonts w:hint="eastAsia"/>
          <w:bCs/>
          <w:sz w:val="24"/>
        </w:rPr>
        <w:t>，宽度取地下水流经宽度约 20m，深度取中等透水岩组厚度 20m，即截面积为 400m</w:t>
      </w:r>
      <w:r>
        <w:rPr>
          <w:rFonts w:hint="eastAsia"/>
          <w:bCs/>
          <w:sz w:val="24"/>
          <w:vertAlign w:val="superscript"/>
        </w:rPr>
        <w:t>2</w:t>
      </w:r>
      <w:r>
        <w:rPr>
          <w:rFonts w:hint="eastAsia"/>
          <w:bCs/>
          <w:sz w:val="24"/>
        </w:rPr>
        <w:t>。</w:t>
      </w:r>
    </w:p>
    <w:p>
      <w:pPr>
        <w:spacing w:line="500" w:lineRule="exact"/>
        <w:ind w:firstLine="480" w:firstLineChars="200"/>
        <w:rPr>
          <w:bCs/>
          <w:sz w:val="24"/>
        </w:rPr>
      </w:pPr>
      <w:r>
        <w:rPr>
          <w:rFonts w:hint="eastAsia"/>
          <w:bCs/>
          <w:sz w:val="24"/>
        </w:rPr>
        <w:t xml:space="preserve">u——地下水流速度，m/d，取 </w:t>
      </w:r>
      <w:r>
        <w:rPr>
          <w:bCs/>
          <w:sz w:val="24"/>
        </w:rPr>
        <w:t>0.0</w:t>
      </w:r>
      <w:r>
        <w:rPr>
          <w:rFonts w:hint="eastAsia"/>
          <w:bCs/>
          <w:sz w:val="24"/>
        </w:rPr>
        <w:t>14m/d；</w:t>
      </w:r>
    </w:p>
    <w:p>
      <w:pPr>
        <w:spacing w:line="500" w:lineRule="exact"/>
        <w:ind w:firstLine="480" w:firstLineChars="200"/>
        <w:rPr>
          <w:bCs/>
          <w:sz w:val="24"/>
        </w:rPr>
      </w:pPr>
      <w:r>
        <w:rPr>
          <w:rFonts w:hint="eastAsia"/>
          <w:bCs/>
          <w:sz w:val="24"/>
        </w:rPr>
        <w:t>n——有效孔隙度，无量纲，取 0.</w:t>
      </w:r>
      <w:r>
        <w:rPr>
          <w:bCs/>
          <w:sz w:val="24"/>
        </w:rPr>
        <w:t>3</w:t>
      </w:r>
      <w:r>
        <w:rPr>
          <w:rFonts w:hint="eastAsia"/>
          <w:bCs/>
          <w:sz w:val="24"/>
        </w:rPr>
        <w:t>；</w:t>
      </w:r>
    </w:p>
    <w:p>
      <w:pPr>
        <w:spacing w:line="500" w:lineRule="exact"/>
        <w:ind w:firstLine="480" w:firstLineChars="200"/>
        <w:rPr>
          <w:bCs/>
          <w:sz w:val="24"/>
        </w:rPr>
      </w:pPr>
      <w:r>
        <w:rPr>
          <w:rFonts w:hint="eastAsia"/>
          <w:bCs/>
          <w:sz w:val="24"/>
        </w:rPr>
        <w:t>DL——纵向弥散系数，m</w:t>
      </w:r>
      <w:r>
        <w:rPr>
          <w:rFonts w:hint="eastAsia"/>
          <w:bCs/>
          <w:sz w:val="24"/>
          <w:vertAlign w:val="superscript"/>
        </w:rPr>
        <w:t>2</w:t>
      </w:r>
      <w:r>
        <w:rPr>
          <w:rFonts w:hint="eastAsia"/>
          <w:bCs/>
          <w:sz w:val="24"/>
        </w:rPr>
        <w:t>/d，取 0.05m</w:t>
      </w:r>
      <w:r>
        <w:rPr>
          <w:rFonts w:hint="eastAsia"/>
          <w:bCs/>
          <w:sz w:val="24"/>
          <w:vertAlign w:val="superscript"/>
        </w:rPr>
        <w:t>2</w:t>
      </w:r>
      <w:r>
        <w:rPr>
          <w:rFonts w:hint="eastAsia"/>
          <w:bCs/>
          <w:sz w:val="24"/>
        </w:rPr>
        <w:t>/d；</w:t>
      </w:r>
    </w:p>
    <w:p>
      <w:pPr>
        <w:adjustRightInd w:val="0"/>
        <w:snapToGrid w:val="0"/>
        <w:spacing w:line="500" w:lineRule="exact"/>
        <w:ind w:firstLine="480" w:firstLineChars="200"/>
        <w:rPr>
          <w:sz w:val="24"/>
        </w:rPr>
      </w:pPr>
      <w:r>
        <w:rPr>
          <w:rFonts w:hint="eastAsia"/>
          <w:bCs/>
          <w:sz w:val="24"/>
        </w:rPr>
        <w:t>π——圆周率</w:t>
      </w:r>
      <w:r>
        <w:rPr>
          <w:sz w:val="24"/>
        </w:rPr>
        <w:t>。</w:t>
      </w:r>
    </w:p>
    <w:p>
      <w:pPr>
        <w:spacing w:line="500" w:lineRule="exact"/>
        <w:ind w:firstLine="480" w:firstLineChars="200"/>
        <w:rPr>
          <w:sz w:val="24"/>
        </w:rPr>
      </w:pPr>
      <w:r>
        <w:rPr>
          <w:sz w:val="24"/>
        </w:rPr>
        <w:t>（5）预测结果</w:t>
      </w:r>
    </w:p>
    <w:p>
      <w:pPr>
        <w:spacing w:line="520" w:lineRule="exact"/>
        <w:jc w:val="center"/>
        <w:rPr>
          <w:rFonts w:eastAsia="黑体"/>
          <w:sz w:val="24"/>
        </w:rPr>
      </w:pPr>
      <w:r>
        <w:rPr>
          <w:rFonts w:eastAsia="黑体"/>
          <w:sz w:val="24"/>
        </w:rPr>
        <w:t>表</w:t>
      </w:r>
      <w:r>
        <w:rPr>
          <w:rFonts w:hint="eastAsia" w:eastAsia="黑体"/>
          <w:sz w:val="24"/>
        </w:rPr>
        <w:t>4</w:t>
      </w:r>
      <w:r>
        <w:rPr>
          <w:rFonts w:eastAsia="黑体"/>
          <w:sz w:val="24"/>
        </w:rPr>
        <w:t>.</w:t>
      </w:r>
      <w:r>
        <w:rPr>
          <w:rFonts w:hint="eastAsia" w:eastAsia="黑体"/>
          <w:sz w:val="24"/>
        </w:rPr>
        <w:t>2-12非正常工况对地下水影响预测</w:t>
      </w:r>
      <w:r>
        <w:rPr>
          <w:rFonts w:eastAsia="黑体"/>
          <w:sz w:val="24"/>
        </w:rPr>
        <w:t>表</w:t>
      </w:r>
    </w:p>
    <w:tbl>
      <w:tblPr>
        <w:tblStyle w:val="17"/>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59"/>
        <w:gridCol w:w="775"/>
        <w:gridCol w:w="1532"/>
        <w:gridCol w:w="1413"/>
        <w:gridCol w:w="1415"/>
        <w:gridCol w:w="1415"/>
        <w:gridCol w:w="153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913" w:type="pct"/>
            <w:gridSpan w:val="2"/>
            <w:tcBorders>
              <w:tl2br w:val="single" w:color="auto" w:sz="12" w:space="0"/>
            </w:tcBorders>
            <w:noWrap w:val="0"/>
            <w:vAlign w:val="center"/>
          </w:tcPr>
          <w:p>
            <w:pPr>
              <w:jc w:val="center"/>
              <w:rPr>
                <w:szCs w:val="21"/>
              </w:rPr>
            </w:pPr>
            <w:r>
              <w:rPr>
                <w:rFonts w:hint="eastAsia"/>
              </w:rPr>
              <w:t>时间</w:t>
            </w:r>
          </w:p>
          <w:p>
            <w:pPr>
              <w:jc w:val="center"/>
            </w:pPr>
            <w:r>
              <w:rPr>
                <w:rFonts w:hint="eastAsia"/>
              </w:rPr>
              <w:t>距离</w:t>
            </w:r>
          </w:p>
        </w:tc>
        <w:tc>
          <w:tcPr>
            <w:tcW w:w="856" w:type="pct"/>
            <w:noWrap w:val="0"/>
            <w:vAlign w:val="center"/>
          </w:tcPr>
          <w:p>
            <w:pPr>
              <w:jc w:val="center"/>
            </w:pPr>
            <w:r>
              <w:t>10</w:t>
            </w:r>
          </w:p>
        </w:tc>
        <w:tc>
          <w:tcPr>
            <w:tcW w:w="790" w:type="pct"/>
            <w:noWrap w:val="0"/>
            <w:vAlign w:val="center"/>
          </w:tcPr>
          <w:p>
            <w:pPr>
              <w:jc w:val="center"/>
            </w:pPr>
            <w:r>
              <w:t>50</w:t>
            </w:r>
          </w:p>
        </w:tc>
        <w:tc>
          <w:tcPr>
            <w:tcW w:w="791" w:type="pct"/>
            <w:noWrap w:val="0"/>
            <w:vAlign w:val="center"/>
          </w:tcPr>
          <w:p>
            <w:pPr>
              <w:jc w:val="center"/>
            </w:pPr>
            <w:r>
              <w:t>100</w:t>
            </w:r>
          </w:p>
        </w:tc>
        <w:tc>
          <w:tcPr>
            <w:tcW w:w="791" w:type="pct"/>
            <w:noWrap w:val="0"/>
            <w:vAlign w:val="center"/>
          </w:tcPr>
          <w:p>
            <w:pPr>
              <w:jc w:val="center"/>
            </w:pPr>
            <w:r>
              <w:rPr>
                <w:rFonts w:hint="eastAsia"/>
              </w:rPr>
              <w:t>500</w:t>
            </w:r>
          </w:p>
        </w:tc>
        <w:tc>
          <w:tcPr>
            <w:tcW w:w="859" w:type="pct"/>
            <w:noWrap w:val="0"/>
            <w:vAlign w:val="center"/>
          </w:tcPr>
          <w:p>
            <w:pPr>
              <w:jc w:val="center"/>
            </w:pPr>
            <w:r>
              <w:rPr>
                <w:rFonts w:hint="eastAsia"/>
              </w:rPr>
              <w:t>1000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0" w:type="pct"/>
            <w:vMerge w:val="restart"/>
            <w:noWrap w:val="0"/>
            <w:vAlign w:val="center"/>
          </w:tcPr>
          <w:p>
            <w:pPr>
              <w:jc w:val="center"/>
            </w:pPr>
            <w:r>
              <w:rPr>
                <w:rFonts w:hint="eastAsia"/>
              </w:rPr>
              <w:t>C</w:t>
            </w:r>
            <w:r>
              <w:t>OD</w:t>
            </w:r>
          </w:p>
        </w:tc>
        <w:tc>
          <w:tcPr>
            <w:tcW w:w="433" w:type="pct"/>
            <w:noWrap w:val="0"/>
            <w:vAlign w:val="center"/>
          </w:tcPr>
          <w:p>
            <w:pPr>
              <w:jc w:val="center"/>
            </w:pPr>
            <w:r>
              <w:t>10m</w:t>
            </w:r>
          </w:p>
        </w:tc>
        <w:tc>
          <w:tcPr>
            <w:tcW w:w="856" w:type="pct"/>
            <w:noWrap w:val="0"/>
            <w:vAlign w:val="center"/>
          </w:tcPr>
          <w:p>
            <w:pPr>
              <w:jc w:val="center"/>
            </w:pPr>
            <w:r>
              <w:rPr>
                <w:rFonts w:hint="eastAsia"/>
              </w:rPr>
              <w:t>0</w:t>
            </w:r>
          </w:p>
        </w:tc>
        <w:tc>
          <w:tcPr>
            <w:tcW w:w="790" w:type="pct"/>
            <w:noWrap w:val="0"/>
            <w:vAlign w:val="center"/>
          </w:tcPr>
          <w:p>
            <w:pPr>
              <w:jc w:val="center"/>
            </w:pPr>
            <w:r>
              <w:rPr>
                <w:rFonts w:hint="eastAsia"/>
              </w:rPr>
              <w:t>0.04</w:t>
            </w:r>
          </w:p>
        </w:tc>
        <w:tc>
          <w:tcPr>
            <w:tcW w:w="791" w:type="pct"/>
            <w:noWrap w:val="0"/>
            <w:vAlign w:val="center"/>
          </w:tcPr>
          <w:p>
            <w:pPr>
              <w:jc w:val="center"/>
            </w:pPr>
            <w:r>
              <w:rPr>
                <w:rFonts w:hint="eastAsia"/>
              </w:rPr>
              <w:t>9.1</w:t>
            </w:r>
          </w:p>
        </w:tc>
        <w:tc>
          <w:tcPr>
            <w:tcW w:w="791" w:type="pct"/>
            <w:noWrap w:val="0"/>
            <w:vAlign w:val="center"/>
          </w:tcPr>
          <w:p>
            <w:pPr>
              <w:jc w:val="center"/>
            </w:pPr>
            <w:r>
              <w:rPr>
                <w:rFonts w:hint="eastAsia"/>
              </w:rPr>
              <w:t>809.05</w:t>
            </w:r>
          </w:p>
        </w:tc>
        <w:tc>
          <w:tcPr>
            <w:tcW w:w="859" w:type="pct"/>
            <w:noWrap w:val="0"/>
            <w:vAlign w:val="center"/>
          </w:tcPr>
          <w:p>
            <w:pPr>
              <w:jc w:val="center"/>
            </w:pPr>
            <w:r>
              <w:rPr>
                <w:rFonts w:hint="eastAsia"/>
              </w:rPr>
              <w:t>1735.76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0" w:type="pct"/>
            <w:vMerge w:val="continue"/>
            <w:noWrap w:val="0"/>
            <w:vAlign w:val="center"/>
          </w:tcPr>
          <w:p>
            <w:pPr>
              <w:jc w:val="center"/>
              <w:rPr>
                <w:szCs w:val="21"/>
              </w:rPr>
            </w:pPr>
          </w:p>
        </w:tc>
        <w:tc>
          <w:tcPr>
            <w:tcW w:w="433" w:type="pct"/>
            <w:noWrap w:val="0"/>
            <w:vAlign w:val="center"/>
          </w:tcPr>
          <w:p>
            <w:pPr>
              <w:jc w:val="center"/>
            </w:pPr>
            <w:r>
              <w:rPr>
                <w:rFonts w:hint="eastAsia"/>
              </w:rPr>
              <w:t>5</w:t>
            </w:r>
            <w:r>
              <w:t>0m</w:t>
            </w:r>
          </w:p>
        </w:tc>
        <w:tc>
          <w:tcPr>
            <w:tcW w:w="856" w:type="pct"/>
            <w:noWrap w:val="0"/>
            <w:vAlign w:val="center"/>
          </w:tcPr>
          <w:p>
            <w:pPr>
              <w:jc w:val="center"/>
            </w:pPr>
            <w:r>
              <w:rPr>
                <w:rFonts w:hint="eastAsia"/>
              </w:rPr>
              <w:t>0</w:t>
            </w:r>
          </w:p>
        </w:tc>
        <w:tc>
          <w:tcPr>
            <w:tcW w:w="790" w:type="pct"/>
            <w:noWrap w:val="0"/>
            <w:vAlign w:val="center"/>
          </w:tcPr>
          <w:p>
            <w:pPr>
              <w:jc w:val="center"/>
            </w:pPr>
            <w:r>
              <w:rPr>
                <w:rFonts w:hint="eastAsia"/>
              </w:rPr>
              <w:t>0</w:t>
            </w:r>
          </w:p>
        </w:tc>
        <w:tc>
          <w:tcPr>
            <w:tcW w:w="791" w:type="pct"/>
            <w:noWrap w:val="0"/>
            <w:vAlign w:val="center"/>
          </w:tcPr>
          <w:p>
            <w:pPr>
              <w:jc w:val="center"/>
            </w:pPr>
            <w:r>
              <w:rPr>
                <w:rFonts w:hint="eastAsia"/>
              </w:rPr>
              <w:t>0</w:t>
            </w:r>
          </w:p>
        </w:tc>
        <w:tc>
          <w:tcPr>
            <w:tcW w:w="791" w:type="pct"/>
            <w:noWrap w:val="0"/>
            <w:vAlign w:val="center"/>
          </w:tcPr>
          <w:p>
            <w:pPr>
              <w:jc w:val="center"/>
            </w:pPr>
            <w:r>
              <w:rPr>
                <w:rFonts w:hint="eastAsia"/>
              </w:rPr>
              <w:t>0</w:t>
            </w:r>
          </w:p>
        </w:tc>
        <w:tc>
          <w:tcPr>
            <w:tcW w:w="859" w:type="pct"/>
            <w:noWrap w:val="0"/>
            <w:vAlign w:val="center"/>
          </w:tcPr>
          <w:p>
            <w:pPr>
              <w:jc w:val="center"/>
            </w:pPr>
            <w:r>
              <w:rPr>
                <w:rFonts w:hint="eastAsia"/>
              </w:rPr>
              <w:t>0.46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0" w:type="pct"/>
            <w:vMerge w:val="continue"/>
            <w:noWrap w:val="0"/>
            <w:vAlign w:val="center"/>
          </w:tcPr>
          <w:p>
            <w:pPr>
              <w:jc w:val="center"/>
              <w:rPr>
                <w:szCs w:val="21"/>
              </w:rPr>
            </w:pPr>
          </w:p>
        </w:tc>
        <w:tc>
          <w:tcPr>
            <w:tcW w:w="433" w:type="pct"/>
            <w:noWrap w:val="0"/>
            <w:vAlign w:val="center"/>
          </w:tcPr>
          <w:p>
            <w:pPr>
              <w:jc w:val="center"/>
            </w:pPr>
            <w:r>
              <w:rPr>
                <w:rFonts w:hint="eastAsia"/>
              </w:rPr>
              <w:t>1</w:t>
            </w:r>
            <w:r>
              <w:t>00m</w:t>
            </w:r>
          </w:p>
        </w:tc>
        <w:tc>
          <w:tcPr>
            <w:tcW w:w="856" w:type="pct"/>
            <w:noWrap w:val="0"/>
            <w:vAlign w:val="center"/>
          </w:tcPr>
          <w:p>
            <w:pPr>
              <w:jc w:val="center"/>
            </w:pPr>
            <w:r>
              <w:rPr>
                <w:rFonts w:hint="eastAsia"/>
              </w:rPr>
              <w:t>0</w:t>
            </w:r>
          </w:p>
        </w:tc>
        <w:tc>
          <w:tcPr>
            <w:tcW w:w="790" w:type="pct"/>
            <w:noWrap w:val="0"/>
            <w:vAlign w:val="center"/>
          </w:tcPr>
          <w:p>
            <w:pPr>
              <w:jc w:val="center"/>
            </w:pPr>
            <w:r>
              <w:rPr>
                <w:rFonts w:hint="eastAsia"/>
              </w:rPr>
              <w:t>0</w:t>
            </w:r>
          </w:p>
        </w:tc>
        <w:tc>
          <w:tcPr>
            <w:tcW w:w="791" w:type="pct"/>
            <w:noWrap w:val="0"/>
            <w:vAlign w:val="center"/>
          </w:tcPr>
          <w:p>
            <w:pPr>
              <w:jc w:val="center"/>
            </w:pPr>
            <w:r>
              <w:rPr>
                <w:rFonts w:hint="eastAsia"/>
              </w:rPr>
              <w:t>0</w:t>
            </w:r>
          </w:p>
        </w:tc>
        <w:tc>
          <w:tcPr>
            <w:tcW w:w="791" w:type="pct"/>
            <w:noWrap w:val="0"/>
            <w:vAlign w:val="center"/>
          </w:tcPr>
          <w:p>
            <w:pPr>
              <w:jc w:val="center"/>
            </w:pPr>
            <w:r>
              <w:rPr>
                <w:rFonts w:hint="eastAsia"/>
              </w:rPr>
              <w:t>0</w:t>
            </w:r>
          </w:p>
        </w:tc>
        <w:tc>
          <w:tcPr>
            <w:tcW w:w="859" w:type="pct"/>
            <w:noWrap w:val="0"/>
            <w:vAlign w:val="center"/>
          </w:tcPr>
          <w:p>
            <w:pPr>
              <w:jc w:val="center"/>
            </w:pPr>
            <w:r>
              <w:rPr>
                <w:rFonts w:hint="eastAsia"/>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0" w:type="pct"/>
            <w:vMerge w:val="continue"/>
            <w:noWrap w:val="0"/>
            <w:vAlign w:val="center"/>
          </w:tcPr>
          <w:p>
            <w:pPr>
              <w:jc w:val="center"/>
              <w:rPr>
                <w:szCs w:val="21"/>
              </w:rPr>
            </w:pPr>
          </w:p>
        </w:tc>
        <w:tc>
          <w:tcPr>
            <w:tcW w:w="433" w:type="pct"/>
            <w:noWrap w:val="0"/>
            <w:vAlign w:val="center"/>
          </w:tcPr>
          <w:p>
            <w:pPr>
              <w:jc w:val="center"/>
            </w:pPr>
            <w:r>
              <w:rPr>
                <w:rFonts w:hint="eastAsia"/>
              </w:rPr>
              <w:t>2</w:t>
            </w:r>
            <w:r>
              <w:t>00m</w:t>
            </w:r>
          </w:p>
        </w:tc>
        <w:tc>
          <w:tcPr>
            <w:tcW w:w="856" w:type="pct"/>
            <w:noWrap w:val="0"/>
            <w:vAlign w:val="center"/>
          </w:tcPr>
          <w:p>
            <w:pPr>
              <w:jc w:val="center"/>
            </w:pPr>
            <w:r>
              <w:rPr>
                <w:rFonts w:hint="eastAsia"/>
              </w:rPr>
              <w:t>0</w:t>
            </w:r>
          </w:p>
        </w:tc>
        <w:tc>
          <w:tcPr>
            <w:tcW w:w="790" w:type="pct"/>
            <w:noWrap w:val="0"/>
            <w:vAlign w:val="center"/>
          </w:tcPr>
          <w:p>
            <w:pPr>
              <w:jc w:val="center"/>
            </w:pPr>
            <w:r>
              <w:rPr>
                <w:rFonts w:hint="eastAsia"/>
              </w:rPr>
              <w:t>0</w:t>
            </w:r>
          </w:p>
        </w:tc>
        <w:tc>
          <w:tcPr>
            <w:tcW w:w="791" w:type="pct"/>
            <w:noWrap w:val="0"/>
            <w:vAlign w:val="center"/>
          </w:tcPr>
          <w:p>
            <w:pPr>
              <w:jc w:val="center"/>
            </w:pPr>
            <w:r>
              <w:rPr>
                <w:rFonts w:hint="eastAsia"/>
              </w:rPr>
              <w:t>0</w:t>
            </w:r>
          </w:p>
        </w:tc>
        <w:tc>
          <w:tcPr>
            <w:tcW w:w="791" w:type="pct"/>
            <w:noWrap w:val="0"/>
            <w:vAlign w:val="center"/>
          </w:tcPr>
          <w:p>
            <w:pPr>
              <w:jc w:val="center"/>
            </w:pPr>
            <w:r>
              <w:rPr>
                <w:rFonts w:hint="eastAsia"/>
              </w:rPr>
              <w:t>0</w:t>
            </w:r>
          </w:p>
        </w:tc>
        <w:tc>
          <w:tcPr>
            <w:tcW w:w="859" w:type="pct"/>
            <w:noWrap w:val="0"/>
            <w:vAlign w:val="center"/>
          </w:tcPr>
          <w:p>
            <w:pPr>
              <w:jc w:val="center"/>
            </w:pPr>
            <w:r>
              <w:rPr>
                <w:rFonts w:hint="eastAsia"/>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0" w:type="pct"/>
            <w:vMerge w:val="continue"/>
            <w:noWrap w:val="0"/>
            <w:vAlign w:val="center"/>
          </w:tcPr>
          <w:p>
            <w:pPr>
              <w:jc w:val="center"/>
              <w:rPr>
                <w:szCs w:val="21"/>
              </w:rPr>
            </w:pPr>
          </w:p>
        </w:tc>
        <w:tc>
          <w:tcPr>
            <w:tcW w:w="433" w:type="pct"/>
            <w:noWrap w:val="0"/>
            <w:vAlign w:val="center"/>
          </w:tcPr>
          <w:p>
            <w:pPr>
              <w:jc w:val="center"/>
            </w:pPr>
            <w:r>
              <w:rPr>
                <w:rFonts w:hint="eastAsia"/>
              </w:rPr>
              <w:t>5</w:t>
            </w:r>
            <w:r>
              <w:t>00m</w:t>
            </w:r>
          </w:p>
        </w:tc>
        <w:tc>
          <w:tcPr>
            <w:tcW w:w="856" w:type="pct"/>
            <w:noWrap w:val="0"/>
            <w:vAlign w:val="center"/>
          </w:tcPr>
          <w:p>
            <w:pPr>
              <w:jc w:val="center"/>
            </w:pPr>
            <w:r>
              <w:rPr>
                <w:rFonts w:hint="eastAsia"/>
              </w:rPr>
              <w:t>0</w:t>
            </w:r>
          </w:p>
        </w:tc>
        <w:tc>
          <w:tcPr>
            <w:tcW w:w="790" w:type="pct"/>
            <w:noWrap w:val="0"/>
            <w:vAlign w:val="center"/>
          </w:tcPr>
          <w:p>
            <w:pPr>
              <w:jc w:val="center"/>
            </w:pPr>
            <w:r>
              <w:rPr>
                <w:rFonts w:hint="eastAsia"/>
              </w:rPr>
              <w:t>0</w:t>
            </w:r>
          </w:p>
        </w:tc>
        <w:tc>
          <w:tcPr>
            <w:tcW w:w="791" w:type="pct"/>
            <w:noWrap w:val="0"/>
            <w:vAlign w:val="center"/>
          </w:tcPr>
          <w:p>
            <w:pPr>
              <w:jc w:val="center"/>
            </w:pPr>
            <w:r>
              <w:rPr>
                <w:rFonts w:hint="eastAsia"/>
              </w:rPr>
              <w:t>0</w:t>
            </w:r>
          </w:p>
        </w:tc>
        <w:tc>
          <w:tcPr>
            <w:tcW w:w="791" w:type="pct"/>
            <w:noWrap w:val="0"/>
            <w:vAlign w:val="center"/>
          </w:tcPr>
          <w:p>
            <w:pPr>
              <w:jc w:val="center"/>
            </w:pPr>
            <w:r>
              <w:rPr>
                <w:rFonts w:hint="eastAsia"/>
              </w:rPr>
              <w:t>0</w:t>
            </w:r>
          </w:p>
        </w:tc>
        <w:tc>
          <w:tcPr>
            <w:tcW w:w="859" w:type="pct"/>
            <w:noWrap w:val="0"/>
            <w:vAlign w:val="center"/>
          </w:tcPr>
          <w:p>
            <w:pPr>
              <w:jc w:val="center"/>
            </w:pPr>
            <w:r>
              <w:rPr>
                <w:rFonts w:hint="eastAsia"/>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0" w:type="pct"/>
            <w:vMerge w:val="restart"/>
            <w:noWrap w:val="0"/>
            <w:vAlign w:val="center"/>
          </w:tcPr>
          <w:p>
            <w:pPr>
              <w:jc w:val="center"/>
            </w:pPr>
            <w:r>
              <w:rPr>
                <w:rFonts w:hint="eastAsia"/>
              </w:rPr>
              <w:t>N</w:t>
            </w:r>
            <w:r>
              <w:t>H</w:t>
            </w:r>
            <w:r>
              <w:rPr>
                <w:vertAlign w:val="subscript"/>
              </w:rPr>
              <w:t>3</w:t>
            </w:r>
            <w:r>
              <w:t>-N</w:t>
            </w:r>
          </w:p>
        </w:tc>
        <w:tc>
          <w:tcPr>
            <w:tcW w:w="433" w:type="pct"/>
            <w:noWrap w:val="0"/>
            <w:vAlign w:val="center"/>
          </w:tcPr>
          <w:p>
            <w:pPr>
              <w:jc w:val="center"/>
            </w:pPr>
            <w:r>
              <w:t>10m</w:t>
            </w:r>
          </w:p>
        </w:tc>
        <w:tc>
          <w:tcPr>
            <w:tcW w:w="856" w:type="pct"/>
            <w:noWrap w:val="0"/>
            <w:vAlign w:val="center"/>
          </w:tcPr>
          <w:p>
            <w:pPr>
              <w:jc w:val="center"/>
            </w:pPr>
            <w:r>
              <w:rPr>
                <w:rFonts w:hint="eastAsia"/>
              </w:rPr>
              <w:t>0</w:t>
            </w:r>
          </w:p>
        </w:tc>
        <w:tc>
          <w:tcPr>
            <w:tcW w:w="790" w:type="pct"/>
            <w:noWrap w:val="0"/>
            <w:vAlign w:val="center"/>
          </w:tcPr>
          <w:p>
            <w:pPr>
              <w:jc w:val="center"/>
            </w:pPr>
            <w:r>
              <w:rPr>
                <w:rFonts w:hint="eastAsia"/>
              </w:rPr>
              <w:t>0.1</w:t>
            </w:r>
          </w:p>
        </w:tc>
        <w:tc>
          <w:tcPr>
            <w:tcW w:w="791" w:type="pct"/>
            <w:noWrap w:val="0"/>
            <w:vAlign w:val="center"/>
          </w:tcPr>
          <w:p>
            <w:pPr>
              <w:jc w:val="center"/>
            </w:pPr>
            <w:r>
              <w:rPr>
                <w:rFonts w:hint="eastAsia"/>
              </w:rPr>
              <w:t>2.81</w:t>
            </w:r>
          </w:p>
        </w:tc>
        <w:tc>
          <w:tcPr>
            <w:tcW w:w="791" w:type="pct"/>
            <w:noWrap w:val="0"/>
            <w:vAlign w:val="center"/>
          </w:tcPr>
          <w:p>
            <w:pPr>
              <w:jc w:val="center"/>
            </w:pPr>
            <w:r>
              <w:rPr>
                <w:rFonts w:hint="eastAsia"/>
              </w:rPr>
              <w:t>242.02</w:t>
            </w:r>
          </w:p>
        </w:tc>
        <w:tc>
          <w:tcPr>
            <w:tcW w:w="859" w:type="pct"/>
            <w:noWrap w:val="0"/>
            <w:vAlign w:val="center"/>
          </w:tcPr>
          <w:p>
            <w:pPr>
              <w:jc w:val="center"/>
            </w:pPr>
            <w:r>
              <w:rPr>
                <w:rFonts w:hint="eastAsia"/>
              </w:rPr>
              <w:t>523.22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0" w:type="pct"/>
            <w:vMerge w:val="continue"/>
            <w:noWrap w:val="0"/>
            <w:vAlign w:val="center"/>
          </w:tcPr>
          <w:p>
            <w:pPr>
              <w:jc w:val="center"/>
              <w:rPr>
                <w:szCs w:val="21"/>
              </w:rPr>
            </w:pPr>
          </w:p>
        </w:tc>
        <w:tc>
          <w:tcPr>
            <w:tcW w:w="433" w:type="pct"/>
            <w:noWrap w:val="0"/>
            <w:vAlign w:val="center"/>
          </w:tcPr>
          <w:p>
            <w:pPr>
              <w:jc w:val="center"/>
            </w:pPr>
            <w:r>
              <w:rPr>
                <w:rFonts w:hint="eastAsia"/>
              </w:rPr>
              <w:t>5</w:t>
            </w:r>
            <w:r>
              <w:t>0m</w:t>
            </w:r>
          </w:p>
        </w:tc>
        <w:tc>
          <w:tcPr>
            <w:tcW w:w="856" w:type="pct"/>
            <w:noWrap w:val="0"/>
            <w:vAlign w:val="center"/>
          </w:tcPr>
          <w:p>
            <w:pPr>
              <w:jc w:val="center"/>
            </w:pPr>
            <w:r>
              <w:rPr>
                <w:rFonts w:hint="eastAsia"/>
              </w:rPr>
              <w:t>0</w:t>
            </w:r>
          </w:p>
        </w:tc>
        <w:tc>
          <w:tcPr>
            <w:tcW w:w="790" w:type="pct"/>
            <w:noWrap w:val="0"/>
            <w:vAlign w:val="center"/>
          </w:tcPr>
          <w:p>
            <w:pPr>
              <w:jc w:val="center"/>
            </w:pPr>
            <w:r>
              <w:rPr>
                <w:rFonts w:hint="eastAsia"/>
              </w:rPr>
              <w:t>0</w:t>
            </w:r>
          </w:p>
        </w:tc>
        <w:tc>
          <w:tcPr>
            <w:tcW w:w="791" w:type="pct"/>
            <w:noWrap w:val="0"/>
            <w:vAlign w:val="center"/>
          </w:tcPr>
          <w:p>
            <w:pPr>
              <w:jc w:val="center"/>
            </w:pPr>
            <w:r>
              <w:rPr>
                <w:rFonts w:hint="eastAsia"/>
              </w:rPr>
              <w:t>0</w:t>
            </w:r>
          </w:p>
        </w:tc>
        <w:tc>
          <w:tcPr>
            <w:tcW w:w="791" w:type="pct"/>
            <w:noWrap w:val="0"/>
            <w:vAlign w:val="center"/>
          </w:tcPr>
          <w:p>
            <w:pPr>
              <w:jc w:val="center"/>
            </w:pPr>
            <w:r>
              <w:rPr>
                <w:rFonts w:hint="eastAsia"/>
              </w:rPr>
              <w:t>0</w:t>
            </w:r>
          </w:p>
        </w:tc>
        <w:tc>
          <w:tcPr>
            <w:tcW w:w="859" w:type="pct"/>
            <w:noWrap w:val="0"/>
            <w:vAlign w:val="center"/>
          </w:tcPr>
          <w:p>
            <w:pPr>
              <w:jc w:val="center"/>
            </w:pPr>
            <w:r>
              <w:rPr>
                <w:rFonts w:hint="eastAsia"/>
              </w:rPr>
              <w:t>0.13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0" w:type="pct"/>
            <w:vMerge w:val="continue"/>
            <w:noWrap w:val="0"/>
            <w:vAlign w:val="center"/>
          </w:tcPr>
          <w:p>
            <w:pPr>
              <w:jc w:val="center"/>
              <w:rPr>
                <w:szCs w:val="21"/>
              </w:rPr>
            </w:pPr>
          </w:p>
        </w:tc>
        <w:tc>
          <w:tcPr>
            <w:tcW w:w="433" w:type="pct"/>
            <w:noWrap w:val="0"/>
            <w:vAlign w:val="center"/>
          </w:tcPr>
          <w:p>
            <w:pPr>
              <w:jc w:val="center"/>
            </w:pPr>
            <w:r>
              <w:rPr>
                <w:rFonts w:hint="eastAsia"/>
              </w:rPr>
              <w:t>1</w:t>
            </w:r>
            <w:r>
              <w:t>00m</w:t>
            </w:r>
          </w:p>
        </w:tc>
        <w:tc>
          <w:tcPr>
            <w:tcW w:w="856" w:type="pct"/>
            <w:noWrap w:val="0"/>
            <w:vAlign w:val="center"/>
          </w:tcPr>
          <w:p>
            <w:pPr>
              <w:jc w:val="center"/>
            </w:pPr>
            <w:r>
              <w:rPr>
                <w:rFonts w:hint="eastAsia"/>
              </w:rPr>
              <w:t>0</w:t>
            </w:r>
          </w:p>
        </w:tc>
        <w:tc>
          <w:tcPr>
            <w:tcW w:w="790" w:type="pct"/>
            <w:noWrap w:val="0"/>
            <w:vAlign w:val="center"/>
          </w:tcPr>
          <w:p>
            <w:pPr>
              <w:jc w:val="center"/>
            </w:pPr>
            <w:r>
              <w:rPr>
                <w:rFonts w:hint="eastAsia"/>
              </w:rPr>
              <w:t>0</w:t>
            </w:r>
          </w:p>
        </w:tc>
        <w:tc>
          <w:tcPr>
            <w:tcW w:w="791" w:type="pct"/>
            <w:noWrap w:val="0"/>
            <w:vAlign w:val="center"/>
          </w:tcPr>
          <w:p>
            <w:pPr>
              <w:jc w:val="center"/>
            </w:pPr>
            <w:r>
              <w:rPr>
                <w:rFonts w:hint="eastAsia"/>
              </w:rPr>
              <w:t>0</w:t>
            </w:r>
          </w:p>
        </w:tc>
        <w:tc>
          <w:tcPr>
            <w:tcW w:w="791" w:type="pct"/>
            <w:noWrap w:val="0"/>
            <w:vAlign w:val="center"/>
          </w:tcPr>
          <w:p>
            <w:pPr>
              <w:jc w:val="center"/>
            </w:pPr>
            <w:r>
              <w:rPr>
                <w:rFonts w:hint="eastAsia"/>
              </w:rPr>
              <w:t>0</w:t>
            </w:r>
          </w:p>
        </w:tc>
        <w:tc>
          <w:tcPr>
            <w:tcW w:w="859" w:type="pct"/>
            <w:noWrap w:val="0"/>
            <w:vAlign w:val="center"/>
          </w:tcPr>
          <w:p>
            <w:pPr>
              <w:jc w:val="center"/>
            </w:pPr>
            <w:r>
              <w:rPr>
                <w:rFonts w:hint="eastAsia"/>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0" w:type="pct"/>
            <w:vMerge w:val="continue"/>
            <w:noWrap w:val="0"/>
            <w:vAlign w:val="center"/>
          </w:tcPr>
          <w:p>
            <w:pPr>
              <w:jc w:val="center"/>
              <w:rPr>
                <w:szCs w:val="21"/>
              </w:rPr>
            </w:pPr>
          </w:p>
        </w:tc>
        <w:tc>
          <w:tcPr>
            <w:tcW w:w="433" w:type="pct"/>
            <w:noWrap w:val="0"/>
            <w:vAlign w:val="center"/>
          </w:tcPr>
          <w:p>
            <w:pPr>
              <w:jc w:val="center"/>
            </w:pPr>
            <w:r>
              <w:rPr>
                <w:rFonts w:hint="eastAsia"/>
              </w:rPr>
              <w:t>2</w:t>
            </w:r>
            <w:r>
              <w:t>00m</w:t>
            </w:r>
          </w:p>
        </w:tc>
        <w:tc>
          <w:tcPr>
            <w:tcW w:w="856" w:type="pct"/>
            <w:noWrap w:val="0"/>
            <w:vAlign w:val="center"/>
          </w:tcPr>
          <w:p>
            <w:pPr>
              <w:jc w:val="center"/>
            </w:pPr>
            <w:r>
              <w:rPr>
                <w:rFonts w:hint="eastAsia"/>
              </w:rPr>
              <w:t>0</w:t>
            </w:r>
          </w:p>
        </w:tc>
        <w:tc>
          <w:tcPr>
            <w:tcW w:w="790" w:type="pct"/>
            <w:noWrap w:val="0"/>
            <w:vAlign w:val="center"/>
          </w:tcPr>
          <w:p>
            <w:pPr>
              <w:jc w:val="center"/>
            </w:pPr>
            <w:r>
              <w:rPr>
                <w:rFonts w:hint="eastAsia"/>
              </w:rPr>
              <w:t>0</w:t>
            </w:r>
          </w:p>
        </w:tc>
        <w:tc>
          <w:tcPr>
            <w:tcW w:w="791" w:type="pct"/>
            <w:noWrap w:val="0"/>
            <w:vAlign w:val="center"/>
          </w:tcPr>
          <w:p>
            <w:pPr>
              <w:jc w:val="center"/>
            </w:pPr>
            <w:r>
              <w:rPr>
                <w:rFonts w:hint="eastAsia"/>
              </w:rPr>
              <w:t>0</w:t>
            </w:r>
          </w:p>
        </w:tc>
        <w:tc>
          <w:tcPr>
            <w:tcW w:w="791" w:type="pct"/>
            <w:noWrap w:val="0"/>
            <w:vAlign w:val="center"/>
          </w:tcPr>
          <w:p>
            <w:pPr>
              <w:jc w:val="center"/>
            </w:pPr>
            <w:r>
              <w:rPr>
                <w:rFonts w:hint="eastAsia"/>
              </w:rPr>
              <w:t>0</w:t>
            </w:r>
          </w:p>
        </w:tc>
        <w:tc>
          <w:tcPr>
            <w:tcW w:w="859" w:type="pct"/>
            <w:noWrap w:val="0"/>
            <w:vAlign w:val="center"/>
          </w:tcPr>
          <w:p>
            <w:pPr>
              <w:jc w:val="center"/>
            </w:pPr>
            <w:r>
              <w:rPr>
                <w:rFonts w:hint="eastAsia"/>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80" w:type="pct"/>
            <w:vMerge w:val="continue"/>
            <w:noWrap w:val="0"/>
            <w:vAlign w:val="center"/>
          </w:tcPr>
          <w:p>
            <w:pPr>
              <w:jc w:val="center"/>
              <w:rPr>
                <w:szCs w:val="21"/>
              </w:rPr>
            </w:pPr>
          </w:p>
        </w:tc>
        <w:tc>
          <w:tcPr>
            <w:tcW w:w="433" w:type="pct"/>
            <w:noWrap w:val="0"/>
            <w:vAlign w:val="center"/>
          </w:tcPr>
          <w:p>
            <w:pPr>
              <w:jc w:val="center"/>
            </w:pPr>
            <w:r>
              <w:rPr>
                <w:rFonts w:hint="eastAsia"/>
              </w:rPr>
              <w:t>5</w:t>
            </w:r>
            <w:r>
              <w:t>00m</w:t>
            </w:r>
          </w:p>
        </w:tc>
        <w:tc>
          <w:tcPr>
            <w:tcW w:w="856" w:type="pct"/>
            <w:noWrap w:val="0"/>
            <w:vAlign w:val="center"/>
          </w:tcPr>
          <w:p>
            <w:pPr>
              <w:jc w:val="center"/>
            </w:pPr>
            <w:r>
              <w:rPr>
                <w:rFonts w:hint="eastAsia"/>
              </w:rPr>
              <w:t>0</w:t>
            </w:r>
          </w:p>
        </w:tc>
        <w:tc>
          <w:tcPr>
            <w:tcW w:w="790" w:type="pct"/>
            <w:noWrap w:val="0"/>
            <w:vAlign w:val="center"/>
          </w:tcPr>
          <w:p>
            <w:pPr>
              <w:jc w:val="center"/>
            </w:pPr>
            <w:r>
              <w:rPr>
                <w:rFonts w:hint="eastAsia"/>
              </w:rPr>
              <w:t>0</w:t>
            </w:r>
          </w:p>
        </w:tc>
        <w:tc>
          <w:tcPr>
            <w:tcW w:w="791" w:type="pct"/>
            <w:noWrap w:val="0"/>
            <w:vAlign w:val="center"/>
          </w:tcPr>
          <w:p>
            <w:pPr>
              <w:jc w:val="center"/>
            </w:pPr>
            <w:r>
              <w:rPr>
                <w:rFonts w:hint="eastAsia"/>
              </w:rPr>
              <w:t>0</w:t>
            </w:r>
          </w:p>
        </w:tc>
        <w:tc>
          <w:tcPr>
            <w:tcW w:w="791" w:type="pct"/>
            <w:noWrap w:val="0"/>
            <w:vAlign w:val="center"/>
          </w:tcPr>
          <w:p>
            <w:pPr>
              <w:jc w:val="center"/>
            </w:pPr>
            <w:r>
              <w:rPr>
                <w:rFonts w:hint="eastAsia"/>
              </w:rPr>
              <w:t>0</w:t>
            </w:r>
          </w:p>
        </w:tc>
        <w:tc>
          <w:tcPr>
            <w:tcW w:w="859" w:type="pct"/>
            <w:noWrap w:val="0"/>
            <w:vAlign w:val="center"/>
          </w:tcPr>
          <w:p>
            <w:pPr>
              <w:jc w:val="center"/>
            </w:pPr>
            <w:r>
              <w:rPr>
                <w:rFonts w:hint="eastAsia"/>
              </w:rPr>
              <w:t>0</w:t>
            </w:r>
          </w:p>
        </w:tc>
      </w:tr>
    </w:tbl>
    <w:p>
      <w:pPr>
        <w:spacing w:line="500" w:lineRule="exact"/>
        <w:ind w:firstLine="480" w:firstLineChars="200"/>
        <w:rPr>
          <w:sz w:val="24"/>
        </w:rPr>
      </w:pPr>
      <w:r>
        <w:rPr>
          <w:rFonts w:hint="eastAsia"/>
          <w:sz w:val="24"/>
        </w:rPr>
        <w:t>由预测结果可知，项目厂区非正常工况下，污水需连续渗漏50天后，C</w:t>
      </w:r>
      <w:r>
        <w:rPr>
          <w:sz w:val="24"/>
        </w:rPr>
        <w:t>OD</w:t>
      </w:r>
      <w:r>
        <w:rPr>
          <w:rFonts w:hint="eastAsia"/>
          <w:sz w:val="24"/>
        </w:rPr>
        <w:t>会影响到地下水10</w:t>
      </w:r>
      <w:r>
        <w:rPr>
          <w:sz w:val="24"/>
        </w:rPr>
        <w:t>m</w:t>
      </w:r>
      <w:r>
        <w:rPr>
          <w:rFonts w:hint="eastAsia"/>
          <w:sz w:val="24"/>
        </w:rPr>
        <w:t>处，浓度为0.04</w:t>
      </w:r>
      <w:r>
        <w:rPr>
          <w:sz w:val="24"/>
        </w:rPr>
        <w:t>mg/L</w:t>
      </w:r>
      <w:r>
        <w:rPr>
          <w:rFonts w:hint="eastAsia"/>
          <w:sz w:val="24"/>
        </w:rPr>
        <w:t>，满足</w:t>
      </w:r>
      <w:r>
        <w:rPr>
          <w:sz w:val="24"/>
        </w:rPr>
        <w:t>《地下水质量标准》（GB/T14848-2017）Ⅲ类</w:t>
      </w:r>
      <w:r>
        <w:rPr>
          <w:rFonts w:hint="eastAsia"/>
          <w:sz w:val="24"/>
        </w:rPr>
        <w:t>标准；污水需连续渗漏1000天后，C</w:t>
      </w:r>
      <w:r>
        <w:rPr>
          <w:sz w:val="24"/>
        </w:rPr>
        <w:t>OD</w:t>
      </w:r>
      <w:r>
        <w:rPr>
          <w:rFonts w:hint="eastAsia"/>
          <w:sz w:val="24"/>
        </w:rPr>
        <w:t>会影响到地下水5</w:t>
      </w:r>
      <w:r>
        <w:rPr>
          <w:sz w:val="24"/>
        </w:rPr>
        <w:t>0m</w:t>
      </w:r>
      <w:r>
        <w:rPr>
          <w:rFonts w:hint="eastAsia"/>
          <w:sz w:val="24"/>
        </w:rPr>
        <w:t>处，浓度为</w:t>
      </w:r>
      <w:r>
        <w:rPr>
          <w:sz w:val="24"/>
        </w:rPr>
        <w:t>0.</w:t>
      </w:r>
      <w:r>
        <w:rPr>
          <w:rFonts w:hint="eastAsia"/>
          <w:sz w:val="24"/>
        </w:rPr>
        <w:t>46</w:t>
      </w:r>
      <w:r>
        <w:rPr>
          <w:sz w:val="24"/>
        </w:rPr>
        <w:t>mg/L</w:t>
      </w:r>
      <w:r>
        <w:rPr>
          <w:rFonts w:hint="eastAsia"/>
          <w:sz w:val="24"/>
        </w:rPr>
        <w:t>。污水需连续渗漏</w:t>
      </w:r>
      <w:r>
        <w:rPr>
          <w:sz w:val="24"/>
        </w:rPr>
        <w:t>100</w:t>
      </w:r>
      <w:r>
        <w:rPr>
          <w:rFonts w:hint="eastAsia"/>
          <w:sz w:val="24"/>
        </w:rPr>
        <w:t>天后，</w:t>
      </w:r>
      <w:r>
        <w:rPr>
          <w:sz w:val="24"/>
        </w:rPr>
        <w:t>NH</w:t>
      </w:r>
      <w:r>
        <w:rPr>
          <w:sz w:val="24"/>
          <w:vertAlign w:val="subscript"/>
        </w:rPr>
        <w:t>3</w:t>
      </w:r>
      <w:r>
        <w:rPr>
          <w:sz w:val="24"/>
        </w:rPr>
        <w:t>-N</w:t>
      </w:r>
      <w:r>
        <w:rPr>
          <w:rFonts w:hint="eastAsia"/>
          <w:sz w:val="24"/>
        </w:rPr>
        <w:t>会影响到地下水1</w:t>
      </w:r>
      <w:r>
        <w:rPr>
          <w:sz w:val="24"/>
        </w:rPr>
        <w:t>0m</w:t>
      </w:r>
      <w:r>
        <w:rPr>
          <w:rFonts w:hint="eastAsia"/>
          <w:sz w:val="24"/>
        </w:rPr>
        <w:t>处，浓度为2.81</w:t>
      </w:r>
      <w:r>
        <w:rPr>
          <w:sz w:val="24"/>
        </w:rPr>
        <w:t>mg/L</w:t>
      </w:r>
      <w:r>
        <w:rPr>
          <w:rFonts w:hint="eastAsia"/>
          <w:sz w:val="24"/>
        </w:rPr>
        <w:t>，不满足</w:t>
      </w:r>
      <w:r>
        <w:rPr>
          <w:sz w:val="24"/>
        </w:rPr>
        <w:t>《地下水质量标准》（GB/T14848-2017）Ⅲ类</w:t>
      </w:r>
      <w:r>
        <w:rPr>
          <w:rFonts w:hint="eastAsia"/>
          <w:sz w:val="24"/>
        </w:rPr>
        <w:t>标准；污水需连续渗漏10</w:t>
      </w:r>
      <w:r>
        <w:rPr>
          <w:sz w:val="24"/>
        </w:rPr>
        <w:t>00</w:t>
      </w:r>
      <w:r>
        <w:rPr>
          <w:rFonts w:hint="eastAsia"/>
          <w:sz w:val="24"/>
        </w:rPr>
        <w:t>天后，</w:t>
      </w:r>
      <w:r>
        <w:rPr>
          <w:sz w:val="24"/>
        </w:rPr>
        <w:t>NH</w:t>
      </w:r>
      <w:r>
        <w:rPr>
          <w:sz w:val="24"/>
          <w:vertAlign w:val="subscript"/>
        </w:rPr>
        <w:t>3</w:t>
      </w:r>
      <w:r>
        <w:rPr>
          <w:sz w:val="24"/>
        </w:rPr>
        <w:t>-N</w:t>
      </w:r>
      <w:r>
        <w:rPr>
          <w:rFonts w:hint="eastAsia"/>
          <w:sz w:val="24"/>
        </w:rPr>
        <w:t>会影响到地下水5</w:t>
      </w:r>
      <w:r>
        <w:rPr>
          <w:sz w:val="24"/>
        </w:rPr>
        <w:t>0m</w:t>
      </w:r>
      <w:r>
        <w:rPr>
          <w:rFonts w:hint="eastAsia"/>
          <w:sz w:val="24"/>
        </w:rPr>
        <w:t>处，浓度为</w:t>
      </w:r>
      <w:r>
        <w:rPr>
          <w:sz w:val="24"/>
        </w:rPr>
        <w:t>0.</w:t>
      </w:r>
      <w:r>
        <w:rPr>
          <w:rFonts w:hint="eastAsia"/>
          <w:sz w:val="24"/>
        </w:rPr>
        <w:t>13</w:t>
      </w:r>
      <w:r>
        <w:rPr>
          <w:sz w:val="24"/>
        </w:rPr>
        <w:t>mg/L。</w:t>
      </w:r>
    </w:p>
    <w:p>
      <w:pPr>
        <w:adjustRightInd w:val="0"/>
        <w:snapToGrid w:val="0"/>
        <w:spacing w:line="500" w:lineRule="exact"/>
        <w:ind w:firstLine="480" w:firstLineChars="200"/>
        <w:rPr>
          <w:sz w:val="24"/>
        </w:rPr>
      </w:pPr>
      <w:r>
        <w:rPr>
          <w:sz w:val="24"/>
        </w:rPr>
        <w:t>因此为避免非正常工况下沼液渗漏对场址下游地下水保护目标的影响，项目营运期间要加强对沼液储存池的维护管理，定期监测场址周围地下水水质状况，制定跟踪监测计划，将对地下水的污染风险降低到最小。</w:t>
      </w:r>
    </w:p>
    <w:p>
      <w:pPr>
        <w:adjustRightInd w:val="0"/>
        <w:snapToGrid w:val="0"/>
        <w:spacing w:line="500" w:lineRule="exact"/>
        <w:ind w:firstLine="480" w:firstLineChars="200"/>
        <w:rPr>
          <w:color w:val="000000"/>
          <w:sz w:val="24"/>
        </w:rPr>
      </w:pPr>
      <w:r>
        <w:rPr>
          <w:color w:val="000000"/>
          <w:sz w:val="24"/>
        </w:rPr>
        <w:t>（1）养殖区地下水污染途径及防治措施分析</w:t>
      </w:r>
    </w:p>
    <w:p>
      <w:pPr>
        <w:adjustRightInd w:val="0"/>
        <w:snapToGrid w:val="0"/>
        <w:spacing w:line="500" w:lineRule="exact"/>
        <w:ind w:firstLine="480" w:firstLineChars="200"/>
        <w:rPr>
          <w:color w:val="000000"/>
          <w:sz w:val="24"/>
        </w:rPr>
      </w:pPr>
      <w:r>
        <w:rPr>
          <w:color w:val="000000"/>
          <w:sz w:val="24"/>
        </w:rPr>
        <w:t>污染物从污染源进入地下水所经过路径称为地下水污染途径，地下水污染途径是多种多样的。本项目营运期环境影响因素主要为生活污水、养殖废水、猪粪。以上污染因素如不加以管理，污水处理池及储存池存在下渗污染地下水的隐患；猪粪乱堆乱放，以恶臭和地表径流的形式可能转入环境空气或地表水体，并通过下渗影响到地下水环境，评价针对污染途径采取相应措施处理，详见表</w:t>
      </w:r>
      <w:r>
        <w:rPr>
          <w:rFonts w:hint="eastAsia"/>
          <w:color w:val="000000"/>
          <w:sz w:val="24"/>
        </w:rPr>
        <w:t>4.2-13</w:t>
      </w:r>
      <w:r>
        <w:rPr>
          <w:color w:val="000000"/>
          <w:sz w:val="24"/>
        </w:rPr>
        <w:t>。</w:t>
      </w:r>
    </w:p>
    <w:p>
      <w:pPr>
        <w:adjustRightInd w:val="0"/>
        <w:snapToGrid w:val="0"/>
        <w:spacing w:before="156" w:beforeLines="50" w:after="156" w:afterLines="50"/>
        <w:ind w:firstLine="420" w:firstLineChars="200"/>
        <w:jc w:val="center"/>
        <w:rPr>
          <w:b/>
          <w:bCs/>
          <w:color w:val="000000"/>
          <w:szCs w:val="21"/>
        </w:rPr>
      </w:pPr>
      <w:r>
        <w:rPr>
          <w:b/>
          <w:bCs/>
          <w:color w:val="000000"/>
          <w:szCs w:val="21"/>
        </w:rPr>
        <w:t>表</w:t>
      </w:r>
      <w:r>
        <w:rPr>
          <w:rFonts w:hint="eastAsia"/>
          <w:b/>
          <w:bCs/>
          <w:color w:val="000000"/>
          <w:szCs w:val="21"/>
        </w:rPr>
        <w:t>4.2-13</w:t>
      </w:r>
      <w:r>
        <w:rPr>
          <w:b/>
          <w:bCs/>
          <w:color w:val="000000"/>
          <w:szCs w:val="21"/>
        </w:rPr>
        <w:t xml:space="preserve">   项目污染地下水途径及防治措施一览表</w:t>
      </w:r>
    </w:p>
    <w:tbl>
      <w:tblPr>
        <w:tblStyle w:val="1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10"/>
        <w:gridCol w:w="1004"/>
        <w:gridCol w:w="5175"/>
        <w:gridCol w:w="207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序号</w:t>
            </w:r>
          </w:p>
        </w:tc>
        <w:tc>
          <w:tcPr>
            <w:tcW w:w="573"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项目</w:t>
            </w:r>
          </w:p>
        </w:tc>
        <w:tc>
          <w:tcPr>
            <w:tcW w:w="2954"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保护措施</w:t>
            </w:r>
          </w:p>
        </w:tc>
        <w:tc>
          <w:tcPr>
            <w:tcW w:w="1182"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达到效果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1</w:t>
            </w:r>
          </w:p>
        </w:tc>
        <w:tc>
          <w:tcPr>
            <w:tcW w:w="573"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沼液储存池</w:t>
            </w:r>
          </w:p>
        </w:tc>
        <w:tc>
          <w:tcPr>
            <w:tcW w:w="2954"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沼液储存池为满足农闲期沼液产生量，容积不小于</w:t>
            </w:r>
            <w:r>
              <w:rPr>
                <w:rFonts w:hint="eastAsia"/>
                <w:color w:val="000000"/>
                <w:szCs w:val="21"/>
              </w:rPr>
              <w:t>166</w:t>
            </w:r>
            <w:r>
              <w:rPr>
                <w:color w:val="000000"/>
                <w:szCs w:val="21"/>
              </w:rPr>
              <w:t>的废水产生量，并采用HDPE膜防渗处理措施，合理控制施肥频次和施肥量，尽量避开雨天施肥</w:t>
            </w:r>
          </w:p>
        </w:tc>
        <w:tc>
          <w:tcPr>
            <w:tcW w:w="1182" w:type="pct"/>
            <w:vMerge w:val="restar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各反应池及储存池均符合《规模化畜禽养殖场沼气工程设计规范》（NY/T1222）和《混凝土结构设计规范》（GB50010）的要求，具备“防渗、防雨、防溢”的三防措施；畜禽粪便的贮存相关要求，应具备防渗、防风、防雨的“三防”措施，雨污分流</w:t>
            </w:r>
          </w:p>
          <w:p>
            <w:pPr>
              <w:tabs>
                <w:tab w:val="right" w:leader="dot" w:pos="8647"/>
              </w:tabs>
              <w:adjustRightInd w:val="0"/>
              <w:snapToGrid w:val="0"/>
              <w:spacing w:line="320" w:lineRule="atLeast"/>
              <w:jc w:val="center"/>
              <w:rPr>
                <w:color w:val="000000"/>
                <w:szCs w:val="21"/>
              </w:rPr>
            </w:pPr>
            <w:r>
              <w:rPr>
                <w:color w:val="000000"/>
                <w:szCs w:val="21"/>
              </w:rPr>
              <w:t>满足《畜禽养殖业污染防治技术规范》（HJ/T81-2001）要求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2</w:t>
            </w:r>
          </w:p>
        </w:tc>
        <w:tc>
          <w:tcPr>
            <w:tcW w:w="573"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养殖区</w:t>
            </w:r>
          </w:p>
        </w:tc>
        <w:tc>
          <w:tcPr>
            <w:tcW w:w="2954"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养殖区猪舍底部采用混凝土防渗</w:t>
            </w:r>
          </w:p>
        </w:tc>
        <w:tc>
          <w:tcPr>
            <w:tcW w:w="1182" w:type="pct"/>
            <w:vMerge w:val="continue"/>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3</w:t>
            </w:r>
          </w:p>
        </w:tc>
        <w:tc>
          <w:tcPr>
            <w:tcW w:w="573"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污水处理系统</w:t>
            </w:r>
          </w:p>
        </w:tc>
        <w:tc>
          <w:tcPr>
            <w:tcW w:w="2954"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收集池应为砖混结构</w:t>
            </w:r>
          </w:p>
        </w:tc>
        <w:tc>
          <w:tcPr>
            <w:tcW w:w="1182" w:type="pct"/>
            <w:vMerge w:val="continue"/>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4</w:t>
            </w:r>
          </w:p>
        </w:tc>
        <w:tc>
          <w:tcPr>
            <w:tcW w:w="573"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固粪处置区</w:t>
            </w:r>
          </w:p>
        </w:tc>
        <w:tc>
          <w:tcPr>
            <w:tcW w:w="2954"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地面进行混凝土硬化防渗，设置顶棚</w:t>
            </w:r>
          </w:p>
        </w:tc>
        <w:tc>
          <w:tcPr>
            <w:tcW w:w="1182" w:type="pct"/>
            <w:vMerge w:val="continue"/>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5</w:t>
            </w:r>
          </w:p>
        </w:tc>
        <w:tc>
          <w:tcPr>
            <w:tcW w:w="573"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排污沟、漏缝板贮池</w:t>
            </w:r>
          </w:p>
        </w:tc>
        <w:tc>
          <w:tcPr>
            <w:tcW w:w="2954"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采取暗沟形式，具备防止淤集以利于定期清理的条件，排污沟应采取硬化措施</w:t>
            </w:r>
          </w:p>
        </w:tc>
        <w:tc>
          <w:tcPr>
            <w:tcW w:w="1182" w:type="pct"/>
            <w:vMerge w:val="continue"/>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1"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6</w:t>
            </w:r>
          </w:p>
        </w:tc>
        <w:tc>
          <w:tcPr>
            <w:tcW w:w="573"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场区雨、污管网</w:t>
            </w:r>
          </w:p>
        </w:tc>
        <w:tc>
          <w:tcPr>
            <w:tcW w:w="2954" w:type="pct"/>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r>
              <w:rPr>
                <w:color w:val="000000"/>
                <w:szCs w:val="21"/>
              </w:rPr>
              <w:t>雨污分流、按照畜禽养殖业污染防治技术规范要求进行建设</w:t>
            </w:r>
          </w:p>
        </w:tc>
        <w:tc>
          <w:tcPr>
            <w:tcW w:w="1182" w:type="pct"/>
            <w:vMerge w:val="continue"/>
            <w:noWrap w:val="0"/>
            <w:tcMar>
              <w:left w:w="0" w:type="dxa"/>
              <w:right w:w="0" w:type="dxa"/>
            </w:tcMar>
            <w:vAlign w:val="center"/>
          </w:tcPr>
          <w:p>
            <w:pPr>
              <w:tabs>
                <w:tab w:val="right" w:leader="dot" w:pos="8647"/>
              </w:tabs>
              <w:adjustRightInd w:val="0"/>
              <w:snapToGrid w:val="0"/>
              <w:spacing w:line="320" w:lineRule="atLeast"/>
              <w:jc w:val="center"/>
              <w:rPr>
                <w:color w:val="000000"/>
                <w:szCs w:val="21"/>
              </w:rPr>
            </w:pPr>
          </w:p>
        </w:tc>
      </w:tr>
    </w:tbl>
    <w:p>
      <w:pPr>
        <w:spacing w:line="520" w:lineRule="exact"/>
        <w:ind w:firstLine="480" w:firstLineChars="200"/>
        <w:rPr>
          <w:color w:val="000000"/>
          <w:sz w:val="24"/>
        </w:rPr>
      </w:pPr>
      <w:r>
        <w:rPr>
          <w:color w:val="000000"/>
          <w:sz w:val="24"/>
        </w:rPr>
        <w:t>因此，建设单位应当做好地面的防渗漏处理和地面硬化，同时还应加强管理，合理施肥，建立地下水监控体系，以防污染地下水。</w:t>
      </w:r>
    </w:p>
    <w:p>
      <w:pPr>
        <w:spacing w:line="520" w:lineRule="exact"/>
        <w:ind w:firstLine="480" w:firstLineChars="200"/>
        <w:rPr>
          <w:color w:val="000000"/>
          <w:sz w:val="24"/>
        </w:rPr>
      </w:pPr>
      <w:r>
        <w:rPr>
          <w:color w:val="000000"/>
          <w:sz w:val="24"/>
        </w:rPr>
        <w:t>（2）预防地下水污染物的要求及环境管理建议</w:t>
      </w:r>
    </w:p>
    <w:p>
      <w:pPr>
        <w:spacing w:line="500" w:lineRule="exact"/>
        <w:ind w:firstLine="482"/>
        <w:rPr>
          <w:color w:val="000000"/>
          <w:sz w:val="24"/>
        </w:rPr>
      </w:pPr>
      <w:r>
        <w:rPr>
          <w:color w:val="000000"/>
          <w:sz w:val="24"/>
        </w:rPr>
        <w:t>项目在施工和运营阶段，应充分做好排污管道的防渗处理，杜绝污水渗漏，确保污水收集处理系统衔接良好，严格用水管理，防止污水</w:t>
      </w:r>
      <w:r>
        <w:rPr>
          <w:rFonts w:ascii="宋体" w:hAnsi="宋体"/>
          <w:color w:val="000000"/>
          <w:sz w:val="24"/>
        </w:rPr>
        <w:t>“跑、冒、滴、漏”</w:t>
      </w:r>
      <w:r>
        <w:rPr>
          <w:color w:val="000000"/>
          <w:sz w:val="24"/>
        </w:rPr>
        <w:t>现象的发生，这样可以保证项目区内产生的全部废水汇集到污水处理站集中处理，可以很大程度的消除周边地区污染物排放对地下水环境的影响。营运期建议严格按照以下要求进行管理：</w:t>
      </w:r>
    </w:p>
    <w:p>
      <w:pPr>
        <w:adjustRightInd w:val="0"/>
        <w:snapToGrid w:val="0"/>
        <w:spacing w:line="520" w:lineRule="exact"/>
        <w:ind w:firstLine="480" w:firstLineChars="200"/>
        <w:rPr>
          <w:color w:val="000000"/>
          <w:sz w:val="24"/>
        </w:rPr>
      </w:pPr>
      <w:r>
        <w:rPr>
          <w:rFonts w:hint="eastAsia" w:ascii="宋体" w:hAnsi="宋体" w:cs="宋体"/>
          <w:color w:val="000000"/>
          <w:sz w:val="24"/>
        </w:rPr>
        <w:t>①</w:t>
      </w:r>
      <w:r>
        <w:rPr>
          <w:color w:val="000000"/>
          <w:sz w:val="24"/>
        </w:rPr>
        <w:t>《畜禽养殖业污染防治技术规范》（HJ/T81-2001）规定，养殖场的排水系统应实施雨水和污水收集输送系统分离，在场区内设置的污水收集输送系统，不得采用明沟布设。排水沟应采取水泥硬化防渗措施或采用水泥排水管进行输送，防止随处溢流和下渗污染。</w:t>
      </w:r>
    </w:p>
    <w:p>
      <w:pPr>
        <w:adjustRightInd w:val="0"/>
        <w:snapToGrid w:val="0"/>
        <w:spacing w:line="520" w:lineRule="exact"/>
        <w:ind w:firstLine="480" w:firstLineChars="200"/>
        <w:rPr>
          <w:color w:val="000000"/>
          <w:sz w:val="24"/>
        </w:rPr>
      </w:pPr>
      <w:r>
        <w:rPr>
          <w:rFonts w:hint="eastAsia" w:ascii="宋体" w:hAnsi="宋体" w:cs="宋体"/>
          <w:color w:val="000000"/>
          <w:sz w:val="24"/>
        </w:rPr>
        <w:t>②</w:t>
      </w:r>
      <w:r>
        <w:rPr>
          <w:color w:val="000000"/>
          <w:sz w:val="24"/>
        </w:rPr>
        <w:t>猪粪贮存设施应采取有效的防渗处理工艺，防止粪便淋滤液污染地下水。</w:t>
      </w:r>
    </w:p>
    <w:p>
      <w:pPr>
        <w:adjustRightInd w:val="0"/>
        <w:snapToGrid w:val="0"/>
        <w:spacing w:line="520" w:lineRule="exact"/>
        <w:ind w:firstLine="480" w:firstLineChars="200"/>
        <w:rPr>
          <w:color w:val="000000"/>
          <w:sz w:val="24"/>
        </w:rPr>
      </w:pPr>
      <w:r>
        <w:rPr>
          <w:rFonts w:hint="eastAsia" w:ascii="宋体" w:hAnsi="宋体" w:cs="宋体"/>
          <w:color w:val="000000"/>
          <w:sz w:val="24"/>
        </w:rPr>
        <w:t>③</w:t>
      </w:r>
      <w:r>
        <w:rPr>
          <w:color w:val="000000"/>
          <w:sz w:val="24"/>
        </w:rPr>
        <w:t>做好收集池、沼气池、沼液储存池等的防渗工作，应充分考虑农作期间影响和雨季影响，能够保证有足够的容量以容纳养殖场产生的废水。养殖场废水收集池应按期清淤，各池建设时应高出地面至少20cm以上，以保证大雨时雨水不进入、污水不外溢。</w:t>
      </w:r>
    </w:p>
    <w:p>
      <w:pPr>
        <w:spacing w:line="520" w:lineRule="exact"/>
        <w:ind w:firstLine="480" w:firstLineChars="200"/>
        <w:rPr>
          <w:sz w:val="24"/>
        </w:rPr>
      </w:pPr>
      <w:r>
        <w:rPr>
          <w:sz w:val="24"/>
        </w:rPr>
        <w:t>（3）沼液消纳地地下水影响分析</w:t>
      </w:r>
    </w:p>
    <w:p>
      <w:pPr>
        <w:spacing w:line="520" w:lineRule="exact"/>
        <w:ind w:right="23" w:firstLine="480" w:firstLineChars="200"/>
        <w:rPr>
          <w:sz w:val="24"/>
        </w:rPr>
      </w:pPr>
      <w:r>
        <w:rPr>
          <w:rFonts w:hint="eastAsia" w:ascii="宋体" w:hAnsi="宋体" w:cs="宋体"/>
          <w:sz w:val="24"/>
        </w:rPr>
        <w:t>①</w:t>
      </w:r>
      <w:r>
        <w:rPr>
          <w:sz w:val="24"/>
        </w:rPr>
        <w:t>沼液浇灌方式对地下水的影响</w:t>
      </w:r>
    </w:p>
    <w:p>
      <w:pPr>
        <w:spacing w:line="500" w:lineRule="exact"/>
        <w:ind w:firstLine="480" w:firstLineChars="200"/>
        <w:rPr>
          <w:sz w:val="24"/>
        </w:rPr>
      </w:pPr>
      <w:r>
        <w:rPr>
          <w:sz w:val="24"/>
        </w:rPr>
        <w:t>本项目由场区沼液储存池引至施肥</w:t>
      </w:r>
      <w:r>
        <w:rPr>
          <w:rFonts w:hint="eastAsia"/>
          <w:sz w:val="24"/>
        </w:rPr>
        <w:t>林地管网，将</w:t>
      </w:r>
      <w:r>
        <w:rPr>
          <w:sz w:val="24"/>
        </w:rPr>
        <w:t>沼液由沼液储存池引至施肥</w:t>
      </w:r>
      <w:r>
        <w:rPr>
          <w:rFonts w:hint="eastAsia"/>
          <w:sz w:val="24"/>
        </w:rPr>
        <w:t>林地</w:t>
      </w:r>
      <w:r>
        <w:rPr>
          <w:sz w:val="24"/>
        </w:rPr>
        <w:t>。当地群众只需通过软管和预留口连接，在田间采用喷灌的方式对</w:t>
      </w:r>
      <w:r>
        <w:rPr>
          <w:rFonts w:hint="eastAsia"/>
          <w:sz w:val="24"/>
        </w:rPr>
        <w:t>林地</w:t>
      </w:r>
      <w:r>
        <w:rPr>
          <w:sz w:val="24"/>
        </w:rPr>
        <w:t>进行施肥。喷灌方式相对开沟洒施和浇施来讲对地下水影响最小。</w:t>
      </w:r>
    </w:p>
    <w:p>
      <w:pPr>
        <w:spacing w:line="520" w:lineRule="exact"/>
        <w:ind w:firstLine="480" w:firstLineChars="200"/>
        <w:rPr>
          <w:sz w:val="24"/>
        </w:rPr>
      </w:pPr>
      <w:r>
        <w:rPr>
          <w:rFonts w:hint="eastAsia" w:ascii="宋体" w:hAnsi="宋体" w:cs="宋体"/>
          <w:sz w:val="24"/>
        </w:rPr>
        <w:t>②</w:t>
      </w:r>
      <w:r>
        <w:rPr>
          <w:sz w:val="24"/>
        </w:rPr>
        <w:t>沼液施肥对地下水可能存在的影响</w:t>
      </w:r>
    </w:p>
    <w:p>
      <w:pPr>
        <w:spacing w:line="500" w:lineRule="exact"/>
        <w:ind w:firstLine="480" w:firstLineChars="200"/>
        <w:rPr>
          <w:sz w:val="24"/>
        </w:rPr>
      </w:pPr>
      <w:r>
        <w:rPr>
          <w:sz w:val="24"/>
        </w:rPr>
        <w:t>本项目产生的沼液暂存于沼液储存池内，在施肥季节施用于</w:t>
      </w:r>
      <w:r>
        <w:rPr>
          <w:rFonts w:hint="eastAsia"/>
          <w:sz w:val="24"/>
        </w:rPr>
        <w:t>林地</w:t>
      </w:r>
      <w:r>
        <w:rPr>
          <w:sz w:val="24"/>
        </w:rPr>
        <w:t>，沼液施用于</w:t>
      </w:r>
      <w:r>
        <w:rPr>
          <w:rFonts w:hint="eastAsia"/>
          <w:sz w:val="24"/>
        </w:rPr>
        <w:t>林地</w:t>
      </w:r>
      <w:r>
        <w:rPr>
          <w:sz w:val="24"/>
        </w:rPr>
        <w:t>可能会对地下水水质造成影响。沼液中NH</w:t>
      </w:r>
      <w:r>
        <w:rPr>
          <w:sz w:val="24"/>
          <w:vertAlign w:val="subscript"/>
        </w:rPr>
        <w:t>3</w:t>
      </w:r>
      <w:r>
        <w:rPr>
          <w:sz w:val="24"/>
        </w:rPr>
        <w:t>-N在包气带中的迁移是一个复杂的过程，主要的化学反应是硝化、反硝化作用。本项目厌氧处理后的废水经过在耕作土中的迁移转化、吸附降解等作用，进入环境的NH</w:t>
      </w:r>
      <w:r>
        <w:rPr>
          <w:sz w:val="24"/>
          <w:vertAlign w:val="subscript"/>
        </w:rPr>
        <w:t>3</w:t>
      </w:r>
      <w:r>
        <w:rPr>
          <w:sz w:val="24"/>
        </w:rPr>
        <w:t>-N被大量吸附并保存在土壤中。由于植物的根区效应，在植物的根系周围形成了许多好氧、缺氧和厌氧小区，NH</w:t>
      </w:r>
      <w:r>
        <w:rPr>
          <w:sz w:val="24"/>
          <w:vertAlign w:val="subscript"/>
        </w:rPr>
        <w:t>3</w:t>
      </w:r>
      <w:r>
        <w:rPr>
          <w:sz w:val="24"/>
        </w:rPr>
        <w:t>-N在植物根系好氧环境下经硝化作用转化为NO</w:t>
      </w:r>
      <w:r>
        <w:rPr>
          <w:sz w:val="24"/>
          <w:vertAlign w:val="superscript"/>
        </w:rPr>
        <w:t>3-</w:t>
      </w:r>
      <w:r>
        <w:rPr>
          <w:sz w:val="24"/>
        </w:rPr>
        <w:t>，NO</w:t>
      </w:r>
      <w:r>
        <w:rPr>
          <w:sz w:val="24"/>
          <w:vertAlign w:val="superscript"/>
        </w:rPr>
        <w:t>3-</w:t>
      </w:r>
      <w:r>
        <w:rPr>
          <w:sz w:val="24"/>
        </w:rPr>
        <w:t>扩散到缺氧区，通过微生物的反硝化作用还原为N</w:t>
      </w:r>
      <w:r>
        <w:rPr>
          <w:sz w:val="24"/>
          <w:vertAlign w:val="subscript"/>
        </w:rPr>
        <w:t>2</w:t>
      </w:r>
      <w:r>
        <w:rPr>
          <w:sz w:val="24"/>
        </w:rPr>
        <w:t>或N</w:t>
      </w:r>
      <w:r>
        <w:rPr>
          <w:sz w:val="24"/>
          <w:vertAlign w:val="subscript"/>
        </w:rPr>
        <w:t>2</w:t>
      </w:r>
      <w:r>
        <w:rPr>
          <w:sz w:val="24"/>
        </w:rPr>
        <w:t>O而去除，因此沼液施肥主要是将沼液作为农肥被农作物吸收，变成供养农作物的养分，不会对地下水水位产生影响。</w:t>
      </w:r>
    </w:p>
    <w:p>
      <w:pPr>
        <w:adjustRightInd w:val="0"/>
        <w:snapToGrid w:val="0"/>
        <w:spacing w:line="500" w:lineRule="exact"/>
        <w:ind w:firstLine="480" w:firstLineChars="200"/>
        <w:rPr>
          <w:color w:val="000000"/>
          <w:sz w:val="24"/>
        </w:rPr>
      </w:pPr>
      <w:r>
        <w:rPr>
          <w:color w:val="000000"/>
          <w:sz w:val="24"/>
        </w:rPr>
        <w:t>综上分析，建设项目场区地下水环境不敏感，在落实好防渗、防污措施后，本项目污染物能得到有效处理，对地下水水质影响较小，项目的建设不会产生其他环境地质问题，因此对地下水环境质量影响较小。</w:t>
      </w:r>
    </w:p>
    <w:p>
      <w:pPr>
        <w:adjustRightInd w:val="0"/>
        <w:snapToGrid w:val="0"/>
        <w:spacing w:line="520" w:lineRule="exact"/>
        <w:ind w:firstLine="480" w:firstLineChars="200"/>
        <w:rPr>
          <w:rFonts w:hint="eastAsia"/>
          <w:sz w:val="24"/>
        </w:rPr>
      </w:pPr>
      <w:r>
        <w:rPr>
          <w:sz w:val="24"/>
        </w:rPr>
        <w:t>项目建成投产后，养殖废水全部经</w:t>
      </w:r>
      <w:r>
        <w:rPr>
          <w:rFonts w:hint="eastAsia"/>
          <w:sz w:val="24"/>
        </w:rPr>
        <w:t>黑膜沼气池</w:t>
      </w:r>
      <w:r>
        <w:rPr>
          <w:sz w:val="24"/>
        </w:rPr>
        <w:t>处理后还田综合利用，对地下水的影响主要为场区内</w:t>
      </w:r>
      <w:r>
        <w:rPr>
          <w:rFonts w:hint="eastAsia"/>
          <w:sz w:val="24"/>
        </w:rPr>
        <w:t>黑膜沼气池</w:t>
      </w:r>
      <w:r>
        <w:rPr>
          <w:sz w:val="24"/>
        </w:rPr>
        <w:t>及沼液储存池防渗措施不到位导致的废水下渗对地下水的影响；猪粪、沼渣乱堆乱放，可能转入环境空气或地表水体，并通过下渗影响到地下水环境；废水的还田利用可能对地下水质产生的影响。</w:t>
      </w:r>
    </w:p>
    <w:p>
      <w:pPr>
        <w:pStyle w:val="2"/>
        <w:spacing w:before="0" w:after="0" w:line="520" w:lineRule="exact"/>
        <w:rPr>
          <w:rFonts w:eastAsia="黑体"/>
          <w:b w:val="0"/>
          <w:sz w:val="24"/>
          <w:szCs w:val="24"/>
        </w:rPr>
      </w:pPr>
      <w:bookmarkStart w:id="415" w:name="_Toc406847759"/>
      <w:bookmarkEnd w:id="415"/>
      <w:bookmarkStart w:id="416" w:name="_Toc413053022"/>
      <w:r>
        <w:rPr>
          <w:rFonts w:eastAsia="黑体"/>
          <w:b w:val="0"/>
          <w:sz w:val="24"/>
          <w:szCs w:val="24"/>
        </w:rPr>
        <w:t>4</w:t>
      </w:r>
      <w:bookmarkEnd w:id="416"/>
      <w:r>
        <w:rPr>
          <w:rFonts w:eastAsia="黑体"/>
          <w:b w:val="0"/>
          <w:sz w:val="24"/>
          <w:szCs w:val="24"/>
        </w:rPr>
        <w:t>.2.4 声环境影响分析与评价</w:t>
      </w:r>
    </w:p>
    <w:p>
      <w:pPr>
        <w:spacing w:line="500" w:lineRule="exact"/>
        <w:rPr>
          <w:b/>
          <w:sz w:val="24"/>
        </w:rPr>
      </w:pPr>
      <w:r>
        <w:rPr>
          <w:b/>
          <w:kern w:val="0"/>
          <w:sz w:val="24"/>
          <w:lang w:bidi="ar"/>
        </w:rPr>
        <w:t>4.2.4.1预测噪声源强</w:t>
      </w:r>
    </w:p>
    <w:p>
      <w:pPr>
        <w:adjustRightInd w:val="0"/>
        <w:snapToGrid w:val="0"/>
        <w:spacing w:line="520" w:lineRule="exact"/>
        <w:ind w:firstLine="472" w:firstLineChars="197"/>
        <w:rPr>
          <w:bCs/>
          <w:sz w:val="24"/>
        </w:rPr>
      </w:pPr>
      <w:r>
        <w:rPr>
          <w:bCs/>
          <w:kern w:val="0"/>
          <w:sz w:val="24"/>
          <w:lang w:bidi="ar"/>
        </w:rPr>
        <w:t>噪声污染防治措施为将高噪声设备布置在密闭隔声车间内，猪舍采用砖混结构，并且墙面附有保温材料；生产设备则采取基础减振及隔声等措施。则项目主要高噪声设备经采取以上降噪措施后各噪声值如表4.2-14所示。</w:t>
      </w:r>
    </w:p>
    <w:p>
      <w:pPr>
        <w:spacing w:line="520" w:lineRule="exact"/>
        <w:jc w:val="center"/>
        <w:rPr>
          <w:b/>
          <w:bCs/>
          <w:sz w:val="24"/>
        </w:rPr>
      </w:pPr>
      <w:r>
        <w:rPr>
          <w:b/>
          <w:bCs/>
          <w:kern w:val="0"/>
          <w:sz w:val="24"/>
          <w:lang w:bidi="ar"/>
        </w:rPr>
        <w:t>表4.2-14     项目噪声设备采取降噪措施后的噪声值一览表   单位：dB(A)</w:t>
      </w:r>
    </w:p>
    <w:tbl>
      <w:tblPr>
        <w:tblStyle w:val="17"/>
        <w:tblW w:w="887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7" w:type="dxa"/>
          <w:bottom w:w="0" w:type="dxa"/>
          <w:right w:w="57" w:type="dxa"/>
        </w:tblCellMar>
      </w:tblPr>
      <w:tblGrid>
        <w:gridCol w:w="1599"/>
        <w:gridCol w:w="1392"/>
        <w:gridCol w:w="1035"/>
        <w:gridCol w:w="1035"/>
        <w:gridCol w:w="2722"/>
        <w:gridCol w:w="108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599" w:type="dxa"/>
            <w:noWrap w:val="0"/>
            <w:vAlign w:val="center"/>
          </w:tcPr>
          <w:p>
            <w:pPr>
              <w:adjustRightInd w:val="0"/>
              <w:snapToGrid w:val="0"/>
              <w:jc w:val="center"/>
              <w:rPr>
                <w:b/>
                <w:bCs/>
                <w:szCs w:val="21"/>
              </w:rPr>
            </w:pPr>
            <w:r>
              <w:rPr>
                <w:b/>
                <w:bCs/>
                <w:kern w:val="0"/>
                <w:szCs w:val="21"/>
                <w:lang w:bidi="ar"/>
              </w:rPr>
              <w:t>污染物来源</w:t>
            </w:r>
          </w:p>
        </w:tc>
        <w:tc>
          <w:tcPr>
            <w:tcW w:w="1392" w:type="dxa"/>
            <w:noWrap w:val="0"/>
            <w:vAlign w:val="center"/>
          </w:tcPr>
          <w:p>
            <w:pPr>
              <w:adjustRightInd w:val="0"/>
              <w:snapToGrid w:val="0"/>
              <w:jc w:val="center"/>
              <w:rPr>
                <w:b/>
                <w:bCs/>
                <w:szCs w:val="21"/>
              </w:rPr>
            </w:pPr>
            <w:r>
              <w:rPr>
                <w:b/>
                <w:bCs/>
                <w:kern w:val="0"/>
                <w:szCs w:val="21"/>
                <w:lang w:bidi="ar"/>
              </w:rPr>
              <w:t>种类</w:t>
            </w:r>
          </w:p>
        </w:tc>
        <w:tc>
          <w:tcPr>
            <w:tcW w:w="1035" w:type="dxa"/>
            <w:noWrap w:val="0"/>
            <w:vAlign w:val="center"/>
          </w:tcPr>
          <w:p>
            <w:pPr>
              <w:adjustRightInd w:val="0"/>
              <w:snapToGrid w:val="0"/>
              <w:jc w:val="center"/>
              <w:rPr>
                <w:b/>
                <w:bCs/>
                <w:szCs w:val="21"/>
              </w:rPr>
            </w:pPr>
            <w:r>
              <w:rPr>
                <w:b/>
                <w:bCs/>
                <w:szCs w:val="21"/>
              </w:rPr>
              <w:t>产生方式</w:t>
            </w:r>
          </w:p>
        </w:tc>
        <w:tc>
          <w:tcPr>
            <w:tcW w:w="1035" w:type="dxa"/>
            <w:noWrap w:val="0"/>
            <w:vAlign w:val="center"/>
          </w:tcPr>
          <w:p>
            <w:pPr>
              <w:adjustRightInd w:val="0"/>
              <w:snapToGrid w:val="0"/>
              <w:jc w:val="center"/>
              <w:rPr>
                <w:b/>
              </w:rPr>
            </w:pPr>
            <w:r>
              <w:rPr>
                <w:b/>
                <w:bCs/>
                <w:kern w:val="0"/>
                <w:szCs w:val="21"/>
                <w:lang w:bidi="ar"/>
              </w:rPr>
              <w:t>产生源强</w:t>
            </w:r>
          </w:p>
        </w:tc>
        <w:tc>
          <w:tcPr>
            <w:tcW w:w="2722" w:type="dxa"/>
            <w:noWrap w:val="0"/>
            <w:vAlign w:val="center"/>
          </w:tcPr>
          <w:p>
            <w:pPr>
              <w:adjustRightInd w:val="0"/>
              <w:snapToGrid w:val="0"/>
              <w:jc w:val="center"/>
              <w:rPr>
                <w:b/>
                <w:bCs/>
                <w:szCs w:val="21"/>
              </w:rPr>
            </w:pPr>
            <w:r>
              <w:rPr>
                <w:b/>
                <w:bCs/>
                <w:kern w:val="0"/>
                <w:szCs w:val="21"/>
                <w:lang w:bidi="ar"/>
              </w:rPr>
              <w:t>治理措施</w:t>
            </w:r>
          </w:p>
        </w:tc>
        <w:tc>
          <w:tcPr>
            <w:tcW w:w="1089" w:type="dxa"/>
            <w:noWrap w:val="0"/>
            <w:vAlign w:val="center"/>
          </w:tcPr>
          <w:p>
            <w:pPr>
              <w:adjustRightInd w:val="0"/>
              <w:snapToGrid w:val="0"/>
              <w:jc w:val="center"/>
              <w:rPr>
                <w:b/>
                <w:bCs/>
                <w:szCs w:val="21"/>
              </w:rPr>
            </w:pPr>
            <w:r>
              <w:rPr>
                <w:b/>
                <w:bCs/>
                <w:kern w:val="0"/>
                <w:szCs w:val="21"/>
                <w:lang w:bidi="ar"/>
              </w:rPr>
              <w:t>排放源强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599" w:type="dxa"/>
            <w:vMerge w:val="restart"/>
            <w:noWrap w:val="0"/>
            <w:vAlign w:val="center"/>
          </w:tcPr>
          <w:p>
            <w:pPr>
              <w:adjustRightInd w:val="0"/>
              <w:snapToGrid w:val="0"/>
              <w:jc w:val="center"/>
              <w:rPr>
                <w:bCs/>
                <w:szCs w:val="21"/>
              </w:rPr>
            </w:pPr>
            <w:r>
              <w:rPr>
                <w:bCs/>
                <w:kern w:val="0"/>
                <w:szCs w:val="21"/>
                <w:lang w:bidi="ar"/>
              </w:rPr>
              <w:t>猪舍</w:t>
            </w:r>
          </w:p>
        </w:tc>
        <w:tc>
          <w:tcPr>
            <w:tcW w:w="1392" w:type="dxa"/>
            <w:noWrap w:val="0"/>
            <w:vAlign w:val="center"/>
          </w:tcPr>
          <w:p>
            <w:pPr>
              <w:adjustRightInd w:val="0"/>
              <w:snapToGrid w:val="0"/>
              <w:jc w:val="center"/>
              <w:rPr>
                <w:bCs/>
                <w:szCs w:val="21"/>
              </w:rPr>
            </w:pPr>
            <w:r>
              <w:rPr>
                <w:bCs/>
                <w:kern w:val="0"/>
                <w:szCs w:val="21"/>
                <w:lang w:bidi="ar"/>
              </w:rPr>
              <w:t>猪叫</w:t>
            </w:r>
          </w:p>
        </w:tc>
        <w:tc>
          <w:tcPr>
            <w:tcW w:w="1035" w:type="dxa"/>
            <w:noWrap w:val="0"/>
            <w:vAlign w:val="center"/>
          </w:tcPr>
          <w:p>
            <w:pPr>
              <w:adjustRightInd w:val="0"/>
              <w:snapToGrid w:val="0"/>
              <w:jc w:val="center"/>
              <w:rPr>
                <w:bCs/>
                <w:szCs w:val="21"/>
              </w:rPr>
            </w:pPr>
            <w:r>
              <w:rPr>
                <w:bCs/>
                <w:szCs w:val="21"/>
              </w:rPr>
              <w:t>间断</w:t>
            </w:r>
          </w:p>
        </w:tc>
        <w:tc>
          <w:tcPr>
            <w:tcW w:w="1035" w:type="dxa"/>
            <w:noWrap w:val="0"/>
            <w:vAlign w:val="center"/>
          </w:tcPr>
          <w:p>
            <w:pPr>
              <w:adjustRightInd w:val="0"/>
              <w:snapToGrid w:val="0"/>
              <w:jc w:val="center"/>
            </w:pPr>
            <w:r>
              <w:rPr>
                <w:bCs/>
                <w:kern w:val="0"/>
                <w:szCs w:val="21"/>
                <w:lang w:bidi="ar"/>
              </w:rPr>
              <w:t>65</w:t>
            </w:r>
          </w:p>
        </w:tc>
        <w:tc>
          <w:tcPr>
            <w:tcW w:w="2722" w:type="dxa"/>
            <w:noWrap w:val="0"/>
            <w:vAlign w:val="center"/>
          </w:tcPr>
          <w:p>
            <w:pPr>
              <w:adjustRightInd w:val="0"/>
              <w:snapToGrid w:val="0"/>
              <w:jc w:val="center"/>
              <w:rPr>
                <w:bCs/>
                <w:szCs w:val="21"/>
              </w:rPr>
            </w:pPr>
            <w:r>
              <w:rPr>
                <w:bCs/>
                <w:kern w:val="0"/>
                <w:szCs w:val="21"/>
                <w:lang w:bidi="ar"/>
              </w:rPr>
              <w:t>隔声降噪、距离衰减</w:t>
            </w:r>
          </w:p>
        </w:tc>
        <w:tc>
          <w:tcPr>
            <w:tcW w:w="1089" w:type="dxa"/>
            <w:noWrap w:val="0"/>
            <w:vAlign w:val="center"/>
          </w:tcPr>
          <w:p>
            <w:pPr>
              <w:adjustRightInd w:val="0"/>
              <w:snapToGrid w:val="0"/>
              <w:jc w:val="center"/>
              <w:rPr>
                <w:bCs/>
                <w:szCs w:val="21"/>
              </w:rPr>
            </w:pPr>
            <w:r>
              <w:rPr>
                <w:bCs/>
                <w:kern w:val="0"/>
                <w:szCs w:val="21"/>
                <w:lang w:bidi="ar"/>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599" w:type="dxa"/>
            <w:vMerge w:val="continue"/>
            <w:noWrap w:val="0"/>
            <w:vAlign w:val="center"/>
          </w:tcPr>
          <w:p>
            <w:pPr>
              <w:jc w:val="center"/>
              <w:rPr>
                <w:bCs/>
                <w:sz w:val="20"/>
                <w:szCs w:val="20"/>
              </w:rPr>
            </w:pPr>
          </w:p>
        </w:tc>
        <w:tc>
          <w:tcPr>
            <w:tcW w:w="1392" w:type="dxa"/>
            <w:noWrap w:val="0"/>
            <w:vAlign w:val="center"/>
          </w:tcPr>
          <w:p>
            <w:pPr>
              <w:adjustRightInd w:val="0"/>
              <w:snapToGrid w:val="0"/>
              <w:jc w:val="center"/>
              <w:rPr>
                <w:bCs/>
                <w:szCs w:val="21"/>
              </w:rPr>
            </w:pPr>
            <w:r>
              <w:rPr>
                <w:bCs/>
                <w:kern w:val="0"/>
                <w:szCs w:val="21"/>
                <w:lang w:bidi="ar"/>
              </w:rPr>
              <w:t>风机</w:t>
            </w:r>
          </w:p>
        </w:tc>
        <w:tc>
          <w:tcPr>
            <w:tcW w:w="1035" w:type="dxa"/>
            <w:noWrap w:val="0"/>
            <w:vAlign w:val="center"/>
          </w:tcPr>
          <w:p>
            <w:pPr>
              <w:adjustRightInd w:val="0"/>
              <w:snapToGrid w:val="0"/>
              <w:jc w:val="center"/>
              <w:rPr>
                <w:bCs/>
                <w:szCs w:val="21"/>
              </w:rPr>
            </w:pPr>
            <w:r>
              <w:rPr>
                <w:bCs/>
                <w:szCs w:val="21"/>
              </w:rPr>
              <w:t>连续</w:t>
            </w:r>
          </w:p>
        </w:tc>
        <w:tc>
          <w:tcPr>
            <w:tcW w:w="1035" w:type="dxa"/>
            <w:noWrap w:val="0"/>
            <w:vAlign w:val="center"/>
          </w:tcPr>
          <w:p>
            <w:pPr>
              <w:adjustRightInd w:val="0"/>
              <w:snapToGrid w:val="0"/>
              <w:jc w:val="center"/>
            </w:pPr>
            <w:r>
              <w:rPr>
                <w:bCs/>
                <w:kern w:val="0"/>
                <w:szCs w:val="21"/>
                <w:lang w:bidi="ar"/>
              </w:rPr>
              <w:t>80</w:t>
            </w:r>
          </w:p>
        </w:tc>
        <w:tc>
          <w:tcPr>
            <w:tcW w:w="2722" w:type="dxa"/>
            <w:noWrap w:val="0"/>
            <w:vAlign w:val="center"/>
          </w:tcPr>
          <w:p>
            <w:pPr>
              <w:adjustRightInd w:val="0"/>
              <w:snapToGrid w:val="0"/>
              <w:jc w:val="center"/>
              <w:rPr>
                <w:bCs/>
                <w:szCs w:val="21"/>
              </w:rPr>
            </w:pPr>
            <w:r>
              <w:rPr>
                <w:bCs/>
                <w:kern w:val="0"/>
                <w:szCs w:val="21"/>
                <w:lang w:bidi="ar"/>
              </w:rPr>
              <w:t>厂房隔声、减振</w:t>
            </w:r>
          </w:p>
        </w:tc>
        <w:tc>
          <w:tcPr>
            <w:tcW w:w="1089" w:type="dxa"/>
            <w:noWrap w:val="0"/>
            <w:vAlign w:val="center"/>
          </w:tcPr>
          <w:p>
            <w:pPr>
              <w:adjustRightInd w:val="0"/>
              <w:snapToGrid w:val="0"/>
              <w:jc w:val="center"/>
              <w:rPr>
                <w:bCs/>
                <w:szCs w:val="21"/>
              </w:rPr>
            </w:pPr>
            <w:r>
              <w:rPr>
                <w:bCs/>
                <w:kern w:val="0"/>
                <w:szCs w:val="21"/>
                <w:lang w:bidi="ar"/>
              </w:rPr>
              <w:t>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599" w:type="dxa"/>
            <w:vMerge w:val="restart"/>
            <w:noWrap w:val="0"/>
            <w:vAlign w:val="center"/>
          </w:tcPr>
          <w:p>
            <w:pPr>
              <w:adjustRightInd w:val="0"/>
              <w:snapToGrid w:val="0"/>
              <w:jc w:val="center"/>
              <w:rPr>
                <w:bCs/>
                <w:szCs w:val="21"/>
              </w:rPr>
            </w:pPr>
            <w:r>
              <w:rPr>
                <w:rFonts w:hint="eastAsia"/>
                <w:bCs/>
                <w:kern w:val="0"/>
                <w:szCs w:val="21"/>
                <w:lang w:bidi="ar"/>
              </w:rPr>
              <w:t>污水</w:t>
            </w:r>
            <w:r>
              <w:rPr>
                <w:bCs/>
                <w:kern w:val="0"/>
                <w:szCs w:val="21"/>
                <w:lang w:bidi="ar"/>
              </w:rPr>
              <w:t>处理区</w:t>
            </w:r>
          </w:p>
        </w:tc>
        <w:tc>
          <w:tcPr>
            <w:tcW w:w="1392" w:type="dxa"/>
            <w:noWrap w:val="0"/>
            <w:vAlign w:val="center"/>
          </w:tcPr>
          <w:p>
            <w:pPr>
              <w:adjustRightInd w:val="0"/>
              <w:snapToGrid w:val="0"/>
              <w:jc w:val="center"/>
              <w:rPr>
                <w:bCs/>
                <w:szCs w:val="21"/>
              </w:rPr>
            </w:pPr>
            <w:r>
              <w:rPr>
                <w:bCs/>
                <w:kern w:val="0"/>
                <w:szCs w:val="21"/>
                <w:lang w:bidi="ar"/>
              </w:rPr>
              <w:t>水泵</w:t>
            </w:r>
          </w:p>
        </w:tc>
        <w:tc>
          <w:tcPr>
            <w:tcW w:w="1035" w:type="dxa"/>
            <w:noWrap w:val="0"/>
            <w:vAlign w:val="center"/>
          </w:tcPr>
          <w:p>
            <w:pPr>
              <w:adjustRightInd w:val="0"/>
              <w:snapToGrid w:val="0"/>
              <w:jc w:val="center"/>
              <w:rPr>
                <w:bCs/>
                <w:szCs w:val="21"/>
              </w:rPr>
            </w:pPr>
            <w:r>
              <w:rPr>
                <w:bCs/>
                <w:szCs w:val="21"/>
              </w:rPr>
              <w:t>连续</w:t>
            </w:r>
          </w:p>
        </w:tc>
        <w:tc>
          <w:tcPr>
            <w:tcW w:w="1035" w:type="dxa"/>
            <w:noWrap w:val="0"/>
            <w:vAlign w:val="center"/>
          </w:tcPr>
          <w:p>
            <w:pPr>
              <w:adjustRightInd w:val="0"/>
              <w:snapToGrid w:val="0"/>
              <w:jc w:val="center"/>
            </w:pPr>
            <w:r>
              <w:rPr>
                <w:bCs/>
                <w:kern w:val="0"/>
                <w:szCs w:val="21"/>
                <w:lang w:bidi="ar"/>
              </w:rPr>
              <w:t>75</w:t>
            </w:r>
          </w:p>
        </w:tc>
        <w:tc>
          <w:tcPr>
            <w:tcW w:w="2722" w:type="dxa"/>
            <w:vMerge w:val="restart"/>
            <w:noWrap w:val="0"/>
            <w:vAlign w:val="center"/>
          </w:tcPr>
          <w:p>
            <w:pPr>
              <w:adjustRightInd w:val="0"/>
              <w:snapToGrid w:val="0"/>
              <w:jc w:val="center"/>
              <w:rPr>
                <w:bCs/>
                <w:szCs w:val="21"/>
              </w:rPr>
            </w:pPr>
            <w:r>
              <w:rPr>
                <w:bCs/>
                <w:kern w:val="0"/>
                <w:szCs w:val="21"/>
                <w:lang w:bidi="ar"/>
              </w:rPr>
              <w:t>选低噪声设备、隔声、减振</w:t>
            </w:r>
          </w:p>
        </w:tc>
        <w:tc>
          <w:tcPr>
            <w:tcW w:w="1089" w:type="dxa"/>
            <w:noWrap w:val="0"/>
            <w:vAlign w:val="center"/>
          </w:tcPr>
          <w:p>
            <w:pPr>
              <w:adjustRightInd w:val="0"/>
              <w:snapToGrid w:val="0"/>
              <w:jc w:val="center"/>
              <w:rPr>
                <w:bCs/>
                <w:szCs w:val="21"/>
              </w:rPr>
            </w:pPr>
            <w:r>
              <w:rPr>
                <w:bCs/>
                <w:kern w:val="0"/>
                <w:szCs w:val="21"/>
                <w:lang w:bidi="ar"/>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599" w:type="dxa"/>
            <w:vMerge w:val="continue"/>
            <w:noWrap w:val="0"/>
            <w:vAlign w:val="center"/>
          </w:tcPr>
          <w:p>
            <w:pPr>
              <w:adjustRightInd w:val="0"/>
              <w:snapToGrid w:val="0"/>
              <w:jc w:val="center"/>
              <w:rPr>
                <w:bCs/>
                <w:kern w:val="0"/>
                <w:szCs w:val="21"/>
                <w:lang w:bidi="ar"/>
              </w:rPr>
            </w:pPr>
          </w:p>
        </w:tc>
        <w:tc>
          <w:tcPr>
            <w:tcW w:w="1392" w:type="dxa"/>
            <w:noWrap w:val="0"/>
            <w:vAlign w:val="center"/>
          </w:tcPr>
          <w:p>
            <w:pPr>
              <w:adjustRightInd w:val="0"/>
              <w:snapToGrid w:val="0"/>
              <w:jc w:val="center"/>
              <w:rPr>
                <w:rFonts w:hint="eastAsia"/>
                <w:bCs/>
                <w:kern w:val="0"/>
                <w:szCs w:val="21"/>
                <w:lang w:bidi="ar"/>
              </w:rPr>
            </w:pPr>
            <w:r>
              <w:rPr>
                <w:rFonts w:hint="eastAsia"/>
                <w:bCs/>
                <w:kern w:val="0"/>
                <w:szCs w:val="21"/>
                <w:lang w:bidi="ar"/>
              </w:rPr>
              <w:t>固液</w:t>
            </w:r>
            <w:r>
              <w:rPr>
                <w:bCs/>
                <w:kern w:val="0"/>
                <w:szCs w:val="21"/>
                <w:lang w:bidi="ar"/>
              </w:rPr>
              <w:t>分离机</w:t>
            </w:r>
          </w:p>
        </w:tc>
        <w:tc>
          <w:tcPr>
            <w:tcW w:w="1035" w:type="dxa"/>
            <w:noWrap w:val="0"/>
            <w:vAlign w:val="center"/>
          </w:tcPr>
          <w:p>
            <w:pPr>
              <w:adjustRightInd w:val="0"/>
              <w:snapToGrid w:val="0"/>
              <w:jc w:val="center"/>
              <w:rPr>
                <w:bCs/>
                <w:szCs w:val="21"/>
              </w:rPr>
            </w:pPr>
            <w:r>
              <w:rPr>
                <w:bCs/>
                <w:szCs w:val="21"/>
              </w:rPr>
              <w:t>连续</w:t>
            </w:r>
          </w:p>
        </w:tc>
        <w:tc>
          <w:tcPr>
            <w:tcW w:w="1035" w:type="dxa"/>
            <w:noWrap w:val="0"/>
            <w:vAlign w:val="center"/>
          </w:tcPr>
          <w:p>
            <w:pPr>
              <w:adjustRightInd w:val="0"/>
              <w:snapToGrid w:val="0"/>
              <w:jc w:val="center"/>
              <w:rPr>
                <w:bCs/>
                <w:kern w:val="0"/>
                <w:szCs w:val="21"/>
                <w:lang w:bidi="ar"/>
              </w:rPr>
            </w:pPr>
            <w:r>
              <w:rPr>
                <w:bCs/>
                <w:kern w:val="0"/>
                <w:szCs w:val="21"/>
                <w:lang w:bidi="ar"/>
              </w:rPr>
              <w:t>75</w:t>
            </w:r>
          </w:p>
        </w:tc>
        <w:tc>
          <w:tcPr>
            <w:tcW w:w="2722" w:type="dxa"/>
            <w:vMerge w:val="continue"/>
            <w:noWrap w:val="0"/>
            <w:vAlign w:val="center"/>
          </w:tcPr>
          <w:p>
            <w:pPr>
              <w:adjustRightInd w:val="0"/>
              <w:snapToGrid w:val="0"/>
              <w:jc w:val="center"/>
              <w:rPr>
                <w:bCs/>
                <w:kern w:val="0"/>
                <w:szCs w:val="21"/>
                <w:lang w:bidi="ar"/>
              </w:rPr>
            </w:pPr>
          </w:p>
        </w:tc>
        <w:tc>
          <w:tcPr>
            <w:tcW w:w="1089" w:type="dxa"/>
            <w:noWrap w:val="0"/>
            <w:vAlign w:val="center"/>
          </w:tcPr>
          <w:p>
            <w:pPr>
              <w:adjustRightInd w:val="0"/>
              <w:snapToGrid w:val="0"/>
              <w:jc w:val="center"/>
              <w:rPr>
                <w:bCs/>
                <w:kern w:val="0"/>
                <w:szCs w:val="21"/>
                <w:lang w:bidi="ar"/>
              </w:rPr>
            </w:pPr>
            <w:r>
              <w:rPr>
                <w:rFonts w:hint="eastAsia"/>
                <w:bCs/>
                <w:kern w:val="0"/>
                <w:szCs w:val="21"/>
                <w:lang w:bidi="ar"/>
              </w:rPr>
              <w:t>6</w:t>
            </w:r>
            <w:r>
              <w:rPr>
                <w:bCs/>
                <w:kern w:val="0"/>
                <w:szCs w:val="21"/>
                <w:lang w:bidi="ar"/>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57" w:type="dxa"/>
            <w:bottom w:w="0" w:type="dxa"/>
            <w:right w:w="57" w:type="dxa"/>
          </w:tblCellMar>
        </w:tblPrEx>
        <w:trPr>
          <w:cantSplit/>
          <w:trHeight w:val="397" w:hRule="atLeast"/>
          <w:jc w:val="center"/>
        </w:trPr>
        <w:tc>
          <w:tcPr>
            <w:tcW w:w="1599" w:type="dxa"/>
            <w:vMerge w:val="continue"/>
            <w:noWrap w:val="0"/>
            <w:vAlign w:val="center"/>
          </w:tcPr>
          <w:p>
            <w:pPr>
              <w:adjustRightInd w:val="0"/>
              <w:snapToGrid w:val="0"/>
              <w:jc w:val="center"/>
              <w:rPr>
                <w:bCs/>
                <w:kern w:val="0"/>
                <w:szCs w:val="21"/>
                <w:lang w:bidi="ar"/>
              </w:rPr>
            </w:pPr>
          </w:p>
        </w:tc>
        <w:tc>
          <w:tcPr>
            <w:tcW w:w="1392" w:type="dxa"/>
            <w:noWrap w:val="0"/>
            <w:vAlign w:val="center"/>
          </w:tcPr>
          <w:p>
            <w:pPr>
              <w:adjustRightInd w:val="0"/>
              <w:snapToGrid w:val="0"/>
              <w:jc w:val="center"/>
              <w:rPr>
                <w:rFonts w:hint="eastAsia"/>
                <w:bCs/>
                <w:kern w:val="0"/>
                <w:szCs w:val="21"/>
                <w:lang w:bidi="ar"/>
              </w:rPr>
            </w:pPr>
            <w:r>
              <w:rPr>
                <w:rFonts w:hint="eastAsia"/>
                <w:bCs/>
                <w:kern w:val="0"/>
                <w:szCs w:val="21"/>
                <w:lang w:bidi="ar"/>
              </w:rPr>
              <w:t>翻抛机</w:t>
            </w:r>
          </w:p>
        </w:tc>
        <w:tc>
          <w:tcPr>
            <w:tcW w:w="1035" w:type="dxa"/>
            <w:noWrap w:val="0"/>
            <w:vAlign w:val="center"/>
          </w:tcPr>
          <w:p>
            <w:pPr>
              <w:adjustRightInd w:val="0"/>
              <w:snapToGrid w:val="0"/>
              <w:jc w:val="center"/>
              <w:rPr>
                <w:bCs/>
                <w:szCs w:val="21"/>
              </w:rPr>
            </w:pPr>
            <w:r>
              <w:rPr>
                <w:rFonts w:hint="eastAsia"/>
                <w:bCs/>
                <w:szCs w:val="21"/>
              </w:rPr>
              <w:t>间断</w:t>
            </w:r>
          </w:p>
        </w:tc>
        <w:tc>
          <w:tcPr>
            <w:tcW w:w="1035" w:type="dxa"/>
            <w:noWrap w:val="0"/>
            <w:vAlign w:val="center"/>
          </w:tcPr>
          <w:p>
            <w:pPr>
              <w:adjustRightInd w:val="0"/>
              <w:snapToGrid w:val="0"/>
              <w:jc w:val="center"/>
              <w:rPr>
                <w:rFonts w:hint="eastAsia"/>
                <w:bCs/>
                <w:kern w:val="0"/>
                <w:szCs w:val="21"/>
                <w:lang w:bidi="ar"/>
              </w:rPr>
            </w:pPr>
            <w:r>
              <w:rPr>
                <w:bCs/>
                <w:kern w:val="0"/>
                <w:szCs w:val="21"/>
                <w:lang w:bidi="ar"/>
              </w:rPr>
              <w:t>70</w:t>
            </w:r>
          </w:p>
        </w:tc>
        <w:tc>
          <w:tcPr>
            <w:tcW w:w="2722" w:type="dxa"/>
            <w:vMerge w:val="continue"/>
            <w:noWrap w:val="0"/>
            <w:vAlign w:val="center"/>
          </w:tcPr>
          <w:p>
            <w:pPr>
              <w:adjustRightInd w:val="0"/>
              <w:snapToGrid w:val="0"/>
              <w:jc w:val="center"/>
              <w:rPr>
                <w:bCs/>
                <w:kern w:val="0"/>
                <w:szCs w:val="21"/>
                <w:lang w:bidi="ar"/>
              </w:rPr>
            </w:pPr>
          </w:p>
        </w:tc>
        <w:tc>
          <w:tcPr>
            <w:tcW w:w="1089" w:type="dxa"/>
            <w:noWrap w:val="0"/>
            <w:vAlign w:val="center"/>
          </w:tcPr>
          <w:p>
            <w:pPr>
              <w:adjustRightInd w:val="0"/>
              <w:snapToGrid w:val="0"/>
              <w:jc w:val="center"/>
              <w:rPr>
                <w:rFonts w:hint="eastAsia"/>
                <w:bCs/>
                <w:kern w:val="0"/>
                <w:szCs w:val="21"/>
                <w:lang w:bidi="ar"/>
              </w:rPr>
            </w:pPr>
            <w:r>
              <w:rPr>
                <w:bCs/>
                <w:kern w:val="0"/>
                <w:szCs w:val="21"/>
                <w:lang w:bidi="ar"/>
              </w:rPr>
              <w:t>60</w:t>
            </w:r>
          </w:p>
        </w:tc>
      </w:tr>
    </w:tbl>
    <w:p>
      <w:pPr>
        <w:adjustRightInd w:val="0"/>
        <w:snapToGrid w:val="0"/>
        <w:ind w:firstLine="420" w:firstLineChars="200"/>
        <w:rPr>
          <w:bCs/>
          <w:szCs w:val="21"/>
        </w:rPr>
      </w:pPr>
      <w:r>
        <w:rPr>
          <w:bCs/>
          <w:kern w:val="0"/>
          <w:szCs w:val="21"/>
          <w:lang w:bidi="ar"/>
        </w:rPr>
        <w:t>注：噪声源强均取最大值进行预测。</w:t>
      </w:r>
    </w:p>
    <w:p>
      <w:pPr>
        <w:spacing w:line="500" w:lineRule="exact"/>
        <w:rPr>
          <w:b/>
          <w:bCs/>
          <w:sz w:val="24"/>
        </w:rPr>
      </w:pPr>
      <w:r>
        <w:rPr>
          <w:b/>
          <w:bCs/>
          <w:kern w:val="0"/>
          <w:sz w:val="24"/>
          <w:lang w:bidi="ar"/>
        </w:rPr>
        <w:t>4.2.4.2场界噪声的预测</w:t>
      </w:r>
    </w:p>
    <w:p>
      <w:pPr>
        <w:spacing w:line="500" w:lineRule="exact"/>
        <w:ind w:firstLine="480" w:firstLineChars="200"/>
        <w:rPr>
          <w:bCs/>
          <w:sz w:val="24"/>
        </w:rPr>
      </w:pPr>
      <w:r>
        <w:rPr>
          <w:bCs/>
          <w:kern w:val="0"/>
          <w:sz w:val="24"/>
          <w:lang w:bidi="ar"/>
        </w:rPr>
        <w:t xml:space="preserve">   预测模式采用：</w:t>
      </w:r>
    </w:p>
    <w:p>
      <w:pPr>
        <w:spacing w:line="500" w:lineRule="exact"/>
        <w:ind w:firstLine="480" w:firstLineChars="200"/>
        <w:rPr>
          <w:bCs/>
          <w:sz w:val="24"/>
        </w:rPr>
      </w:pPr>
      <w:r>
        <w:rPr>
          <w:bCs/>
          <w:kern w:val="0"/>
          <w:sz w:val="24"/>
          <w:lang w:bidi="ar"/>
        </w:rPr>
        <w:t>① 点声源衰减模式</w:t>
      </w:r>
    </w:p>
    <w:p>
      <w:pPr>
        <w:spacing w:line="500" w:lineRule="exact"/>
        <w:ind w:firstLine="480" w:firstLineChars="200"/>
        <w:rPr>
          <w:bCs/>
          <w:sz w:val="24"/>
        </w:rPr>
      </w:pPr>
      <w:r>
        <w:rPr>
          <w:bCs/>
          <w:kern w:val="0"/>
          <w:sz w:val="24"/>
          <w:lang w:bidi="ar"/>
        </w:rPr>
        <w:t xml:space="preserve">    L</w:t>
      </w:r>
      <w:r>
        <w:rPr>
          <w:bCs/>
          <w:kern w:val="0"/>
          <w:sz w:val="24"/>
          <w:vertAlign w:val="subscript"/>
          <w:lang w:bidi="ar"/>
        </w:rPr>
        <w:t>r</w:t>
      </w:r>
      <w:r>
        <w:rPr>
          <w:bCs/>
          <w:kern w:val="0"/>
          <w:sz w:val="24"/>
          <w:lang w:bidi="ar"/>
        </w:rPr>
        <w:t>＝L</w:t>
      </w:r>
      <w:r>
        <w:rPr>
          <w:bCs/>
          <w:kern w:val="0"/>
          <w:sz w:val="24"/>
          <w:vertAlign w:val="subscript"/>
          <w:lang w:bidi="ar"/>
        </w:rPr>
        <w:t>o</w:t>
      </w:r>
      <w:r>
        <w:rPr>
          <w:bCs/>
          <w:kern w:val="0"/>
          <w:sz w:val="24"/>
          <w:lang w:bidi="ar"/>
        </w:rPr>
        <w:t>－20lg（r/r</w:t>
      </w:r>
      <w:r>
        <w:rPr>
          <w:bCs/>
          <w:kern w:val="0"/>
          <w:sz w:val="24"/>
          <w:vertAlign w:val="subscript"/>
          <w:lang w:bidi="ar"/>
        </w:rPr>
        <w:t>o</w:t>
      </w:r>
      <w:r>
        <w:rPr>
          <w:bCs/>
          <w:kern w:val="0"/>
          <w:sz w:val="24"/>
          <w:lang w:bidi="ar"/>
        </w:rPr>
        <w:t>）</w:t>
      </w:r>
    </w:p>
    <w:p>
      <w:pPr>
        <w:spacing w:line="500" w:lineRule="exact"/>
        <w:ind w:firstLine="480" w:firstLineChars="200"/>
        <w:rPr>
          <w:bCs/>
          <w:sz w:val="24"/>
        </w:rPr>
      </w:pPr>
      <w:r>
        <w:rPr>
          <w:bCs/>
          <w:kern w:val="0"/>
          <w:sz w:val="24"/>
          <w:lang w:bidi="ar"/>
        </w:rPr>
        <w:t xml:space="preserve">    式中：L</w:t>
      </w:r>
      <w:r>
        <w:rPr>
          <w:bCs/>
          <w:kern w:val="0"/>
          <w:sz w:val="24"/>
          <w:vertAlign w:val="subscript"/>
          <w:lang w:bidi="ar"/>
        </w:rPr>
        <w:t>r</w:t>
      </w:r>
      <w:r>
        <w:rPr>
          <w:bCs/>
          <w:kern w:val="0"/>
          <w:sz w:val="24"/>
          <w:lang w:bidi="ar"/>
        </w:rPr>
        <w:t>－距噪声源距离为r处的等效声级值，dB（A）；</w:t>
      </w:r>
    </w:p>
    <w:p>
      <w:pPr>
        <w:spacing w:line="500" w:lineRule="exact"/>
        <w:ind w:firstLine="480" w:firstLineChars="200"/>
        <w:rPr>
          <w:bCs/>
          <w:sz w:val="24"/>
        </w:rPr>
      </w:pPr>
      <w:r>
        <w:rPr>
          <w:bCs/>
          <w:kern w:val="0"/>
          <w:sz w:val="24"/>
          <w:lang w:bidi="ar"/>
        </w:rPr>
        <w:t xml:space="preserve">          L</w:t>
      </w:r>
      <w:r>
        <w:rPr>
          <w:bCs/>
          <w:kern w:val="0"/>
          <w:sz w:val="24"/>
          <w:vertAlign w:val="subscript"/>
          <w:lang w:bidi="ar"/>
        </w:rPr>
        <w:t>o</w:t>
      </w:r>
      <w:r>
        <w:rPr>
          <w:bCs/>
          <w:kern w:val="0"/>
          <w:sz w:val="24"/>
          <w:lang w:bidi="ar"/>
        </w:rPr>
        <w:t>－噪声源等效声级值，dB（A）；</w:t>
      </w:r>
    </w:p>
    <w:p>
      <w:pPr>
        <w:spacing w:line="500" w:lineRule="exact"/>
        <w:ind w:firstLine="480" w:firstLineChars="200"/>
        <w:rPr>
          <w:bCs/>
          <w:sz w:val="24"/>
        </w:rPr>
      </w:pPr>
      <w:r>
        <w:rPr>
          <w:bCs/>
          <w:kern w:val="0"/>
          <w:sz w:val="24"/>
          <w:lang w:bidi="ar"/>
        </w:rPr>
        <w:t xml:space="preserve">          r、r</w:t>
      </w:r>
      <w:r>
        <w:rPr>
          <w:bCs/>
          <w:kern w:val="0"/>
          <w:sz w:val="24"/>
          <w:vertAlign w:val="subscript"/>
          <w:lang w:bidi="ar"/>
        </w:rPr>
        <w:t>o</w:t>
      </w:r>
      <w:r>
        <w:rPr>
          <w:bCs/>
          <w:kern w:val="0"/>
          <w:sz w:val="24"/>
          <w:lang w:bidi="ar"/>
        </w:rPr>
        <w:t>－距噪声源距离，m。</w:t>
      </w:r>
    </w:p>
    <w:p>
      <w:pPr>
        <w:snapToGrid w:val="0"/>
        <w:spacing w:line="520" w:lineRule="exact"/>
        <w:ind w:firstLine="480" w:firstLineChars="200"/>
        <w:rPr>
          <w:bCs/>
          <w:sz w:val="24"/>
        </w:rPr>
      </w:pPr>
      <w:r>
        <w:rPr>
          <w:bCs/>
          <w:kern w:val="0"/>
          <w:sz w:val="24"/>
          <w:lang w:bidi="ar"/>
        </w:rPr>
        <w:t xml:space="preserve"> ② 多源叠加公式</w:t>
      </w:r>
    </w:p>
    <w:p>
      <w:pPr>
        <w:snapToGrid w:val="0"/>
        <w:ind w:firstLine="480" w:firstLineChars="200"/>
        <w:rPr>
          <w:bCs/>
          <w:sz w:val="24"/>
        </w:rPr>
      </w:pPr>
      <w:r>
        <w:rPr>
          <w:bCs/>
          <w:kern w:val="0"/>
          <w:sz w:val="24"/>
          <w:lang w:bidi="ar"/>
        </w:rPr>
        <w:t xml:space="preserve">     L＝10lg（ </w:t>
      </w:r>
      <w:r>
        <w:rPr>
          <w:rFonts w:eastAsia="楷体_GB2312"/>
          <w:bCs/>
          <w:spacing w:val="-6"/>
          <w:kern w:val="0"/>
          <w:sz w:val="28"/>
          <w:szCs w:val="28"/>
          <w:lang w:bidi="ar"/>
        </w:rPr>
        <w:fldChar w:fldCharType="begin"/>
      </w:r>
      <w:r>
        <w:rPr>
          <w:rFonts w:eastAsia="楷体_GB2312"/>
          <w:bCs/>
          <w:spacing w:val="-6"/>
          <w:kern w:val="0"/>
          <w:sz w:val="28"/>
          <w:szCs w:val="28"/>
          <w:lang w:bidi="ar"/>
        </w:rPr>
        <w:instrText xml:space="preserve"> INCLUDEPICTURE "C:\\Users\\Administrator\\AppData\\Roaming\\acer\\AppData\\Local\\Temp\\ksohtml\\wps5250.tmp.jpg" \* MERGEFORMAT \d </w:instrText>
      </w:r>
      <w:r>
        <w:rPr>
          <w:rFonts w:eastAsia="楷体_GB2312"/>
          <w:bCs/>
          <w:spacing w:val="-6"/>
          <w:kern w:val="0"/>
          <w:sz w:val="28"/>
          <w:szCs w:val="28"/>
          <w:lang w:bidi="ar"/>
        </w:rPr>
        <w:fldChar w:fldCharType="separate"/>
      </w:r>
      <w:r>
        <w:rPr>
          <w:rFonts w:eastAsia="楷体_GB2312"/>
          <w:bCs/>
          <w:spacing w:val="-6"/>
          <w:kern w:val="0"/>
          <w:sz w:val="28"/>
          <w:szCs w:val="28"/>
          <w:lang w:bidi="ar"/>
        </w:rPr>
        <w:drawing>
          <wp:inline distT="0" distB="0" distL="114300" distR="114300">
            <wp:extent cx="229235" cy="419100"/>
            <wp:effectExtent l="0" t="0" r="18415" b="0"/>
            <wp:docPr id="81" name="图片 35"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5" descr="IMG_268"/>
                    <pic:cNvPicPr>
                      <a:picLocks noChangeAspect="1"/>
                    </pic:cNvPicPr>
                  </pic:nvPicPr>
                  <pic:blipFill>
                    <a:blip r:embed="rId51"/>
                    <a:stretch>
                      <a:fillRect/>
                    </a:stretch>
                  </pic:blipFill>
                  <pic:spPr>
                    <a:xfrm>
                      <a:off x="0" y="0"/>
                      <a:ext cx="229235" cy="419100"/>
                    </a:xfrm>
                    <a:prstGeom prst="rect">
                      <a:avLst/>
                    </a:prstGeom>
                    <a:noFill/>
                    <a:ln>
                      <a:noFill/>
                    </a:ln>
                  </pic:spPr>
                </pic:pic>
              </a:graphicData>
            </a:graphic>
          </wp:inline>
        </w:drawing>
      </w:r>
      <w:r>
        <w:rPr>
          <w:rFonts w:eastAsia="楷体_GB2312"/>
          <w:bCs/>
          <w:spacing w:val="-6"/>
          <w:kern w:val="0"/>
          <w:sz w:val="28"/>
          <w:szCs w:val="28"/>
          <w:lang w:bidi="ar"/>
        </w:rPr>
        <w:fldChar w:fldCharType="end"/>
      </w:r>
      <w:r>
        <w:rPr>
          <w:bCs/>
          <w:kern w:val="0"/>
          <w:sz w:val="24"/>
          <w:lang w:bidi="ar"/>
        </w:rPr>
        <w:t xml:space="preserve"> 10</w:t>
      </w:r>
      <w:r>
        <w:rPr>
          <w:bCs/>
          <w:kern w:val="0"/>
          <w:sz w:val="24"/>
          <w:vertAlign w:val="superscript"/>
          <w:lang w:bidi="ar"/>
        </w:rPr>
        <w:t>0.1Li</w:t>
      </w:r>
      <w:r>
        <w:rPr>
          <w:bCs/>
          <w:kern w:val="0"/>
          <w:sz w:val="24"/>
          <w:lang w:bidi="ar"/>
        </w:rPr>
        <w:t>）</w:t>
      </w:r>
    </w:p>
    <w:p>
      <w:pPr>
        <w:snapToGrid w:val="0"/>
        <w:spacing w:line="520" w:lineRule="exact"/>
        <w:ind w:firstLine="480" w:firstLineChars="200"/>
        <w:rPr>
          <w:bCs/>
          <w:sz w:val="24"/>
        </w:rPr>
      </w:pPr>
      <w:r>
        <w:rPr>
          <w:bCs/>
          <w:kern w:val="0"/>
          <w:sz w:val="24"/>
          <w:lang w:bidi="ar"/>
        </w:rPr>
        <w:t xml:space="preserve">     式中：L－总等声级，dB（A）；</w:t>
      </w:r>
    </w:p>
    <w:p>
      <w:pPr>
        <w:spacing w:line="500" w:lineRule="exact"/>
        <w:ind w:firstLine="480" w:firstLineChars="200"/>
        <w:rPr>
          <w:bCs/>
          <w:sz w:val="24"/>
        </w:rPr>
      </w:pPr>
      <w:r>
        <w:rPr>
          <w:bCs/>
          <w:kern w:val="0"/>
          <w:sz w:val="24"/>
          <w:lang w:bidi="ar"/>
        </w:rPr>
        <w:t xml:space="preserve">           n－声源数量；</w:t>
      </w:r>
    </w:p>
    <w:p>
      <w:pPr>
        <w:spacing w:line="500" w:lineRule="exact"/>
        <w:ind w:firstLine="480" w:firstLineChars="200"/>
        <w:rPr>
          <w:bCs/>
          <w:kern w:val="0"/>
          <w:sz w:val="24"/>
          <w:lang w:bidi="ar"/>
        </w:rPr>
      </w:pPr>
      <w:r>
        <w:rPr>
          <w:bCs/>
          <w:kern w:val="0"/>
          <w:sz w:val="24"/>
          <w:lang w:bidi="ar"/>
        </w:rPr>
        <w:t xml:space="preserve">           L</w:t>
      </w:r>
      <w:r>
        <w:rPr>
          <w:bCs/>
          <w:kern w:val="0"/>
          <w:sz w:val="24"/>
          <w:vertAlign w:val="subscript"/>
          <w:lang w:bidi="ar"/>
        </w:rPr>
        <w:t>i</w:t>
      </w:r>
      <w:r>
        <w:rPr>
          <w:bCs/>
          <w:kern w:val="0"/>
          <w:sz w:val="24"/>
          <w:lang w:bidi="ar"/>
        </w:rPr>
        <w:t>－第i个声源对受声点的声压级，dB（A）。</w:t>
      </w:r>
    </w:p>
    <w:p>
      <w:pPr>
        <w:spacing w:line="500" w:lineRule="exact"/>
        <w:ind w:firstLine="480" w:firstLineChars="200"/>
        <w:rPr>
          <w:bCs/>
          <w:kern w:val="0"/>
          <w:sz w:val="24"/>
          <w:lang w:bidi="ar"/>
        </w:rPr>
      </w:pPr>
      <w:r>
        <w:rPr>
          <w:bCs/>
          <w:kern w:val="0"/>
          <w:sz w:val="24"/>
          <w:lang w:bidi="ar"/>
        </w:rPr>
        <w:t>根据公司提供的场区平面布置图，则混合点声源对场界噪声的贡献值见表4.2-15。</w:t>
      </w:r>
    </w:p>
    <w:p>
      <w:pPr>
        <w:spacing w:line="500" w:lineRule="exact"/>
        <w:jc w:val="center"/>
        <w:rPr>
          <w:b/>
          <w:bCs/>
          <w:sz w:val="24"/>
        </w:rPr>
      </w:pPr>
      <w:r>
        <w:rPr>
          <w:b/>
          <w:bCs/>
          <w:kern w:val="0"/>
          <w:sz w:val="24"/>
          <w:lang w:bidi="ar"/>
        </w:rPr>
        <w:t xml:space="preserve">表4.2-15      项目场界噪声贡献值          </w:t>
      </w:r>
      <w:r>
        <w:rPr>
          <w:b/>
          <w:bCs/>
          <w:kern w:val="0"/>
          <w:szCs w:val="21"/>
          <w:lang w:bidi="ar"/>
        </w:rPr>
        <w:t>dB(A)</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00"/>
        <w:gridCol w:w="1097"/>
        <w:gridCol w:w="1590"/>
        <w:gridCol w:w="1923"/>
        <w:gridCol w:w="1219"/>
        <w:gridCol w:w="23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noWrap w:val="0"/>
            <w:vAlign w:val="center"/>
          </w:tcPr>
          <w:p>
            <w:pPr>
              <w:widowControl/>
              <w:spacing w:line="300" w:lineRule="exact"/>
              <w:jc w:val="center"/>
              <w:rPr>
                <w:b/>
                <w:bCs/>
                <w:szCs w:val="21"/>
              </w:rPr>
            </w:pPr>
            <w:r>
              <w:rPr>
                <w:b/>
                <w:bCs/>
                <w:kern w:val="0"/>
                <w:szCs w:val="21"/>
                <w:lang w:bidi="ar"/>
              </w:rPr>
              <w:t>序号</w:t>
            </w:r>
          </w:p>
        </w:tc>
        <w:tc>
          <w:tcPr>
            <w:tcW w:w="1097" w:type="dxa"/>
            <w:noWrap w:val="0"/>
            <w:vAlign w:val="center"/>
          </w:tcPr>
          <w:p>
            <w:pPr>
              <w:widowControl/>
              <w:spacing w:line="300" w:lineRule="exact"/>
              <w:jc w:val="center"/>
              <w:rPr>
                <w:b/>
                <w:bCs/>
                <w:szCs w:val="21"/>
              </w:rPr>
            </w:pPr>
            <w:r>
              <w:rPr>
                <w:b/>
                <w:bCs/>
                <w:kern w:val="0"/>
                <w:szCs w:val="21"/>
                <w:lang w:bidi="ar"/>
              </w:rPr>
              <w:t>预测点</w:t>
            </w:r>
          </w:p>
        </w:tc>
        <w:tc>
          <w:tcPr>
            <w:tcW w:w="1590" w:type="dxa"/>
            <w:noWrap w:val="0"/>
            <w:vAlign w:val="center"/>
          </w:tcPr>
          <w:p>
            <w:pPr>
              <w:widowControl/>
              <w:spacing w:line="300" w:lineRule="exact"/>
              <w:jc w:val="center"/>
              <w:rPr>
                <w:b/>
                <w:bCs/>
                <w:szCs w:val="21"/>
              </w:rPr>
            </w:pPr>
            <w:r>
              <w:rPr>
                <w:b/>
                <w:bCs/>
                <w:kern w:val="0"/>
                <w:szCs w:val="21"/>
                <w:lang w:bidi="ar"/>
              </w:rPr>
              <w:t>噪声源</w:t>
            </w:r>
          </w:p>
        </w:tc>
        <w:tc>
          <w:tcPr>
            <w:tcW w:w="1923" w:type="dxa"/>
            <w:noWrap w:val="0"/>
            <w:vAlign w:val="center"/>
          </w:tcPr>
          <w:p>
            <w:pPr>
              <w:widowControl/>
              <w:spacing w:line="300" w:lineRule="exact"/>
              <w:jc w:val="center"/>
              <w:rPr>
                <w:b/>
                <w:bCs/>
                <w:szCs w:val="21"/>
              </w:rPr>
            </w:pPr>
            <w:r>
              <w:rPr>
                <w:b/>
                <w:bCs/>
                <w:kern w:val="0"/>
                <w:szCs w:val="21"/>
                <w:lang w:bidi="ar"/>
              </w:rPr>
              <w:t>厂界距离噪声源距离（m）</w:t>
            </w:r>
          </w:p>
        </w:tc>
        <w:tc>
          <w:tcPr>
            <w:tcW w:w="1219" w:type="dxa"/>
            <w:noWrap w:val="0"/>
            <w:vAlign w:val="center"/>
          </w:tcPr>
          <w:p>
            <w:pPr>
              <w:widowControl/>
              <w:spacing w:line="300" w:lineRule="exact"/>
              <w:jc w:val="center"/>
              <w:rPr>
                <w:b/>
                <w:bCs/>
                <w:szCs w:val="21"/>
              </w:rPr>
            </w:pPr>
            <w:r>
              <w:rPr>
                <w:b/>
                <w:bCs/>
                <w:kern w:val="0"/>
                <w:szCs w:val="21"/>
                <w:lang w:bidi="ar"/>
              </w:rPr>
              <w:t>对厂界噪声贡献值（dB(A)）</w:t>
            </w:r>
          </w:p>
        </w:tc>
        <w:tc>
          <w:tcPr>
            <w:tcW w:w="2317" w:type="dxa"/>
            <w:noWrap w:val="0"/>
            <w:vAlign w:val="center"/>
          </w:tcPr>
          <w:p>
            <w:pPr>
              <w:widowControl/>
              <w:spacing w:line="300" w:lineRule="exact"/>
              <w:jc w:val="center"/>
              <w:rPr>
                <w:b/>
                <w:bCs/>
                <w:szCs w:val="21"/>
              </w:rPr>
            </w:pPr>
            <w:r>
              <w:rPr>
                <w:b/>
                <w:bCs/>
                <w:kern w:val="0"/>
                <w:szCs w:val="21"/>
                <w:lang w:bidi="ar"/>
              </w:rPr>
              <w:t>昼间对厂界噪声贡献值叠加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vMerge w:val="restart"/>
            <w:noWrap w:val="0"/>
            <w:vAlign w:val="center"/>
          </w:tcPr>
          <w:p>
            <w:pPr>
              <w:widowControl/>
              <w:spacing w:line="360" w:lineRule="auto"/>
              <w:jc w:val="center"/>
              <w:rPr>
                <w:bCs/>
                <w:szCs w:val="21"/>
              </w:rPr>
            </w:pPr>
            <w:r>
              <w:rPr>
                <w:bCs/>
                <w:kern w:val="0"/>
                <w:szCs w:val="21"/>
                <w:lang w:bidi="ar"/>
              </w:rPr>
              <w:t>1</w:t>
            </w:r>
          </w:p>
        </w:tc>
        <w:tc>
          <w:tcPr>
            <w:tcW w:w="1097" w:type="dxa"/>
            <w:vMerge w:val="restart"/>
            <w:noWrap w:val="0"/>
            <w:vAlign w:val="center"/>
          </w:tcPr>
          <w:p>
            <w:pPr>
              <w:widowControl/>
              <w:spacing w:line="360" w:lineRule="auto"/>
              <w:jc w:val="center"/>
              <w:rPr>
                <w:bCs/>
                <w:szCs w:val="21"/>
              </w:rPr>
            </w:pPr>
            <w:r>
              <w:rPr>
                <w:bCs/>
                <w:kern w:val="0"/>
                <w:szCs w:val="21"/>
                <w:lang w:bidi="ar"/>
              </w:rPr>
              <w:t>东场界</w:t>
            </w:r>
          </w:p>
        </w:tc>
        <w:tc>
          <w:tcPr>
            <w:tcW w:w="1590" w:type="dxa"/>
            <w:noWrap w:val="0"/>
            <w:vAlign w:val="center"/>
          </w:tcPr>
          <w:p>
            <w:pPr>
              <w:spacing w:line="360" w:lineRule="auto"/>
              <w:jc w:val="center"/>
              <w:rPr>
                <w:bCs/>
                <w:szCs w:val="21"/>
              </w:rPr>
            </w:pPr>
            <w:r>
              <w:rPr>
                <w:bCs/>
                <w:kern w:val="0"/>
                <w:szCs w:val="21"/>
                <w:lang w:bidi="ar"/>
              </w:rPr>
              <w:t>猪舍风机</w:t>
            </w:r>
          </w:p>
        </w:tc>
        <w:tc>
          <w:tcPr>
            <w:tcW w:w="1923" w:type="dxa"/>
            <w:noWrap w:val="0"/>
            <w:vAlign w:val="center"/>
          </w:tcPr>
          <w:p>
            <w:pPr>
              <w:spacing w:line="360" w:lineRule="auto"/>
              <w:jc w:val="center"/>
              <w:rPr>
                <w:bCs/>
                <w:szCs w:val="21"/>
              </w:rPr>
            </w:pPr>
            <w:r>
              <w:rPr>
                <w:bCs/>
                <w:kern w:val="0"/>
                <w:szCs w:val="21"/>
                <w:lang w:bidi="ar"/>
              </w:rPr>
              <w:t>15</w:t>
            </w:r>
          </w:p>
        </w:tc>
        <w:tc>
          <w:tcPr>
            <w:tcW w:w="1219" w:type="dxa"/>
            <w:noWrap w:val="0"/>
            <w:vAlign w:val="center"/>
          </w:tcPr>
          <w:p>
            <w:pPr>
              <w:spacing w:line="360" w:lineRule="auto"/>
              <w:jc w:val="center"/>
              <w:rPr>
                <w:bCs/>
                <w:szCs w:val="21"/>
              </w:rPr>
            </w:pPr>
            <w:r>
              <w:rPr>
                <w:bCs/>
                <w:szCs w:val="21"/>
              </w:rPr>
              <w:t>41.5</w:t>
            </w:r>
          </w:p>
        </w:tc>
        <w:tc>
          <w:tcPr>
            <w:tcW w:w="2317" w:type="dxa"/>
            <w:vMerge w:val="restart"/>
            <w:noWrap w:val="0"/>
            <w:vAlign w:val="center"/>
          </w:tcPr>
          <w:p>
            <w:pPr>
              <w:widowControl/>
              <w:spacing w:line="360" w:lineRule="auto"/>
              <w:jc w:val="center"/>
              <w:rPr>
                <w:bCs/>
                <w:szCs w:val="21"/>
              </w:rPr>
            </w:pPr>
            <w:r>
              <w:rPr>
                <w:bCs/>
                <w:szCs w:val="21"/>
              </w:rPr>
              <w:t>42.5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800" w:type="dxa"/>
            <w:vMerge w:val="continue"/>
            <w:noWrap w:val="0"/>
            <w:vAlign w:val="center"/>
          </w:tcPr>
          <w:p>
            <w:pPr>
              <w:rPr>
                <w:bCs/>
                <w:sz w:val="20"/>
                <w:szCs w:val="20"/>
              </w:rPr>
            </w:pPr>
          </w:p>
        </w:tc>
        <w:tc>
          <w:tcPr>
            <w:tcW w:w="1097" w:type="dxa"/>
            <w:vMerge w:val="continue"/>
            <w:noWrap w:val="0"/>
            <w:vAlign w:val="center"/>
          </w:tcPr>
          <w:p>
            <w:pPr>
              <w:rPr>
                <w:bCs/>
                <w:sz w:val="20"/>
                <w:szCs w:val="20"/>
              </w:rPr>
            </w:pPr>
          </w:p>
        </w:tc>
        <w:tc>
          <w:tcPr>
            <w:tcW w:w="1590" w:type="dxa"/>
            <w:noWrap w:val="0"/>
            <w:vAlign w:val="center"/>
          </w:tcPr>
          <w:p>
            <w:pPr>
              <w:widowControl/>
              <w:spacing w:line="360" w:lineRule="auto"/>
              <w:jc w:val="center"/>
              <w:rPr>
                <w:bCs/>
                <w:szCs w:val="21"/>
              </w:rPr>
            </w:pPr>
            <w:r>
              <w:rPr>
                <w:bCs/>
                <w:kern w:val="0"/>
                <w:szCs w:val="21"/>
                <w:lang w:bidi="ar"/>
              </w:rPr>
              <w:t>猪叫声</w:t>
            </w:r>
          </w:p>
        </w:tc>
        <w:tc>
          <w:tcPr>
            <w:tcW w:w="1923" w:type="dxa"/>
            <w:noWrap w:val="0"/>
            <w:vAlign w:val="center"/>
          </w:tcPr>
          <w:p>
            <w:pPr>
              <w:widowControl/>
              <w:spacing w:line="360" w:lineRule="auto"/>
              <w:jc w:val="center"/>
              <w:rPr>
                <w:bCs/>
                <w:szCs w:val="21"/>
              </w:rPr>
            </w:pPr>
            <w:r>
              <w:rPr>
                <w:bCs/>
                <w:kern w:val="0"/>
                <w:szCs w:val="21"/>
                <w:lang w:bidi="ar"/>
              </w:rPr>
              <w:t>16</w:t>
            </w:r>
          </w:p>
        </w:tc>
        <w:tc>
          <w:tcPr>
            <w:tcW w:w="1219" w:type="dxa"/>
            <w:noWrap w:val="0"/>
            <w:vAlign w:val="center"/>
          </w:tcPr>
          <w:p>
            <w:pPr>
              <w:widowControl/>
              <w:spacing w:line="360" w:lineRule="auto"/>
              <w:jc w:val="center"/>
              <w:rPr>
                <w:bCs/>
                <w:szCs w:val="21"/>
              </w:rPr>
            </w:pPr>
            <w:r>
              <w:rPr>
                <w:rFonts w:hint="eastAsia"/>
                <w:bCs/>
                <w:szCs w:val="21"/>
              </w:rPr>
              <w:t>30.9</w:t>
            </w:r>
          </w:p>
        </w:tc>
        <w:tc>
          <w:tcPr>
            <w:tcW w:w="2317" w:type="dxa"/>
            <w:vMerge w:val="continue"/>
            <w:noWrap w:val="0"/>
            <w:vAlign w:val="center"/>
          </w:tcPr>
          <w:p>
            <w:pPr>
              <w:rPr>
                <w:bCs/>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vMerge w:val="continue"/>
            <w:noWrap w:val="0"/>
            <w:vAlign w:val="center"/>
          </w:tcPr>
          <w:p>
            <w:pPr>
              <w:rPr>
                <w:bCs/>
                <w:sz w:val="20"/>
                <w:szCs w:val="20"/>
              </w:rPr>
            </w:pPr>
          </w:p>
        </w:tc>
        <w:tc>
          <w:tcPr>
            <w:tcW w:w="1097" w:type="dxa"/>
            <w:vMerge w:val="continue"/>
            <w:noWrap w:val="0"/>
            <w:vAlign w:val="center"/>
          </w:tcPr>
          <w:p>
            <w:pPr>
              <w:rPr>
                <w:bCs/>
                <w:sz w:val="20"/>
                <w:szCs w:val="20"/>
              </w:rPr>
            </w:pPr>
          </w:p>
        </w:tc>
        <w:tc>
          <w:tcPr>
            <w:tcW w:w="1590" w:type="dxa"/>
            <w:noWrap w:val="0"/>
            <w:vAlign w:val="center"/>
          </w:tcPr>
          <w:p>
            <w:pPr>
              <w:widowControl/>
              <w:spacing w:line="360" w:lineRule="auto"/>
              <w:jc w:val="center"/>
              <w:rPr>
                <w:bCs/>
                <w:szCs w:val="21"/>
              </w:rPr>
            </w:pPr>
            <w:r>
              <w:rPr>
                <w:bCs/>
                <w:kern w:val="0"/>
                <w:szCs w:val="21"/>
                <w:lang w:bidi="ar"/>
              </w:rPr>
              <w:t>水泵</w:t>
            </w:r>
          </w:p>
        </w:tc>
        <w:tc>
          <w:tcPr>
            <w:tcW w:w="1923" w:type="dxa"/>
            <w:noWrap w:val="0"/>
            <w:vAlign w:val="center"/>
          </w:tcPr>
          <w:p>
            <w:pPr>
              <w:widowControl/>
              <w:spacing w:line="360" w:lineRule="auto"/>
              <w:jc w:val="center"/>
              <w:rPr>
                <w:bCs/>
                <w:szCs w:val="21"/>
              </w:rPr>
            </w:pPr>
            <w:r>
              <w:rPr>
                <w:bCs/>
                <w:kern w:val="0"/>
                <w:szCs w:val="21"/>
                <w:lang w:bidi="ar"/>
              </w:rPr>
              <w:t>60</w:t>
            </w:r>
          </w:p>
        </w:tc>
        <w:tc>
          <w:tcPr>
            <w:tcW w:w="1219" w:type="dxa"/>
            <w:noWrap w:val="0"/>
            <w:vAlign w:val="center"/>
          </w:tcPr>
          <w:p>
            <w:pPr>
              <w:widowControl/>
              <w:spacing w:line="360" w:lineRule="auto"/>
              <w:jc w:val="center"/>
              <w:rPr>
                <w:bCs/>
                <w:szCs w:val="21"/>
              </w:rPr>
            </w:pPr>
            <w:r>
              <w:rPr>
                <w:bCs/>
                <w:szCs w:val="21"/>
              </w:rPr>
              <w:t>24.4</w:t>
            </w:r>
          </w:p>
        </w:tc>
        <w:tc>
          <w:tcPr>
            <w:tcW w:w="2317" w:type="dxa"/>
            <w:vMerge w:val="continue"/>
            <w:noWrap w:val="0"/>
            <w:vAlign w:val="center"/>
          </w:tcPr>
          <w:p>
            <w:pPr>
              <w:rPr>
                <w:bCs/>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vMerge w:val="continue"/>
            <w:noWrap w:val="0"/>
            <w:vAlign w:val="center"/>
          </w:tcPr>
          <w:p>
            <w:pPr>
              <w:rPr>
                <w:bCs/>
                <w:sz w:val="20"/>
                <w:szCs w:val="20"/>
              </w:rPr>
            </w:pPr>
          </w:p>
        </w:tc>
        <w:tc>
          <w:tcPr>
            <w:tcW w:w="1097" w:type="dxa"/>
            <w:vMerge w:val="continue"/>
            <w:noWrap w:val="0"/>
            <w:vAlign w:val="center"/>
          </w:tcPr>
          <w:p>
            <w:pPr>
              <w:rPr>
                <w:bCs/>
                <w:sz w:val="20"/>
                <w:szCs w:val="20"/>
              </w:rPr>
            </w:pPr>
          </w:p>
        </w:tc>
        <w:tc>
          <w:tcPr>
            <w:tcW w:w="1590" w:type="dxa"/>
            <w:noWrap w:val="0"/>
            <w:vAlign w:val="center"/>
          </w:tcPr>
          <w:p>
            <w:pPr>
              <w:widowControl/>
              <w:spacing w:line="360" w:lineRule="auto"/>
              <w:jc w:val="center"/>
              <w:rPr>
                <w:rFonts w:hint="eastAsia"/>
                <w:bCs/>
                <w:kern w:val="0"/>
                <w:szCs w:val="21"/>
                <w:lang w:bidi="ar"/>
              </w:rPr>
            </w:pPr>
            <w:r>
              <w:rPr>
                <w:rFonts w:hint="eastAsia"/>
                <w:bCs/>
                <w:kern w:val="0"/>
                <w:szCs w:val="21"/>
                <w:lang w:bidi="ar"/>
              </w:rPr>
              <w:t>固液分离</w:t>
            </w:r>
            <w:r>
              <w:rPr>
                <w:bCs/>
                <w:kern w:val="0"/>
                <w:szCs w:val="21"/>
                <w:lang w:bidi="ar"/>
              </w:rPr>
              <w:t>机</w:t>
            </w:r>
          </w:p>
        </w:tc>
        <w:tc>
          <w:tcPr>
            <w:tcW w:w="1923" w:type="dxa"/>
            <w:noWrap w:val="0"/>
            <w:vAlign w:val="center"/>
          </w:tcPr>
          <w:p>
            <w:pPr>
              <w:widowControl/>
              <w:spacing w:line="360" w:lineRule="auto"/>
              <w:jc w:val="center"/>
              <w:rPr>
                <w:bCs/>
                <w:kern w:val="0"/>
                <w:szCs w:val="21"/>
                <w:lang w:bidi="ar"/>
              </w:rPr>
            </w:pPr>
            <w:r>
              <w:rPr>
                <w:bCs/>
                <w:kern w:val="0"/>
                <w:szCs w:val="21"/>
                <w:lang w:bidi="ar"/>
              </w:rPr>
              <w:t>30</w:t>
            </w:r>
          </w:p>
        </w:tc>
        <w:tc>
          <w:tcPr>
            <w:tcW w:w="1219" w:type="dxa"/>
            <w:noWrap w:val="0"/>
            <w:vAlign w:val="center"/>
          </w:tcPr>
          <w:p>
            <w:pPr>
              <w:widowControl/>
              <w:spacing w:line="360" w:lineRule="auto"/>
              <w:jc w:val="center"/>
              <w:rPr>
                <w:bCs/>
                <w:kern w:val="0"/>
                <w:szCs w:val="21"/>
                <w:lang w:bidi="ar"/>
              </w:rPr>
            </w:pPr>
            <w:r>
              <w:rPr>
                <w:rFonts w:hint="eastAsia"/>
                <w:bCs/>
                <w:kern w:val="0"/>
                <w:szCs w:val="21"/>
                <w:lang w:bidi="ar"/>
              </w:rPr>
              <w:t>30.5</w:t>
            </w:r>
          </w:p>
        </w:tc>
        <w:tc>
          <w:tcPr>
            <w:tcW w:w="2317" w:type="dxa"/>
            <w:vMerge w:val="continue"/>
            <w:noWrap w:val="0"/>
            <w:vAlign w:val="center"/>
          </w:tcPr>
          <w:p>
            <w:pPr>
              <w:rPr>
                <w:bCs/>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vMerge w:val="continue"/>
            <w:noWrap w:val="0"/>
            <w:vAlign w:val="center"/>
          </w:tcPr>
          <w:p>
            <w:pPr>
              <w:rPr>
                <w:bCs/>
                <w:sz w:val="20"/>
                <w:szCs w:val="20"/>
              </w:rPr>
            </w:pPr>
          </w:p>
        </w:tc>
        <w:tc>
          <w:tcPr>
            <w:tcW w:w="1097" w:type="dxa"/>
            <w:vMerge w:val="continue"/>
            <w:noWrap w:val="0"/>
            <w:vAlign w:val="center"/>
          </w:tcPr>
          <w:p>
            <w:pPr>
              <w:rPr>
                <w:bCs/>
                <w:sz w:val="20"/>
                <w:szCs w:val="20"/>
              </w:rPr>
            </w:pPr>
          </w:p>
        </w:tc>
        <w:tc>
          <w:tcPr>
            <w:tcW w:w="1590" w:type="dxa"/>
            <w:noWrap w:val="0"/>
            <w:vAlign w:val="center"/>
          </w:tcPr>
          <w:p>
            <w:pPr>
              <w:widowControl/>
              <w:spacing w:line="360" w:lineRule="auto"/>
              <w:jc w:val="center"/>
              <w:rPr>
                <w:rFonts w:hint="eastAsia"/>
                <w:bCs/>
                <w:kern w:val="0"/>
                <w:szCs w:val="21"/>
                <w:lang w:bidi="ar"/>
              </w:rPr>
            </w:pPr>
            <w:r>
              <w:rPr>
                <w:bCs/>
                <w:kern w:val="0"/>
                <w:szCs w:val="21"/>
                <w:lang w:bidi="ar"/>
              </w:rPr>
              <w:t>翻抛机</w:t>
            </w:r>
          </w:p>
        </w:tc>
        <w:tc>
          <w:tcPr>
            <w:tcW w:w="1923" w:type="dxa"/>
            <w:noWrap w:val="0"/>
            <w:vAlign w:val="center"/>
          </w:tcPr>
          <w:p>
            <w:pPr>
              <w:widowControl/>
              <w:spacing w:line="360" w:lineRule="auto"/>
              <w:jc w:val="center"/>
              <w:rPr>
                <w:rFonts w:hint="eastAsia"/>
                <w:bCs/>
                <w:kern w:val="0"/>
                <w:szCs w:val="21"/>
                <w:lang w:bidi="ar"/>
              </w:rPr>
            </w:pPr>
            <w:r>
              <w:rPr>
                <w:bCs/>
                <w:kern w:val="0"/>
                <w:szCs w:val="21"/>
                <w:lang w:bidi="ar"/>
              </w:rPr>
              <w:t>30</w:t>
            </w:r>
          </w:p>
        </w:tc>
        <w:tc>
          <w:tcPr>
            <w:tcW w:w="1219" w:type="dxa"/>
            <w:noWrap w:val="0"/>
            <w:vAlign w:val="center"/>
          </w:tcPr>
          <w:p>
            <w:pPr>
              <w:widowControl/>
              <w:spacing w:line="360" w:lineRule="auto"/>
              <w:jc w:val="center"/>
              <w:rPr>
                <w:rFonts w:hint="eastAsia"/>
                <w:bCs/>
                <w:kern w:val="0"/>
                <w:szCs w:val="21"/>
                <w:lang w:bidi="ar"/>
              </w:rPr>
            </w:pPr>
            <w:r>
              <w:rPr>
                <w:bCs/>
                <w:kern w:val="0"/>
                <w:szCs w:val="21"/>
                <w:lang w:bidi="ar"/>
              </w:rPr>
              <w:t>30.5</w:t>
            </w:r>
          </w:p>
        </w:tc>
        <w:tc>
          <w:tcPr>
            <w:tcW w:w="2317" w:type="dxa"/>
            <w:vMerge w:val="continue"/>
            <w:noWrap w:val="0"/>
            <w:vAlign w:val="center"/>
          </w:tcPr>
          <w:p>
            <w:pPr>
              <w:rPr>
                <w:bCs/>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vMerge w:val="restart"/>
            <w:noWrap w:val="0"/>
            <w:vAlign w:val="center"/>
          </w:tcPr>
          <w:p>
            <w:pPr>
              <w:widowControl/>
              <w:spacing w:line="360" w:lineRule="auto"/>
              <w:jc w:val="center"/>
              <w:rPr>
                <w:bCs/>
                <w:szCs w:val="21"/>
              </w:rPr>
            </w:pPr>
            <w:r>
              <w:rPr>
                <w:bCs/>
                <w:kern w:val="0"/>
                <w:szCs w:val="21"/>
                <w:lang w:bidi="ar"/>
              </w:rPr>
              <w:t>2</w:t>
            </w:r>
          </w:p>
        </w:tc>
        <w:tc>
          <w:tcPr>
            <w:tcW w:w="1097" w:type="dxa"/>
            <w:vMerge w:val="restart"/>
            <w:noWrap w:val="0"/>
            <w:vAlign w:val="center"/>
          </w:tcPr>
          <w:p>
            <w:pPr>
              <w:widowControl/>
              <w:spacing w:line="360" w:lineRule="auto"/>
              <w:jc w:val="center"/>
              <w:rPr>
                <w:bCs/>
                <w:szCs w:val="21"/>
              </w:rPr>
            </w:pPr>
            <w:r>
              <w:rPr>
                <w:bCs/>
                <w:kern w:val="0"/>
                <w:szCs w:val="21"/>
                <w:lang w:bidi="ar"/>
              </w:rPr>
              <w:t>西场界</w:t>
            </w:r>
          </w:p>
        </w:tc>
        <w:tc>
          <w:tcPr>
            <w:tcW w:w="1590" w:type="dxa"/>
            <w:noWrap w:val="0"/>
            <w:vAlign w:val="center"/>
          </w:tcPr>
          <w:p>
            <w:pPr>
              <w:spacing w:line="360" w:lineRule="auto"/>
              <w:jc w:val="center"/>
              <w:rPr>
                <w:bCs/>
                <w:szCs w:val="21"/>
              </w:rPr>
            </w:pPr>
            <w:r>
              <w:rPr>
                <w:bCs/>
                <w:kern w:val="0"/>
                <w:szCs w:val="21"/>
                <w:lang w:bidi="ar"/>
              </w:rPr>
              <w:t>猪舍风机</w:t>
            </w:r>
          </w:p>
        </w:tc>
        <w:tc>
          <w:tcPr>
            <w:tcW w:w="1923" w:type="dxa"/>
            <w:noWrap w:val="0"/>
            <w:vAlign w:val="center"/>
          </w:tcPr>
          <w:p>
            <w:pPr>
              <w:spacing w:line="360" w:lineRule="auto"/>
              <w:jc w:val="center"/>
              <w:rPr>
                <w:bCs/>
                <w:szCs w:val="21"/>
              </w:rPr>
            </w:pPr>
            <w:r>
              <w:rPr>
                <w:rFonts w:hint="eastAsia"/>
                <w:bCs/>
                <w:szCs w:val="21"/>
              </w:rPr>
              <w:t>6</w:t>
            </w:r>
          </w:p>
        </w:tc>
        <w:tc>
          <w:tcPr>
            <w:tcW w:w="1219" w:type="dxa"/>
            <w:noWrap w:val="0"/>
            <w:vAlign w:val="center"/>
          </w:tcPr>
          <w:p>
            <w:pPr>
              <w:spacing w:line="360" w:lineRule="auto"/>
              <w:jc w:val="center"/>
              <w:rPr>
                <w:bCs/>
                <w:szCs w:val="21"/>
              </w:rPr>
            </w:pPr>
            <w:r>
              <w:rPr>
                <w:rFonts w:hint="eastAsia"/>
                <w:bCs/>
                <w:szCs w:val="21"/>
              </w:rPr>
              <w:t>49.4</w:t>
            </w:r>
          </w:p>
        </w:tc>
        <w:tc>
          <w:tcPr>
            <w:tcW w:w="2317" w:type="dxa"/>
            <w:vMerge w:val="restart"/>
            <w:noWrap w:val="0"/>
            <w:vAlign w:val="center"/>
          </w:tcPr>
          <w:p>
            <w:pPr>
              <w:widowControl/>
              <w:spacing w:line="360" w:lineRule="auto"/>
              <w:jc w:val="center"/>
              <w:rPr>
                <w:bCs/>
                <w:szCs w:val="21"/>
              </w:rPr>
            </w:pPr>
            <w:r>
              <w:rPr>
                <w:rFonts w:hint="eastAsia"/>
                <w:bCs/>
                <w:szCs w:val="21"/>
              </w:rPr>
              <w:t>49.8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vMerge w:val="continue"/>
            <w:noWrap w:val="0"/>
            <w:vAlign w:val="center"/>
          </w:tcPr>
          <w:p>
            <w:pPr>
              <w:rPr>
                <w:bCs/>
                <w:sz w:val="20"/>
                <w:szCs w:val="20"/>
              </w:rPr>
            </w:pPr>
          </w:p>
        </w:tc>
        <w:tc>
          <w:tcPr>
            <w:tcW w:w="1097" w:type="dxa"/>
            <w:vMerge w:val="continue"/>
            <w:noWrap w:val="0"/>
            <w:vAlign w:val="center"/>
          </w:tcPr>
          <w:p>
            <w:pPr>
              <w:rPr>
                <w:bCs/>
                <w:sz w:val="20"/>
                <w:szCs w:val="20"/>
              </w:rPr>
            </w:pPr>
          </w:p>
        </w:tc>
        <w:tc>
          <w:tcPr>
            <w:tcW w:w="1590" w:type="dxa"/>
            <w:noWrap w:val="0"/>
            <w:vAlign w:val="center"/>
          </w:tcPr>
          <w:p>
            <w:pPr>
              <w:widowControl/>
              <w:spacing w:line="360" w:lineRule="auto"/>
              <w:jc w:val="center"/>
              <w:rPr>
                <w:bCs/>
                <w:szCs w:val="21"/>
              </w:rPr>
            </w:pPr>
            <w:r>
              <w:rPr>
                <w:bCs/>
                <w:kern w:val="0"/>
                <w:szCs w:val="21"/>
                <w:lang w:bidi="ar"/>
              </w:rPr>
              <w:t>猪叫声</w:t>
            </w:r>
          </w:p>
        </w:tc>
        <w:tc>
          <w:tcPr>
            <w:tcW w:w="1923" w:type="dxa"/>
            <w:noWrap w:val="0"/>
            <w:vAlign w:val="center"/>
          </w:tcPr>
          <w:p>
            <w:pPr>
              <w:widowControl/>
              <w:spacing w:line="360" w:lineRule="auto"/>
              <w:jc w:val="center"/>
              <w:rPr>
                <w:bCs/>
                <w:szCs w:val="21"/>
              </w:rPr>
            </w:pPr>
            <w:r>
              <w:rPr>
                <w:rFonts w:hint="eastAsia"/>
                <w:bCs/>
                <w:szCs w:val="21"/>
              </w:rPr>
              <w:t>7</w:t>
            </w:r>
          </w:p>
        </w:tc>
        <w:tc>
          <w:tcPr>
            <w:tcW w:w="1219" w:type="dxa"/>
            <w:noWrap w:val="0"/>
            <w:vAlign w:val="center"/>
          </w:tcPr>
          <w:p>
            <w:pPr>
              <w:widowControl/>
              <w:spacing w:line="360" w:lineRule="auto"/>
              <w:jc w:val="center"/>
              <w:rPr>
                <w:bCs/>
                <w:szCs w:val="21"/>
              </w:rPr>
            </w:pPr>
            <w:r>
              <w:rPr>
                <w:rFonts w:hint="eastAsia"/>
                <w:bCs/>
                <w:szCs w:val="21"/>
              </w:rPr>
              <w:t>38.1</w:t>
            </w:r>
          </w:p>
        </w:tc>
        <w:tc>
          <w:tcPr>
            <w:tcW w:w="2317" w:type="dxa"/>
            <w:vMerge w:val="continue"/>
            <w:noWrap w:val="0"/>
            <w:vAlign w:val="center"/>
          </w:tcPr>
          <w:p>
            <w:pPr>
              <w:rPr>
                <w:bCs/>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vMerge w:val="continue"/>
            <w:noWrap w:val="0"/>
            <w:vAlign w:val="center"/>
          </w:tcPr>
          <w:p>
            <w:pPr>
              <w:rPr>
                <w:bCs/>
                <w:sz w:val="20"/>
                <w:szCs w:val="20"/>
              </w:rPr>
            </w:pPr>
          </w:p>
        </w:tc>
        <w:tc>
          <w:tcPr>
            <w:tcW w:w="1097" w:type="dxa"/>
            <w:vMerge w:val="continue"/>
            <w:noWrap w:val="0"/>
            <w:vAlign w:val="center"/>
          </w:tcPr>
          <w:p>
            <w:pPr>
              <w:rPr>
                <w:bCs/>
                <w:sz w:val="20"/>
                <w:szCs w:val="20"/>
              </w:rPr>
            </w:pPr>
          </w:p>
        </w:tc>
        <w:tc>
          <w:tcPr>
            <w:tcW w:w="1590" w:type="dxa"/>
            <w:noWrap w:val="0"/>
            <w:vAlign w:val="center"/>
          </w:tcPr>
          <w:p>
            <w:pPr>
              <w:widowControl/>
              <w:spacing w:line="360" w:lineRule="auto"/>
              <w:jc w:val="center"/>
              <w:rPr>
                <w:bCs/>
                <w:szCs w:val="21"/>
              </w:rPr>
            </w:pPr>
            <w:r>
              <w:rPr>
                <w:bCs/>
                <w:kern w:val="0"/>
                <w:szCs w:val="21"/>
                <w:lang w:bidi="ar"/>
              </w:rPr>
              <w:t>水泵</w:t>
            </w:r>
          </w:p>
        </w:tc>
        <w:tc>
          <w:tcPr>
            <w:tcW w:w="1923" w:type="dxa"/>
            <w:noWrap w:val="0"/>
            <w:vAlign w:val="center"/>
          </w:tcPr>
          <w:p>
            <w:pPr>
              <w:widowControl/>
              <w:spacing w:line="360" w:lineRule="auto"/>
              <w:jc w:val="center"/>
              <w:rPr>
                <w:bCs/>
                <w:szCs w:val="21"/>
              </w:rPr>
            </w:pPr>
            <w:r>
              <w:rPr>
                <w:bCs/>
                <w:szCs w:val="21"/>
              </w:rPr>
              <w:t>40</w:t>
            </w:r>
          </w:p>
        </w:tc>
        <w:tc>
          <w:tcPr>
            <w:tcW w:w="1219" w:type="dxa"/>
            <w:noWrap w:val="0"/>
            <w:vAlign w:val="center"/>
          </w:tcPr>
          <w:p>
            <w:pPr>
              <w:widowControl/>
              <w:spacing w:line="360" w:lineRule="auto"/>
              <w:jc w:val="center"/>
              <w:rPr>
                <w:bCs/>
                <w:szCs w:val="21"/>
              </w:rPr>
            </w:pPr>
            <w:r>
              <w:rPr>
                <w:rFonts w:hint="eastAsia"/>
                <w:bCs/>
                <w:szCs w:val="21"/>
              </w:rPr>
              <w:t>28.0</w:t>
            </w:r>
          </w:p>
        </w:tc>
        <w:tc>
          <w:tcPr>
            <w:tcW w:w="2317" w:type="dxa"/>
            <w:vMerge w:val="continue"/>
            <w:noWrap w:val="0"/>
            <w:vAlign w:val="center"/>
          </w:tcPr>
          <w:p>
            <w:pPr>
              <w:rPr>
                <w:bCs/>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vMerge w:val="continue"/>
            <w:noWrap w:val="0"/>
            <w:vAlign w:val="center"/>
          </w:tcPr>
          <w:p>
            <w:pPr>
              <w:rPr>
                <w:bCs/>
                <w:sz w:val="20"/>
                <w:szCs w:val="20"/>
              </w:rPr>
            </w:pPr>
          </w:p>
        </w:tc>
        <w:tc>
          <w:tcPr>
            <w:tcW w:w="1097" w:type="dxa"/>
            <w:vMerge w:val="continue"/>
            <w:noWrap w:val="0"/>
            <w:vAlign w:val="center"/>
          </w:tcPr>
          <w:p>
            <w:pPr>
              <w:rPr>
                <w:bCs/>
                <w:sz w:val="20"/>
                <w:szCs w:val="20"/>
              </w:rPr>
            </w:pPr>
          </w:p>
        </w:tc>
        <w:tc>
          <w:tcPr>
            <w:tcW w:w="1590" w:type="dxa"/>
            <w:noWrap w:val="0"/>
            <w:vAlign w:val="center"/>
          </w:tcPr>
          <w:p>
            <w:pPr>
              <w:widowControl/>
              <w:spacing w:line="360" w:lineRule="auto"/>
              <w:jc w:val="center"/>
              <w:rPr>
                <w:bCs/>
                <w:kern w:val="0"/>
                <w:szCs w:val="21"/>
                <w:lang w:bidi="ar"/>
              </w:rPr>
            </w:pPr>
            <w:r>
              <w:rPr>
                <w:rFonts w:hint="eastAsia"/>
                <w:bCs/>
                <w:kern w:val="0"/>
                <w:szCs w:val="21"/>
                <w:lang w:bidi="ar"/>
              </w:rPr>
              <w:t>固液分离</w:t>
            </w:r>
            <w:r>
              <w:rPr>
                <w:bCs/>
                <w:kern w:val="0"/>
                <w:szCs w:val="21"/>
                <w:lang w:bidi="ar"/>
              </w:rPr>
              <w:t>机</w:t>
            </w:r>
          </w:p>
        </w:tc>
        <w:tc>
          <w:tcPr>
            <w:tcW w:w="1923" w:type="dxa"/>
            <w:noWrap w:val="0"/>
            <w:vAlign w:val="center"/>
          </w:tcPr>
          <w:p>
            <w:pPr>
              <w:widowControl/>
              <w:spacing w:line="360" w:lineRule="auto"/>
              <w:jc w:val="center"/>
              <w:rPr>
                <w:bCs/>
                <w:kern w:val="0"/>
                <w:szCs w:val="21"/>
                <w:lang w:bidi="ar"/>
              </w:rPr>
            </w:pPr>
            <w:r>
              <w:rPr>
                <w:rFonts w:hint="eastAsia"/>
                <w:bCs/>
                <w:kern w:val="0"/>
                <w:szCs w:val="21"/>
                <w:lang w:bidi="ar"/>
              </w:rPr>
              <w:t>104</w:t>
            </w:r>
          </w:p>
        </w:tc>
        <w:tc>
          <w:tcPr>
            <w:tcW w:w="1219" w:type="dxa"/>
            <w:noWrap w:val="0"/>
            <w:vAlign w:val="center"/>
          </w:tcPr>
          <w:p>
            <w:pPr>
              <w:widowControl/>
              <w:spacing w:line="360" w:lineRule="auto"/>
              <w:jc w:val="center"/>
              <w:rPr>
                <w:bCs/>
                <w:kern w:val="0"/>
                <w:szCs w:val="21"/>
                <w:lang w:bidi="ar"/>
              </w:rPr>
            </w:pPr>
            <w:r>
              <w:rPr>
                <w:rFonts w:hint="eastAsia"/>
                <w:bCs/>
                <w:kern w:val="0"/>
                <w:szCs w:val="21"/>
                <w:lang w:bidi="ar"/>
              </w:rPr>
              <w:t>19.7</w:t>
            </w:r>
          </w:p>
        </w:tc>
        <w:tc>
          <w:tcPr>
            <w:tcW w:w="2317" w:type="dxa"/>
            <w:vMerge w:val="continue"/>
            <w:noWrap w:val="0"/>
            <w:vAlign w:val="center"/>
          </w:tcPr>
          <w:p>
            <w:pPr>
              <w:rPr>
                <w:bCs/>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vMerge w:val="continue"/>
            <w:noWrap w:val="0"/>
            <w:vAlign w:val="center"/>
          </w:tcPr>
          <w:p>
            <w:pPr>
              <w:rPr>
                <w:bCs/>
                <w:sz w:val="20"/>
                <w:szCs w:val="20"/>
              </w:rPr>
            </w:pPr>
          </w:p>
        </w:tc>
        <w:tc>
          <w:tcPr>
            <w:tcW w:w="1097" w:type="dxa"/>
            <w:vMerge w:val="continue"/>
            <w:noWrap w:val="0"/>
            <w:vAlign w:val="center"/>
          </w:tcPr>
          <w:p>
            <w:pPr>
              <w:rPr>
                <w:bCs/>
                <w:sz w:val="20"/>
                <w:szCs w:val="20"/>
              </w:rPr>
            </w:pPr>
          </w:p>
        </w:tc>
        <w:tc>
          <w:tcPr>
            <w:tcW w:w="1590" w:type="dxa"/>
            <w:noWrap w:val="0"/>
            <w:vAlign w:val="center"/>
          </w:tcPr>
          <w:p>
            <w:pPr>
              <w:widowControl/>
              <w:spacing w:line="360" w:lineRule="auto"/>
              <w:jc w:val="center"/>
              <w:rPr>
                <w:rFonts w:hint="eastAsia"/>
                <w:bCs/>
                <w:kern w:val="0"/>
                <w:szCs w:val="21"/>
                <w:lang w:bidi="ar"/>
              </w:rPr>
            </w:pPr>
            <w:r>
              <w:rPr>
                <w:bCs/>
                <w:kern w:val="0"/>
                <w:szCs w:val="21"/>
                <w:lang w:bidi="ar"/>
              </w:rPr>
              <w:t>翻抛机</w:t>
            </w:r>
          </w:p>
        </w:tc>
        <w:tc>
          <w:tcPr>
            <w:tcW w:w="1923" w:type="dxa"/>
            <w:noWrap w:val="0"/>
            <w:vAlign w:val="center"/>
          </w:tcPr>
          <w:p>
            <w:pPr>
              <w:widowControl/>
              <w:spacing w:line="360" w:lineRule="auto"/>
              <w:jc w:val="center"/>
              <w:rPr>
                <w:rFonts w:hint="eastAsia"/>
                <w:bCs/>
                <w:kern w:val="0"/>
                <w:szCs w:val="21"/>
                <w:lang w:bidi="ar"/>
              </w:rPr>
            </w:pPr>
            <w:r>
              <w:rPr>
                <w:rFonts w:hint="eastAsia"/>
                <w:bCs/>
                <w:kern w:val="0"/>
                <w:szCs w:val="21"/>
                <w:lang w:bidi="ar"/>
              </w:rPr>
              <w:t>104</w:t>
            </w:r>
          </w:p>
        </w:tc>
        <w:tc>
          <w:tcPr>
            <w:tcW w:w="1219" w:type="dxa"/>
            <w:noWrap w:val="0"/>
            <w:vAlign w:val="center"/>
          </w:tcPr>
          <w:p>
            <w:pPr>
              <w:widowControl/>
              <w:spacing w:line="360" w:lineRule="auto"/>
              <w:jc w:val="center"/>
              <w:rPr>
                <w:rFonts w:hint="eastAsia"/>
                <w:bCs/>
                <w:kern w:val="0"/>
                <w:szCs w:val="21"/>
                <w:lang w:bidi="ar"/>
              </w:rPr>
            </w:pPr>
            <w:r>
              <w:rPr>
                <w:rFonts w:hint="eastAsia"/>
                <w:bCs/>
                <w:kern w:val="0"/>
                <w:szCs w:val="21"/>
                <w:lang w:bidi="ar"/>
              </w:rPr>
              <w:t>19.7</w:t>
            </w:r>
          </w:p>
        </w:tc>
        <w:tc>
          <w:tcPr>
            <w:tcW w:w="2317" w:type="dxa"/>
            <w:vMerge w:val="continue"/>
            <w:noWrap w:val="0"/>
            <w:vAlign w:val="center"/>
          </w:tcPr>
          <w:p>
            <w:pPr>
              <w:rPr>
                <w:bCs/>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vMerge w:val="restart"/>
            <w:noWrap w:val="0"/>
            <w:vAlign w:val="center"/>
          </w:tcPr>
          <w:p>
            <w:pPr>
              <w:widowControl/>
              <w:spacing w:line="360" w:lineRule="auto"/>
              <w:jc w:val="center"/>
              <w:rPr>
                <w:bCs/>
                <w:szCs w:val="21"/>
              </w:rPr>
            </w:pPr>
            <w:r>
              <w:rPr>
                <w:bCs/>
                <w:kern w:val="0"/>
                <w:szCs w:val="21"/>
                <w:lang w:bidi="ar"/>
              </w:rPr>
              <w:t>3</w:t>
            </w:r>
          </w:p>
        </w:tc>
        <w:tc>
          <w:tcPr>
            <w:tcW w:w="1097" w:type="dxa"/>
            <w:vMerge w:val="restart"/>
            <w:noWrap w:val="0"/>
            <w:vAlign w:val="center"/>
          </w:tcPr>
          <w:p>
            <w:pPr>
              <w:widowControl/>
              <w:spacing w:line="360" w:lineRule="auto"/>
              <w:jc w:val="center"/>
              <w:rPr>
                <w:bCs/>
                <w:szCs w:val="21"/>
              </w:rPr>
            </w:pPr>
            <w:r>
              <w:rPr>
                <w:bCs/>
                <w:kern w:val="0"/>
                <w:szCs w:val="21"/>
                <w:lang w:bidi="ar"/>
              </w:rPr>
              <w:t>南场界</w:t>
            </w:r>
          </w:p>
        </w:tc>
        <w:tc>
          <w:tcPr>
            <w:tcW w:w="1590" w:type="dxa"/>
            <w:noWrap w:val="0"/>
            <w:vAlign w:val="center"/>
          </w:tcPr>
          <w:p>
            <w:pPr>
              <w:spacing w:line="360" w:lineRule="auto"/>
              <w:jc w:val="center"/>
              <w:rPr>
                <w:bCs/>
                <w:szCs w:val="21"/>
              </w:rPr>
            </w:pPr>
            <w:r>
              <w:rPr>
                <w:bCs/>
                <w:kern w:val="0"/>
                <w:szCs w:val="21"/>
                <w:lang w:bidi="ar"/>
              </w:rPr>
              <w:t>猪舍风机</w:t>
            </w:r>
          </w:p>
        </w:tc>
        <w:tc>
          <w:tcPr>
            <w:tcW w:w="1923" w:type="dxa"/>
            <w:noWrap w:val="0"/>
            <w:vAlign w:val="center"/>
          </w:tcPr>
          <w:p>
            <w:pPr>
              <w:spacing w:line="360" w:lineRule="auto"/>
              <w:jc w:val="center"/>
              <w:rPr>
                <w:bCs/>
                <w:szCs w:val="21"/>
              </w:rPr>
            </w:pPr>
            <w:r>
              <w:rPr>
                <w:rFonts w:hint="eastAsia"/>
                <w:bCs/>
                <w:szCs w:val="21"/>
              </w:rPr>
              <w:t>8</w:t>
            </w:r>
          </w:p>
        </w:tc>
        <w:tc>
          <w:tcPr>
            <w:tcW w:w="1219" w:type="dxa"/>
            <w:noWrap w:val="0"/>
            <w:vAlign w:val="center"/>
          </w:tcPr>
          <w:p>
            <w:pPr>
              <w:spacing w:line="360" w:lineRule="auto"/>
              <w:jc w:val="center"/>
              <w:rPr>
                <w:bCs/>
                <w:szCs w:val="21"/>
              </w:rPr>
            </w:pPr>
            <w:r>
              <w:rPr>
                <w:rFonts w:hint="eastAsia"/>
                <w:bCs/>
                <w:szCs w:val="21"/>
              </w:rPr>
              <w:t>46.9</w:t>
            </w:r>
          </w:p>
        </w:tc>
        <w:tc>
          <w:tcPr>
            <w:tcW w:w="2317" w:type="dxa"/>
            <w:vMerge w:val="restart"/>
            <w:noWrap w:val="0"/>
            <w:vAlign w:val="center"/>
          </w:tcPr>
          <w:p>
            <w:pPr>
              <w:widowControl/>
              <w:spacing w:line="360" w:lineRule="auto"/>
              <w:jc w:val="center"/>
              <w:rPr>
                <w:bCs/>
                <w:szCs w:val="21"/>
              </w:rPr>
            </w:pPr>
            <w:r>
              <w:rPr>
                <w:bCs/>
                <w:szCs w:val="21"/>
              </w:rPr>
              <w:t>51.3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vMerge w:val="continue"/>
            <w:noWrap w:val="0"/>
            <w:vAlign w:val="center"/>
          </w:tcPr>
          <w:p>
            <w:pPr>
              <w:rPr>
                <w:bCs/>
                <w:sz w:val="20"/>
                <w:szCs w:val="20"/>
              </w:rPr>
            </w:pPr>
          </w:p>
        </w:tc>
        <w:tc>
          <w:tcPr>
            <w:tcW w:w="1097" w:type="dxa"/>
            <w:vMerge w:val="continue"/>
            <w:noWrap w:val="0"/>
            <w:vAlign w:val="center"/>
          </w:tcPr>
          <w:p>
            <w:pPr>
              <w:rPr>
                <w:bCs/>
                <w:sz w:val="20"/>
                <w:szCs w:val="20"/>
              </w:rPr>
            </w:pPr>
          </w:p>
        </w:tc>
        <w:tc>
          <w:tcPr>
            <w:tcW w:w="1590" w:type="dxa"/>
            <w:noWrap w:val="0"/>
            <w:vAlign w:val="center"/>
          </w:tcPr>
          <w:p>
            <w:pPr>
              <w:widowControl/>
              <w:spacing w:line="360" w:lineRule="auto"/>
              <w:jc w:val="center"/>
              <w:rPr>
                <w:bCs/>
                <w:szCs w:val="21"/>
              </w:rPr>
            </w:pPr>
            <w:r>
              <w:rPr>
                <w:bCs/>
                <w:kern w:val="0"/>
                <w:szCs w:val="21"/>
                <w:lang w:bidi="ar"/>
              </w:rPr>
              <w:t>猪叫声</w:t>
            </w:r>
          </w:p>
        </w:tc>
        <w:tc>
          <w:tcPr>
            <w:tcW w:w="1923" w:type="dxa"/>
            <w:noWrap w:val="0"/>
            <w:vAlign w:val="center"/>
          </w:tcPr>
          <w:p>
            <w:pPr>
              <w:widowControl/>
              <w:spacing w:line="360" w:lineRule="auto"/>
              <w:jc w:val="center"/>
              <w:rPr>
                <w:bCs/>
                <w:szCs w:val="21"/>
              </w:rPr>
            </w:pPr>
            <w:r>
              <w:rPr>
                <w:rFonts w:hint="eastAsia"/>
                <w:bCs/>
                <w:szCs w:val="21"/>
              </w:rPr>
              <w:t>7</w:t>
            </w:r>
          </w:p>
        </w:tc>
        <w:tc>
          <w:tcPr>
            <w:tcW w:w="1219" w:type="dxa"/>
            <w:noWrap w:val="0"/>
            <w:vAlign w:val="center"/>
          </w:tcPr>
          <w:p>
            <w:pPr>
              <w:widowControl/>
              <w:spacing w:line="360" w:lineRule="auto"/>
              <w:jc w:val="center"/>
              <w:rPr>
                <w:bCs/>
                <w:szCs w:val="21"/>
              </w:rPr>
            </w:pPr>
            <w:r>
              <w:rPr>
                <w:rFonts w:hint="eastAsia"/>
                <w:bCs/>
                <w:szCs w:val="21"/>
              </w:rPr>
              <w:t>38.1</w:t>
            </w:r>
          </w:p>
        </w:tc>
        <w:tc>
          <w:tcPr>
            <w:tcW w:w="2317" w:type="dxa"/>
            <w:vMerge w:val="continue"/>
            <w:noWrap w:val="0"/>
            <w:vAlign w:val="center"/>
          </w:tcPr>
          <w:p>
            <w:pPr>
              <w:rPr>
                <w:bCs/>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vMerge w:val="continue"/>
            <w:noWrap w:val="0"/>
            <w:vAlign w:val="center"/>
          </w:tcPr>
          <w:p>
            <w:pPr>
              <w:rPr>
                <w:bCs/>
                <w:sz w:val="20"/>
                <w:szCs w:val="20"/>
              </w:rPr>
            </w:pPr>
          </w:p>
        </w:tc>
        <w:tc>
          <w:tcPr>
            <w:tcW w:w="1097" w:type="dxa"/>
            <w:vMerge w:val="continue"/>
            <w:noWrap w:val="0"/>
            <w:vAlign w:val="center"/>
          </w:tcPr>
          <w:p>
            <w:pPr>
              <w:rPr>
                <w:bCs/>
                <w:sz w:val="20"/>
                <w:szCs w:val="20"/>
              </w:rPr>
            </w:pPr>
          </w:p>
        </w:tc>
        <w:tc>
          <w:tcPr>
            <w:tcW w:w="1590" w:type="dxa"/>
            <w:noWrap w:val="0"/>
            <w:vAlign w:val="center"/>
          </w:tcPr>
          <w:p>
            <w:pPr>
              <w:widowControl/>
              <w:spacing w:line="360" w:lineRule="auto"/>
              <w:jc w:val="center"/>
              <w:rPr>
                <w:bCs/>
                <w:szCs w:val="21"/>
              </w:rPr>
            </w:pPr>
            <w:r>
              <w:rPr>
                <w:bCs/>
                <w:kern w:val="0"/>
                <w:szCs w:val="21"/>
                <w:lang w:bidi="ar"/>
              </w:rPr>
              <w:t>水泵</w:t>
            </w:r>
          </w:p>
        </w:tc>
        <w:tc>
          <w:tcPr>
            <w:tcW w:w="1923" w:type="dxa"/>
            <w:noWrap w:val="0"/>
            <w:vAlign w:val="center"/>
          </w:tcPr>
          <w:p>
            <w:pPr>
              <w:widowControl/>
              <w:spacing w:line="360" w:lineRule="auto"/>
              <w:jc w:val="center"/>
              <w:rPr>
                <w:bCs/>
                <w:szCs w:val="21"/>
              </w:rPr>
            </w:pPr>
            <w:r>
              <w:rPr>
                <w:bCs/>
                <w:szCs w:val="21"/>
              </w:rPr>
              <w:t>165</w:t>
            </w:r>
          </w:p>
        </w:tc>
        <w:tc>
          <w:tcPr>
            <w:tcW w:w="1219" w:type="dxa"/>
            <w:noWrap w:val="0"/>
            <w:vAlign w:val="center"/>
          </w:tcPr>
          <w:p>
            <w:pPr>
              <w:widowControl/>
              <w:spacing w:line="360" w:lineRule="auto"/>
              <w:jc w:val="center"/>
              <w:rPr>
                <w:bCs/>
                <w:szCs w:val="21"/>
              </w:rPr>
            </w:pPr>
            <w:r>
              <w:rPr>
                <w:rFonts w:hint="eastAsia"/>
                <w:bCs/>
                <w:szCs w:val="21"/>
              </w:rPr>
              <w:t>15.7</w:t>
            </w:r>
          </w:p>
        </w:tc>
        <w:tc>
          <w:tcPr>
            <w:tcW w:w="2317" w:type="dxa"/>
            <w:vMerge w:val="continue"/>
            <w:noWrap w:val="0"/>
            <w:vAlign w:val="center"/>
          </w:tcPr>
          <w:p>
            <w:pPr>
              <w:rPr>
                <w:bCs/>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vMerge w:val="continue"/>
            <w:noWrap w:val="0"/>
            <w:vAlign w:val="center"/>
          </w:tcPr>
          <w:p>
            <w:pPr>
              <w:rPr>
                <w:bCs/>
                <w:sz w:val="20"/>
                <w:szCs w:val="20"/>
              </w:rPr>
            </w:pPr>
          </w:p>
        </w:tc>
        <w:tc>
          <w:tcPr>
            <w:tcW w:w="1097" w:type="dxa"/>
            <w:vMerge w:val="continue"/>
            <w:noWrap w:val="0"/>
            <w:vAlign w:val="center"/>
          </w:tcPr>
          <w:p>
            <w:pPr>
              <w:rPr>
                <w:bCs/>
                <w:sz w:val="20"/>
                <w:szCs w:val="20"/>
              </w:rPr>
            </w:pPr>
          </w:p>
        </w:tc>
        <w:tc>
          <w:tcPr>
            <w:tcW w:w="1590" w:type="dxa"/>
            <w:noWrap w:val="0"/>
            <w:vAlign w:val="center"/>
          </w:tcPr>
          <w:p>
            <w:pPr>
              <w:widowControl/>
              <w:spacing w:line="360" w:lineRule="auto"/>
              <w:jc w:val="center"/>
              <w:rPr>
                <w:bCs/>
                <w:kern w:val="0"/>
                <w:szCs w:val="21"/>
                <w:lang w:bidi="ar"/>
              </w:rPr>
            </w:pPr>
            <w:r>
              <w:rPr>
                <w:rFonts w:hint="eastAsia"/>
                <w:bCs/>
                <w:kern w:val="0"/>
                <w:szCs w:val="21"/>
                <w:lang w:bidi="ar"/>
              </w:rPr>
              <w:t>固液分离</w:t>
            </w:r>
            <w:r>
              <w:rPr>
                <w:bCs/>
                <w:kern w:val="0"/>
                <w:szCs w:val="21"/>
                <w:lang w:bidi="ar"/>
              </w:rPr>
              <w:t>机</w:t>
            </w:r>
          </w:p>
        </w:tc>
        <w:tc>
          <w:tcPr>
            <w:tcW w:w="1923" w:type="dxa"/>
            <w:noWrap w:val="0"/>
            <w:vAlign w:val="center"/>
          </w:tcPr>
          <w:p>
            <w:pPr>
              <w:widowControl/>
              <w:spacing w:line="360" w:lineRule="auto"/>
              <w:jc w:val="center"/>
              <w:rPr>
                <w:bCs/>
                <w:kern w:val="0"/>
                <w:szCs w:val="21"/>
                <w:lang w:bidi="ar"/>
              </w:rPr>
            </w:pPr>
            <w:r>
              <w:rPr>
                <w:rFonts w:hint="eastAsia"/>
                <w:bCs/>
                <w:kern w:val="0"/>
                <w:szCs w:val="21"/>
                <w:lang w:bidi="ar"/>
              </w:rPr>
              <w:t>5</w:t>
            </w:r>
          </w:p>
        </w:tc>
        <w:tc>
          <w:tcPr>
            <w:tcW w:w="1219" w:type="dxa"/>
            <w:noWrap w:val="0"/>
            <w:vAlign w:val="center"/>
          </w:tcPr>
          <w:p>
            <w:pPr>
              <w:widowControl/>
              <w:spacing w:line="360" w:lineRule="auto"/>
              <w:jc w:val="center"/>
              <w:rPr>
                <w:bCs/>
                <w:kern w:val="0"/>
                <w:szCs w:val="21"/>
                <w:lang w:bidi="ar"/>
              </w:rPr>
            </w:pPr>
            <w:r>
              <w:rPr>
                <w:rFonts w:hint="eastAsia"/>
                <w:bCs/>
                <w:kern w:val="0"/>
                <w:szCs w:val="21"/>
                <w:lang w:bidi="ar"/>
              </w:rPr>
              <w:t>46.0</w:t>
            </w:r>
          </w:p>
        </w:tc>
        <w:tc>
          <w:tcPr>
            <w:tcW w:w="2317" w:type="dxa"/>
            <w:vMerge w:val="continue"/>
            <w:noWrap w:val="0"/>
            <w:vAlign w:val="center"/>
          </w:tcPr>
          <w:p>
            <w:pPr>
              <w:rPr>
                <w:bCs/>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vMerge w:val="continue"/>
            <w:noWrap w:val="0"/>
            <w:vAlign w:val="center"/>
          </w:tcPr>
          <w:p>
            <w:pPr>
              <w:rPr>
                <w:bCs/>
                <w:sz w:val="20"/>
                <w:szCs w:val="20"/>
              </w:rPr>
            </w:pPr>
          </w:p>
        </w:tc>
        <w:tc>
          <w:tcPr>
            <w:tcW w:w="1097" w:type="dxa"/>
            <w:vMerge w:val="continue"/>
            <w:noWrap w:val="0"/>
            <w:vAlign w:val="center"/>
          </w:tcPr>
          <w:p>
            <w:pPr>
              <w:rPr>
                <w:bCs/>
                <w:sz w:val="20"/>
                <w:szCs w:val="20"/>
              </w:rPr>
            </w:pPr>
          </w:p>
        </w:tc>
        <w:tc>
          <w:tcPr>
            <w:tcW w:w="1590" w:type="dxa"/>
            <w:noWrap w:val="0"/>
            <w:vAlign w:val="center"/>
          </w:tcPr>
          <w:p>
            <w:pPr>
              <w:widowControl/>
              <w:spacing w:line="360" w:lineRule="auto"/>
              <w:jc w:val="center"/>
              <w:rPr>
                <w:rFonts w:hint="eastAsia"/>
                <w:bCs/>
                <w:kern w:val="0"/>
                <w:szCs w:val="21"/>
                <w:lang w:bidi="ar"/>
              </w:rPr>
            </w:pPr>
            <w:r>
              <w:rPr>
                <w:bCs/>
                <w:kern w:val="0"/>
                <w:szCs w:val="21"/>
                <w:lang w:bidi="ar"/>
              </w:rPr>
              <w:t>翻抛机</w:t>
            </w:r>
          </w:p>
        </w:tc>
        <w:tc>
          <w:tcPr>
            <w:tcW w:w="1923" w:type="dxa"/>
            <w:noWrap w:val="0"/>
            <w:vAlign w:val="center"/>
          </w:tcPr>
          <w:p>
            <w:pPr>
              <w:widowControl/>
              <w:spacing w:line="360" w:lineRule="auto"/>
              <w:jc w:val="center"/>
              <w:rPr>
                <w:rFonts w:hint="eastAsia"/>
                <w:bCs/>
                <w:kern w:val="0"/>
                <w:szCs w:val="21"/>
                <w:lang w:bidi="ar"/>
              </w:rPr>
            </w:pPr>
            <w:r>
              <w:rPr>
                <w:bCs/>
                <w:kern w:val="0"/>
                <w:szCs w:val="21"/>
                <w:lang w:bidi="ar"/>
              </w:rPr>
              <w:t>5</w:t>
            </w:r>
          </w:p>
        </w:tc>
        <w:tc>
          <w:tcPr>
            <w:tcW w:w="1219" w:type="dxa"/>
            <w:noWrap w:val="0"/>
            <w:vAlign w:val="center"/>
          </w:tcPr>
          <w:p>
            <w:pPr>
              <w:widowControl/>
              <w:spacing w:line="360" w:lineRule="auto"/>
              <w:jc w:val="center"/>
              <w:rPr>
                <w:rFonts w:hint="eastAsia"/>
                <w:bCs/>
                <w:kern w:val="0"/>
                <w:szCs w:val="21"/>
                <w:lang w:bidi="ar"/>
              </w:rPr>
            </w:pPr>
            <w:r>
              <w:rPr>
                <w:bCs/>
                <w:kern w:val="0"/>
                <w:szCs w:val="21"/>
                <w:lang w:bidi="ar"/>
              </w:rPr>
              <w:t>46.0</w:t>
            </w:r>
          </w:p>
        </w:tc>
        <w:tc>
          <w:tcPr>
            <w:tcW w:w="2317" w:type="dxa"/>
            <w:vMerge w:val="continue"/>
            <w:noWrap w:val="0"/>
            <w:vAlign w:val="center"/>
          </w:tcPr>
          <w:p>
            <w:pPr>
              <w:rPr>
                <w:bCs/>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vMerge w:val="restart"/>
            <w:noWrap w:val="0"/>
            <w:vAlign w:val="center"/>
          </w:tcPr>
          <w:p>
            <w:pPr>
              <w:widowControl/>
              <w:spacing w:line="360" w:lineRule="auto"/>
              <w:jc w:val="center"/>
              <w:rPr>
                <w:bCs/>
                <w:szCs w:val="21"/>
              </w:rPr>
            </w:pPr>
            <w:r>
              <w:rPr>
                <w:bCs/>
                <w:kern w:val="0"/>
                <w:szCs w:val="21"/>
                <w:lang w:bidi="ar"/>
              </w:rPr>
              <w:t>4</w:t>
            </w:r>
          </w:p>
        </w:tc>
        <w:tc>
          <w:tcPr>
            <w:tcW w:w="1097" w:type="dxa"/>
            <w:vMerge w:val="restart"/>
            <w:noWrap w:val="0"/>
            <w:vAlign w:val="center"/>
          </w:tcPr>
          <w:p>
            <w:pPr>
              <w:spacing w:line="360" w:lineRule="auto"/>
              <w:jc w:val="center"/>
              <w:rPr>
                <w:bCs/>
                <w:szCs w:val="21"/>
              </w:rPr>
            </w:pPr>
            <w:r>
              <w:rPr>
                <w:bCs/>
                <w:kern w:val="0"/>
                <w:szCs w:val="21"/>
                <w:lang w:bidi="ar"/>
              </w:rPr>
              <w:t>北场界</w:t>
            </w:r>
          </w:p>
        </w:tc>
        <w:tc>
          <w:tcPr>
            <w:tcW w:w="1590" w:type="dxa"/>
            <w:noWrap w:val="0"/>
            <w:vAlign w:val="center"/>
          </w:tcPr>
          <w:p>
            <w:pPr>
              <w:spacing w:line="360" w:lineRule="auto"/>
              <w:jc w:val="center"/>
              <w:rPr>
                <w:bCs/>
                <w:szCs w:val="21"/>
              </w:rPr>
            </w:pPr>
            <w:r>
              <w:rPr>
                <w:bCs/>
                <w:kern w:val="0"/>
                <w:szCs w:val="21"/>
                <w:lang w:bidi="ar"/>
              </w:rPr>
              <w:t>猪舍风机</w:t>
            </w:r>
          </w:p>
        </w:tc>
        <w:tc>
          <w:tcPr>
            <w:tcW w:w="1923" w:type="dxa"/>
            <w:noWrap w:val="0"/>
            <w:vAlign w:val="center"/>
          </w:tcPr>
          <w:p>
            <w:pPr>
              <w:spacing w:line="360" w:lineRule="auto"/>
              <w:jc w:val="center"/>
              <w:rPr>
                <w:bCs/>
                <w:szCs w:val="21"/>
              </w:rPr>
            </w:pPr>
            <w:r>
              <w:rPr>
                <w:bCs/>
                <w:szCs w:val="21"/>
              </w:rPr>
              <w:t>26</w:t>
            </w:r>
          </w:p>
        </w:tc>
        <w:tc>
          <w:tcPr>
            <w:tcW w:w="1219" w:type="dxa"/>
            <w:noWrap w:val="0"/>
            <w:vAlign w:val="center"/>
          </w:tcPr>
          <w:p>
            <w:pPr>
              <w:widowControl/>
              <w:spacing w:line="360" w:lineRule="auto"/>
              <w:jc w:val="center"/>
              <w:rPr>
                <w:bCs/>
                <w:szCs w:val="21"/>
              </w:rPr>
            </w:pPr>
            <w:r>
              <w:rPr>
                <w:bCs/>
                <w:szCs w:val="21"/>
              </w:rPr>
              <w:t>36.7</w:t>
            </w:r>
          </w:p>
        </w:tc>
        <w:tc>
          <w:tcPr>
            <w:tcW w:w="2317" w:type="dxa"/>
            <w:vMerge w:val="restart"/>
            <w:noWrap w:val="0"/>
            <w:vAlign w:val="center"/>
          </w:tcPr>
          <w:p>
            <w:pPr>
              <w:widowControl/>
              <w:spacing w:line="360" w:lineRule="auto"/>
              <w:jc w:val="center"/>
              <w:rPr>
                <w:bCs/>
                <w:szCs w:val="21"/>
              </w:rPr>
            </w:pPr>
            <w:r>
              <w:rPr>
                <w:bCs/>
                <w:szCs w:val="21"/>
              </w:rPr>
              <w:t>38.8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vMerge w:val="continue"/>
            <w:noWrap w:val="0"/>
            <w:vAlign w:val="center"/>
          </w:tcPr>
          <w:p>
            <w:pPr>
              <w:rPr>
                <w:bCs/>
                <w:sz w:val="20"/>
                <w:szCs w:val="20"/>
              </w:rPr>
            </w:pPr>
          </w:p>
        </w:tc>
        <w:tc>
          <w:tcPr>
            <w:tcW w:w="1097" w:type="dxa"/>
            <w:vMerge w:val="continue"/>
            <w:noWrap w:val="0"/>
            <w:vAlign w:val="center"/>
          </w:tcPr>
          <w:p>
            <w:pPr>
              <w:rPr>
                <w:bCs/>
                <w:sz w:val="20"/>
                <w:szCs w:val="20"/>
              </w:rPr>
            </w:pPr>
          </w:p>
        </w:tc>
        <w:tc>
          <w:tcPr>
            <w:tcW w:w="1590" w:type="dxa"/>
            <w:noWrap w:val="0"/>
            <w:vAlign w:val="center"/>
          </w:tcPr>
          <w:p>
            <w:pPr>
              <w:widowControl/>
              <w:spacing w:line="360" w:lineRule="auto"/>
              <w:jc w:val="center"/>
              <w:rPr>
                <w:bCs/>
                <w:szCs w:val="21"/>
              </w:rPr>
            </w:pPr>
            <w:r>
              <w:rPr>
                <w:bCs/>
                <w:kern w:val="0"/>
                <w:szCs w:val="21"/>
                <w:lang w:bidi="ar"/>
              </w:rPr>
              <w:t>猪叫声</w:t>
            </w:r>
          </w:p>
        </w:tc>
        <w:tc>
          <w:tcPr>
            <w:tcW w:w="1923" w:type="dxa"/>
            <w:noWrap w:val="0"/>
            <w:vAlign w:val="center"/>
          </w:tcPr>
          <w:p>
            <w:pPr>
              <w:widowControl/>
              <w:spacing w:line="360" w:lineRule="auto"/>
              <w:jc w:val="center"/>
              <w:rPr>
                <w:bCs/>
                <w:szCs w:val="21"/>
              </w:rPr>
            </w:pPr>
            <w:r>
              <w:rPr>
                <w:bCs/>
                <w:szCs w:val="21"/>
              </w:rPr>
              <w:t>28</w:t>
            </w:r>
          </w:p>
        </w:tc>
        <w:tc>
          <w:tcPr>
            <w:tcW w:w="1219" w:type="dxa"/>
            <w:noWrap w:val="0"/>
            <w:vAlign w:val="center"/>
          </w:tcPr>
          <w:p>
            <w:pPr>
              <w:widowControl/>
              <w:spacing w:line="360" w:lineRule="auto"/>
              <w:jc w:val="center"/>
              <w:rPr>
                <w:bCs/>
                <w:szCs w:val="21"/>
              </w:rPr>
            </w:pPr>
            <w:r>
              <w:rPr>
                <w:bCs/>
                <w:szCs w:val="21"/>
              </w:rPr>
              <w:t>26.1</w:t>
            </w:r>
          </w:p>
        </w:tc>
        <w:tc>
          <w:tcPr>
            <w:tcW w:w="2317" w:type="dxa"/>
            <w:vMerge w:val="continue"/>
            <w:noWrap w:val="0"/>
            <w:vAlign w:val="center"/>
          </w:tcPr>
          <w:p>
            <w:pPr>
              <w:rPr>
                <w:bCs/>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vMerge w:val="continue"/>
            <w:noWrap w:val="0"/>
            <w:vAlign w:val="center"/>
          </w:tcPr>
          <w:p>
            <w:pPr>
              <w:rPr>
                <w:bCs/>
                <w:sz w:val="20"/>
                <w:szCs w:val="20"/>
              </w:rPr>
            </w:pPr>
          </w:p>
        </w:tc>
        <w:tc>
          <w:tcPr>
            <w:tcW w:w="1097" w:type="dxa"/>
            <w:vMerge w:val="continue"/>
            <w:noWrap w:val="0"/>
            <w:vAlign w:val="center"/>
          </w:tcPr>
          <w:p>
            <w:pPr>
              <w:rPr>
                <w:bCs/>
                <w:sz w:val="20"/>
                <w:szCs w:val="20"/>
              </w:rPr>
            </w:pPr>
          </w:p>
        </w:tc>
        <w:tc>
          <w:tcPr>
            <w:tcW w:w="1590" w:type="dxa"/>
            <w:noWrap w:val="0"/>
            <w:vAlign w:val="center"/>
          </w:tcPr>
          <w:p>
            <w:pPr>
              <w:widowControl/>
              <w:spacing w:line="360" w:lineRule="auto"/>
              <w:jc w:val="center"/>
              <w:rPr>
                <w:bCs/>
                <w:szCs w:val="21"/>
              </w:rPr>
            </w:pPr>
            <w:r>
              <w:rPr>
                <w:bCs/>
                <w:kern w:val="0"/>
                <w:szCs w:val="21"/>
                <w:lang w:bidi="ar"/>
              </w:rPr>
              <w:t>水泵</w:t>
            </w:r>
          </w:p>
        </w:tc>
        <w:tc>
          <w:tcPr>
            <w:tcW w:w="1923" w:type="dxa"/>
            <w:noWrap w:val="0"/>
            <w:vAlign w:val="center"/>
          </w:tcPr>
          <w:p>
            <w:pPr>
              <w:widowControl/>
              <w:spacing w:line="360" w:lineRule="auto"/>
              <w:jc w:val="center"/>
              <w:rPr>
                <w:bCs/>
                <w:szCs w:val="21"/>
              </w:rPr>
            </w:pPr>
            <w:r>
              <w:rPr>
                <w:bCs/>
                <w:szCs w:val="21"/>
              </w:rPr>
              <w:t>20</w:t>
            </w:r>
          </w:p>
        </w:tc>
        <w:tc>
          <w:tcPr>
            <w:tcW w:w="1219" w:type="dxa"/>
            <w:noWrap w:val="0"/>
            <w:vAlign w:val="center"/>
          </w:tcPr>
          <w:p>
            <w:pPr>
              <w:widowControl/>
              <w:spacing w:line="360" w:lineRule="auto"/>
              <w:jc w:val="center"/>
              <w:rPr>
                <w:bCs/>
                <w:szCs w:val="21"/>
              </w:rPr>
            </w:pPr>
            <w:r>
              <w:rPr>
                <w:bCs/>
                <w:szCs w:val="21"/>
              </w:rPr>
              <w:t>34.0</w:t>
            </w:r>
          </w:p>
        </w:tc>
        <w:tc>
          <w:tcPr>
            <w:tcW w:w="2317" w:type="dxa"/>
            <w:vMerge w:val="continue"/>
            <w:noWrap w:val="0"/>
            <w:vAlign w:val="center"/>
          </w:tcPr>
          <w:p>
            <w:pPr>
              <w:rPr>
                <w:bCs/>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vMerge w:val="continue"/>
            <w:noWrap w:val="0"/>
            <w:vAlign w:val="center"/>
          </w:tcPr>
          <w:p>
            <w:pPr>
              <w:rPr>
                <w:bCs/>
                <w:sz w:val="20"/>
                <w:szCs w:val="20"/>
              </w:rPr>
            </w:pPr>
          </w:p>
        </w:tc>
        <w:tc>
          <w:tcPr>
            <w:tcW w:w="1097" w:type="dxa"/>
            <w:vMerge w:val="continue"/>
            <w:noWrap w:val="0"/>
            <w:vAlign w:val="center"/>
          </w:tcPr>
          <w:p>
            <w:pPr>
              <w:rPr>
                <w:bCs/>
                <w:sz w:val="20"/>
                <w:szCs w:val="20"/>
              </w:rPr>
            </w:pPr>
          </w:p>
        </w:tc>
        <w:tc>
          <w:tcPr>
            <w:tcW w:w="1590" w:type="dxa"/>
            <w:noWrap w:val="0"/>
            <w:vAlign w:val="center"/>
          </w:tcPr>
          <w:p>
            <w:pPr>
              <w:widowControl/>
              <w:spacing w:line="360" w:lineRule="auto"/>
              <w:jc w:val="center"/>
              <w:rPr>
                <w:bCs/>
                <w:kern w:val="0"/>
                <w:szCs w:val="21"/>
                <w:lang w:bidi="ar"/>
              </w:rPr>
            </w:pPr>
            <w:r>
              <w:rPr>
                <w:rFonts w:hint="eastAsia"/>
                <w:bCs/>
                <w:kern w:val="0"/>
                <w:szCs w:val="21"/>
                <w:lang w:bidi="ar"/>
              </w:rPr>
              <w:t>固液分离</w:t>
            </w:r>
            <w:r>
              <w:rPr>
                <w:bCs/>
                <w:kern w:val="0"/>
                <w:szCs w:val="21"/>
                <w:lang w:bidi="ar"/>
              </w:rPr>
              <w:t>机</w:t>
            </w:r>
          </w:p>
        </w:tc>
        <w:tc>
          <w:tcPr>
            <w:tcW w:w="1923" w:type="dxa"/>
            <w:noWrap w:val="0"/>
            <w:vAlign w:val="center"/>
          </w:tcPr>
          <w:p>
            <w:pPr>
              <w:widowControl/>
              <w:spacing w:line="360" w:lineRule="auto"/>
              <w:jc w:val="center"/>
              <w:rPr>
                <w:bCs/>
                <w:kern w:val="0"/>
                <w:szCs w:val="21"/>
                <w:lang w:bidi="ar"/>
              </w:rPr>
            </w:pPr>
            <w:r>
              <w:rPr>
                <w:rFonts w:hint="eastAsia"/>
                <w:bCs/>
                <w:kern w:val="0"/>
                <w:szCs w:val="21"/>
                <w:lang w:bidi="ar"/>
              </w:rPr>
              <w:t>185</w:t>
            </w:r>
          </w:p>
        </w:tc>
        <w:tc>
          <w:tcPr>
            <w:tcW w:w="1219" w:type="dxa"/>
            <w:noWrap w:val="0"/>
            <w:vAlign w:val="center"/>
          </w:tcPr>
          <w:p>
            <w:pPr>
              <w:widowControl/>
              <w:spacing w:line="360" w:lineRule="auto"/>
              <w:jc w:val="center"/>
              <w:rPr>
                <w:bCs/>
                <w:kern w:val="0"/>
                <w:szCs w:val="21"/>
                <w:lang w:bidi="ar"/>
              </w:rPr>
            </w:pPr>
            <w:r>
              <w:rPr>
                <w:rFonts w:hint="eastAsia"/>
                <w:bCs/>
                <w:kern w:val="0"/>
                <w:szCs w:val="21"/>
                <w:lang w:bidi="ar"/>
              </w:rPr>
              <w:t>14.7</w:t>
            </w:r>
          </w:p>
        </w:tc>
        <w:tc>
          <w:tcPr>
            <w:tcW w:w="2317" w:type="dxa"/>
            <w:vMerge w:val="continue"/>
            <w:noWrap w:val="0"/>
            <w:vAlign w:val="center"/>
          </w:tcPr>
          <w:p>
            <w:pPr>
              <w:rPr>
                <w:bCs/>
                <w:sz w:val="20"/>
                <w:szCs w:val="20"/>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00" w:type="dxa"/>
            <w:vMerge w:val="continue"/>
            <w:noWrap w:val="0"/>
            <w:vAlign w:val="center"/>
          </w:tcPr>
          <w:p>
            <w:pPr>
              <w:rPr>
                <w:bCs/>
                <w:sz w:val="20"/>
                <w:szCs w:val="20"/>
              </w:rPr>
            </w:pPr>
          </w:p>
        </w:tc>
        <w:tc>
          <w:tcPr>
            <w:tcW w:w="1097" w:type="dxa"/>
            <w:vMerge w:val="continue"/>
            <w:noWrap w:val="0"/>
            <w:vAlign w:val="center"/>
          </w:tcPr>
          <w:p>
            <w:pPr>
              <w:rPr>
                <w:bCs/>
                <w:sz w:val="20"/>
                <w:szCs w:val="20"/>
              </w:rPr>
            </w:pPr>
          </w:p>
        </w:tc>
        <w:tc>
          <w:tcPr>
            <w:tcW w:w="1590" w:type="dxa"/>
            <w:noWrap w:val="0"/>
            <w:vAlign w:val="center"/>
          </w:tcPr>
          <w:p>
            <w:pPr>
              <w:widowControl/>
              <w:spacing w:line="360" w:lineRule="auto"/>
              <w:jc w:val="center"/>
              <w:rPr>
                <w:rFonts w:hint="eastAsia"/>
                <w:bCs/>
                <w:kern w:val="0"/>
                <w:szCs w:val="21"/>
                <w:lang w:bidi="ar"/>
              </w:rPr>
            </w:pPr>
            <w:r>
              <w:rPr>
                <w:bCs/>
                <w:kern w:val="0"/>
                <w:szCs w:val="21"/>
                <w:lang w:bidi="ar"/>
              </w:rPr>
              <w:t>翻抛机</w:t>
            </w:r>
          </w:p>
        </w:tc>
        <w:tc>
          <w:tcPr>
            <w:tcW w:w="1923" w:type="dxa"/>
            <w:noWrap w:val="0"/>
            <w:vAlign w:val="center"/>
          </w:tcPr>
          <w:p>
            <w:pPr>
              <w:widowControl/>
              <w:spacing w:line="360" w:lineRule="auto"/>
              <w:jc w:val="center"/>
              <w:rPr>
                <w:rFonts w:hint="eastAsia"/>
                <w:bCs/>
                <w:kern w:val="0"/>
                <w:szCs w:val="21"/>
                <w:lang w:bidi="ar"/>
              </w:rPr>
            </w:pPr>
            <w:r>
              <w:rPr>
                <w:rFonts w:hint="eastAsia"/>
                <w:bCs/>
                <w:kern w:val="0"/>
                <w:szCs w:val="21"/>
                <w:lang w:bidi="ar"/>
              </w:rPr>
              <w:t>185</w:t>
            </w:r>
          </w:p>
        </w:tc>
        <w:tc>
          <w:tcPr>
            <w:tcW w:w="1219" w:type="dxa"/>
            <w:noWrap w:val="0"/>
            <w:vAlign w:val="center"/>
          </w:tcPr>
          <w:p>
            <w:pPr>
              <w:widowControl/>
              <w:spacing w:line="360" w:lineRule="auto"/>
              <w:jc w:val="center"/>
              <w:rPr>
                <w:rFonts w:hint="eastAsia"/>
                <w:bCs/>
                <w:kern w:val="0"/>
                <w:szCs w:val="21"/>
                <w:lang w:bidi="ar"/>
              </w:rPr>
            </w:pPr>
            <w:r>
              <w:rPr>
                <w:rFonts w:hint="eastAsia"/>
                <w:bCs/>
                <w:kern w:val="0"/>
                <w:szCs w:val="21"/>
                <w:lang w:bidi="ar"/>
              </w:rPr>
              <w:t>14.7</w:t>
            </w:r>
          </w:p>
        </w:tc>
        <w:tc>
          <w:tcPr>
            <w:tcW w:w="2317" w:type="dxa"/>
            <w:vMerge w:val="continue"/>
            <w:noWrap w:val="0"/>
            <w:vAlign w:val="center"/>
          </w:tcPr>
          <w:p>
            <w:pPr>
              <w:rPr>
                <w:bCs/>
                <w:sz w:val="20"/>
                <w:szCs w:val="20"/>
              </w:rPr>
            </w:pPr>
          </w:p>
        </w:tc>
      </w:tr>
    </w:tbl>
    <w:p>
      <w:pPr>
        <w:adjustRightInd w:val="0"/>
        <w:snapToGrid w:val="0"/>
        <w:spacing w:line="520" w:lineRule="exact"/>
        <w:ind w:firstLine="472" w:firstLineChars="197"/>
        <w:rPr>
          <w:bCs/>
          <w:sz w:val="24"/>
        </w:rPr>
      </w:pPr>
      <w:r>
        <w:rPr>
          <w:bCs/>
          <w:kern w:val="0"/>
          <w:sz w:val="24"/>
          <w:lang w:bidi="ar"/>
        </w:rPr>
        <w:t>由以上分析知：项目主要噪声设备经采取厂房隔声、基础减振及场区绿化等降噪措施，并经一定距离衰减后，预测各场界噪声贡献能够满足《工业企业厂界环境噪声排放标准》（GB12348—2008）2类昼间标准要求。</w:t>
      </w:r>
    </w:p>
    <w:p>
      <w:pPr>
        <w:pStyle w:val="2"/>
        <w:spacing w:before="0" w:after="0" w:line="520" w:lineRule="exact"/>
        <w:rPr>
          <w:rFonts w:eastAsia="黑体"/>
          <w:b w:val="0"/>
          <w:sz w:val="24"/>
          <w:szCs w:val="24"/>
        </w:rPr>
      </w:pPr>
      <w:bookmarkStart w:id="417" w:name="_Toc406847760"/>
      <w:bookmarkEnd w:id="417"/>
      <w:bookmarkStart w:id="418" w:name="_Toc413053023"/>
      <w:r>
        <w:rPr>
          <w:rFonts w:eastAsia="黑体"/>
          <w:b w:val="0"/>
          <w:sz w:val="24"/>
          <w:szCs w:val="24"/>
        </w:rPr>
        <w:t>4</w:t>
      </w:r>
      <w:bookmarkEnd w:id="418"/>
      <w:r>
        <w:rPr>
          <w:rFonts w:eastAsia="黑体"/>
          <w:b w:val="0"/>
          <w:sz w:val="24"/>
          <w:szCs w:val="24"/>
        </w:rPr>
        <w:t>.2.5 固体废物对环境的影响分析</w:t>
      </w:r>
    </w:p>
    <w:p>
      <w:pPr>
        <w:adjustRightInd w:val="0"/>
        <w:snapToGrid w:val="0"/>
        <w:spacing w:line="520" w:lineRule="exact"/>
        <w:ind w:firstLine="480" w:firstLineChars="200"/>
        <w:rPr>
          <w:sz w:val="24"/>
        </w:rPr>
      </w:pPr>
      <w:r>
        <w:rPr>
          <w:kern w:val="0"/>
          <w:sz w:val="24"/>
          <w:lang w:bidi="ar"/>
        </w:rPr>
        <w:t>根据工程分析可知，项目营运期产生的固废主要包括猪粪固形物、厌氧发酵后的沼渣、养殖过程产生的病死猪尸及疾病防疫产生的医疗废物、废脱硫剂。项目营运期固体废物产生情况及处置措施见表4.2-28。</w:t>
      </w:r>
    </w:p>
    <w:p>
      <w:pPr>
        <w:spacing w:after="93" w:afterLines="30" w:line="500" w:lineRule="exact"/>
        <w:jc w:val="center"/>
        <w:rPr>
          <w:b/>
          <w:kern w:val="0"/>
          <w:sz w:val="24"/>
          <w:lang w:bidi="ar"/>
        </w:rPr>
      </w:pPr>
      <w:r>
        <w:rPr>
          <w:b/>
          <w:kern w:val="0"/>
          <w:sz w:val="24"/>
          <w:lang w:bidi="ar"/>
        </w:rPr>
        <w:t>表4.2-28     项目固体废物产生情况及处置措施一览表</w:t>
      </w:r>
    </w:p>
    <w:tbl>
      <w:tblPr>
        <w:tblStyle w:val="17"/>
        <w:tblW w:w="894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27"/>
        <w:gridCol w:w="1566"/>
        <w:gridCol w:w="1276"/>
        <w:gridCol w:w="1274"/>
        <w:gridCol w:w="993"/>
        <w:gridCol w:w="2400"/>
        <w:gridCol w:w="9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527" w:type="dxa"/>
            <w:noWrap w:val="0"/>
            <w:tcMar>
              <w:top w:w="0" w:type="dxa"/>
              <w:left w:w="28" w:type="dxa"/>
              <w:bottom w:w="0" w:type="dxa"/>
              <w:right w:w="28" w:type="dxa"/>
            </w:tcMar>
            <w:vAlign w:val="center"/>
          </w:tcPr>
          <w:p>
            <w:pPr>
              <w:jc w:val="center"/>
              <w:rPr>
                <w:b/>
                <w:bCs/>
                <w:szCs w:val="21"/>
              </w:rPr>
            </w:pPr>
            <w:r>
              <w:rPr>
                <w:b/>
                <w:bCs/>
                <w:szCs w:val="21"/>
              </w:rPr>
              <w:t>序号</w:t>
            </w:r>
          </w:p>
        </w:tc>
        <w:tc>
          <w:tcPr>
            <w:tcW w:w="1566" w:type="dxa"/>
            <w:noWrap w:val="0"/>
            <w:tcMar>
              <w:top w:w="0" w:type="dxa"/>
              <w:left w:w="28" w:type="dxa"/>
              <w:bottom w:w="0" w:type="dxa"/>
              <w:right w:w="28" w:type="dxa"/>
            </w:tcMar>
            <w:vAlign w:val="center"/>
          </w:tcPr>
          <w:p>
            <w:pPr>
              <w:jc w:val="center"/>
              <w:rPr>
                <w:b/>
                <w:bCs/>
                <w:szCs w:val="21"/>
              </w:rPr>
            </w:pPr>
            <w:r>
              <w:rPr>
                <w:b/>
                <w:bCs/>
                <w:szCs w:val="21"/>
              </w:rPr>
              <w:t>产生环节</w:t>
            </w:r>
          </w:p>
        </w:tc>
        <w:tc>
          <w:tcPr>
            <w:tcW w:w="1276" w:type="dxa"/>
            <w:noWrap w:val="0"/>
            <w:tcMar>
              <w:top w:w="0" w:type="dxa"/>
              <w:left w:w="28" w:type="dxa"/>
              <w:bottom w:w="0" w:type="dxa"/>
              <w:right w:w="28" w:type="dxa"/>
            </w:tcMar>
            <w:vAlign w:val="center"/>
          </w:tcPr>
          <w:p>
            <w:pPr>
              <w:jc w:val="center"/>
              <w:rPr>
                <w:b/>
                <w:bCs/>
                <w:szCs w:val="21"/>
              </w:rPr>
            </w:pPr>
            <w:r>
              <w:rPr>
                <w:b/>
                <w:bCs/>
                <w:szCs w:val="21"/>
              </w:rPr>
              <w:t>名称</w:t>
            </w:r>
          </w:p>
        </w:tc>
        <w:tc>
          <w:tcPr>
            <w:tcW w:w="1274" w:type="dxa"/>
            <w:noWrap w:val="0"/>
            <w:tcMar>
              <w:top w:w="0" w:type="dxa"/>
              <w:left w:w="28" w:type="dxa"/>
              <w:bottom w:w="0" w:type="dxa"/>
              <w:right w:w="28" w:type="dxa"/>
            </w:tcMar>
            <w:vAlign w:val="center"/>
          </w:tcPr>
          <w:p>
            <w:pPr>
              <w:jc w:val="center"/>
              <w:rPr>
                <w:b/>
                <w:bCs/>
                <w:szCs w:val="21"/>
              </w:rPr>
            </w:pPr>
            <w:r>
              <w:rPr>
                <w:b/>
                <w:bCs/>
                <w:szCs w:val="21"/>
              </w:rPr>
              <w:t>固废性质</w:t>
            </w:r>
          </w:p>
        </w:tc>
        <w:tc>
          <w:tcPr>
            <w:tcW w:w="993" w:type="dxa"/>
            <w:tcBorders>
              <w:bottom w:val="single" w:color="auto" w:sz="4" w:space="0"/>
            </w:tcBorders>
            <w:noWrap w:val="0"/>
            <w:tcMar>
              <w:top w:w="0" w:type="dxa"/>
              <w:left w:w="28" w:type="dxa"/>
              <w:bottom w:w="0" w:type="dxa"/>
              <w:right w:w="28" w:type="dxa"/>
            </w:tcMar>
            <w:vAlign w:val="center"/>
          </w:tcPr>
          <w:p>
            <w:pPr>
              <w:jc w:val="center"/>
              <w:rPr>
                <w:b/>
                <w:bCs/>
                <w:szCs w:val="21"/>
              </w:rPr>
            </w:pPr>
            <w:r>
              <w:rPr>
                <w:b/>
                <w:bCs/>
                <w:szCs w:val="21"/>
              </w:rPr>
              <w:t>产生量（t/a）</w:t>
            </w:r>
          </w:p>
        </w:tc>
        <w:tc>
          <w:tcPr>
            <w:tcW w:w="2400" w:type="dxa"/>
            <w:tcBorders>
              <w:bottom w:val="single" w:color="auto" w:sz="4" w:space="0"/>
            </w:tcBorders>
            <w:noWrap w:val="0"/>
            <w:tcMar>
              <w:top w:w="0" w:type="dxa"/>
              <w:left w:w="28" w:type="dxa"/>
              <w:bottom w:w="0" w:type="dxa"/>
              <w:right w:w="28" w:type="dxa"/>
            </w:tcMar>
            <w:vAlign w:val="center"/>
          </w:tcPr>
          <w:p>
            <w:pPr>
              <w:jc w:val="center"/>
              <w:rPr>
                <w:b/>
                <w:bCs/>
                <w:szCs w:val="21"/>
              </w:rPr>
            </w:pPr>
            <w:r>
              <w:rPr>
                <w:b/>
                <w:bCs/>
                <w:szCs w:val="21"/>
              </w:rPr>
              <w:t>处置措施</w:t>
            </w:r>
          </w:p>
        </w:tc>
        <w:tc>
          <w:tcPr>
            <w:tcW w:w="910" w:type="dxa"/>
            <w:tcBorders>
              <w:bottom w:val="single" w:color="auto" w:sz="4" w:space="0"/>
            </w:tcBorders>
            <w:noWrap w:val="0"/>
            <w:tcMar>
              <w:top w:w="0" w:type="dxa"/>
              <w:left w:w="28" w:type="dxa"/>
              <w:bottom w:w="0" w:type="dxa"/>
              <w:right w:w="28" w:type="dxa"/>
            </w:tcMar>
            <w:vAlign w:val="center"/>
          </w:tcPr>
          <w:p>
            <w:pPr>
              <w:jc w:val="center"/>
              <w:rPr>
                <w:b/>
                <w:bCs/>
                <w:szCs w:val="21"/>
              </w:rPr>
            </w:pPr>
            <w:r>
              <w:rPr>
                <w:b/>
                <w:bCs/>
                <w:szCs w:val="21"/>
              </w:rPr>
              <w:t>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7" w:type="dxa"/>
            <w:vMerge w:val="restart"/>
            <w:noWrap w:val="0"/>
            <w:tcMar>
              <w:top w:w="0" w:type="dxa"/>
              <w:left w:w="28" w:type="dxa"/>
              <w:bottom w:w="0" w:type="dxa"/>
              <w:right w:w="28" w:type="dxa"/>
            </w:tcMar>
            <w:vAlign w:val="center"/>
          </w:tcPr>
          <w:p>
            <w:pPr>
              <w:jc w:val="center"/>
              <w:rPr>
                <w:bCs/>
                <w:szCs w:val="21"/>
              </w:rPr>
            </w:pPr>
            <w:r>
              <w:rPr>
                <w:bCs/>
                <w:szCs w:val="21"/>
              </w:rPr>
              <w:t>1</w:t>
            </w:r>
          </w:p>
        </w:tc>
        <w:tc>
          <w:tcPr>
            <w:tcW w:w="1566" w:type="dxa"/>
            <w:noWrap w:val="0"/>
            <w:tcMar>
              <w:top w:w="0" w:type="dxa"/>
              <w:left w:w="28" w:type="dxa"/>
              <w:bottom w:w="0" w:type="dxa"/>
              <w:right w:w="28" w:type="dxa"/>
            </w:tcMar>
            <w:vAlign w:val="center"/>
          </w:tcPr>
          <w:p>
            <w:pPr>
              <w:jc w:val="center"/>
              <w:rPr>
                <w:rFonts w:hint="eastAsia"/>
                <w:bCs/>
                <w:szCs w:val="21"/>
              </w:rPr>
            </w:pPr>
            <w:r>
              <w:rPr>
                <w:rFonts w:hint="eastAsia"/>
                <w:bCs/>
                <w:szCs w:val="21"/>
              </w:rPr>
              <w:t>猪舍</w:t>
            </w:r>
          </w:p>
        </w:tc>
        <w:tc>
          <w:tcPr>
            <w:tcW w:w="1276" w:type="dxa"/>
            <w:noWrap w:val="0"/>
            <w:tcMar>
              <w:top w:w="0" w:type="dxa"/>
              <w:left w:w="28" w:type="dxa"/>
              <w:bottom w:w="0" w:type="dxa"/>
              <w:right w:w="28" w:type="dxa"/>
            </w:tcMar>
            <w:vAlign w:val="center"/>
          </w:tcPr>
          <w:p>
            <w:pPr>
              <w:jc w:val="center"/>
              <w:rPr>
                <w:bCs/>
                <w:szCs w:val="21"/>
              </w:rPr>
            </w:pPr>
            <w:r>
              <w:rPr>
                <w:szCs w:val="21"/>
              </w:rPr>
              <w:t>猪粪固形物</w:t>
            </w:r>
          </w:p>
        </w:tc>
        <w:tc>
          <w:tcPr>
            <w:tcW w:w="1274" w:type="dxa"/>
            <w:noWrap w:val="0"/>
            <w:tcMar>
              <w:top w:w="0" w:type="dxa"/>
              <w:left w:w="28" w:type="dxa"/>
              <w:bottom w:w="0" w:type="dxa"/>
              <w:right w:w="28" w:type="dxa"/>
            </w:tcMar>
            <w:vAlign w:val="center"/>
          </w:tcPr>
          <w:p>
            <w:pPr>
              <w:jc w:val="center"/>
              <w:rPr>
                <w:bCs/>
                <w:szCs w:val="21"/>
              </w:rPr>
            </w:pPr>
            <w:r>
              <w:rPr>
                <w:szCs w:val="21"/>
              </w:rPr>
              <w:t>一般固废</w:t>
            </w:r>
          </w:p>
        </w:tc>
        <w:tc>
          <w:tcPr>
            <w:tcW w:w="993" w:type="dxa"/>
            <w:noWrap w:val="0"/>
            <w:tcMar>
              <w:top w:w="0" w:type="dxa"/>
              <w:left w:w="28" w:type="dxa"/>
              <w:bottom w:w="0" w:type="dxa"/>
              <w:right w:w="28" w:type="dxa"/>
            </w:tcMar>
            <w:vAlign w:val="center"/>
          </w:tcPr>
          <w:p>
            <w:pPr>
              <w:jc w:val="center"/>
              <w:rPr>
                <w:rFonts w:hint="eastAsia" w:eastAsia="宋体"/>
                <w:bCs/>
                <w:szCs w:val="21"/>
                <w:lang w:eastAsia="zh-CN"/>
              </w:rPr>
            </w:pPr>
            <w:r>
              <w:rPr>
                <w:rFonts w:hint="eastAsia"/>
                <w:bCs/>
                <w:szCs w:val="21"/>
                <w:lang w:eastAsia="zh-CN"/>
              </w:rPr>
              <w:t>1549.863</w:t>
            </w:r>
          </w:p>
        </w:tc>
        <w:tc>
          <w:tcPr>
            <w:tcW w:w="2400" w:type="dxa"/>
            <w:noWrap w:val="0"/>
            <w:tcMar>
              <w:top w:w="0" w:type="dxa"/>
              <w:left w:w="28" w:type="dxa"/>
              <w:bottom w:w="0" w:type="dxa"/>
              <w:right w:w="28" w:type="dxa"/>
            </w:tcMar>
            <w:vAlign w:val="center"/>
          </w:tcPr>
          <w:p>
            <w:pPr>
              <w:jc w:val="center"/>
              <w:rPr>
                <w:rFonts w:hint="eastAsia"/>
                <w:bCs/>
                <w:szCs w:val="21"/>
              </w:rPr>
            </w:pPr>
            <w:r>
              <w:rPr>
                <w:rFonts w:hint="eastAsia"/>
                <w:bCs/>
                <w:szCs w:val="21"/>
              </w:rPr>
              <w:t>生产有机肥基料</w:t>
            </w:r>
          </w:p>
        </w:tc>
        <w:tc>
          <w:tcPr>
            <w:tcW w:w="910" w:type="dxa"/>
            <w:noWrap w:val="0"/>
            <w:tcMar>
              <w:top w:w="0" w:type="dxa"/>
              <w:left w:w="28" w:type="dxa"/>
              <w:bottom w:w="0" w:type="dxa"/>
              <w:right w:w="28" w:type="dxa"/>
            </w:tcMar>
            <w:vAlign w:val="center"/>
          </w:tcPr>
          <w:p>
            <w:pPr>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 w:hRule="atLeast"/>
        </w:trPr>
        <w:tc>
          <w:tcPr>
            <w:tcW w:w="527" w:type="dxa"/>
            <w:vMerge w:val="continue"/>
            <w:noWrap w:val="0"/>
            <w:tcMar>
              <w:top w:w="0" w:type="dxa"/>
              <w:left w:w="28" w:type="dxa"/>
              <w:bottom w:w="0" w:type="dxa"/>
              <w:right w:w="28" w:type="dxa"/>
            </w:tcMar>
            <w:vAlign w:val="center"/>
          </w:tcPr>
          <w:p>
            <w:pPr>
              <w:jc w:val="center"/>
              <w:rPr>
                <w:bCs/>
                <w:szCs w:val="21"/>
              </w:rPr>
            </w:pPr>
          </w:p>
        </w:tc>
        <w:tc>
          <w:tcPr>
            <w:tcW w:w="1566" w:type="dxa"/>
            <w:vMerge w:val="restart"/>
            <w:noWrap w:val="0"/>
            <w:tcMar>
              <w:top w:w="0" w:type="dxa"/>
              <w:left w:w="28" w:type="dxa"/>
              <w:bottom w:w="0" w:type="dxa"/>
              <w:right w:w="28" w:type="dxa"/>
            </w:tcMar>
            <w:vAlign w:val="center"/>
          </w:tcPr>
          <w:p>
            <w:pPr>
              <w:jc w:val="center"/>
              <w:rPr>
                <w:szCs w:val="21"/>
              </w:rPr>
            </w:pPr>
            <w:r>
              <w:rPr>
                <w:rFonts w:hint="eastAsia"/>
                <w:szCs w:val="21"/>
              </w:rPr>
              <w:t>黑膜沼气池</w:t>
            </w:r>
          </w:p>
        </w:tc>
        <w:tc>
          <w:tcPr>
            <w:tcW w:w="1276" w:type="dxa"/>
            <w:vMerge w:val="restart"/>
            <w:noWrap w:val="0"/>
            <w:tcMar>
              <w:top w:w="0" w:type="dxa"/>
              <w:left w:w="28" w:type="dxa"/>
              <w:bottom w:w="0" w:type="dxa"/>
              <w:right w:w="28" w:type="dxa"/>
            </w:tcMar>
            <w:vAlign w:val="center"/>
          </w:tcPr>
          <w:p>
            <w:pPr>
              <w:jc w:val="center"/>
              <w:rPr>
                <w:szCs w:val="21"/>
              </w:rPr>
            </w:pPr>
            <w:r>
              <w:rPr>
                <w:szCs w:val="21"/>
              </w:rPr>
              <w:t>沼渣</w:t>
            </w:r>
          </w:p>
        </w:tc>
        <w:tc>
          <w:tcPr>
            <w:tcW w:w="1274" w:type="dxa"/>
            <w:vMerge w:val="restart"/>
            <w:noWrap w:val="0"/>
            <w:tcMar>
              <w:top w:w="0" w:type="dxa"/>
              <w:left w:w="28" w:type="dxa"/>
              <w:bottom w:w="0" w:type="dxa"/>
              <w:right w:w="28" w:type="dxa"/>
            </w:tcMar>
            <w:vAlign w:val="center"/>
          </w:tcPr>
          <w:p>
            <w:pPr>
              <w:jc w:val="center"/>
              <w:rPr>
                <w:bCs/>
                <w:szCs w:val="21"/>
              </w:rPr>
            </w:pPr>
            <w:r>
              <w:rPr>
                <w:szCs w:val="21"/>
              </w:rPr>
              <w:t>一般固废</w:t>
            </w:r>
          </w:p>
        </w:tc>
        <w:tc>
          <w:tcPr>
            <w:tcW w:w="993" w:type="dxa"/>
            <w:vMerge w:val="restart"/>
            <w:noWrap w:val="0"/>
            <w:tcMar>
              <w:top w:w="0" w:type="dxa"/>
              <w:left w:w="28" w:type="dxa"/>
              <w:bottom w:w="0" w:type="dxa"/>
              <w:right w:w="28" w:type="dxa"/>
            </w:tcMar>
            <w:vAlign w:val="center"/>
          </w:tcPr>
          <w:p>
            <w:pPr>
              <w:jc w:val="center"/>
              <w:rPr>
                <w:rFonts w:hint="eastAsia" w:eastAsia="宋体"/>
                <w:szCs w:val="21"/>
                <w:lang w:eastAsia="zh-CN"/>
              </w:rPr>
            </w:pPr>
            <w:r>
              <w:rPr>
                <w:rFonts w:hint="eastAsia"/>
                <w:szCs w:val="21"/>
                <w:lang w:eastAsia="zh-CN"/>
              </w:rPr>
              <w:t>309.9726</w:t>
            </w:r>
          </w:p>
        </w:tc>
        <w:tc>
          <w:tcPr>
            <w:tcW w:w="2400" w:type="dxa"/>
            <w:vMerge w:val="restart"/>
            <w:noWrap w:val="0"/>
            <w:tcMar>
              <w:top w:w="0" w:type="dxa"/>
              <w:left w:w="28" w:type="dxa"/>
              <w:bottom w:w="0" w:type="dxa"/>
              <w:right w:w="28" w:type="dxa"/>
            </w:tcMar>
            <w:vAlign w:val="center"/>
          </w:tcPr>
          <w:p>
            <w:pPr>
              <w:jc w:val="center"/>
              <w:rPr>
                <w:bCs/>
                <w:szCs w:val="21"/>
              </w:rPr>
            </w:pPr>
            <w:r>
              <w:rPr>
                <w:rFonts w:hint="eastAsia" w:hAnsi="宋体"/>
                <w:bCs/>
                <w:szCs w:val="21"/>
              </w:rPr>
              <w:t>干化后作为基料外售</w:t>
            </w:r>
          </w:p>
        </w:tc>
        <w:tc>
          <w:tcPr>
            <w:tcW w:w="910" w:type="dxa"/>
            <w:noWrap w:val="0"/>
            <w:tcMar>
              <w:top w:w="0" w:type="dxa"/>
              <w:left w:w="28" w:type="dxa"/>
              <w:bottom w:w="0" w:type="dxa"/>
              <w:right w:w="28" w:type="dxa"/>
            </w:tcMar>
            <w:vAlign w:val="center"/>
          </w:tcPr>
          <w:p>
            <w:pPr>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527" w:type="dxa"/>
            <w:vMerge w:val="continue"/>
            <w:noWrap w:val="0"/>
            <w:tcMar>
              <w:top w:w="0" w:type="dxa"/>
              <w:left w:w="28" w:type="dxa"/>
              <w:bottom w:w="0" w:type="dxa"/>
              <w:right w:w="28" w:type="dxa"/>
            </w:tcMar>
            <w:vAlign w:val="center"/>
          </w:tcPr>
          <w:p>
            <w:pPr>
              <w:jc w:val="center"/>
              <w:rPr>
                <w:bCs/>
                <w:szCs w:val="21"/>
              </w:rPr>
            </w:pPr>
          </w:p>
        </w:tc>
        <w:tc>
          <w:tcPr>
            <w:tcW w:w="1566" w:type="dxa"/>
            <w:vMerge w:val="continue"/>
            <w:noWrap w:val="0"/>
            <w:tcMar>
              <w:top w:w="0" w:type="dxa"/>
              <w:left w:w="28" w:type="dxa"/>
              <w:bottom w:w="0" w:type="dxa"/>
              <w:right w:w="28" w:type="dxa"/>
            </w:tcMar>
            <w:vAlign w:val="center"/>
          </w:tcPr>
          <w:p>
            <w:pPr>
              <w:jc w:val="center"/>
              <w:rPr>
                <w:rFonts w:hint="eastAsia"/>
                <w:szCs w:val="21"/>
              </w:rPr>
            </w:pPr>
          </w:p>
        </w:tc>
        <w:tc>
          <w:tcPr>
            <w:tcW w:w="1276" w:type="dxa"/>
            <w:vMerge w:val="continue"/>
            <w:noWrap w:val="0"/>
            <w:tcMar>
              <w:top w:w="0" w:type="dxa"/>
              <w:left w:w="28" w:type="dxa"/>
              <w:bottom w:w="0" w:type="dxa"/>
              <w:right w:w="28" w:type="dxa"/>
            </w:tcMar>
            <w:vAlign w:val="center"/>
          </w:tcPr>
          <w:p>
            <w:pPr>
              <w:jc w:val="center"/>
              <w:rPr>
                <w:szCs w:val="21"/>
              </w:rPr>
            </w:pPr>
          </w:p>
        </w:tc>
        <w:tc>
          <w:tcPr>
            <w:tcW w:w="1274" w:type="dxa"/>
            <w:vMerge w:val="continue"/>
            <w:noWrap w:val="0"/>
            <w:tcMar>
              <w:top w:w="0" w:type="dxa"/>
              <w:left w:w="28" w:type="dxa"/>
              <w:bottom w:w="0" w:type="dxa"/>
              <w:right w:w="28" w:type="dxa"/>
            </w:tcMar>
            <w:vAlign w:val="center"/>
          </w:tcPr>
          <w:p>
            <w:pPr>
              <w:jc w:val="center"/>
              <w:rPr>
                <w:szCs w:val="21"/>
              </w:rPr>
            </w:pPr>
          </w:p>
        </w:tc>
        <w:tc>
          <w:tcPr>
            <w:tcW w:w="993" w:type="dxa"/>
            <w:vMerge w:val="continue"/>
            <w:noWrap w:val="0"/>
            <w:tcMar>
              <w:top w:w="0" w:type="dxa"/>
              <w:left w:w="28" w:type="dxa"/>
              <w:bottom w:w="0" w:type="dxa"/>
              <w:right w:w="28" w:type="dxa"/>
            </w:tcMar>
            <w:vAlign w:val="center"/>
          </w:tcPr>
          <w:p>
            <w:pPr>
              <w:jc w:val="center"/>
              <w:rPr>
                <w:bCs/>
                <w:szCs w:val="21"/>
              </w:rPr>
            </w:pPr>
          </w:p>
        </w:tc>
        <w:tc>
          <w:tcPr>
            <w:tcW w:w="2400" w:type="dxa"/>
            <w:vMerge w:val="continue"/>
            <w:noWrap w:val="0"/>
            <w:tcMar>
              <w:top w:w="0" w:type="dxa"/>
              <w:left w:w="28" w:type="dxa"/>
              <w:bottom w:w="0" w:type="dxa"/>
              <w:right w:w="28" w:type="dxa"/>
            </w:tcMar>
            <w:vAlign w:val="center"/>
          </w:tcPr>
          <w:p>
            <w:pPr>
              <w:jc w:val="center"/>
              <w:rPr>
                <w:bCs/>
                <w:szCs w:val="21"/>
              </w:rPr>
            </w:pPr>
          </w:p>
        </w:tc>
        <w:tc>
          <w:tcPr>
            <w:tcW w:w="910" w:type="dxa"/>
            <w:noWrap w:val="0"/>
            <w:tcMar>
              <w:top w:w="0" w:type="dxa"/>
              <w:left w:w="28" w:type="dxa"/>
              <w:bottom w:w="0" w:type="dxa"/>
              <w:right w:w="28" w:type="dxa"/>
            </w:tcMar>
            <w:vAlign w:val="center"/>
          </w:tcPr>
          <w:p>
            <w:pPr>
              <w:jc w:val="center"/>
              <w:rPr>
                <w:szCs w:val="21"/>
              </w:rPr>
            </w:pPr>
            <w:r>
              <w:rPr>
                <w:rFonts w:hint="eastAsia"/>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7" w:type="dxa"/>
            <w:noWrap w:val="0"/>
            <w:tcMar>
              <w:top w:w="0" w:type="dxa"/>
              <w:left w:w="28" w:type="dxa"/>
              <w:bottom w:w="0" w:type="dxa"/>
              <w:right w:w="28" w:type="dxa"/>
            </w:tcMar>
            <w:vAlign w:val="center"/>
          </w:tcPr>
          <w:p>
            <w:pPr>
              <w:jc w:val="center"/>
              <w:rPr>
                <w:bCs/>
                <w:szCs w:val="21"/>
              </w:rPr>
            </w:pPr>
            <w:r>
              <w:rPr>
                <w:bCs/>
                <w:szCs w:val="21"/>
              </w:rPr>
              <w:t>2</w:t>
            </w:r>
          </w:p>
        </w:tc>
        <w:tc>
          <w:tcPr>
            <w:tcW w:w="1566" w:type="dxa"/>
            <w:noWrap w:val="0"/>
            <w:tcMar>
              <w:top w:w="0" w:type="dxa"/>
              <w:left w:w="28" w:type="dxa"/>
              <w:bottom w:w="0" w:type="dxa"/>
              <w:right w:w="28" w:type="dxa"/>
            </w:tcMar>
            <w:vAlign w:val="center"/>
          </w:tcPr>
          <w:p>
            <w:pPr>
              <w:jc w:val="center"/>
              <w:rPr>
                <w:szCs w:val="21"/>
              </w:rPr>
            </w:pPr>
            <w:r>
              <w:rPr>
                <w:szCs w:val="21"/>
              </w:rPr>
              <w:t>养殖过程</w:t>
            </w:r>
          </w:p>
        </w:tc>
        <w:tc>
          <w:tcPr>
            <w:tcW w:w="1276" w:type="dxa"/>
            <w:noWrap w:val="0"/>
            <w:tcMar>
              <w:top w:w="0" w:type="dxa"/>
              <w:left w:w="28" w:type="dxa"/>
              <w:bottom w:w="0" w:type="dxa"/>
              <w:right w:w="28" w:type="dxa"/>
            </w:tcMar>
            <w:vAlign w:val="center"/>
          </w:tcPr>
          <w:p>
            <w:pPr>
              <w:jc w:val="center"/>
              <w:rPr>
                <w:szCs w:val="21"/>
              </w:rPr>
            </w:pPr>
            <w:r>
              <w:rPr>
                <w:szCs w:val="21"/>
              </w:rPr>
              <w:t>病死猪</w:t>
            </w:r>
          </w:p>
        </w:tc>
        <w:tc>
          <w:tcPr>
            <w:tcW w:w="1274" w:type="dxa"/>
            <w:noWrap w:val="0"/>
            <w:tcMar>
              <w:top w:w="0" w:type="dxa"/>
              <w:left w:w="28" w:type="dxa"/>
              <w:bottom w:w="0" w:type="dxa"/>
              <w:right w:w="28" w:type="dxa"/>
            </w:tcMar>
            <w:vAlign w:val="center"/>
          </w:tcPr>
          <w:p>
            <w:pPr>
              <w:jc w:val="center"/>
              <w:rPr>
                <w:szCs w:val="21"/>
              </w:rPr>
            </w:pPr>
            <w:r>
              <w:rPr>
                <w:szCs w:val="21"/>
              </w:rPr>
              <w:t>一般固废</w:t>
            </w:r>
          </w:p>
        </w:tc>
        <w:tc>
          <w:tcPr>
            <w:tcW w:w="993" w:type="dxa"/>
            <w:noWrap w:val="0"/>
            <w:tcMar>
              <w:top w:w="0" w:type="dxa"/>
              <w:left w:w="28" w:type="dxa"/>
              <w:bottom w:w="0" w:type="dxa"/>
              <w:right w:w="28" w:type="dxa"/>
            </w:tcMar>
            <w:vAlign w:val="center"/>
          </w:tcPr>
          <w:p>
            <w:pPr>
              <w:jc w:val="center"/>
              <w:rPr>
                <w:bCs/>
                <w:szCs w:val="21"/>
              </w:rPr>
            </w:pPr>
            <w:r>
              <w:rPr>
                <w:rFonts w:hint="eastAsia"/>
                <w:bCs/>
                <w:szCs w:val="21"/>
              </w:rPr>
              <w:t>7.8</w:t>
            </w:r>
          </w:p>
        </w:tc>
        <w:tc>
          <w:tcPr>
            <w:tcW w:w="2400" w:type="dxa"/>
            <w:noWrap w:val="0"/>
            <w:tcMar>
              <w:top w:w="0" w:type="dxa"/>
              <w:left w:w="28" w:type="dxa"/>
              <w:bottom w:w="0" w:type="dxa"/>
              <w:right w:w="28" w:type="dxa"/>
            </w:tcMar>
            <w:vAlign w:val="center"/>
          </w:tcPr>
          <w:p>
            <w:pPr>
              <w:jc w:val="center"/>
              <w:rPr>
                <w:bCs/>
                <w:szCs w:val="21"/>
              </w:rPr>
            </w:pPr>
            <w:r>
              <w:rPr>
                <w:rFonts w:hint="eastAsia"/>
                <w:bCs/>
                <w:szCs w:val="21"/>
              </w:rPr>
              <w:t>送往</w:t>
            </w:r>
            <w:r>
              <w:rPr>
                <w:rFonts w:hint="eastAsia" w:hAnsi="宋体"/>
                <w:bCs/>
                <w:szCs w:val="21"/>
              </w:rPr>
              <w:t>正阳一场病死猪</w:t>
            </w:r>
            <w:r>
              <w:rPr>
                <w:rFonts w:hAnsi="宋体"/>
                <w:bCs/>
                <w:szCs w:val="21"/>
              </w:rPr>
              <w:t>处理</w:t>
            </w:r>
            <w:r>
              <w:rPr>
                <w:rFonts w:hint="eastAsia" w:hAnsi="宋体"/>
                <w:bCs/>
                <w:szCs w:val="21"/>
              </w:rPr>
              <w:t>车间集中处理</w:t>
            </w:r>
          </w:p>
        </w:tc>
        <w:tc>
          <w:tcPr>
            <w:tcW w:w="910" w:type="dxa"/>
            <w:noWrap w:val="0"/>
            <w:tcMar>
              <w:top w:w="0" w:type="dxa"/>
              <w:left w:w="28" w:type="dxa"/>
              <w:bottom w:w="0" w:type="dxa"/>
              <w:right w:w="28" w:type="dxa"/>
            </w:tcMar>
            <w:vAlign w:val="center"/>
          </w:tcPr>
          <w:p>
            <w:pPr>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7" w:type="dxa"/>
            <w:noWrap w:val="0"/>
            <w:tcMar>
              <w:top w:w="0" w:type="dxa"/>
              <w:left w:w="28" w:type="dxa"/>
              <w:bottom w:w="0" w:type="dxa"/>
              <w:right w:w="28" w:type="dxa"/>
            </w:tcMar>
            <w:vAlign w:val="center"/>
          </w:tcPr>
          <w:p>
            <w:pPr>
              <w:jc w:val="center"/>
              <w:rPr>
                <w:bCs/>
                <w:szCs w:val="21"/>
              </w:rPr>
            </w:pPr>
            <w:r>
              <w:rPr>
                <w:bCs/>
                <w:szCs w:val="21"/>
              </w:rPr>
              <w:t>3</w:t>
            </w:r>
          </w:p>
        </w:tc>
        <w:tc>
          <w:tcPr>
            <w:tcW w:w="1566" w:type="dxa"/>
            <w:noWrap w:val="0"/>
            <w:tcMar>
              <w:top w:w="0" w:type="dxa"/>
              <w:left w:w="28" w:type="dxa"/>
              <w:bottom w:w="0" w:type="dxa"/>
              <w:right w:w="28" w:type="dxa"/>
            </w:tcMar>
            <w:vAlign w:val="center"/>
          </w:tcPr>
          <w:p>
            <w:pPr>
              <w:jc w:val="center"/>
              <w:rPr>
                <w:szCs w:val="21"/>
              </w:rPr>
            </w:pPr>
            <w:r>
              <w:rPr>
                <w:szCs w:val="21"/>
              </w:rPr>
              <w:t>防疫</w:t>
            </w:r>
          </w:p>
        </w:tc>
        <w:tc>
          <w:tcPr>
            <w:tcW w:w="1276" w:type="dxa"/>
            <w:noWrap w:val="0"/>
            <w:tcMar>
              <w:top w:w="0" w:type="dxa"/>
              <w:left w:w="28" w:type="dxa"/>
              <w:bottom w:w="0" w:type="dxa"/>
              <w:right w:w="28" w:type="dxa"/>
            </w:tcMar>
            <w:vAlign w:val="center"/>
          </w:tcPr>
          <w:p>
            <w:pPr>
              <w:jc w:val="center"/>
              <w:rPr>
                <w:szCs w:val="21"/>
              </w:rPr>
            </w:pPr>
            <w:r>
              <w:rPr>
                <w:szCs w:val="21"/>
              </w:rPr>
              <w:t>医疗固废</w:t>
            </w:r>
          </w:p>
        </w:tc>
        <w:tc>
          <w:tcPr>
            <w:tcW w:w="1274" w:type="dxa"/>
            <w:noWrap w:val="0"/>
            <w:tcMar>
              <w:top w:w="0" w:type="dxa"/>
              <w:left w:w="28" w:type="dxa"/>
              <w:bottom w:w="0" w:type="dxa"/>
              <w:right w:w="28" w:type="dxa"/>
            </w:tcMar>
            <w:vAlign w:val="center"/>
          </w:tcPr>
          <w:p>
            <w:pPr>
              <w:jc w:val="center"/>
              <w:rPr>
                <w:szCs w:val="21"/>
              </w:rPr>
            </w:pPr>
            <w:r>
              <w:rPr>
                <w:szCs w:val="21"/>
              </w:rPr>
              <w:t>危险废物</w:t>
            </w:r>
          </w:p>
          <w:p>
            <w:pPr>
              <w:jc w:val="center"/>
              <w:rPr>
                <w:szCs w:val="21"/>
              </w:rPr>
            </w:pPr>
            <w:r>
              <w:rPr>
                <w:szCs w:val="21"/>
              </w:rPr>
              <w:t>（HW01）</w:t>
            </w:r>
          </w:p>
        </w:tc>
        <w:tc>
          <w:tcPr>
            <w:tcW w:w="993" w:type="dxa"/>
            <w:noWrap w:val="0"/>
            <w:tcMar>
              <w:top w:w="0" w:type="dxa"/>
              <w:left w:w="28" w:type="dxa"/>
              <w:bottom w:w="0" w:type="dxa"/>
              <w:right w:w="28" w:type="dxa"/>
            </w:tcMar>
            <w:vAlign w:val="center"/>
          </w:tcPr>
          <w:p>
            <w:pPr>
              <w:jc w:val="center"/>
              <w:rPr>
                <w:rFonts w:hint="eastAsia" w:eastAsia="宋体"/>
                <w:szCs w:val="21"/>
                <w:lang w:eastAsia="zh-CN"/>
              </w:rPr>
            </w:pPr>
            <w:r>
              <w:rPr>
                <w:rFonts w:hint="eastAsia"/>
                <w:szCs w:val="21"/>
                <w:lang w:eastAsia="zh-CN"/>
              </w:rPr>
              <w:t>0.021</w:t>
            </w:r>
          </w:p>
        </w:tc>
        <w:tc>
          <w:tcPr>
            <w:tcW w:w="2400" w:type="dxa"/>
            <w:noWrap w:val="0"/>
            <w:tcMar>
              <w:top w:w="0" w:type="dxa"/>
              <w:left w:w="28" w:type="dxa"/>
              <w:bottom w:w="0" w:type="dxa"/>
              <w:right w:w="28" w:type="dxa"/>
            </w:tcMar>
            <w:vAlign w:val="center"/>
          </w:tcPr>
          <w:p>
            <w:pPr>
              <w:jc w:val="center"/>
              <w:rPr>
                <w:szCs w:val="21"/>
              </w:rPr>
            </w:pPr>
            <w:r>
              <w:rPr>
                <w:rFonts w:hint="eastAsia" w:hAnsi="宋体"/>
                <w:szCs w:val="21"/>
              </w:rPr>
              <w:t>新蔡县</w:t>
            </w:r>
            <w:r>
              <w:rPr>
                <w:rFonts w:hAnsi="宋体"/>
                <w:szCs w:val="21"/>
              </w:rPr>
              <w:t>中绿环保科技有限公司进行</w:t>
            </w:r>
            <w:r>
              <w:rPr>
                <w:rFonts w:hint="eastAsia" w:hAnsi="宋体"/>
                <w:szCs w:val="21"/>
              </w:rPr>
              <w:t>处理</w:t>
            </w:r>
          </w:p>
        </w:tc>
        <w:tc>
          <w:tcPr>
            <w:tcW w:w="910" w:type="dxa"/>
            <w:noWrap w:val="0"/>
            <w:tcMar>
              <w:top w:w="0" w:type="dxa"/>
              <w:left w:w="28" w:type="dxa"/>
              <w:bottom w:w="0" w:type="dxa"/>
              <w:right w:w="28" w:type="dxa"/>
            </w:tcMar>
            <w:vAlign w:val="center"/>
          </w:tcPr>
          <w:p>
            <w:pPr>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7" w:type="dxa"/>
            <w:noWrap w:val="0"/>
            <w:tcMar>
              <w:top w:w="0" w:type="dxa"/>
              <w:left w:w="28" w:type="dxa"/>
              <w:bottom w:w="0" w:type="dxa"/>
              <w:right w:w="28" w:type="dxa"/>
            </w:tcMar>
            <w:vAlign w:val="center"/>
          </w:tcPr>
          <w:p>
            <w:pPr>
              <w:jc w:val="center"/>
              <w:rPr>
                <w:bCs/>
                <w:szCs w:val="21"/>
              </w:rPr>
            </w:pPr>
            <w:r>
              <w:rPr>
                <w:bCs/>
                <w:szCs w:val="21"/>
              </w:rPr>
              <w:t>4</w:t>
            </w:r>
          </w:p>
        </w:tc>
        <w:tc>
          <w:tcPr>
            <w:tcW w:w="1566" w:type="dxa"/>
            <w:noWrap w:val="0"/>
            <w:tcMar>
              <w:top w:w="0" w:type="dxa"/>
              <w:left w:w="28" w:type="dxa"/>
              <w:bottom w:w="0" w:type="dxa"/>
              <w:right w:w="28" w:type="dxa"/>
            </w:tcMar>
            <w:vAlign w:val="center"/>
          </w:tcPr>
          <w:p>
            <w:pPr>
              <w:jc w:val="center"/>
              <w:rPr>
                <w:szCs w:val="21"/>
              </w:rPr>
            </w:pPr>
            <w:r>
              <w:rPr>
                <w:szCs w:val="21"/>
              </w:rPr>
              <w:t>职工生活</w:t>
            </w:r>
          </w:p>
        </w:tc>
        <w:tc>
          <w:tcPr>
            <w:tcW w:w="1276" w:type="dxa"/>
            <w:noWrap w:val="0"/>
            <w:tcMar>
              <w:top w:w="0" w:type="dxa"/>
              <w:left w:w="28" w:type="dxa"/>
              <w:bottom w:w="0" w:type="dxa"/>
              <w:right w:w="28" w:type="dxa"/>
            </w:tcMar>
            <w:vAlign w:val="center"/>
          </w:tcPr>
          <w:p>
            <w:pPr>
              <w:jc w:val="center"/>
              <w:rPr>
                <w:szCs w:val="21"/>
              </w:rPr>
            </w:pPr>
            <w:r>
              <w:rPr>
                <w:szCs w:val="21"/>
              </w:rPr>
              <w:t>生活垃圾</w:t>
            </w:r>
          </w:p>
        </w:tc>
        <w:tc>
          <w:tcPr>
            <w:tcW w:w="1274" w:type="dxa"/>
            <w:noWrap w:val="0"/>
            <w:tcMar>
              <w:top w:w="0" w:type="dxa"/>
              <w:left w:w="28" w:type="dxa"/>
              <w:bottom w:w="0" w:type="dxa"/>
              <w:right w:w="28" w:type="dxa"/>
            </w:tcMar>
            <w:vAlign w:val="center"/>
          </w:tcPr>
          <w:p>
            <w:pPr>
              <w:jc w:val="center"/>
              <w:rPr>
                <w:szCs w:val="21"/>
              </w:rPr>
            </w:pPr>
            <w:r>
              <w:rPr>
                <w:szCs w:val="21"/>
              </w:rPr>
              <w:t>一般固废</w:t>
            </w:r>
          </w:p>
        </w:tc>
        <w:tc>
          <w:tcPr>
            <w:tcW w:w="993" w:type="dxa"/>
            <w:noWrap w:val="0"/>
            <w:tcMar>
              <w:top w:w="0" w:type="dxa"/>
              <w:left w:w="28" w:type="dxa"/>
              <w:bottom w:w="0" w:type="dxa"/>
              <w:right w:w="28" w:type="dxa"/>
            </w:tcMar>
            <w:vAlign w:val="center"/>
          </w:tcPr>
          <w:p>
            <w:pPr>
              <w:jc w:val="center"/>
              <w:rPr>
                <w:szCs w:val="21"/>
              </w:rPr>
            </w:pPr>
            <w:r>
              <w:rPr>
                <w:rFonts w:hint="eastAsia"/>
                <w:szCs w:val="21"/>
              </w:rPr>
              <w:t>1.825</w:t>
            </w:r>
          </w:p>
        </w:tc>
        <w:tc>
          <w:tcPr>
            <w:tcW w:w="2400" w:type="dxa"/>
            <w:noWrap w:val="0"/>
            <w:tcMar>
              <w:top w:w="0" w:type="dxa"/>
              <w:left w:w="28" w:type="dxa"/>
              <w:bottom w:w="0" w:type="dxa"/>
              <w:right w:w="28" w:type="dxa"/>
            </w:tcMar>
            <w:vAlign w:val="center"/>
          </w:tcPr>
          <w:p>
            <w:pPr>
              <w:jc w:val="center"/>
              <w:rPr>
                <w:szCs w:val="21"/>
              </w:rPr>
            </w:pPr>
            <w:r>
              <w:rPr>
                <w:szCs w:val="21"/>
              </w:rPr>
              <w:t>送交环卫部门处理</w:t>
            </w:r>
          </w:p>
        </w:tc>
        <w:tc>
          <w:tcPr>
            <w:tcW w:w="910" w:type="dxa"/>
            <w:noWrap w:val="0"/>
            <w:tcMar>
              <w:top w:w="0" w:type="dxa"/>
              <w:left w:w="28" w:type="dxa"/>
              <w:bottom w:w="0" w:type="dxa"/>
              <w:right w:w="28" w:type="dxa"/>
            </w:tcMar>
            <w:vAlign w:val="center"/>
          </w:tcPr>
          <w:p>
            <w:pPr>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7" w:type="dxa"/>
            <w:noWrap w:val="0"/>
            <w:tcMar>
              <w:top w:w="0" w:type="dxa"/>
              <w:left w:w="28" w:type="dxa"/>
              <w:bottom w:w="0" w:type="dxa"/>
              <w:right w:w="28" w:type="dxa"/>
            </w:tcMar>
            <w:vAlign w:val="center"/>
          </w:tcPr>
          <w:p>
            <w:pPr>
              <w:jc w:val="center"/>
              <w:rPr>
                <w:bCs/>
                <w:szCs w:val="21"/>
              </w:rPr>
            </w:pPr>
            <w:r>
              <w:rPr>
                <w:bCs/>
                <w:szCs w:val="21"/>
              </w:rPr>
              <w:t>5</w:t>
            </w:r>
          </w:p>
        </w:tc>
        <w:tc>
          <w:tcPr>
            <w:tcW w:w="1566" w:type="dxa"/>
            <w:noWrap w:val="0"/>
            <w:tcMar>
              <w:top w:w="0" w:type="dxa"/>
              <w:left w:w="28" w:type="dxa"/>
              <w:bottom w:w="0" w:type="dxa"/>
              <w:right w:w="28" w:type="dxa"/>
            </w:tcMar>
            <w:vAlign w:val="center"/>
          </w:tcPr>
          <w:p>
            <w:pPr>
              <w:jc w:val="center"/>
              <w:rPr>
                <w:szCs w:val="21"/>
              </w:rPr>
            </w:pPr>
            <w:r>
              <w:rPr>
                <w:szCs w:val="21"/>
              </w:rPr>
              <w:t>沼气脱硫装置</w:t>
            </w:r>
          </w:p>
        </w:tc>
        <w:tc>
          <w:tcPr>
            <w:tcW w:w="1276" w:type="dxa"/>
            <w:noWrap w:val="0"/>
            <w:tcMar>
              <w:top w:w="0" w:type="dxa"/>
              <w:left w:w="28" w:type="dxa"/>
              <w:bottom w:w="0" w:type="dxa"/>
              <w:right w:w="28" w:type="dxa"/>
            </w:tcMar>
            <w:vAlign w:val="center"/>
          </w:tcPr>
          <w:p>
            <w:pPr>
              <w:jc w:val="center"/>
              <w:rPr>
                <w:szCs w:val="21"/>
              </w:rPr>
            </w:pPr>
            <w:r>
              <w:rPr>
                <w:szCs w:val="21"/>
              </w:rPr>
              <w:t>废脱硫剂</w:t>
            </w:r>
          </w:p>
        </w:tc>
        <w:tc>
          <w:tcPr>
            <w:tcW w:w="1274" w:type="dxa"/>
            <w:noWrap w:val="0"/>
            <w:tcMar>
              <w:top w:w="0" w:type="dxa"/>
              <w:left w:w="28" w:type="dxa"/>
              <w:bottom w:w="0" w:type="dxa"/>
              <w:right w:w="28" w:type="dxa"/>
            </w:tcMar>
            <w:vAlign w:val="center"/>
          </w:tcPr>
          <w:p>
            <w:pPr>
              <w:jc w:val="center"/>
              <w:rPr>
                <w:szCs w:val="21"/>
              </w:rPr>
            </w:pPr>
            <w:r>
              <w:rPr>
                <w:szCs w:val="21"/>
              </w:rPr>
              <w:t>一般固废</w:t>
            </w:r>
          </w:p>
        </w:tc>
        <w:tc>
          <w:tcPr>
            <w:tcW w:w="993" w:type="dxa"/>
            <w:noWrap w:val="0"/>
            <w:tcMar>
              <w:top w:w="0" w:type="dxa"/>
              <w:left w:w="28" w:type="dxa"/>
              <w:bottom w:w="0" w:type="dxa"/>
              <w:right w:w="28" w:type="dxa"/>
            </w:tcMar>
            <w:vAlign w:val="center"/>
          </w:tcPr>
          <w:p>
            <w:pPr>
              <w:jc w:val="center"/>
              <w:rPr>
                <w:rFonts w:hint="eastAsia" w:eastAsia="宋体"/>
                <w:szCs w:val="21"/>
                <w:lang w:eastAsia="zh-CN"/>
              </w:rPr>
            </w:pPr>
            <w:r>
              <w:rPr>
                <w:rFonts w:hint="eastAsia"/>
                <w:szCs w:val="21"/>
                <w:lang w:eastAsia="zh-CN"/>
              </w:rPr>
              <w:t>0.043</w:t>
            </w:r>
          </w:p>
        </w:tc>
        <w:tc>
          <w:tcPr>
            <w:tcW w:w="2400" w:type="dxa"/>
            <w:noWrap w:val="0"/>
            <w:tcMar>
              <w:top w:w="0" w:type="dxa"/>
              <w:left w:w="28" w:type="dxa"/>
              <w:bottom w:w="0" w:type="dxa"/>
              <w:right w:w="28" w:type="dxa"/>
            </w:tcMar>
            <w:vAlign w:val="center"/>
          </w:tcPr>
          <w:p>
            <w:pPr>
              <w:jc w:val="center"/>
              <w:rPr>
                <w:b/>
                <w:szCs w:val="21"/>
                <w:u w:val="single"/>
              </w:rPr>
            </w:pPr>
            <w:r>
              <w:rPr>
                <w:szCs w:val="21"/>
              </w:rPr>
              <w:t>由生产厂家统一回收</w:t>
            </w:r>
          </w:p>
        </w:tc>
        <w:tc>
          <w:tcPr>
            <w:tcW w:w="910" w:type="dxa"/>
            <w:noWrap w:val="0"/>
            <w:tcMar>
              <w:top w:w="0" w:type="dxa"/>
              <w:left w:w="28" w:type="dxa"/>
              <w:bottom w:w="0" w:type="dxa"/>
              <w:right w:w="28" w:type="dxa"/>
            </w:tcMar>
            <w:vAlign w:val="center"/>
          </w:tcPr>
          <w:p>
            <w:pPr>
              <w:jc w:val="center"/>
              <w:rPr>
                <w:szCs w:val="21"/>
              </w:rPr>
            </w:pPr>
            <w:r>
              <w:rPr>
                <w:szCs w:val="21"/>
              </w:rPr>
              <w:t>0</w:t>
            </w:r>
          </w:p>
        </w:tc>
      </w:tr>
    </w:tbl>
    <w:p>
      <w:pPr>
        <w:spacing w:line="520" w:lineRule="exact"/>
        <w:ind w:firstLine="480" w:firstLineChars="200"/>
        <w:rPr>
          <w:rFonts w:hint="eastAsia"/>
          <w:kern w:val="0"/>
          <w:sz w:val="24"/>
          <w:lang w:bidi="ar"/>
        </w:rPr>
      </w:pPr>
      <w:r>
        <w:rPr>
          <w:kern w:val="0"/>
          <w:sz w:val="24"/>
          <w:lang w:bidi="ar"/>
        </w:rPr>
        <w:t>项目营运过程中产生的固体废物均得到妥善处理，处理率达到100%，并充分回收利用有价值的物质，做到减量化、无害化，对环境无影响。</w:t>
      </w:r>
    </w:p>
    <w:p>
      <w:pPr>
        <w:pStyle w:val="2"/>
        <w:spacing w:before="0" w:after="0" w:line="520" w:lineRule="exact"/>
        <w:rPr>
          <w:rFonts w:eastAsia="黑体"/>
          <w:b w:val="0"/>
          <w:sz w:val="24"/>
          <w:szCs w:val="24"/>
        </w:rPr>
      </w:pPr>
      <w:r>
        <w:rPr>
          <w:rFonts w:eastAsia="黑体"/>
          <w:b w:val="0"/>
          <w:sz w:val="24"/>
          <w:szCs w:val="24"/>
        </w:rPr>
        <w:t xml:space="preserve">4.2.6 </w:t>
      </w:r>
      <w:r>
        <w:rPr>
          <w:rFonts w:hint="eastAsia" w:eastAsia="黑体"/>
          <w:b w:val="0"/>
          <w:sz w:val="24"/>
          <w:szCs w:val="24"/>
        </w:rPr>
        <w:t>土壤</w:t>
      </w:r>
      <w:r>
        <w:rPr>
          <w:rFonts w:eastAsia="黑体"/>
          <w:b w:val="0"/>
          <w:sz w:val="24"/>
          <w:szCs w:val="24"/>
        </w:rPr>
        <w:t>环境的影响分析</w:t>
      </w:r>
    </w:p>
    <w:p>
      <w:pPr>
        <w:spacing w:line="520" w:lineRule="exact"/>
        <w:ind w:firstLine="480" w:firstLineChars="200"/>
        <w:rPr>
          <w:color w:val="000000"/>
        </w:rPr>
      </w:pPr>
      <w:r>
        <w:rPr>
          <w:color w:val="000000"/>
          <w:sz w:val="24"/>
        </w:rPr>
        <w:t>项目沼液在场区内暂存后，施肥期用于周边</w:t>
      </w:r>
      <w:r>
        <w:rPr>
          <w:rFonts w:hint="eastAsia"/>
          <w:color w:val="000000"/>
          <w:sz w:val="24"/>
        </w:rPr>
        <w:t>农田</w:t>
      </w:r>
      <w:r>
        <w:rPr>
          <w:color w:val="000000"/>
          <w:sz w:val="24"/>
        </w:rPr>
        <w:t>施肥，沼液施用于土壤，存在污染土</w:t>
      </w:r>
      <w:r>
        <w:rPr>
          <w:sz w:val="24"/>
        </w:rPr>
        <w:t>壤的风险。</w:t>
      </w:r>
      <w:r>
        <w:rPr>
          <w:rFonts w:hint="eastAsia"/>
          <w:sz w:val="24"/>
        </w:rPr>
        <w:t>类比同类</w:t>
      </w:r>
      <w:r>
        <w:rPr>
          <w:sz w:val="24"/>
        </w:rPr>
        <w:t>建设项目的验收监测数据，沼液消纳区土壤的2个监测点位的监测因子浓度为：pH</w:t>
      </w:r>
      <w:r>
        <w:rPr>
          <w:rFonts w:hint="eastAsia"/>
          <w:sz w:val="24"/>
          <w:lang w:val="en-US" w:eastAsia="zh-CN"/>
        </w:rPr>
        <w:t>7.05</w:t>
      </w:r>
      <w:r>
        <w:rPr>
          <w:sz w:val="24"/>
        </w:rPr>
        <w:t>-</w:t>
      </w:r>
      <w:r>
        <w:rPr>
          <w:rFonts w:hint="eastAsia"/>
          <w:sz w:val="24"/>
          <w:lang w:val="en-US" w:eastAsia="zh-CN"/>
        </w:rPr>
        <w:t>7.09</w:t>
      </w:r>
      <w:r>
        <w:rPr>
          <w:sz w:val="24"/>
        </w:rPr>
        <w:t>、铜</w:t>
      </w:r>
      <w:r>
        <w:rPr>
          <w:rFonts w:hint="eastAsia"/>
          <w:sz w:val="24"/>
          <w:lang w:val="en-US" w:eastAsia="zh-CN"/>
        </w:rPr>
        <w:t>20</w:t>
      </w:r>
      <w:r>
        <w:rPr>
          <w:sz w:val="24"/>
        </w:rPr>
        <w:t>-</w:t>
      </w:r>
      <w:r>
        <w:rPr>
          <w:rFonts w:hint="eastAsia"/>
          <w:sz w:val="24"/>
          <w:lang w:val="en-US" w:eastAsia="zh-CN"/>
        </w:rPr>
        <w:t>24</w:t>
      </w:r>
      <w:r>
        <w:rPr>
          <w:sz w:val="24"/>
        </w:rPr>
        <w:t>mg/kg、砷</w:t>
      </w:r>
      <w:r>
        <w:rPr>
          <w:rFonts w:hint="eastAsia"/>
          <w:sz w:val="24"/>
          <w:lang w:val="en-US" w:eastAsia="zh-CN"/>
        </w:rPr>
        <w:t>12.3</w:t>
      </w:r>
      <w:r>
        <w:rPr>
          <w:sz w:val="24"/>
        </w:rPr>
        <w:t>-</w:t>
      </w:r>
      <w:r>
        <w:rPr>
          <w:rFonts w:hint="eastAsia"/>
          <w:sz w:val="24"/>
          <w:lang w:val="en-US" w:eastAsia="zh-CN"/>
        </w:rPr>
        <w:t>13.4</w:t>
      </w:r>
      <w:r>
        <w:rPr>
          <w:sz w:val="24"/>
        </w:rPr>
        <w:t>mg/kg、锌</w:t>
      </w:r>
      <w:r>
        <w:rPr>
          <w:rFonts w:hint="eastAsia"/>
          <w:sz w:val="24"/>
          <w:lang w:val="en-US" w:eastAsia="zh-CN"/>
        </w:rPr>
        <w:t>51.4</w:t>
      </w:r>
      <w:r>
        <w:rPr>
          <w:sz w:val="24"/>
        </w:rPr>
        <w:t>-</w:t>
      </w:r>
      <w:r>
        <w:rPr>
          <w:rFonts w:hint="eastAsia"/>
          <w:sz w:val="24"/>
        </w:rPr>
        <w:t>5</w:t>
      </w:r>
      <w:r>
        <w:rPr>
          <w:rFonts w:hint="eastAsia"/>
          <w:sz w:val="24"/>
          <w:lang w:val="en-US" w:eastAsia="zh-CN"/>
        </w:rPr>
        <w:t>2.7</w:t>
      </w:r>
      <w:r>
        <w:rPr>
          <w:sz w:val="24"/>
        </w:rPr>
        <w:t>mg/kg、汞</w:t>
      </w:r>
      <w:r>
        <w:rPr>
          <w:rFonts w:hint="eastAsia"/>
          <w:sz w:val="24"/>
        </w:rPr>
        <w:t>0.0</w:t>
      </w:r>
      <w:r>
        <w:rPr>
          <w:rFonts w:hint="eastAsia"/>
          <w:sz w:val="24"/>
          <w:lang w:val="en-US" w:eastAsia="zh-CN"/>
        </w:rPr>
        <w:t>66</w:t>
      </w:r>
      <w:r>
        <w:rPr>
          <w:sz w:val="24"/>
        </w:rPr>
        <w:t>-</w:t>
      </w:r>
      <w:r>
        <w:rPr>
          <w:rFonts w:hint="eastAsia"/>
          <w:sz w:val="24"/>
        </w:rPr>
        <w:t>0.0</w:t>
      </w:r>
      <w:r>
        <w:rPr>
          <w:rFonts w:hint="eastAsia"/>
          <w:sz w:val="24"/>
          <w:lang w:val="en-US" w:eastAsia="zh-CN"/>
        </w:rPr>
        <w:t>72</w:t>
      </w:r>
      <w:r>
        <w:rPr>
          <w:sz w:val="24"/>
        </w:rPr>
        <w:t>mg/kg，能够满足《土壤环境质量农用地土壤污染风险管控标准》（GB15618-2018）二级标准要求</w:t>
      </w:r>
      <w:r>
        <w:rPr>
          <w:rFonts w:hint="eastAsia"/>
          <w:sz w:val="24"/>
        </w:rPr>
        <w:t>，</w:t>
      </w:r>
      <w:r>
        <w:rPr>
          <w:sz w:val="24"/>
        </w:rPr>
        <w:t>本项目沼液利用对土壤的影响较小</w:t>
      </w:r>
      <w:r>
        <w:rPr>
          <w:color w:val="000000"/>
          <w:sz w:val="24"/>
        </w:rPr>
        <w:t>。</w:t>
      </w:r>
    </w:p>
    <w:p>
      <w:pPr>
        <w:snapToGrid w:val="0"/>
        <w:spacing w:line="520" w:lineRule="exact"/>
        <w:outlineLvl w:val="1"/>
        <w:rPr>
          <w:rFonts w:eastAsia="黑体"/>
          <w:bCs/>
          <w:sz w:val="28"/>
          <w:szCs w:val="28"/>
        </w:rPr>
      </w:pPr>
      <w:bookmarkStart w:id="419" w:name="_Toc16453"/>
      <w:bookmarkStart w:id="420" w:name="_Toc13831"/>
      <w:bookmarkStart w:id="421" w:name="_Toc15444"/>
      <w:bookmarkStart w:id="422" w:name="_Toc445457745"/>
      <w:r>
        <w:rPr>
          <w:rFonts w:eastAsia="黑体"/>
          <w:bCs/>
          <w:sz w:val="28"/>
          <w:szCs w:val="28"/>
        </w:rPr>
        <w:t>4.3 环境风险评价</w:t>
      </w:r>
      <w:bookmarkEnd w:id="419"/>
    </w:p>
    <w:p>
      <w:pPr>
        <w:pStyle w:val="2"/>
        <w:spacing w:before="0" w:after="0" w:line="520" w:lineRule="exact"/>
        <w:rPr>
          <w:rFonts w:eastAsia="黑体"/>
          <w:b w:val="0"/>
          <w:sz w:val="24"/>
          <w:szCs w:val="24"/>
        </w:rPr>
      </w:pPr>
      <w:r>
        <w:rPr>
          <w:rFonts w:eastAsia="黑体"/>
          <w:b w:val="0"/>
          <w:sz w:val="24"/>
          <w:szCs w:val="24"/>
        </w:rPr>
        <w:t>4.3.1风险识别及评价等级确定</w:t>
      </w:r>
      <w:bookmarkEnd w:id="420"/>
      <w:bookmarkEnd w:id="421"/>
      <w:bookmarkEnd w:id="422"/>
    </w:p>
    <w:p>
      <w:pPr>
        <w:pStyle w:val="25"/>
        <w:spacing w:line="500" w:lineRule="exact"/>
        <w:ind w:firstLine="0" w:firstLineChars="0"/>
        <w:rPr>
          <w:b/>
          <w:snapToGrid w:val="0"/>
          <w:kern w:val="0"/>
        </w:rPr>
      </w:pPr>
      <w:bookmarkStart w:id="423" w:name="_Toc19149"/>
      <w:r>
        <w:rPr>
          <w:b/>
          <w:snapToGrid w:val="0"/>
          <w:kern w:val="0"/>
        </w:rPr>
        <w:t>4.3.1.1物质风险识别</w:t>
      </w:r>
    </w:p>
    <w:p>
      <w:pPr>
        <w:pStyle w:val="25"/>
        <w:spacing w:line="500" w:lineRule="exact"/>
        <w:ind w:firstLine="480"/>
        <w:rPr>
          <w:snapToGrid w:val="0"/>
          <w:kern w:val="0"/>
        </w:rPr>
      </w:pPr>
      <w:r>
        <w:rPr>
          <w:rFonts w:hAnsi="宋体"/>
          <w:snapToGrid w:val="0"/>
          <w:kern w:val="0"/>
        </w:rPr>
        <w:t>（</w:t>
      </w:r>
      <w:r>
        <w:rPr>
          <w:snapToGrid w:val="0"/>
          <w:kern w:val="0"/>
        </w:rPr>
        <w:t>1</w:t>
      </w:r>
      <w:r>
        <w:rPr>
          <w:rFonts w:hAnsi="宋体"/>
          <w:snapToGrid w:val="0"/>
          <w:kern w:val="0"/>
        </w:rPr>
        <w:t>）病原菌</w:t>
      </w:r>
    </w:p>
    <w:p>
      <w:pPr>
        <w:pStyle w:val="25"/>
        <w:spacing w:line="500" w:lineRule="exact"/>
        <w:ind w:firstLine="480"/>
        <w:rPr>
          <w:snapToGrid w:val="0"/>
          <w:kern w:val="0"/>
        </w:rPr>
      </w:pPr>
      <w:r>
        <w:rPr>
          <w:rFonts w:hAnsi="宋体"/>
          <w:snapToGrid w:val="0"/>
          <w:kern w:val="0"/>
        </w:rPr>
        <w:t>项目为养殖项目，涉及的物料主要饲料</w:t>
      </w:r>
      <w:r>
        <w:rPr>
          <w:rFonts w:hint="eastAsia" w:hAnsi="宋体"/>
          <w:snapToGrid w:val="0"/>
          <w:kern w:val="0"/>
        </w:rPr>
        <w:t>、</w:t>
      </w:r>
      <w:r>
        <w:rPr>
          <w:rFonts w:hAnsi="宋体"/>
          <w:snapToGrid w:val="0"/>
          <w:kern w:val="0"/>
        </w:rPr>
        <w:t>水</w:t>
      </w:r>
      <w:r>
        <w:rPr>
          <w:rFonts w:hint="eastAsia" w:hAnsi="宋体"/>
          <w:snapToGrid w:val="0"/>
          <w:kern w:val="0"/>
        </w:rPr>
        <w:t>、疫苗、脱硫剂及除臭剂</w:t>
      </w:r>
      <w:r>
        <w:rPr>
          <w:rFonts w:hAnsi="宋体"/>
          <w:snapToGrid w:val="0"/>
          <w:kern w:val="0"/>
        </w:rPr>
        <w:t>等，原料中无可燃、易燃或有毒的物质，但建设单位在猪只的养殖过程中产生的猪粪如未处理得当可能产生诱发传染病，主要有以下危害特性：病猪产生的粪尿和尸体中含有病原菌会产生水污染，引起疾病的传播和流行，造成猪群死亡，并且传染给其他禽畜和人；常见的猪群传染病为口蹄疫、猪流感等。</w:t>
      </w:r>
    </w:p>
    <w:p>
      <w:pPr>
        <w:spacing w:line="500" w:lineRule="exact"/>
        <w:ind w:firstLine="480" w:firstLineChars="200"/>
        <w:rPr>
          <w:rFonts w:hint="eastAsia" w:hAnsi="宋体"/>
          <w:sz w:val="24"/>
        </w:rPr>
      </w:pPr>
      <w:r>
        <w:rPr>
          <w:rFonts w:hint="eastAsia" w:hAnsi="宋体"/>
          <w:sz w:val="24"/>
        </w:rPr>
        <w:t>（2）沼气</w:t>
      </w:r>
    </w:p>
    <w:p>
      <w:pPr>
        <w:spacing w:line="500" w:lineRule="exact"/>
        <w:ind w:firstLine="480" w:firstLineChars="200"/>
        <w:rPr>
          <w:sz w:val="24"/>
        </w:rPr>
      </w:pPr>
      <w:r>
        <w:rPr>
          <w:rFonts w:hAnsi="宋体"/>
          <w:sz w:val="24"/>
        </w:rPr>
        <w:t>沼气是一种混合气体，它的主要成分是</w:t>
      </w:r>
      <w:r>
        <w:rPr>
          <w:sz w:val="24"/>
        </w:rPr>
        <w:t>CH</w:t>
      </w:r>
      <w:r>
        <w:rPr>
          <w:sz w:val="24"/>
          <w:vertAlign w:val="subscript"/>
        </w:rPr>
        <w:t>4</w:t>
      </w:r>
      <w:r>
        <w:rPr>
          <w:rFonts w:hAnsi="宋体"/>
          <w:sz w:val="24"/>
        </w:rPr>
        <w:t>，其次有</w:t>
      </w:r>
      <w:r>
        <w:rPr>
          <w:sz w:val="24"/>
        </w:rPr>
        <w:t>CO</w:t>
      </w:r>
      <w:r>
        <w:rPr>
          <w:sz w:val="24"/>
          <w:vertAlign w:val="subscript"/>
        </w:rPr>
        <w:t>2</w:t>
      </w:r>
      <w:r>
        <w:rPr>
          <w:rFonts w:hAnsi="宋体"/>
          <w:sz w:val="24"/>
        </w:rPr>
        <w:t>、</w:t>
      </w:r>
      <w:r>
        <w:rPr>
          <w:sz w:val="24"/>
        </w:rPr>
        <w:t>H</w:t>
      </w:r>
      <w:r>
        <w:rPr>
          <w:sz w:val="24"/>
          <w:vertAlign w:val="subscript"/>
        </w:rPr>
        <w:t>2</w:t>
      </w:r>
      <w:r>
        <w:rPr>
          <w:sz w:val="24"/>
        </w:rPr>
        <w:t>S</w:t>
      </w:r>
      <w:r>
        <w:rPr>
          <w:rFonts w:hAnsi="宋体"/>
          <w:sz w:val="24"/>
        </w:rPr>
        <w:t>、氮及其他一些成分。沼气的组成中，可燃成分包括</w:t>
      </w:r>
      <w:r>
        <w:rPr>
          <w:sz w:val="24"/>
        </w:rPr>
        <w:t>CH</w:t>
      </w:r>
      <w:r>
        <w:rPr>
          <w:sz w:val="24"/>
          <w:vertAlign w:val="subscript"/>
        </w:rPr>
        <w:t>4</w:t>
      </w:r>
      <w:r>
        <w:rPr>
          <w:rFonts w:hAnsi="宋体"/>
          <w:sz w:val="24"/>
        </w:rPr>
        <w:t>、</w:t>
      </w:r>
      <w:r>
        <w:rPr>
          <w:sz w:val="24"/>
        </w:rPr>
        <w:t>H</w:t>
      </w:r>
      <w:r>
        <w:rPr>
          <w:sz w:val="24"/>
          <w:vertAlign w:val="subscript"/>
        </w:rPr>
        <w:t>2</w:t>
      </w:r>
      <w:r>
        <w:rPr>
          <w:sz w:val="24"/>
        </w:rPr>
        <w:t>S</w:t>
      </w:r>
      <w:r>
        <w:rPr>
          <w:rFonts w:hAnsi="宋体"/>
          <w:sz w:val="24"/>
        </w:rPr>
        <w:t>、</w:t>
      </w:r>
      <w:r>
        <w:rPr>
          <w:sz w:val="24"/>
        </w:rPr>
        <w:t>CO</w:t>
      </w:r>
      <w:r>
        <w:rPr>
          <w:rFonts w:hAnsi="宋体"/>
          <w:sz w:val="24"/>
        </w:rPr>
        <w:t>和重烃等气体；不可燃成分包括</w:t>
      </w:r>
      <w:r>
        <w:rPr>
          <w:sz w:val="24"/>
        </w:rPr>
        <w:t>CO</w:t>
      </w:r>
      <w:r>
        <w:rPr>
          <w:sz w:val="24"/>
          <w:vertAlign w:val="subscript"/>
        </w:rPr>
        <w:t>2</w:t>
      </w:r>
      <w:r>
        <w:rPr>
          <w:rFonts w:hAnsi="宋体"/>
          <w:sz w:val="24"/>
        </w:rPr>
        <w:t>、氮和氨等气体。在沼气成分中</w:t>
      </w:r>
      <w:r>
        <w:rPr>
          <w:sz w:val="24"/>
        </w:rPr>
        <w:t>CH</w:t>
      </w:r>
      <w:r>
        <w:rPr>
          <w:sz w:val="24"/>
          <w:vertAlign w:val="subscript"/>
        </w:rPr>
        <w:t>4</w:t>
      </w:r>
      <w:r>
        <w:rPr>
          <w:rFonts w:hAnsi="宋体"/>
          <w:sz w:val="24"/>
        </w:rPr>
        <w:t>含量为</w:t>
      </w:r>
      <w:r>
        <w:rPr>
          <w:sz w:val="24"/>
        </w:rPr>
        <w:t>55%</w:t>
      </w:r>
      <w:r>
        <w:rPr>
          <w:rFonts w:hAnsi="宋体"/>
          <w:sz w:val="24"/>
        </w:rPr>
        <w:t>～</w:t>
      </w:r>
      <w:r>
        <w:rPr>
          <w:sz w:val="24"/>
        </w:rPr>
        <w:t>70%</w:t>
      </w:r>
      <w:r>
        <w:rPr>
          <w:rFonts w:hAnsi="宋体"/>
          <w:sz w:val="24"/>
        </w:rPr>
        <w:t>、</w:t>
      </w:r>
      <w:r>
        <w:rPr>
          <w:sz w:val="24"/>
        </w:rPr>
        <w:t>CO</w:t>
      </w:r>
      <w:r>
        <w:rPr>
          <w:sz w:val="24"/>
          <w:vertAlign w:val="subscript"/>
        </w:rPr>
        <w:t>2</w:t>
      </w:r>
      <w:r>
        <w:rPr>
          <w:rFonts w:hAnsi="宋体"/>
          <w:sz w:val="24"/>
        </w:rPr>
        <w:t>含量为</w:t>
      </w:r>
      <w:r>
        <w:rPr>
          <w:sz w:val="24"/>
        </w:rPr>
        <w:t>28%</w:t>
      </w:r>
      <w:r>
        <w:rPr>
          <w:rFonts w:hAnsi="宋体"/>
          <w:sz w:val="24"/>
        </w:rPr>
        <w:t>～</w:t>
      </w:r>
      <w:r>
        <w:rPr>
          <w:sz w:val="24"/>
        </w:rPr>
        <w:t>44%</w:t>
      </w:r>
      <w:r>
        <w:rPr>
          <w:rFonts w:hAnsi="宋体"/>
          <w:sz w:val="24"/>
        </w:rPr>
        <w:t>、</w:t>
      </w:r>
      <w:r>
        <w:rPr>
          <w:sz w:val="24"/>
        </w:rPr>
        <w:t>H</w:t>
      </w:r>
      <w:r>
        <w:rPr>
          <w:sz w:val="24"/>
          <w:vertAlign w:val="subscript"/>
        </w:rPr>
        <w:t>2</w:t>
      </w:r>
      <w:r>
        <w:rPr>
          <w:sz w:val="24"/>
        </w:rPr>
        <w:t>S</w:t>
      </w:r>
      <w:r>
        <w:rPr>
          <w:rFonts w:hAnsi="宋体"/>
          <w:sz w:val="24"/>
        </w:rPr>
        <w:t>平均含量为</w:t>
      </w:r>
      <w:r>
        <w:rPr>
          <w:sz w:val="24"/>
        </w:rPr>
        <w:t>0.034%</w:t>
      </w:r>
      <w:r>
        <w:rPr>
          <w:rFonts w:hAnsi="宋体"/>
          <w:sz w:val="24"/>
        </w:rPr>
        <w:t>。</w:t>
      </w:r>
    </w:p>
    <w:p>
      <w:pPr>
        <w:spacing w:line="500" w:lineRule="exact"/>
        <w:ind w:firstLine="480" w:firstLineChars="200"/>
        <w:rPr>
          <w:rFonts w:hint="eastAsia"/>
          <w:sz w:val="24"/>
        </w:rPr>
      </w:pPr>
      <w:r>
        <w:rPr>
          <w:rFonts w:hAnsi="宋体"/>
          <w:sz w:val="24"/>
        </w:rPr>
        <w:t>甲烷的主要危险特性和理化性质见表</w:t>
      </w:r>
      <w:r>
        <w:rPr>
          <w:sz w:val="24"/>
        </w:rPr>
        <w:t>4.3-1</w:t>
      </w:r>
      <w:r>
        <w:rPr>
          <w:rFonts w:hAnsi="宋体"/>
          <w:sz w:val="24"/>
        </w:rPr>
        <w:t>。</w:t>
      </w:r>
    </w:p>
    <w:p>
      <w:pPr>
        <w:adjustRightInd w:val="0"/>
        <w:snapToGrid w:val="0"/>
        <w:spacing w:after="93" w:afterLines="30" w:line="500" w:lineRule="exact"/>
        <w:jc w:val="center"/>
        <w:rPr>
          <w:b/>
          <w:sz w:val="24"/>
        </w:rPr>
      </w:pPr>
      <w:r>
        <w:rPr>
          <w:rFonts w:hAnsi="宋体"/>
          <w:b/>
          <w:sz w:val="24"/>
        </w:rPr>
        <w:t>表</w:t>
      </w:r>
      <w:r>
        <w:rPr>
          <w:b/>
          <w:sz w:val="24"/>
        </w:rPr>
        <w:t xml:space="preserve">4.3-1    </w:t>
      </w:r>
      <w:r>
        <w:rPr>
          <w:rFonts w:hAnsi="宋体"/>
          <w:b/>
          <w:sz w:val="24"/>
        </w:rPr>
        <w:t>甲烷的理化性质和危险特性</w:t>
      </w:r>
    </w:p>
    <w:tbl>
      <w:tblPr>
        <w:tblStyle w:val="1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694"/>
        <w:gridCol w:w="2797"/>
        <w:gridCol w:w="2338"/>
        <w:gridCol w:w="20"/>
        <w:gridCol w:w="209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5000" w:type="pct"/>
            <w:gridSpan w:val="5"/>
            <w:noWrap w:val="0"/>
            <w:vAlign w:val="center"/>
          </w:tcPr>
          <w:p>
            <w:pPr>
              <w:spacing w:line="360" w:lineRule="exact"/>
              <w:rPr>
                <w:b/>
                <w:szCs w:val="21"/>
              </w:rPr>
            </w:pPr>
            <w:r>
              <w:rPr>
                <w:rFonts w:hAnsi="宋体"/>
                <w:b/>
                <w:szCs w:val="21"/>
              </w:rPr>
              <w:t>第一部分</w:t>
            </w:r>
            <w:r>
              <w:rPr>
                <w:b/>
                <w:szCs w:val="21"/>
              </w:rPr>
              <w:t xml:space="preserve">    </w:t>
            </w:r>
            <w:r>
              <w:rPr>
                <w:rFonts w:hAnsi="宋体"/>
                <w:b/>
                <w:szCs w:val="21"/>
              </w:rPr>
              <w:t>危险性概述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47" w:type="pct"/>
            <w:noWrap w:val="0"/>
            <w:vAlign w:val="center"/>
          </w:tcPr>
          <w:p>
            <w:pPr>
              <w:spacing w:line="360" w:lineRule="exact"/>
              <w:rPr>
                <w:szCs w:val="21"/>
              </w:rPr>
            </w:pPr>
            <w:r>
              <w:rPr>
                <w:rFonts w:hAnsi="宋体"/>
                <w:szCs w:val="21"/>
              </w:rPr>
              <w:t>危险性类别：</w:t>
            </w:r>
          </w:p>
        </w:tc>
        <w:tc>
          <w:tcPr>
            <w:tcW w:w="1563" w:type="pct"/>
            <w:noWrap w:val="0"/>
            <w:vAlign w:val="center"/>
          </w:tcPr>
          <w:p>
            <w:pPr>
              <w:spacing w:line="360" w:lineRule="exact"/>
              <w:rPr>
                <w:szCs w:val="21"/>
              </w:rPr>
            </w:pPr>
            <w:r>
              <w:rPr>
                <w:szCs w:val="21"/>
              </w:rPr>
              <w:t>4</w:t>
            </w:r>
            <w:r>
              <w:rPr>
                <w:rFonts w:hAnsi="宋体"/>
                <w:szCs w:val="21"/>
              </w:rPr>
              <w:t>（易燃气体）。</w:t>
            </w:r>
          </w:p>
        </w:tc>
        <w:tc>
          <w:tcPr>
            <w:tcW w:w="1307" w:type="pct"/>
            <w:noWrap w:val="0"/>
            <w:vAlign w:val="center"/>
          </w:tcPr>
          <w:p>
            <w:pPr>
              <w:spacing w:line="360" w:lineRule="exact"/>
              <w:rPr>
                <w:szCs w:val="21"/>
              </w:rPr>
            </w:pPr>
            <w:r>
              <w:rPr>
                <w:rFonts w:hAnsi="宋体"/>
                <w:szCs w:val="21"/>
              </w:rPr>
              <w:t>燃爆危险：</w:t>
            </w:r>
          </w:p>
        </w:tc>
        <w:tc>
          <w:tcPr>
            <w:tcW w:w="1183" w:type="pct"/>
            <w:gridSpan w:val="2"/>
            <w:noWrap w:val="0"/>
            <w:vAlign w:val="center"/>
          </w:tcPr>
          <w:p>
            <w:pPr>
              <w:spacing w:line="360" w:lineRule="exact"/>
              <w:rPr>
                <w:szCs w:val="21"/>
              </w:rPr>
            </w:pPr>
            <w:r>
              <w:rPr>
                <w:rFonts w:hAnsi="宋体"/>
                <w:szCs w:val="21"/>
              </w:rPr>
              <w:t>易燃。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47" w:type="pct"/>
            <w:noWrap w:val="0"/>
            <w:vAlign w:val="center"/>
          </w:tcPr>
          <w:p>
            <w:pPr>
              <w:spacing w:line="360" w:lineRule="exact"/>
              <w:rPr>
                <w:szCs w:val="21"/>
              </w:rPr>
            </w:pPr>
            <w:r>
              <w:rPr>
                <w:rFonts w:hAnsi="宋体"/>
                <w:szCs w:val="21"/>
              </w:rPr>
              <w:t>侵入途径：</w:t>
            </w:r>
          </w:p>
        </w:tc>
        <w:tc>
          <w:tcPr>
            <w:tcW w:w="1563" w:type="pct"/>
            <w:noWrap w:val="0"/>
            <w:vAlign w:val="center"/>
          </w:tcPr>
          <w:p>
            <w:pPr>
              <w:spacing w:line="360" w:lineRule="exact"/>
              <w:rPr>
                <w:szCs w:val="21"/>
              </w:rPr>
            </w:pPr>
            <w:r>
              <w:rPr>
                <w:rFonts w:hAnsi="宋体"/>
                <w:szCs w:val="21"/>
              </w:rPr>
              <w:t>吸入</w:t>
            </w:r>
          </w:p>
        </w:tc>
        <w:tc>
          <w:tcPr>
            <w:tcW w:w="1307" w:type="pct"/>
            <w:noWrap w:val="0"/>
            <w:vAlign w:val="center"/>
          </w:tcPr>
          <w:p>
            <w:pPr>
              <w:spacing w:line="360" w:lineRule="exact"/>
              <w:rPr>
                <w:szCs w:val="21"/>
              </w:rPr>
            </w:pPr>
            <w:r>
              <w:rPr>
                <w:rFonts w:hAnsi="宋体"/>
                <w:szCs w:val="21"/>
              </w:rPr>
              <w:t>有害燃烧产物：</w:t>
            </w:r>
          </w:p>
        </w:tc>
        <w:tc>
          <w:tcPr>
            <w:tcW w:w="1183" w:type="pct"/>
            <w:gridSpan w:val="2"/>
            <w:noWrap w:val="0"/>
            <w:vAlign w:val="center"/>
          </w:tcPr>
          <w:p>
            <w:pPr>
              <w:spacing w:line="360" w:lineRule="exact"/>
              <w:rPr>
                <w:szCs w:val="21"/>
              </w:rPr>
            </w:pPr>
            <w:r>
              <w:rPr>
                <w:rFonts w:hAnsi="宋体"/>
                <w:szCs w:val="21"/>
              </w:rPr>
              <w:t>一氧化碳、二氧化碳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47" w:type="pct"/>
            <w:noWrap w:val="0"/>
            <w:vAlign w:val="center"/>
          </w:tcPr>
          <w:p>
            <w:pPr>
              <w:spacing w:line="360" w:lineRule="exact"/>
              <w:rPr>
                <w:szCs w:val="21"/>
              </w:rPr>
            </w:pPr>
            <w:r>
              <w:rPr>
                <w:rFonts w:hAnsi="宋体"/>
                <w:szCs w:val="21"/>
              </w:rPr>
              <w:t>健康危害：</w:t>
            </w:r>
          </w:p>
        </w:tc>
        <w:tc>
          <w:tcPr>
            <w:tcW w:w="4053" w:type="pct"/>
            <w:gridSpan w:val="4"/>
            <w:noWrap w:val="0"/>
            <w:vAlign w:val="center"/>
          </w:tcPr>
          <w:p>
            <w:pPr>
              <w:spacing w:line="360" w:lineRule="exact"/>
              <w:rPr>
                <w:szCs w:val="21"/>
              </w:rPr>
            </w:pPr>
            <w:r>
              <w:rPr>
                <w:rFonts w:hAnsi="宋体"/>
                <w:szCs w:val="21"/>
              </w:rPr>
              <w:t>甲烷对人基本无毒，但浓度过高时，使空气中氧含量明显降低，使人窒息。当空气中甲烷达</w:t>
            </w:r>
            <w:r>
              <w:rPr>
                <w:szCs w:val="21"/>
              </w:rPr>
              <w:t>25%~30%</w:t>
            </w:r>
            <w:r>
              <w:rPr>
                <w:rFonts w:hAnsi="宋体"/>
                <w:szCs w:val="21"/>
              </w:rPr>
              <w:t>时，可引起头痛、头晕、乏力、注意力不集中、呼吸和心跳加速、共济失调。若不及时脱离，可致窒息死亡。皮肤接触液化本品，可致冻伤。</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5000" w:type="pct"/>
            <w:gridSpan w:val="5"/>
            <w:noWrap w:val="0"/>
            <w:vAlign w:val="center"/>
          </w:tcPr>
          <w:p>
            <w:pPr>
              <w:spacing w:line="360" w:lineRule="exact"/>
              <w:rPr>
                <w:szCs w:val="21"/>
              </w:rPr>
            </w:pPr>
            <w:r>
              <w:rPr>
                <w:rFonts w:hAnsi="宋体"/>
                <w:szCs w:val="21"/>
              </w:rPr>
              <w:t>第二部分</w:t>
            </w:r>
            <w:r>
              <w:rPr>
                <w:szCs w:val="21"/>
              </w:rPr>
              <w:t xml:space="preserve">   </w:t>
            </w:r>
            <w:r>
              <w:rPr>
                <w:rFonts w:hAnsi="宋体"/>
                <w:szCs w:val="21"/>
              </w:rPr>
              <w:t>理化特性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47" w:type="pct"/>
            <w:noWrap w:val="0"/>
            <w:vAlign w:val="center"/>
          </w:tcPr>
          <w:p>
            <w:pPr>
              <w:spacing w:line="360" w:lineRule="exact"/>
              <w:rPr>
                <w:szCs w:val="21"/>
              </w:rPr>
            </w:pPr>
            <w:r>
              <w:rPr>
                <w:rFonts w:hAnsi="宋体"/>
                <w:szCs w:val="21"/>
              </w:rPr>
              <w:t>外观及性状：</w:t>
            </w:r>
          </w:p>
        </w:tc>
        <w:tc>
          <w:tcPr>
            <w:tcW w:w="4053" w:type="pct"/>
            <w:gridSpan w:val="4"/>
            <w:noWrap w:val="0"/>
            <w:vAlign w:val="center"/>
          </w:tcPr>
          <w:p>
            <w:pPr>
              <w:spacing w:line="360" w:lineRule="exact"/>
              <w:rPr>
                <w:szCs w:val="21"/>
              </w:rPr>
            </w:pPr>
            <w:r>
              <w:rPr>
                <w:rFonts w:hAnsi="宋体"/>
                <w:szCs w:val="21"/>
              </w:rPr>
              <w:t>无色无臭气体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47" w:type="pct"/>
            <w:noWrap w:val="0"/>
            <w:vAlign w:val="center"/>
          </w:tcPr>
          <w:p>
            <w:pPr>
              <w:spacing w:line="360" w:lineRule="exact"/>
              <w:rPr>
                <w:szCs w:val="21"/>
              </w:rPr>
            </w:pPr>
            <w:r>
              <w:rPr>
                <w:rFonts w:hAnsi="宋体"/>
                <w:szCs w:val="21"/>
              </w:rPr>
              <w:t>熔点（</w:t>
            </w:r>
            <w:r>
              <w:rPr>
                <w:rFonts w:ascii="宋体" w:hAnsi="宋体"/>
                <w:szCs w:val="21"/>
              </w:rPr>
              <w:t>℃</w:t>
            </w:r>
            <w:r>
              <w:rPr>
                <w:rFonts w:hAnsi="宋体"/>
                <w:szCs w:val="21"/>
              </w:rPr>
              <w:t>）：</w:t>
            </w:r>
          </w:p>
        </w:tc>
        <w:tc>
          <w:tcPr>
            <w:tcW w:w="1563" w:type="pct"/>
            <w:noWrap w:val="0"/>
            <w:vAlign w:val="center"/>
          </w:tcPr>
          <w:p>
            <w:pPr>
              <w:spacing w:line="360" w:lineRule="exact"/>
              <w:rPr>
                <w:szCs w:val="21"/>
              </w:rPr>
            </w:pPr>
            <w:r>
              <w:rPr>
                <w:szCs w:val="21"/>
              </w:rPr>
              <w:t>&lt;-182.5</w:t>
            </w:r>
            <w:r>
              <w:rPr>
                <w:szCs w:val="21"/>
                <w:vertAlign w:val="superscript"/>
              </w:rPr>
              <w:t>0</w:t>
            </w:r>
            <w:r>
              <w:rPr>
                <w:szCs w:val="21"/>
              </w:rPr>
              <w:t>C</w:t>
            </w:r>
          </w:p>
        </w:tc>
        <w:tc>
          <w:tcPr>
            <w:tcW w:w="1307" w:type="pct"/>
            <w:noWrap w:val="0"/>
            <w:vAlign w:val="center"/>
          </w:tcPr>
          <w:p>
            <w:pPr>
              <w:spacing w:line="360" w:lineRule="exact"/>
              <w:rPr>
                <w:szCs w:val="21"/>
              </w:rPr>
            </w:pPr>
            <w:r>
              <w:rPr>
                <w:rFonts w:hAnsi="宋体"/>
                <w:szCs w:val="21"/>
              </w:rPr>
              <w:t>相对密度（水＝</w:t>
            </w:r>
            <w:r>
              <w:rPr>
                <w:szCs w:val="21"/>
              </w:rPr>
              <w:t>1</w:t>
            </w:r>
            <w:r>
              <w:rPr>
                <w:rFonts w:hAnsi="宋体"/>
                <w:szCs w:val="21"/>
              </w:rPr>
              <w:t>）</w:t>
            </w:r>
          </w:p>
        </w:tc>
        <w:tc>
          <w:tcPr>
            <w:tcW w:w="1183" w:type="pct"/>
            <w:gridSpan w:val="2"/>
            <w:noWrap w:val="0"/>
            <w:vAlign w:val="center"/>
          </w:tcPr>
          <w:p>
            <w:pPr>
              <w:spacing w:line="360" w:lineRule="exact"/>
              <w:rPr>
                <w:szCs w:val="21"/>
              </w:rPr>
            </w:pPr>
            <w:r>
              <w:rPr>
                <w:szCs w:val="21"/>
              </w:rPr>
              <w:t>0.42</w:t>
            </w:r>
            <w:r>
              <w:rPr>
                <w:rFonts w:hAnsi="宋体"/>
                <w:szCs w:val="21"/>
              </w:rPr>
              <w:t>（</w:t>
            </w:r>
            <w:r>
              <w:rPr>
                <w:szCs w:val="21"/>
              </w:rPr>
              <w:t>-164</w:t>
            </w:r>
            <w:r>
              <w:rPr>
                <w:szCs w:val="21"/>
                <w:vertAlign w:val="superscript"/>
              </w:rPr>
              <w:t>0</w:t>
            </w:r>
            <w:r>
              <w:rPr>
                <w:szCs w:val="21"/>
              </w:rPr>
              <w:t>C</w:t>
            </w:r>
            <w:r>
              <w:rPr>
                <w:rFonts w:hAnsi="宋体"/>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47" w:type="pct"/>
            <w:noWrap w:val="0"/>
            <w:vAlign w:val="center"/>
          </w:tcPr>
          <w:p>
            <w:pPr>
              <w:spacing w:line="360" w:lineRule="exact"/>
              <w:rPr>
                <w:szCs w:val="21"/>
              </w:rPr>
            </w:pPr>
            <w:r>
              <w:rPr>
                <w:rFonts w:hAnsi="宋体"/>
                <w:szCs w:val="21"/>
              </w:rPr>
              <w:t>闪点（</w:t>
            </w:r>
            <w:r>
              <w:rPr>
                <w:rFonts w:ascii="宋体" w:hAnsi="宋体"/>
                <w:szCs w:val="21"/>
              </w:rPr>
              <w:t>℃</w:t>
            </w:r>
            <w:r>
              <w:rPr>
                <w:rFonts w:hAnsi="宋体"/>
                <w:szCs w:val="21"/>
              </w:rPr>
              <w:t>）：</w:t>
            </w:r>
          </w:p>
        </w:tc>
        <w:tc>
          <w:tcPr>
            <w:tcW w:w="1563" w:type="pct"/>
            <w:noWrap w:val="0"/>
            <w:vAlign w:val="center"/>
          </w:tcPr>
          <w:p>
            <w:pPr>
              <w:spacing w:line="360" w:lineRule="exact"/>
              <w:rPr>
                <w:szCs w:val="21"/>
              </w:rPr>
            </w:pPr>
            <w:r>
              <w:rPr>
                <w:szCs w:val="21"/>
              </w:rPr>
              <w:t>-18842%</w:t>
            </w:r>
            <w:r>
              <w:rPr>
                <w:rFonts w:hAnsi="宋体"/>
                <w:szCs w:val="21"/>
              </w:rPr>
              <w:t>浓度</w:t>
            </w:r>
            <w:r>
              <w:rPr>
                <w:szCs w:val="21"/>
              </w:rPr>
              <w:t>×60</w:t>
            </w:r>
            <w:r>
              <w:rPr>
                <w:rFonts w:hAnsi="宋体"/>
                <w:szCs w:val="21"/>
              </w:rPr>
              <w:t>分钟</w:t>
            </w:r>
          </w:p>
        </w:tc>
        <w:tc>
          <w:tcPr>
            <w:tcW w:w="1307" w:type="pct"/>
            <w:noWrap w:val="0"/>
            <w:vAlign w:val="center"/>
          </w:tcPr>
          <w:p>
            <w:pPr>
              <w:spacing w:line="360" w:lineRule="exact"/>
              <w:rPr>
                <w:szCs w:val="21"/>
              </w:rPr>
            </w:pPr>
            <w:r>
              <w:rPr>
                <w:rFonts w:hAnsi="宋体"/>
                <w:szCs w:val="21"/>
              </w:rPr>
              <w:t>相对密度（空气</w:t>
            </w:r>
            <w:r>
              <w:rPr>
                <w:szCs w:val="21"/>
              </w:rPr>
              <w:t>=1</w:t>
            </w:r>
            <w:r>
              <w:rPr>
                <w:rFonts w:hAnsi="宋体"/>
                <w:szCs w:val="21"/>
              </w:rPr>
              <w:t>）</w:t>
            </w:r>
          </w:p>
        </w:tc>
        <w:tc>
          <w:tcPr>
            <w:tcW w:w="1183" w:type="pct"/>
            <w:gridSpan w:val="2"/>
            <w:noWrap w:val="0"/>
            <w:vAlign w:val="center"/>
          </w:tcPr>
          <w:p>
            <w:pPr>
              <w:spacing w:line="360" w:lineRule="exact"/>
              <w:rPr>
                <w:szCs w:val="21"/>
              </w:rPr>
            </w:pPr>
            <w:r>
              <w:rPr>
                <w:szCs w:val="21"/>
              </w:rPr>
              <w:t>0.55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47" w:type="pct"/>
            <w:noWrap w:val="0"/>
            <w:vAlign w:val="center"/>
          </w:tcPr>
          <w:p>
            <w:pPr>
              <w:spacing w:line="360" w:lineRule="exact"/>
              <w:rPr>
                <w:szCs w:val="21"/>
              </w:rPr>
            </w:pPr>
            <w:r>
              <w:rPr>
                <w:rFonts w:hAnsi="宋体"/>
                <w:szCs w:val="21"/>
              </w:rPr>
              <w:t>最低点火能量</w:t>
            </w:r>
          </w:p>
        </w:tc>
        <w:tc>
          <w:tcPr>
            <w:tcW w:w="1563" w:type="pct"/>
            <w:noWrap w:val="0"/>
            <w:vAlign w:val="center"/>
          </w:tcPr>
          <w:p>
            <w:pPr>
              <w:spacing w:line="360" w:lineRule="exact"/>
              <w:rPr>
                <w:szCs w:val="21"/>
              </w:rPr>
            </w:pPr>
            <w:r>
              <w:rPr>
                <w:szCs w:val="21"/>
              </w:rPr>
              <w:t>0.28mj</w:t>
            </w:r>
          </w:p>
        </w:tc>
        <w:tc>
          <w:tcPr>
            <w:tcW w:w="1307" w:type="pct"/>
            <w:noWrap w:val="0"/>
            <w:vAlign w:val="center"/>
          </w:tcPr>
          <w:p>
            <w:pPr>
              <w:spacing w:line="360" w:lineRule="exact"/>
              <w:rPr>
                <w:szCs w:val="21"/>
              </w:rPr>
            </w:pPr>
            <w:r>
              <w:rPr>
                <w:rFonts w:hAnsi="宋体"/>
                <w:szCs w:val="21"/>
              </w:rPr>
              <w:t>爆炸上限％（</w:t>
            </w:r>
            <w:r>
              <w:rPr>
                <w:szCs w:val="21"/>
              </w:rPr>
              <w:t>V/V</w:t>
            </w:r>
            <w:r>
              <w:rPr>
                <w:rFonts w:hAnsi="宋体"/>
                <w:szCs w:val="21"/>
              </w:rPr>
              <w:t>）：</w:t>
            </w:r>
          </w:p>
        </w:tc>
        <w:tc>
          <w:tcPr>
            <w:tcW w:w="1183" w:type="pct"/>
            <w:gridSpan w:val="2"/>
            <w:noWrap w:val="0"/>
            <w:vAlign w:val="center"/>
          </w:tcPr>
          <w:p>
            <w:pPr>
              <w:spacing w:line="360" w:lineRule="exact"/>
              <w:rPr>
                <w:szCs w:val="21"/>
              </w:rPr>
            </w:pPr>
            <w:r>
              <w:rPr>
                <w:szCs w:val="21"/>
              </w:rPr>
              <w:t>15%</w:t>
            </w:r>
            <w:r>
              <w:rPr>
                <w:rFonts w:hAnsi="宋体"/>
                <w:szCs w:val="21"/>
              </w:rPr>
              <w:t>（体积百分比）</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47" w:type="pct"/>
            <w:noWrap w:val="0"/>
            <w:vAlign w:val="center"/>
          </w:tcPr>
          <w:p>
            <w:pPr>
              <w:spacing w:line="360" w:lineRule="exact"/>
              <w:rPr>
                <w:szCs w:val="21"/>
              </w:rPr>
            </w:pPr>
            <w:r>
              <w:rPr>
                <w:rFonts w:hAnsi="宋体"/>
                <w:szCs w:val="21"/>
              </w:rPr>
              <w:t>沸点（</w:t>
            </w:r>
            <w:r>
              <w:rPr>
                <w:rFonts w:ascii="宋体" w:hAnsi="宋体"/>
                <w:szCs w:val="21"/>
              </w:rPr>
              <w:t>℃</w:t>
            </w:r>
            <w:r>
              <w:rPr>
                <w:rFonts w:hAnsi="宋体"/>
                <w:szCs w:val="21"/>
              </w:rPr>
              <w:t>）：</w:t>
            </w:r>
          </w:p>
        </w:tc>
        <w:tc>
          <w:tcPr>
            <w:tcW w:w="1563" w:type="pct"/>
            <w:noWrap w:val="0"/>
            <w:vAlign w:val="center"/>
          </w:tcPr>
          <w:p>
            <w:pPr>
              <w:spacing w:line="360" w:lineRule="exact"/>
              <w:rPr>
                <w:szCs w:val="21"/>
              </w:rPr>
            </w:pPr>
            <w:r>
              <w:rPr>
                <w:szCs w:val="21"/>
              </w:rPr>
              <w:t>-161.5</w:t>
            </w:r>
            <w:r>
              <w:rPr>
                <w:szCs w:val="21"/>
                <w:vertAlign w:val="superscript"/>
              </w:rPr>
              <w:t>0</w:t>
            </w:r>
            <w:r>
              <w:rPr>
                <w:szCs w:val="21"/>
              </w:rPr>
              <w:t>C</w:t>
            </w:r>
          </w:p>
        </w:tc>
        <w:tc>
          <w:tcPr>
            <w:tcW w:w="1307" w:type="pct"/>
            <w:noWrap w:val="0"/>
            <w:vAlign w:val="center"/>
          </w:tcPr>
          <w:p>
            <w:pPr>
              <w:spacing w:line="360" w:lineRule="exact"/>
              <w:rPr>
                <w:szCs w:val="21"/>
              </w:rPr>
            </w:pPr>
            <w:r>
              <w:rPr>
                <w:rFonts w:hAnsi="宋体"/>
                <w:szCs w:val="21"/>
              </w:rPr>
              <w:t>爆炸下限％（</w:t>
            </w:r>
            <w:r>
              <w:rPr>
                <w:szCs w:val="21"/>
              </w:rPr>
              <w:t>V/V</w:t>
            </w:r>
            <w:r>
              <w:rPr>
                <w:rFonts w:hAnsi="宋体"/>
                <w:szCs w:val="21"/>
              </w:rPr>
              <w:t>）：</w:t>
            </w:r>
          </w:p>
        </w:tc>
        <w:tc>
          <w:tcPr>
            <w:tcW w:w="1183" w:type="pct"/>
            <w:gridSpan w:val="2"/>
            <w:noWrap w:val="0"/>
            <w:vAlign w:val="center"/>
          </w:tcPr>
          <w:p>
            <w:pPr>
              <w:spacing w:line="360" w:lineRule="exact"/>
              <w:rPr>
                <w:szCs w:val="21"/>
              </w:rPr>
            </w:pPr>
            <w:r>
              <w:rPr>
                <w:szCs w:val="21"/>
              </w:rPr>
              <w:t>5.15%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47" w:type="pct"/>
            <w:noWrap w:val="0"/>
            <w:vAlign w:val="center"/>
          </w:tcPr>
          <w:p>
            <w:pPr>
              <w:spacing w:line="360" w:lineRule="exact"/>
              <w:rPr>
                <w:szCs w:val="21"/>
              </w:rPr>
            </w:pPr>
            <w:r>
              <w:rPr>
                <w:rFonts w:hAnsi="宋体"/>
                <w:szCs w:val="21"/>
              </w:rPr>
              <w:t>溶解性：</w:t>
            </w:r>
          </w:p>
        </w:tc>
        <w:tc>
          <w:tcPr>
            <w:tcW w:w="4053" w:type="pct"/>
            <w:gridSpan w:val="4"/>
            <w:noWrap w:val="0"/>
            <w:vAlign w:val="center"/>
          </w:tcPr>
          <w:p>
            <w:pPr>
              <w:spacing w:line="360" w:lineRule="exact"/>
              <w:rPr>
                <w:szCs w:val="21"/>
              </w:rPr>
            </w:pPr>
            <w:r>
              <w:rPr>
                <w:rFonts w:hAnsi="宋体"/>
                <w:szCs w:val="21"/>
              </w:rPr>
              <w:t>微溶于水、溶于醇、乙醚。</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47" w:type="pct"/>
            <w:noWrap w:val="0"/>
            <w:vAlign w:val="center"/>
          </w:tcPr>
          <w:p>
            <w:pPr>
              <w:spacing w:line="360" w:lineRule="exact"/>
              <w:rPr>
                <w:szCs w:val="21"/>
              </w:rPr>
            </w:pPr>
            <w:r>
              <w:rPr>
                <w:rFonts w:hAnsi="宋体"/>
                <w:szCs w:val="21"/>
              </w:rPr>
              <w:t>主要用途：</w:t>
            </w:r>
          </w:p>
        </w:tc>
        <w:tc>
          <w:tcPr>
            <w:tcW w:w="4053" w:type="pct"/>
            <w:gridSpan w:val="4"/>
            <w:noWrap w:val="0"/>
            <w:vAlign w:val="center"/>
          </w:tcPr>
          <w:p>
            <w:pPr>
              <w:spacing w:line="360" w:lineRule="exact"/>
              <w:rPr>
                <w:szCs w:val="21"/>
              </w:rPr>
            </w:pPr>
            <w:r>
              <w:rPr>
                <w:rFonts w:hAnsi="宋体"/>
                <w:szCs w:val="21"/>
              </w:rPr>
              <w:t>主要用作燃料和用于炭黑、氢、乙炔、甲醛等的制造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5000" w:type="pct"/>
            <w:gridSpan w:val="5"/>
            <w:noWrap w:val="0"/>
            <w:vAlign w:val="center"/>
          </w:tcPr>
          <w:p>
            <w:pPr>
              <w:spacing w:line="360" w:lineRule="exact"/>
              <w:rPr>
                <w:szCs w:val="21"/>
              </w:rPr>
            </w:pPr>
            <w:r>
              <w:rPr>
                <w:rFonts w:hAnsi="宋体"/>
                <w:szCs w:val="21"/>
              </w:rPr>
              <w:t>第三部分</w:t>
            </w:r>
            <w:r>
              <w:rPr>
                <w:szCs w:val="21"/>
              </w:rPr>
              <w:t xml:space="preserve">   </w:t>
            </w:r>
            <w:r>
              <w:rPr>
                <w:rFonts w:hAnsi="宋体"/>
                <w:szCs w:val="21"/>
              </w:rPr>
              <w:t>稳定性及化学活性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47" w:type="pct"/>
            <w:noWrap w:val="0"/>
            <w:vAlign w:val="center"/>
          </w:tcPr>
          <w:p>
            <w:pPr>
              <w:spacing w:line="360" w:lineRule="exact"/>
              <w:rPr>
                <w:szCs w:val="21"/>
              </w:rPr>
            </w:pPr>
            <w:r>
              <w:rPr>
                <w:rFonts w:hAnsi="宋体"/>
                <w:szCs w:val="21"/>
              </w:rPr>
              <w:t>稳定性：</w:t>
            </w:r>
          </w:p>
        </w:tc>
        <w:tc>
          <w:tcPr>
            <w:tcW w:w="1563" w:type="pct"/>
            <w:noWrap w:val="0"/>
            <w:vAlign w:val="center"/>
          </w:tcPr>
          <w:p>
            <w:pPr>
              <w:spacing w:line="360" w:lineRule="exact"/>
              <w:rPr>
                <w:szCs w:val="21"/>
              </w:rPr>
            </w:pPr>
            <w:r>
              <w:rPr>
                <w:rFonts w:hAnsi="宋体"/>
                <w:szCs w:val="21"/>
              </w:rPr>
              <w:t>稳定</w:t>
            </w:r>
          </w:p>
        </w:tc>
        <w:tc>
          <w:tcPr>
            <w:tcW w:w="1318" w:type="pct"/>
            <w:gridSpan w:val="2"/>
            <w:noWrap w:val="0"/>
            <w:vAlign w:val="center"/>
          </w:tcPr>
          <w:p>
            <w:pPr>
              <w:spacing w:line="360" w:lineRule="exact"/>
              <w:rPr>
                <w:szCs w:val="21"/>
              </w:rPr>
            </w:pPr>
            <w:r>
              <w:rPr>
                <w:rFonts w:hAnsi="宋体"/>
                <w:szCs w:val="21"/>
              </w:rPr>
              <w:t>避免接触的条件：</w:t>
            </w:r>
          </w:p>
        </w:tc>
        <w:tc>
          <w:tcPr>
            <w:tcW w:w="1172" w:type="pct"/>
            <w:noWrap w:val="0"/>
            <w:vAlign w:val="center"/>
          </w:tcPr>
          <w:p>
            <w:pPr>
              <w:spacing w:line="360" w:lineRule="exact"/>
              <w:rPr>
                <w:szCs w:val="21"/>
              </w:rPr>
            </w:pPr>
            <w:r>
              <w:rPr>
                <w:rFonts w:hAnsi="宋体"/>
                <w:szCs w:val="21"/>
              </w:rPr>
              <w:t>明火、高热。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47" w:type="pct"/>
            <w:noWrap w:val="0"/>
            <w:vAlign w:val="center"/>
          </w:tcPr>
          <w:p>
            <w:pPr>
              <w:spacing w:line="360" w:lineRule="exact"/>
              <w:rPr>
                <w:szCs w:val="21"/>
              </w:rPr>
            </w:pPr>
            <w:r>
              <w:rPr>
                <w:rFonts w:hAnsi="宋体"/>
                <w:szCs w:val="21"/>
              </w:rPr>
              <w:t>禁配物：</w:t>
            </w:r>
          </w:p>
        </w:tc>
        <w:tc>
          <w:tcPr>
            <w:tcW w:w="1563" w:type="pct"/>
            <w:noWrap w:val="0"/>
            <w:vAlign w:val="center"/>
          </w:tcPr>
          <w:p>
            <w:pPr>
              <w:spacing w:line="360" w:lineRule="exact"/>
              <w:rPr>
                <w:szCs w:val="21"/>
              </w:rPr>
            </w:pPr>
            <w:r>
              <w:rPr>
                <w:rFonts w:hAnsi="宋体"/>
                <w:szCs w:val="21"/>
              </w:rPr>
              <w:t>强氧化剂</w:t>
            </w:r>
          </w:p>
        </w:tc>
        <w:tc>
          <w:tcPr>
            <w:tcW w:w="1318" w:type="pct"/>
            <w:gridSpan w:val="2"/>
            <w:noWrap w:val="0"/>
            <w:vAlign w:val="center"/>
          </w:tcPr>
          <w:p>
            <w:pPr>
              <w:spacing w:line="360" w:lineRule="exact"/>
              <w:rPr>
                <w:szCs w:val="21"/>
              </w:rPr>
            </w:pPr>
            <w:r>
              <w:rPr>
                <w:rFonts w:hAnsi="宋体"/>
                <w:szCs w:val="21"/>
              </w:rPr>
              <w:t>聚合危害：</w:t>
            </w:r>
          </w:p>
        </w:tc>
        <w:tc>
          <w:tcPr>
            <w:tcW w:w="1172" w:type="pct"/>
            <w:noWrap w:val="0"/>
            <w:vAlign w:val="center"/>
          </w:tcPr>
          <w:p>
            <w:pPr>
              <w:spacing w:line="360" w:lineRule="exact"/>
              <w:rPr>
                <w:szCs w:val="21"/>
              </w:rPr>
            </w:pPr>
            <w:r>
              <w:rPr>
                <w:rFonts w:hAnsi="宋体"/>
                <w:szCs w:val="21"/>
              </w:rPr>
              <w:t>不聚合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47" w:type="pct"/>
            <w:noWrap w:val="0"/>
            <w:vAlign w:val="center"/>
          </w:tcPr>
          <w:p>
            <w:pPr>
              <w:spacing w:line="360" w:lineRule="exact"/>
              <w:rPr>
                <w:szCs w:val="21"/>
              </w:rPr>
            </w:pPr>
            <w:r>
              <w:rPr>
                <w:rFonts w:hAnsi="宋体"/>
                <w:szCs w:val="21"/>
              </w:rPr>
              <w:t>分解产物：</w:t>
            </w:r>
          </w:p>
        </w:tc>
        <w:tc>
          <w:tcPr>
            <w:tcW w:w="4053" w:type="pct"/>
            <w:gridSpan w:val="4"/>
            <w:noWrap w:val="0"/>
            <w:vAlign w:val="center"/>
          </w:tcPr>
          <w:p>
            <w:pPr>
              <w:spacing w:line="360" w:lineRule="exact"/>
              <w:rPr>
                <w:szCs w:val="21"/>
              </w:rPr>
            </w:pPr>
            <w:r>
              <w:rPr>
                <w:rFonts w:hAnsi="宋体"/>
                <w:szCs w:val="21"/>
              </w:rPr>
              <w:t>一氧化碳、二氧化碳。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5000" w:type="pct"/>
            <w:gridSpan w:val="5"/>
            <w:noWrap w:val="0"/>
            <w:vAlign w:val="center"/>
          </w:tcPr>
          <w:p>
            <w:pPr>
              <w:spacing w:line="360" w:lineRule="exact"/>
              <w:rPr>
                <w:szCs w:val="21"/>
              </w:rPr>
            </w:pPr>
            <w:r>
              <w:rPr>
                <w:rFonts w:hAnsi="宋体"/>
                <w:szCs w:val="21"/>
              </w:rPr>
              <w:t>第四部分</w:t>
            </w:r>
            <w:r>
              <w:rPr>
                <w:szCs w:val="21"/>
              </w:rPr>
              <w:t xml:space="preserve">  </w:t>
            </w:r>
            <w:r>
              <w:rPr>
                <w:rFonts w:hAnsi="宋体"/>
                <w:szCs w:val="21"/>
              </w:rPr>
              <w:t>毒理学资料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47" w:type="pct"/>
            <w:noWrap w:val="0"/>
            <w:vAlign w:val="center"/>
          </w:tcPr>
          <w:p>
            <w:pPr>
              <w:spacing w:line="360" w:lineRule="exact"/>
              <w:rPr>
                <w:szCs w:val="21"/>
              </w:rPr>
            </w:pPr>
            <w:r>
              <w:rPr>
                <w:rFonts w:hAnsi="宋体"/>
                <w:szCs w:val="21"/>
              </w:rPr>
              <w:t>急性毒性：</w:t>
            </w:r>
          </w:p>
        </w:tc>
        <w:tc>
          <w:tcPr>
            <w:tcW w:w="4053" w:type="pct"/>
            <w:gridSpan w:val="4"/>
            <w:noWrap w:val="0"/>
            <w:vAlign w:val="center"/>
          </w:tcPr>
          <w:p>
            <w:pPr>
              <w:spacing w:line="360" w:lineRule="exact"/>
              <w:rPr>
                <w:szCs w:val="21"/>
              </w:rPr>
            </w:pPr>
            <w:r>
              <w:rPr>
                <w:rFonts w:hAnsi="宋体"/>
                <w:szCs w:val="21"/>
              </w:rPr>
              <w:t>小鼠系入</w:t>
            </w:r>
            <w:r>
              <w:rPr>
                <w:szCs w:val="21"/>
              </w:rPr>
              <w:t>42%</w:t>
            </w:r>
            <w:r>
              <w:rPr>
                <w:rFonts w:hAnsi="宋体"/>
                <w:szCs w:val="21"/>
              </w:rPr>
              <w:t>浓度</w:t>
            </w:r>
            <w:r>
              <w:rPr>
                <w:szCs w:val="21"/>
              </w:rPr>
              <w:t>×60</w:t>
            </w:r>
            <w:r>
              <w:rPr>
                <w:rFonts w:hAnsi="宋体"/>
                <w:szCs w:val="21"/>
              </w:rPr>
              <w:t>分钟，麻醉作用；兔吸入</w:t>
            </w:r>
            <w:r>
              <w:rPr>
                <w:szCs w:val="21"/>
              </w:rPr>
              <w:t>42%</w:t>
            </w:r>
            <w:r>
              <w:rPr>
                <w:rFonts w:hAnsi="宋体"/>
                <w:szCs w:val="21"/>
              </w:rPr>
              <w:t>浓度</w:t>
            </w:r>
            <w:r>
              <w:rPr>
                <w:szCs w:val="21"/>
              </w:rPr>
              <w:t>×60</w:t>
            </w:r>
            <w:r>
              <w:rPr>
                <w:rFonts w:hAnsi="宋体"/>
                <w:szCs w:val="21"/>
              </w:rPr>
              <w:t>分钟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47" w:type="pct"/>
            <w:noWrap w:val="0"/>
            <w:vAlign w:val="center"/>
          </w:tcPr>
          <w:p>
            <w:pPr>
              <w:spacing w:line="360" w:lineRule="exact"/>
              <w:rPr>
                <w:szCs w:val="21"/>
              </w:rPr>
            </w:pPr>
            <w:r>
              <w:rPr>
                <w:rFonts w:hAnsi="宋体"/>
                <w:szCs w:val="21"/>
              </w:rPr>
              <w:t>毒性：</w:t>
            </w:r>
          </w:p>
        </w:tc>
        <w:tc>
          <w:tcPr>
            <w:tcW w:w="4053" w:type="pct"/>
            <w:gridSpan w:val="4"/>
            <w:noWrap w:val="0"/>
            <w:vAlign w:val="center"/>
          </w:tcPr>
          <w:p>
            <w:pPr>
              <w:spacing w:line="360" w:lineRule="exact"/>
              <w:rPr>
                <w:szCs w:val="21"/>
              </w:rPr>
            </w:pPr>
            <w:r>
              <w:rPr>
                <w:rFonts w:hAnsi="宋体"/>
                <w:szCs w:val="21"/>
              </w:rPr>
              <w:t>属微毒类。允许气体安全地扩散到大气中或当作燃料使用。有单纯性窒息作用，在高浓度时因缺氧窒息而引起中毒。空气中达到</w:t>
            </w:r>
            <w:r>
              <w:rPr>
                <w:szCs w:val="21"/>
              </w:rPr>
              <w:t>25%~30%</w:t>
            </w:r>
            <w:r>
              <w:rPr>
                <w:rFonts w:hAnsi="宋体"/>
                <w:szCs w:val="21"/>
              </w:rPr>
              <w:t>出现头昏、呼吸加速、运动失调。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947" w:type="pct"/>
            <w:noWrap w:val="0"/>
            <w:vAlign w:val="center"/>
          </w:tcPr>
          <w:p>
            <w:pPr>
              <w:spacing w:line="360" w:lineRule="exact"/>
              <w:rPr>
                <w:szCs w:val="21"/>
              </w:rPr>
            </w:pPr>
            <w:r>
              <w:rPr>
                <w:rFonts w:hAnsi="宋体"/>
                <w:szCs w:val="21"/>
              </w:rPr>
              <w:t>最高容许浓度</w:t>
            </w:r>
          </w:p>
        </w:tc>
        <w:tc>
          <w:tcPr>
            <w:tcW w:w="4053" w:type="pct"/>
            <w:gridSpan w:val="4"/>
            <w:noWrap w:val="0"/>
            <w:vAlign w:val="center"/>
          </w:tcPr>
          <w:p>
            <w:pPr>
              <w:spacing w:line="360" w:lineRule="exact"/>
              <w:rPr>
                <w:szCs w:val="21"/>
              </w:rPr>
            </w:pPr>
            <w:r>
              <w:rPr>
                <w:szCs w:val="21"/>
              </w:rPr>
              <w:t>300mg/m</w:t>
            </w:r>
            <w:r>
              <w:rPr>
                <w:szCs w:val="21"/>
                <w:vertAlign w:val="superscript"/>
              </w:rPr>
              <w:t>3</w:t>
            </w:r>
          </w:p>
        </w:tc>
      </w:tr>
    </w:tbl>
    <w:p>
      <w:pPr>
        <w:spacing w:line="520" w:lineRule="exact"/>
        <w:ind w:firstLine="480" w:firstLineChars="200"/>
        <w:rPr>
          <w:sz w:val="24"/>
          <w:szCs w:val="28"/>
        </w:rPr>
      </w:pPr>
      <w:r>
        <w:rPr>
          <w:rFonts w:hAnsi="宋体"/>
          <w:sz w:val="24"/>
          <w:szCs w:val="28"/>
        </w:rPr>
        <w:t>由上表可见，本工程所涉及的危险性物质主要危险特性为易燃、爆炸性。</w:t>
      </w:r>
    </w:p>
    <w:p>
      <w:pPr>
        <w:keepNext/>
        <w:keepLines/>
        <w:spacing w:line="520" w:lineRule="exact"/>
        <w:outlineLvl w:val="2"/>
        <w:rPr>
          <w:b/>
          <w:kern w:val="0"/>
          <w:sz w:val="24"/>
          <w:lang w:bidi="ar"/>
        </w:rPr>
      </w:pPr>
      <w:r>
        <w:rPr>
          <w:b/>
          <w:kern w:val="0"/>
          <w:sz w:val="24"/>
          <w:lang w:bidi="ar"/>
        </w:rPr>
        <w:t>4.3.1</w:t>
      </w:r>
      <w:r>
        <w:rPr>
          <w:rFonts w:hint="eastAsia"/>
          <w:b/>
          <w:kern w:val="0"/>
          <w:sz w:val="24"/>
          <w:lang w:bidi="ar"/>
        </w:rPr>
        <w:t>.</w:t>
      </w:r>
      <w:r>
        <w:rPr>
          <w:b/>
          <w:kern w:val="0"/>
          <w:sz w:val="24"/>
          <w:lang w:bidi="ar"/>
        </w:rPr>
        <w:t xml:space="preserve">2 </w:t>
      </w:r>
      <w:r>
        <w:rPr>
          <w:rFonts w:hint="eastAsia"/>
          <w:b/>
          <w:kern w:val="0"/>
          <w:sz w:val="24"/>
          <w:lang w:bidi="ar"/>
        </w:rPr>
        <w:t>环境</w:t>
      </w:r>
      <w:r>
        <w:rPr>
          <w:b/>
          <w:kern w:val="0"/>
          <w:sz w:val="24"/>
          <w:lang w:bidi="ar"/>
        </w:rPr>
        <w:t>风险</w:t>
      </w:r>
      <w:r>
        <w:rPr>
          <w:rFonts w:hint="eastAsia"/>
          <w:b/>
          <w:kern w:val="0"/>
          <w:sz w:val="24"/>
          <w:lang w:bidi="ar"/>
        </w:rPr>
        <w:t>事故分析</w:t>
      </w:r>
    </w:p>
    <w:p>
      <w:pPr>
        <w:tabs>
          <w:tab w:val="left" w:pos="2709"/>
        </w:tabs>
        <w:spacing w:line="520" w:lineRule="exact"/>
        <w:ind w:firstLine="480" w:firstLineChars="200"/>
        <w:rPr>
          <w:rFonts w:hAnsi="宋体"/>
          <w:sz w:val="24"/>
          <w:szCs w:val="28"/>
        </w:rPr>
      </w:pPr>
      <w:r>
        <w:rPr>
          <w:rFonts w:hAnsi="宋体"/>
          <w:sz w:val="24"/>
          <w:szCs w:val="28"/>
        </w:rPr>
        <w:t>对关键单元的重点部位及其薄弱环节分析，见表4.3-2。</w:t>
      </w:r>
    </w:p>
    <w:p>
      <w:pPr>
        <w:tabs>
          <w:tab w:val="left" w:pos="2709"/>
        </w:tabs>
        <w:spacing w:line="520" w:lineRule="exact"/>
        <w:jc w:val="center"/>
        <w:rPr>
          <w:rFonts w:hAnsi="宋体"/>
          <w:b/>
          <w:sz w:val="24"/>
          <w:szCs w:val="28"/>
        </w:rPr>
      </w:pPr>
      <w:r>
        <w:rPr>
          <w:rFonts w:hAnsi="宋体"/>
          <w:b/>
          <w:sz w:val="24"/>
          <w:szCs w:val="28"/>
        </w:rPr>
        <w:t>表4.3-2 重点部位及其薄弱环节</w:t>
      </w:r>
    </w:p>
    <w:tbl>
      <w:tblPr>
        <w:tblStyle w:val="1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70"/>
        <w:gridCol w:w="1277"/>
        <w:gridCol w:w="1707"/>
        <w:gridCol w:w="1277"/>
        <w:gridCol w:w="1764"/>
        <w:gridCol w:w="19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42" w:type="pct"/>
            <w:vMerge w:val="restart"/>
            <w:noWrap w:val="0"/>
            <w:vAlign w:val="center"/>
          </w:tcPr>
          <w:p>
            <w:pPr>
              <w:tabs>
                <w:tab w:val="left" w:pos="2709"/>
              </w:tabs>
              <w:jc w:val="center"/>
              <w:rPr>
                <w:b/>
                <w:szCs w:val="21"/>
              </w:rPr>
            </w:pPr>
            <w:r>
              <w:rPr>
                <w:b/>
                <w:szCs w:val="21"/>
              </w:rPr>
              <w:t>重点</w:t>
            </w:r>
          </w:p>
          <w:p>
            <w:pPr>
              <w:tabs>
                <w:tab w:val="left" w:pos="2709"/>
              </w:tabs>
              <w:jc w:val="center"/>
              <w:rPr>
                <w:b/>
                <w:szCs w:val="21"/>
              </w:rPr>
            </w:pPr>
            <w:r>
              <w:rPr>
                <w:b/>
                <w:szCs w:val="21"/>
              </w:rPr>
              <w:t>部位</w:t>
            </w:r>
          </w:p>
        </w:tc>
        <w:tc>
          <w:tcPr>
            <w:tcW w:w="714" w:type="pct"/>
            <w:vMerge w:val="restart"/>
            <w:noWrap w:val="0"/>
            <w:vAlign w:val="center"/>
          </w:tcPr>
          <w:p>
            <w:pPr>
              <w:tabs>
                <w:tab w:val="left" w:pos="2709"/>
              </w:tabs>
              <w:jc w:val="center"/>
              <w:rPr>
                <w:b/>
                <w:szCs w:val="21"/>
              </w:rPr>
            </w:pPr>
            <w:r>
              <w:rPr>
                <w:b/>
                <w:szCs w:val="21"/>
              </w:rPr>
              <w:t>典型设备及特点</w:t>
            </w:r>
          </w:p>
        </w:tc>
        <w:tc>
          <w:tcPr>
            <w:tcW w:w="954" w:type="pct"/>
            <w:vMerge w:val="restart"/>
            <w:noWrap w:val="0"/>
            <w:vAlign w:val="center"/>
          </w:tcPr>
          <w:p>
            <w:pPr>
              <w:tabs>
                <w:tab w:val="left" w:pos="2709"/>
              </w:tabs>
              <w:jc w:val="center"/>
              <w:rPr>
                <w:b/>
                <w:szCs w:val="21"/>
              </w:rPr>
            </w:pPr>
            <w:r>
              <w:rPr>
                <w:b/>
                <w:szCs w:val="21"/>
              </w:rPr>
              <w:t>薄弱环节</w:t>
            </w:r>
          </w:p>
        </w:tc>
        <w:tc>
          <w:tcPr>
            <w:tcW w:w="2791" w:type="pct"/>
            <w:gridSpan w:val="3"/>
            <w:noWrap w:val="0"/>
            <w:vAlign w:val="center"/>
          </w:tcPr>
          <w:p>
            <w:pPr>
              <w:tabs>
                <w:tab w:val="left" w:pos="2709"/>
              </w:tabs>
              <w:jc w:val="center"/>
              <w:rPr>
                <w:b/>
                <w:szCs w:val="21"/>
              </w:rPr>
            </w:pPr>
            <w:r>
              <w:rPr>
                <w:b/>
                <w:szCs w:val="21"/>
              </w:rPr>
              <w:t>可能发生的事故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42" w:type="pct"/>
            <w:vMerge w:val="continue"/>
            <w:noWrap w:val="0"/>
            <w:vAlign w:val="center"/>
          </w:tcPr>
          <w:p>
            <w:pPr>
              <w:tabs>
                <w:tab w:val="left" w:pos="2709"/>
              </w:tabs>
              <w:jc w:val="center"/>
              <w:rPr>
                <w:b/>
                <w:szCs w:val="21"/>
              </w:rPr>
            </w:pPr>
          </w:p>
        </w:tc>
        <w:tc>
          <w:tcPr>
            <w:tcW w:w="714" w:type="pct"/>
            <w:vMerge w:val="continue"/>
            <w:noWrap w:val="0"/>
            <w:vAlign w:val="center"/>
          </w:tcPr>
          <w:p>
            <w:pPr>
              <w:tabs>
                <w:tab w:val="left" w:pos="2709"/>
              </w:tabs>
              <w:jc w:val="center"/>
              <w:rPr>
                <w:b/>
                <w:szCs w:val="21"/>
              </w:rPr>
            </w:pPr>
          </w:p>
        </w:tc>
        <w:tc>
          <w:tcPr>
            <w:tcW w:w="954" w:type="pct"/>
            <w:vMerge w:val="continue"/>
            <w:noWrap w:val="0"/>
            <w:vAlign w:val="center"/>
          </w:tcPr>
          <w:p>
            <w:pPr>
              <w:tabs>
                <w:tab w:val="left" w:pos="2709"/>
              </w:tabs>
              <w:jc w:val="center"/>
              <w:rPr>
                <w:b/>
                <w:szCs w:val="21"/>
              </w:rPr>
            </w:pPr>
          </w:p>
        </w:tc>
        <w:tc>
          <w:tcPr>
            <w:tcW w:w="714" w:type="pct"/>
            <w:noWrap w:val="0"/>
            <w:vAlign w:val="center"/>
          </w:tcPr>
          <w:p>
            <w:pPr>
              <w:tabs>
                <w:tab w:val="left" w:pos="2709"/>
              </w:tabs>
              <w:jc w:val="center"/>
              <w:rPr>
                <w:b/>
                <w:szCs w:val="21"/>
              </w:rPr>
            </w:pPr>
            <w:r>
              <w:rPr>
                <w:b/>
                <w:szCs w:val="21"/>
              </w:rPr>
              <w:t>原因</w:t>
            </w:r>
          </w:p>
        </w:tc>
        <w:tc>
          <w:tcPr>
            <w:tcW w:w="986" w:type="pct"/>
            <w:noWrap w:val="0"/>
            <w:vAlign w:val="center"/>
          </w:tcPr>
          <w:p>
            <w:pPr>
              <w:tabs>
                <w:tab w:val="left" w:pos="2709"/>
              </w:tabs>
              <w:jc w:val="center"/>
              <w:rPr>
                <w:b/>
                <w:szCs w:val="21"/>
              </w:rPr>
            </w:pPr>
            <w:r>
              <w:rPr>
                <w:b/>
                <w:szCs w:val="21"/>
              </w:rPr>
              <w:t>类型</w:t>
            </w:r>
          </w:p>
        </w:tc>
        <w:tc>
          <w:tcPr>
            <w:tcW w:w="1091" w:type="pct"/>
            <w:noWrap w:val="0"/>
            <w:vAlign w:val="center"/>
          </w:tcPr>
          <w:p>
            <w:pPr>
              <w:tabs>
                <w:tab w:val="left" w:pos="2709"/>
              </w:tabs>
              <w:jc w:val="center"/>
              <w:rPr>
                <w:b/>
                <w:szCs w:val="21"/>
              </w:rPr>
            </w:pPr>
            <w:r>
              <w:rPr>
                <w:b/>
                <w:szCs w:val="21"/>
              </w:rPr>
              <w:t>后果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2" w:type="pct"/>
            <w:noWrap w:val="0"/>
            <w:vAlign w:val="center"/>
          </w:tcPr>
          <w:p>
            <w:pPr>
              <w:tabs>
                <w:tab w:val="left" w:pos="2709"/>
              </w:tabs>
              <w:jc w:val="center"/>
              <w:rPr>
                <w:szCs w:val="21"/>
              </w:rPr>
            </w:pPr>
            <w:r>
              <w:rPr>
                <w:szCs w:val="21"/>
              </w:rPr>
              <w:t>发酵</w:t>
            </w:r>
          </w:p>
        </w:tc>
        <w:tc>
          <w:tcPr>
            <w:tcW w:w="714" w:type="pct"/>
            <w:noWrap w:val="0"/>
            <w:vAlign w:val="center"/>
          </w:tcPr>
          <w:p>
            <w:pPr>
              <w:tabs>
                <w:tab w:val="left" w:pos="2709"/>
              </w:tabs>
              <w:jc w:val="center"/>
              <w:rPr>
                <w:szCs w:val="21"/>
              </w:rPr>
            </w:pPr>
            <w:r>
              <w:rPr>
                <w:rFonts w:hint="eastAsia"/>
                <w:szCs w:val="21"/>
              </w:rPr>
              <w:t>黑膜</w:t>
            </w:r>
            <w:r>
              <w:rPr>
                <w:szCs w:val="21"/>
              </w:rPr>
              <w:t>沼气池</w:t>
            </w:r>
          </w:p>
        </w:tc>
        <w:tc>
          <w:tcPr>
            <w:tcW w:w="954" w:type="pct"/>
            <w:noWrap w:val="0"/>
            <w:vAlign w:val="center"/>
          </w:tcPr>
          <w:p>
            <w:pPr>
              <w:tabs>
                <w:tab w:val="left" w:pos="2709"/>
              </w:tabs>
              <w:jc w:val="center"/>
              <w:rPr>
                <w:szCs w:val="21"/>
              </w:rPr>
            </w:pPr>
            <w:r>
              <w:rPr>
                <w:rFonts w:hint="eastAsia"/>
                <w:szCs w:val="21"/>
              </w:rPr>
              <w:t>黑膜</w:t>
            </w:r>
            <w:r>
              <w:rPr>
                <w:szCs w:val="21"/>
              </w:rPr>
              <w:t>沼气池、管线</w:t>
            </w:r>
          </w:p>
        </w:tc>
        <w:tc>
          <w:tcPr>
            <w:tcW w:w="714" w:type="pct"/>
            <w:noWrap w:val="0"/>
            <w:vAlign w:val="center"/>
          </w:tcPr>
          <w:p>
            <w:pPr>
              <w:tabs>
                <w:tab w:val="left" w:pos="2709"/>
              </w:tabs>
              <w:jc w:val="center"/>
              <w:rPr>
                <w:szCs w:val="21"/>
              </w:rPr>
            </w:pPr>
            <w:r>
              <w:rPr>
                <w:szCs w:val="21"/>
              </w:rPr>
              <w:t>维护保养不当</w:t>
            </w:r>
          </w:p>
        </w:tc>
        <w:tc>
          <w:tcPr>
            <w:tcW w:w="986" w:type="pct"/>
            <w:noWrap w:val="0"/>
            <w:vAlign w:val="center"/>
          </w:tcPr>
          <w:p>
            <w:pPr>
              <w:tabs>
                <w:tab w:val="left" w:pos="2709"/>
              </w:tabs>
              <w:jc w:val="center"/>
              <w:rPr>
                <w:szCs w:val="21"/>
              </w:rPr>
            </w:pPr>
            <w:r>
              <w:rPr>
                <w:rFonts w:hint="eastAsia"/>
                <w:szCs w:val="21"/>
              </w:rPr>
              <w:t>黑膜</w:t>
            </w:r>
            <w:r>
              <w:rPr>
                <w:szCs w:val="21"/>
              </w:rPr>
              <w:t>沼气池破裂、管线损坏</w:t>
            </w:r>
          </w:p>
        </w:tc>
        <w:tc>
          <w:tcPr>
            <w:tcW w:w="1091" w:type="pct"/>
            <w:noWrap w:val="0"/>
            <w:vAlign w:val="center"/>
          </w:tcPr>
          <w:p>
            <w:pPr>
              <w:tabs>
                <w:tab w:val="left" w:pos="2709"/>
              </w:tabs>
              <w:jc w:val="center"/>
              <w:rPr>
                <w:szCs w:val="21"/>
              </w:rPr>
            </w:pPr>
            <w:r>
              <w:rPr>
                <w:szCs w:val="21"/>
              </w:rPr>
              <w:t>沼气泄漏，遇火源发生火灾、爆炸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2" w:type="pct"/>
            <w:noWrap w:val="0"/>
            <w:vAlign w:val="center"/>
          </w:tcPr>
          <w:p>
            <w:pPr>
              <w:tabs>
                <w:tab w:val="left" w:pos="2709"/>
              </w:tabs>
              <w:jc w:val="center"/>
              <w:rPr>
                <w:szCs w:val="21"/>
              </w:rPr>
            </w:pPr>
            <w:r>
              <w:rPr>
                <w:szCs w:val="21"/>
              </w:rPr>
              <w:t>运输</w:t>
            </w:r>
          </w:p>
        </w:tc>
        <w:tc>
          <w:tcPr>
            <w:tcW w:w="714" w:type="pct"/>
            <w:noWrap w:val="0"/>
            <w:vAlign w:val="center"/>
          </w:tcPr>
          <w:p>
            <w:pPr>
              <w:tabs>
                <w:tab w:val="left" w:pos="2709"/>
              </w:tabs>
              <w:jc w:val="center"/>
              <w:rPr>
                <w:szCs w:val="21"/>
              </w:rPr>
            </w:pPr>
            <w:r>
              <w:rPr>
                <w:szCs w:val="21"/>
              </w:rPr>
              <w:t>管线</w:t>
            </w:r>
          </w:p>
        </w:tc>
        <w:tc>
          <w:tcPr>
            <w:tcW w:w="954" w:type="pct"/>
            <w:noWrap w:val="0"/>
            <w:vAlign w:val="center"/>
          </w:tcPr>
          <w:p>
            <w:pPr>
              <w:tabs>
                <w:tab w:val="left" w:pos="2709"/>
              </w:tabs>
              <w:jc w:val="center"/>
              <w:rPr>
                <w:szCs w:val="21"/>
              </w:rPr>
            </w:pPr>
            <w:r>
              <w:rPr>
                <w:szCs w:val="21"/>
              </w:rPr>
              <w:t>管线</w:t>
            </w:r>
          </w:p>
        </w:tc>
        <w:tc>
          <w:tcPr>
            <w:tcW w:w="714" w:type="pct"/>
            <w:noWrap w:val="0"/>
            <w:vAlign w:val="center"/>
          </w:tcPr>
          <w:p>
            <w:pPr>
              <w:tabs>
                <w:tab w:val="left" w:pos="2709"/>
              </w:tabs>
              <w:jc w:val="center"/>
              <w:rPr>
                <w:szCs w:val="21"/>
              </w:rPr>
            </w:pPr>
            <w:r>
              <w:rPr>
                <w:szCs w:val="21"/>
              </w:rPr>
              <w:t>维护保养不当</w:t>
            </w:r>
          </w:p>
        </w:tc>
        <w:tc>
          <w:tcPr>
            <w:tcW w:w="986" w:type="pct"/>
            <w:noWrap w:val="0"/>
            <w:vAlign w:val="center"/>
          </w:tcPr>
          <w:p>
            <w:pPr>
              <w:tabs>
                <w:tab w:val="left" w:pos="2709"/>
              </w:tabs>
              <w:jc w:val="center"/>
              <w:rPr>
                <w:szCs w:val="21"/>
              </w:rPr>
            </w:pPr>
            <w:r>
              <w:rPr>
                <w:szCs w:val="21"/>
              </w:rPr>
              <w:t>管线损坏，接口不严</w:t>
            </w:r>
          </w:p>
        </w:tc>
        <w:tc>
          <w:tcPr>
            <w:tcW w:w="1091" w:type="pct"/>
            <w:noWrap w:val="0"/>
            <w:vAlign w:val="center"/>
          </w:tcPr>
          <w:p>
            <w:pPr>
              <w:tabs>
                <w:tab w:val="left" w:pos="2709"/>
              </w:tabs>
              <w:jc w:val="center"/>
              <w:rPr>
                <w:szCs w:val="21"/>
              </w:rPr>
            </w:pPr>
            <w:r>
              <w:rPr>
                <w:szCs w:val="21"/>
              </w:rPr>
              <w:t>沼气泄漏，遇火源发生火灾、爆炸</w:t>
            </w:r>
          </w:p>
        </w:tc>
      </w:tr>
    </w:tbl>
    <w:p>
      <w:pPr>
        <w:tabs>
          <w:tab w:val="left" w:pos="2709"/>
        </w:tabs>
        <w:spacing w:line="520" w:lineRule="exact"/>
        <w:ind w:firstLine="480" w:firstLineChars="200"/>
        <w:rPr>
          <w:sz w:val="24"/>
        </w:rPr>
      </w:pPr>
      <w:r>
        <w:rPr>
          <w:sz w:val="24"/>
        </w:rPr>
        <w:t>火灾爆炸事故的主要原因：制度不健全或者不执行；工艺设计和技术缺陷；设备缺陷；违反操作规程或者违章指挥；缺乏安全意识和防火防爆技术知识；缺乏检查和维修保养；引火源控制不当；沼气使用不当。</w:t>
      </w:r>
    </w:p>
    <w:p>
      <w:pPr>
        <w:keepNext/>
        <w:keepLines/>
        <w:spacing w:line="520" w:lineRule="exact"/>
        <w:outlineLvl w:val="2"/>
        <w:rPr>
          <w:rFonts w:hint="eastAsia"/>
          <w:b/>
          <w:kern w:val="0"/>
          <w:sz w:val="24"/>
          <w:lang w:bidi="ar"/>
        </w:rPr>
      </w:pPr>
      <w:r>
        <w:rPr>
          <w:b/>
          <w:kern w:val="0"/>
          <w:sz w:val="24"/>
          <w:lang w:bidi="ar"/>
        </w:rPr>
        <w:t>4.3.</w:t>
      </w:r>
      <w:r>
        <w:rPr>
          <w:rFonts w:hint="eastAsia"/>
          <w:b/>
          <w:kern w:val="0"/>
          <w:sz w:val="24"/>
          <w:lang w:bidi="ar"/>
        </w:rPr>
        <w:t>1</w:t>
      </w:r>
      <w:r>
        <w:rPr>
          <w:b/>
          <w:kern w:val="0"/>
          <w:sz w:val="24"/>
          <w:lang w:bidi="ar"/>
        </w:rPr>
        <w:t>.3</w:t>
      </w:r>
      <w:r>
        <w:rPr>
          <w:rFonts w:hint="eastAsia"/>
          <w:b/>
          <w:kern w:val="0"/>
          <w:sz w:val="24"/>
          <w:lang w:bidi="ar"/>
        </w:rPr>
        <w:t>环境</w:t>
      </w:r>
      <w:r>
        <w:rPr>
          <w:b/>
          <w:kern w:val="0"/>
          <w:sz w:val="24"/>
          <w:lang w:bidi="ar"/>
        </w:rPr>
        <w:t>风险</w:t>
      </w:r>
      <w:r>
        <w:rPr>
          <w:rFonts w:hint="eastAsia"/>
          <w:b/>
          <w:kern w:val="0"/>
          <w:sz w:val="24"/>
          <w:lang w:bidi="ar"/>
        </w:rPr>
        <w:t>评价等级</w:t>
      </w:r>
    </w:p>
    <w:p>
      <w:pPr>
        <w:spacing w:line="520" w:lineRule="exact"/>
        <w:ind w:firstLine="480" w:firstLineChars="200"/>
        <w:rPr>
          <w:sz w:val="24"/>
        </w:rPr>
      </w:pPr>
      <w:r>
        <w:rPr>
          <w:rFonts w:hint="eastAsia"/>
          <w:sz w:val="24"/>
        </w:rPr>
        <w:t>项目日</w:t>
      </w:r>
      <w:r>
        <w:rPr>
          <w:sz w:val="24"/>
        </w:rPr>
        <w:t>存CH</w:t>
      </w:r>
      <w:r>
        <w:rPr>
          <w:sz w:val="24"/>
          <w:vertAlign w:val="subscript"/>
        </w:rPr>
        <w:t>4</w:t>
      </w:r>
      <w:r>
        <w:rPr>
          <w:rFonts w:hint="eastAsia"/>
          <w:sz w:val="24"/>
        </w:rPr>
        <w:t>的最大量为</w:t>
      </w:r>
      <w:r>
        <w:rPr>
          <w:sz w:val="24"/>
        </w:rPr>
        <w:t>0.116t</w:t>
      </w:r>
      <w:r>
        <w:rPr>
          <w:rFonts w:hint="eastAsia"/>
          <w:sz w:val="24"/>
        </w:rPr>
        <w:t>，</w:t>
      </w:r>
      <w:r>
        <w:rPr>
          <w:sz w:val="24"/>
        </w:rPr>
        <w:t>根据《建设项目环境风险评价技术导则》（HJ/T169-2018）</w:t>
      </w:r>
      <w:r>
        <w:rPr>
          <w:rFonts w:hint="eastAsia"/>
          <w:sz w:val="24"/>
        </w:rPr>
        <w:t>附录</w:t>
      </w:r>
      <w:r>
        <w:rPr>
          <w:sz w:val="24"/>
        </w:rPr>
        <w:t>B</w:t>
      </w:r>
      <w:r>
        <w:rPr>
          <w:rFonts w:hint="eastAsia"/>
          <w:sz w:val="24"/>
        </w:rPr>
        <w:t>可知</w:t>
      </w:r>
      <w:r>
        <w:rPr>
          <w:sz w:val="24"/>
        </w:rPr>
        <w:t>，</w:t>
      </w:r>
      <w:r>
        <w:rPr>
          <w:rFonts w:hint="eastAsia"/>
          <w:sz w:val="24"/>
        </w:rPr>
        <w:t>甲烷</w:t>
      </w:r>
      <w:r>
        <w:rPr>
          <w:sz w:val="24"/>
        </w:rPr>
        <w:t>的临界量为</w:t>
      </w:r>
      <w:r>
        <w:rPr>
          <w:rFonts w:hint="eastAsia"/>
          <w:sz w:val="24"/>
        </w:rPr>
        <w:t>10</w:t>
      </w:r>
      <w:r>
        <w:rPr>
          <w:sz w:val="24"/>
        </w:rPr>
        <w:t>t</w:t>
      </w:r>
      <w:r>
        <w:rPr>
          <w:rFonts w:hint="eastAsia"/>
          <w:sz w:val="24"/>
        </w:rPr>
        <w:t>，</w:t>
      </w:r>
      <w:r>
        <w:rPr>
          <w:sz w:val="24"/>
        </w:rPr>
        <w:t>则项目危险物质数量与临界量比值Q</w:t>
      </w:r>
      <w:r>
        <w:rPr>
          <w:rFonts w:hint="eastAsia"/>
          <w:sz w:val="24"/>
        </w:rPr>
        <w:t>＜1，</w:t>
      </w:r>
      <w:r>
        <w:rPr>
          <w:sz w:val="24"/>
        </w:rPr>
        <w:t>则本项目环境风险潜势为</w:t>
      </w:r>
      <w:r>
        <w:rPr>
          <w:rFonts w:hint="eastAsia"/>
          <w:sz w:val="24"/>
        </w:rPr>
        <w:t>Ⅰ。</w:t>
      </w:r>
    </w:p>
    <w:p>
      <w:pPr>
        <w:spacing w:line="520" w:lineRule="exact"/>
        <w:ind w:firstLine="480" w:firstLineChars="200"/>
        <w:rPr>
          <w:sz w:val="24"/>
        </w:rPr>
      </w:pPr>
      <w:r>
        <w:rPr>
          <w:rFonts w:hint="eastAsia"/>
          <w:sz w:val="24"/>
        </w:rPr>
        <w:t>根据</w:t>
      </w:r>
      <w:r>
        <w:rPr>
          <w:sz w:val="24"/>
        </w:rPr>
        <w:t>《建设项目环境风险评价技术导则》（HJ/T169-2018）</w:t>
      </w:r>
      <w:r>
        <w:rPr>
          <w:rFonts w:hint="eastAsia"/>
          <w:sz w:val="24"/>
        </w:rPr>
        <w:t>中</w:t>
      </w:r>
      <w:r>
        <w:rPr>
          <w:sz w:val="24"/>
        </w:rPr>
        <w:t>评价工作等级划分可知，</w:t>
      </w:r>
      <w:r>
        <w:rPr>
          <w:rFonts w:hint="eastAsia"/>
          <w:sz w:val="24"/>
        </w:rPr>
        <w:t>风险</w:t>
      </w:r>
      <w:r>
        <w:rPr>
          <w:sz w:val="24"/>
        </w:rPr>
        <w:t>潜势为</w:t>
      </w:r>
      <w:r>
        <w:rPr>
          <w:rFonts w:hint="eastAsia"/>
          <w:sz w:val="24"/>
        </w:rPr>
        <w:t>Ⅰ时</w:t>
      </w:r>
      <w:r>
        <w:rPr>
          <w:sz w:val="24"/>
        </w:rPr>
        <w:t>，可开展简单分析。</w:t>
      </w:r>
    </w:p>
    <w:bookmarkEnd w:id="423"/>
    <w:p>
      <w:pPr>
        <w:pStyle w:val="2"/>
        <w:spacing w:before="0" w:after="0" w:line="520" w:lineRule="exact"/>
        <w:rPr>
          <w:rFonts w:hint="eastAsia" w:eastAsia="黑体"/>
          <w:b w:val="0"/>
          <w:sz w:val="24"/>
          <w:szCs w:val="24"/>
        </w:rPr>
      </w:pPr>
      <w:bookmarkStart w:id="424" w:name="_Toc16675"/>
      <w:r>
        <w:rPr>
          <w:rFonts w:eastAsia="黑体"/>
          <w:b w:val="0"/>
          <w:sz w:val="24"/>
          <w:szCs w:val="24"/>
        </w:rPr>
        <w:t>4.3.2</w:t>
      </w:r>
      <w:r>
        <w:rPr>
          <w:rFonts w:hint="eastAsia" w:eastAsia="黑体"/>
          <w:b w:val="0"/>
          <w:sz w:val="24"/>
          <w:szCs w:val="24"/>
        </w:rPr>
        <w:t>环境敏感点</w:t>
      </w:r>
      <w:r>
        <w:rPr>
          <w:rFonts w:eastAsia="黑体"/>
          <w:b w:val="0"/>
          <w:sz w:val="24"/>
          <w:szCs w:val="24"/>
        </w:rPr>
        <w:t>调查</w:t>
      </w:r>
    </w:p>
    <w:bookmarkEnd w:id="424"/>
    <w:p>
      <w:pPr>
        <w:spacing w:line="520" w:lineRule="exact"/>
        <w:ind w:firstLine="482"/>
        <w:rPr>
          <w:sz w:val="24"/>
        </w:rPr>
      </w:pPr>
      <w:r>
        <w:rPr>
          <w:sz w:val="24"/>
        </w:rPr>
        <w:t>评价确定本项目风险评价范围为距离源点半径3km的圆形区域范围，本项目周边3km范围内环境敏感点图4.3-1</w:t>
      </w:r>
      <w:r>
        <w:rPr>
          <w:rFonts w:hint="eastAsia"/>
          <w:sz w:val="24"/>
        </w:rPr>
        <w:t>，</w:t>
      </w:r>
      <w:r>
        <w:rPr>
          <w:sz w:val="24"/>
        </w:rPr>
        <w:t>本项目周边3km范围内环境敏感点情况见表4.3-3。</w:t>
      </w:r>
    </w:p>
    <w:p>
      <w:pPr>
        <w:spacing w:line="520" w:lineRule="exact"/>
        <w:ind w:firstLine="482"/>
        <w:jc w:val="center"/>
        <w:rPr>
          <w:b/>
          <w:sz w:val="24"/>
        </w:rPr>
      </w:pPr>
      <w:r>
        <w:rPr>
          <w:b/>
          <w:szCs w:val="21"/>
        </w:rPr>
        <mc:AlternateContent>
          <mc:Choice Requires="wps">
            <w:drawing>
              <wp:anchor distT="0" distB="0" distL="114300" distR="114300" simplePos="0" relativeHeight="251770880" behindDoc="0" locked="0" layoutInCell="1" allowOverlap="1">
                <wp:simplePos x="0" y="0"/>
                <wp:positionH relativeFrom="column">
                  <wp:posOffset>3060065</wp:posOffset>
                </wp:positionH>
                <wp:positionV relativeFrom="paragraph">
                  <wp:posOffset>-818537225</wp:posOffset>
                </wp:positionV>
                <wp:extent cx="1537970" cy="48260"/>
                <wp:effectExtent l="0" t="35560" r="5080" b="49530"/>
                <wp:wrapNone/>
                <wp:docPr id="479" name="自选图形 836"/>
                <wp:cNvGraphicFramePr/>
                <a:graphic xmlns:a="http://schemas.openxmlformats.org/drawingml/2006/main">
                  <a:graphicData uri="http://schemas.microsoft.com/office/word/2010/wordprocessingShape">
                    <wps:wsp>
                      <wps:cNvCnPr/>
                      <wps:spPr>
                        <a:xfrm>
                          <a:off x="0" y="0"/>
                          <a:ext cx="1537970" cy="48260"/>
                        </a:xfrm>
                        <a:prstGeom prst="straightConnector1">
                          <a:avLst/>
                        </a:prstGeom>
                        <a:ln w="9525" cap="flat" cmpd="sng">
                          <a:solidFill>
                            <a:srgbClr val="FFC000"/>
                          </a:solidFill>
                          <a:prstDash val="solid"/>
                          <a:headEnd type="triangle" w="med" len="med"/>
                          <a:tailEnd type="triangle" w="med" len="med"/>
                        </a:ln>
                      </wps:spPr>
                      <wps:bodyPr/>
                    </wps:wsp>
                  </a:graphicData>
                </a:graphic>
              </wp:anchor>
            </w:drawing>
          </mc:Choice>
          <mc:Fallback>
            <w:pict>
              <v:shape id="自选图形 836" o:spid="_x0000_s1026" o:spt="32" type="#_x0000_t32" style="position:absolute;left:0pt;margin-left:240.95pt;margin-top:-64451.75pt;height:3.8pt;width:121.1pt;z-index:251770880;mso-width-relative:page;mso-height-relative:page;" filled="f" stroked="t" coordsize="21600,21600" o:gfxdata="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AMqGd4AAAATAQAADwAAAAAAAAABACAAAAAiAAAA&#10;ZHJzL2Rvd25yZXYueG1sUEsBAhQAFAAAAAgAh07iQD7GD0QBAgAA8wMAAA4AAAAAAAAAAQAgAAAA&#10;LQEAAGRycy9lMm9Eb2MueG1sUEsFBgAAAAAGAAYAWQEAAKAFAAAAAA==&#10;">
                <v:fill on="f" focussize="0,0"/>
                <v:stroke color="#FFC000" joinstyle="round" startarrow="block" endarrow="block"/>
                <v:imagedata o:title=""/>
                <o:lock v:ext="edit" aspectratio="f"/>
              </v:shape>
            </w:pict>
          </mc:Fallback>
        </mc:AlternateContent>
      </w:r>
      <w:r>
        <w:rPr>
          <w:b/>
          <w:szCs w:val="21"/>
        </w:rPr>
        <mc:AlternateContent>
          <mc:Choice Requires="wps">
            <w:drawing>
              <wp:anchor distT="0" distB="0" distL="114300" distR="114300" simplePos="0" relativeHeight="251772928" behindDoc="0" locked="0" layoutInCell="1" allowOverlap="1">
                <wp:simplePos x="0" y="0"/>
                <wp:positionH relativeFrom="column">
                  <wp:posOffset>3060065</wp:posOffset>
                </wp:positionH>
                <wp:positionV relativeFrom="paragraph">
                  <wp:posOffset>-818966485</wp:posOffset>
                </wp:positionV>
                <wp:extent cx="0" cy="429260"/>
                <wp:effectExtent l="38100" t="0" r="38100" b="8890"/>
                <wp:wrapNone/>
                <wp:docPr id="481" name="自选图形 837"/>
                <wp:cNvGraphicFramePr/>
                <a:graphic xmlns:a="http://schemas.openxmlformats.org/drawingml/2006/main">
                  <a:graphicData uri="http://schemas.microsoft.com/office/word/2010/wordprocessingShape">
                    <wps:wsp>
                      <wps:cNvCnPr/>
                      <wps:spPr>
                        <a:xfrm flipV="1">
                          <a:off x="0" y="0"/>
                          <a:ext cx="0" cy="429260"/>
                        </a:xfrm>
                        <a:prstGeom prst="straightConnector1">
                          <a:avLst/>
                        </a:prstGeom>
                        <a:ln w="9525" cap="flat" cmpd="sng">
                          <a:solidFill>
                            <a:srgbClr val="FFC000"/>
                          </a:solidFill>
                          <a:prstDash val="solid"/>
                          <a:headEnd type="none" w="med" len="med"/>
                          <a:tailEnd type="triangle" w="med" len="med"/>
                        </a:ln>
                      </wps:spPr>
                      <wps:bodyPr/>
                    </wps:wsp>
                  </a:graphicData>
                </a:graphic>
              </wp:anchor>
            </w:drawing>
          </mc:Choice>
          <mc:Fallback>
            <w:pict>
              <v:shape id="自选图形 837" o:spid="_x0000_s1026" o:spt="32" type="#_x0000_t32" style="position:absolute;left:0pt;flip:y;margin-left:240.95pt;margin-top:-64485.55pt;height:33.8pt;width:0pt;z-index:251772928;mso-width-relative:page;mso-height-relative:page;" filled="f" stroked="t" coordsize="21600,21600" o:gfxdata="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3JaBY2wAAABMBAAAPAAAAAAAAAAEAIAAAACIA&#10;AABkcnMvZG93bnJldi54bWxQSwECFAAUAAAACACHTuJAGvhNJgYCAAD0AwAADgAAAAAAAAABACAA&#10;AAAqAQAAZHJzL2Uyb0RvYy54bWxQSwUGAAAAAAYABgBZAQAAogUAAAAA&#10;">
                <v:fill on="f" focussize="0,0"/>
                <v:stroke color="#FFC000" joinstyle="round" endarrow="block"/>
                <v:imagedata o:title=""/>
                <o:lock v:ext="edit" aspectratio="f"/>
              </v:shape>
            </w:pict>
          </mc:Fallback>
        </mc:AlternateContent>
      </w:r>
      <w:r>
        <w:rPr>
          <w:b/>
          <w:szCs w:val="21"/>
        </w:rPr>
        <mc:AlternateContent>
          <mc:Choice Requires="wps">
            <w:drawing>
              <wp:anchor distT="0" distB="0" distL="114300" distR="114300" simplePos="0" relativeHeight="251771904" behindDoc="0" locked="0" layoutInCell="1" allowOverlap="1">
                <wp:simplePos x="0" y="0"/>
                <wp:positionH relativeFrom="column">
                  <wp:posOffset>5046345</wp:posOffset>
                </wp:positionH>
                <wp:positionV relativeFrom="paragraph">
                  <wp:posOffset>-3439795</wp:posOffset>
                </wp:positionV>
                <wp:extent cx="351155" cy="247015"/>
                <wp:effectExtent l="0" t="0" r="0" b="0"/>
                <wp:wrapNone/>
                <wp:docPr id="480" name="矩形 838"/>
                <wp:cNvGraphicFramePr/>
                <a:graphic xmlns:a="http://schemas.openxmlformats.org/drawingml/2006/main">
                  <a:graphicData uri="http://schemas.microsoft.com/office/word/2010/wordprocessingShape">
                    <wps:wsp>
                      <wps:cNvSpPr/>
                      <wps:spPr>
                        <a:xfrm>
                          <a:off x="0" y="0"/>
                          <a:ext cx="351155" cy="247015"/>
                        </a:xfrm>
                        <a:prstGeom prst="rect">
                          <a:avLst/>
                        </a:prstGeom>
                        <a:noFill/>
                        <a:ln>
                          <a:noFill/>
                        </a:ln>
                      </wps:spPr>
                      <wps:txbx>
                        <w:txbxContent>
                          <w:p>
                            <w:pPr>
                              <w:rPr>
                                <w:color w:val="FFC000"/>
                              </w:rPr>
                            </w:pPr>
                            <w:r>
                              <w:rPr>
                                <w:rFonts w:hint="eastAsia"/>
                                <w:color w:val="FFC000"/>
                              </w:rPr>
                              <w:t>北</w:t>
                            </w:r>
                          </w:p>
                        </w:txbxContent>
                      </wps:txbx>
                      <wps:bodyPr upright="1"/>
                    </wps:wsp>
                  </a:graphicData>
                </a:graphic>
              </wp:anchor>
            </w:drawing>
          </mc:Choice>
          <mc:Fallback>
            <w:pict>
              <v:rect id="矩形 838" o:spid="_x0000_s1026" o:spt="1" style="position:absolute;left:0pt;margin-left:397.35pt;margin-top:-270.85pt;height:19.45pt;width:27.65pt;z-index:251771904;mso-width-relative:page;mso-height-relative:page;" filled="f" stroked="f" coordsize="21600,21600" o:gfxdata="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JBidN3QAAAA0B&#10;AAAPAAAAAAAAAAEAIAAAACIAAABkcnMvZG93bnJldi54bWxQSwECFAAUAAAACACHTuJAfDU4W6QB&#10;AABEAwAADgAAAAAAAAABACAAAAAsAQAAZHJzL2Uyb0RvYy54bWxQSwUGAAAAAAYABgBZAQAAQgUA&#10;AAAA&#10;">
                <v:fill on="f" focussize="0,0"/>
                <v:stroke on="f"/>
                <v:imagedata o:title=""/>
                <o:lock v:ext="edit" aspectratio="f"/>
                <v:textbox>
                  <w:txbxContent>
                    <w:p>
                      <w:pPr>
                        <w:rPr>
                          <w:color w:val="FFC000"/>
                        </w:rPr>
                      </w:pPr>
                      <w:r>
                        <w:rPr>
                          <w:rFonts w:hint="eastAsia"/>
                          <w:color w:val="FFC000"/>
                        </w:rPr>
                        <w:t>北</w:t>
                      </w:r>
                    </w:p>
                  </w:txbxContent>
                </v:textbox>
              </v:rect>
            </w:pict>
          </mc:Fallback>
        </mc:AlternateContent>
      </w:r>
      <w:r>
        <w:rPr>
          <w:b/>
          <w:szCs w:val="21"/>
        </w:rPr>
        <mc:AlternateContent>
          <mc:Choice Requires="wps">
            <w:drawing>
              <wp:anchor distT="0" distB="0" distL="114300" distR="114300" simplePos="0" relativeHeight="251769856" behindDoc="0" locked="0" layoutInCell="1" allowOverlap="1">
                <wp:simplePos x="0" y="0"/>
                <wp:positionH relativeFrom="column">
                  <wp:posOffset>3056255</wp:posOffset>
                </wp:positionH>
                <wp:positionV relativeFrom="paragraph">
                  <wp:posOffset>-2126615</wp:posOffset>
                </wp:positionV>
                <wp:extent cx="795020" cy="247015"/>
                <wp:effectExtent l="0" t="0" r="0" b="0"/>
                <wp:wrapNone/>
                <wp:docPr id="478" name="矩形 839"/>
                <wp:cNvGraphicFramePr/>
                <a:graphic xmlns:a="http://schemas.openxmlformats.org/drawingml/2006/main">
                  <a:graphicData uri="http://schemas.microsoft.com/office/word/2010/wordprocessingShape">
                    <wps:wsp>
                      <wps:cNvSpPr/>
                      <wps:spPr>
                        <a:xfrm>
                          <a:off x="0" y="0"/>
                          <a:ext cx="795020" cy="247015"/>
                        </a:xfrm>
                        <a:prstGeom prst="rect">
                          <a:avLst/>
                        </a:prstGeom>
                        <a:noFill/>
                        <a:ln>
                          <a:noFill/>
                        </a:ln>
                      </wps:spPr>
                      <wps:txbx>
                        <w:txbxContent>
                          <w:p>
                            <w:pPr>
                              <w:rPr>
                                <w:color w:val="FFC000"/>
                              </w:rPr>
                            </w:pPr>
                            <w:r>
                              <w:rPr>
                                <w:rFonts w:hint="eastAsia"/>
                                <w:color w:val="FFC000"/>
                              </w:rPr>
                              <w:t>3.0km</w:t>
                            </w:r>
                          </w:p>
                        </w:txbxContent>
                      </wps:txbx>
                      <wps:bodyPr upright="1"/>
                    </wps:wsp>
                  </a:graphicData>
                </a:graphic>
              </wp:anchor>
            </w:drawing>
          </mc:Choice>
          <mc:Fallback>
            <w:pict>
              <v:rect id="矩形 839" o:spid="_x0000_s1026" o:spt="1" style="position:absolute;left:0pt;margin-left:240.65pt;margin-top:-167.45pt;height:19.45pt;width:62.6pt;z-index:251769856;mso-width-relative:page;mso-height-relative:page;" filled="f" stroked="f" coordsize="21600,21600" o:gfxdata="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Cm/T7veAAAA&#10;DQEAAA8AAAAAAAAAAQAgAAAAIgAAAGRycy9kb3ducmV2LnhtbFBLAQIUABQAAAAIAIdO4kDSvpwO&#10;pQEAAEQDAAAOAAAAAAAAAAEAIAAAAC0BAABkcnMvZTJvRG9jLnhtbFBLBQYAAAAABgAGAFkBAABE&#10;BQAAAAA=&#10;">
                <v:fill on="f" focussize="0,0"/>
                <v:stroke on="f"/>
                <v:imagedata o:title=""/>
                <o:lock v:ext="edit" aspectratio="f"/>
                <v:textbox>
                  <w:txbxContent>
                    <w:p>
                      <w:pPr>
                        <w:rPr>
                          <w:color w:val="FFC000"/>
                        </w:rPr>
                      </w:pPr>
                      <w:r>
                        <w:rPr>
                          <w:rFonts w:hint="eastAsia"/>
                          <w:color w:val="FFC000"/>
                        </w:rPr>
                        <w:t>3.0km</w:t>
                      </w:r>
                    </w:p>
                  </w:txbxContent>
                </v:textbox>
              </v:rect>
            </w:pict>
          </mc:Fallback>
        </mc:AlternateContent>
      </w:r>
      <w:r>
        <w:drawing>
          <wp:anchor distT="0" distB="0" distL="114300" distR="114300" simplePos="0" relativeHeight="251768832" behindDoc="1" locked="0" layoutInCell="1" allowOverlap="1">
            <wp:simplePos x="0" y="0"/>
            <wp:positionH relativeFrom="column">
              <wp:posOffset>-58420</wp:posOffset>
            </wp:positionH>
            <wp:positionV relativeFrom="paragraph">
              <wp:posOffset>102870</wp:posOffset>
            </wp:positionV>
            <wp:extent cx="5536565" cy="3495040"/>
            <wp:effectExtent l="0" t="0" r="6985" b="10160"/>
            <wp:wrapTight wrapText="bothSides">
              <wp:wrapPolygon>
                <wp:start x="0" y="0"/>
                <wp:lineTo x="0" y="21427"/>
                <wp:lineTo x="21553" y="21427"/>
                <wp:lineTo x="21553" y="0"/>
                <wp:lineTo x="0" y="0"/>
              </wp:wrapPolygon>
            </wp:wrapTight>
            <wp:docPr id="82" name="图片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40"/>
                    <pic:cNvPicPr>
                      <a:picLocks noChangeAspect="1"/>
                    </pic:cNvPicPr>
                  </pic:nvPicPr>
                  <pic:blipFill>
                    <a:blip r:embed="rId52"/>
                    <a:stretch>
                      <a:fillRect/>
                    </a:stretch>
                  </pic:blipFill>
                  <pic:spPr>
                    <a:xfrm>
                      <a:off x="0" y="0"/>
                      <a:ext cx="5536565" cy="3495040"/>
                    </a:xfrm>
                    <a:prstGeom prst="rect">
                      <a:avLst/>
                    </a:prstGeom>
                    <a:noFill/>
                    <a:ln>
                      <a:noFill/>
                    </a:ln>
                  </pic:spPr>
                </pic:pic>
              </a:graphicData>
            </a:graphic>
          </wp:anchor>
        </w:drawing>
      </w:r>
      <w:r>
        <w:rPr>
          <w:b/>
          <w:szCs w:val="21"/>
        </w:rPr>
        <mc:AlternateContent>
          <mc:Choice Requires="wps">
            <w:drawing>
              <wp:anchor distT="0" distB="0" distL="114300" distR="114300" simplePos="0" relativeHeight="251720704" behindDoc="0" locked="0" layoutInCell="1" allowOverlap="1">
                <wp:simplePos x="0" y="0"/>
                <wp:positionH relativeFrom="column">
                  <wp:posOffset>3060065</wp:posOffset>
                </wp:positionH>
                <wp:positionV relativeFrom="paragraph">
                  <wp:posOffset>-818546115</wp:posOffset>
                </wp:positionV>
                <wp:extent cx="2199640" cy="8890"/>
                <wp:effectExtent l="0" t="38100" r="10160" b="48260"/>
                <wp:wrapNone/>
                <wp:docPr id="432" name="自选图形 1109"/>
                <wp:cNvGraphicFramePr/>
                <a:graphic xmlns:a="http://schemas.openxmlformats.org/drawingml/2006/main">
                  <a:graphicData uri="http://schemas.microsoft.com/office/word/2010/wordprocessingShape">
                    <wps:wsp>
                      <wps:cNvCnPr/>
                      <wps:spPr>
                        <a:xfrm flipV="1">
                          <a:off x="0" y="0"/>
                          <a:ext cx="2199640" cy="8890"/>
                        </a:xfrm>
                        <a:prstGeom prst="straightConnector1">
                          <a:avLst/>
                        </a:prstGeom>
                        <a:ln w="9525" cap="flat" cmpd="sng">
                          <a:solidFill>
                            <a:srgbClr val="FFC000"/>
                          </a:solidFill>
                          <a:prstDash val="solid"/>
                          <a:headEnd type="triangle" w="med" len="med"/>
                          <a:tailEnd type="triangle" w="med" len="med"/>
                        </a:ln>
                      </wps:spPr>
                      <wps:bodyPr/>
                    </wps:wsp>
                  </a:graphicData>
                </a:graphic>
              </wp:anchor>
            </w:drawing>
          </mc:Choice>
          <mc:Fallback>
            <w:pict>
              <v:shape id="自选图形 1109" o:spid="_x0000_s1026" o:spt="32" type="#_x0000_t32" style="position:absolute;left:0pt;flip:y;margin-left:240.95pt;margin-top:-64452.45pt;height:0.7pt;width:173.2pt;z-index:251720704;mso-width-relative:page;mso-height-relative:page;" filled="f" stroked="t" coordsize="21600,21600" o:gfxdata="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sgp03fAAAAEwEAAA8AAAAAAAAAAQAg&#10;AAAAIgAAAGRycy9kb3ducmV2LnhtbFBLAQIUABQAAAAIAIdO4kDQj+UBBwIAAP0DAAAOAAAAAAAA&#10;AAEAIAAAAC4BAABkcnMvZTJvRG9jLnhtbFBLBQYAAAAABgAGAFkBAACnBQAAAAA=&#10;">
                <v:fill on="f" focussize="0,0"/>
                <v:stroke color="#FFC000" joinstyle="round" startarrow="block" endarrow="block"/>
                <v:imagedata o:title=""/>
                <o:lock v:ext="edit" aspectratio="f"/>
              </v:shape>
            </w:pict>
          </mc:Fallback>
        </mc:AlternateContent>
      </w:r>
      <w:r>
        <w:rPr>
          <w:b/>
          <w:szCs w:val="21"/>
        </w:rPr>
        <mc:AlternateContent>
          <mc:Choice Requires="wps">
            <w:drawing>
              <wp:anchor distT="0" distB="0" distL="114300" distR="114300" simplePos="0" relativeHeight="251721728" behindDoc="0" locked="0" layoutInCell="1" allowOverlap="1">
                <wp:simplePos x="0" y="0"/>
                <wp:positionH relativeFrom="column">
                  <wp:posOffset>3618865</wp:posOffset>
                </wp:positionH>
                <wp:positionV relativeFrom="paragraph">
                  <wp:posOffset>2247900</wp:posOffset>
                </wp:positionV>
                <wp:extent cx="795020" cy="247015"/>
                <wp:effectExtent l="0" t="0" r="0" b="0"/>
                <wp:wrapNone/>
                <wp:docPr id="433" name="矩形 1110"/>
                <wp:cNvGraphicFramePr/>
                <a:graphic xmlns:a="http://schemas.openxmlformats.org/drawingml/2006/main">
                  <a:graphicData uri="http://schemas.microsoft.com/office/word/2010/wordprocessingShape">
                    <wps:wsp>
                      <wps:cNvSpPr/>
                      <wps:spPr>
                        <a:xfrm>
                          <a:off x="0" y="0"/>
                          <a:ext cx="795020" cy="247015"/>
                        </a:xfrm>
                        <a:prstGeom prst="rect">
                          <a:avLst/>
                        </a:prstGeom>
                        <a:noFill/>
                        <a:ln>
                          <a:noFill/>
                        </a:ln>
                      </wps:spPr>
                      <wps:txbx>
                        <w:txbxContent>
                          <w:p>
                            <w:pPr>
                              <w:rPr>
                                <w:color w:val="FFC000"/>
                              </w:rPr>
                            </w:pPr>
                            <w:r>
                              <w:rPr>
                                <w:rFonts w:hint="eastAsia"/>
                                <w:color w:val="FFC000"/>
                              </w:rPr>
                              <w:t>3.0km</w:t>
                            </w:r>
                          </w:p>
                        </w:txbxContent>
                      </wps:txbx>
                      <wps:bodyPr upright="1"/>
                    </wps:wsp>
                  </a:graphicData>
                </a:graphic>
              </wp:anchor>
            </w:drawing>
          </mc:Choice>
          <mc:Fallback>
            <w:pict>
              <v:rect id="矩形 1110" o:spid="_x0000_s1026" o:spt="1" style="position:absolute;left:0pt;margin-left:284.95pt;margin-top:177pt;height:19.45pt;width:62.6pt;z-index:251721728;mso-width-relative:page;mso-height-relative:page;" filled="f" stroked="f" coordsize="21600,21600" o:gfxdata="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FzNNHbbAAAACwEA&#10;AA8AAAAAAAAAAQAgAAAAIgAAAGRycy9kb3ducmV2LnhtbFBLAQIUABQAAAAIAIdO4kDx0aCwpQEA&#10;AEUDAAAOAAAAAAAAAAEAIAAAACoBAABkcnMvZTJvRG9jLnhtbFBLBQYAAAAABgAGAFkBAABBBQAA&#10;AAA=&#10;">
                <v:fill on="f" focussize="0,0"/>
                <v:stroke on="f"/>
                <v:imagedata o:title=""/>
                <o:lock v:ext="edit" aspectratio="f"/>
                <v:textbox>
                  <w:txbxContent>
                    <w:p>
                      <w:pPr>
                        <w:rPr>
                          <w:color w:val="FFC000"/>
                        </w:rPr>
                      </w:pPr>
                      <w:r>
                        <w:rPr>
                          <w:rFonts w:hint="eastAsia"/>
                          <w:color w:val="FFC000"/>
                        </w:rPr>
                        <w:t>3.0km</w:t>
                      </w:r>
                    </w:p>
                  </w:txbxContent>
                </v:textbox>
              </v:rect>
            </w:pict>
          </mc:Fallback>
        </mc:AlternateContent>
      </w:r>
      <w:r>
        <w:rPr>
          <w:b/>
          <w:sz w:val="24"/>
        </w:rPr>
        <w:t>图4.3-1    本项目周边3km范围内环境敏感点分布示意图</w:t>
      </w:r>
    </w:p>
    <w:p>
      <w:pPr>
        <w:spacing w:line="520" w:lineRule="exact"/>
        <w:jc w:val="center"/>
        <w:rPr>
          <w:rFonts w:hint="eastAsia"/>
          <w:b/>
          <w:sz w:val="24"/>
        </w:rPr>
      </w:pPr>
      <w:r>
        <w:rPr>
          <w:rFonts w:hint="eastAsia"/>
          <w:b/>
          <w:sz w:val="24"/>
        </w:rPr>
        <w:t>表4.3</w:t>
      </w:r>
      <w:r>
        <w:rPr>
          <w:b/>
          <w:sz w:val="24"/>
        </w:rPr>
        <w:t xml:space="preserve">-3 </w:t>
      </w:r>
      <w:r>
        <w:rPr>
          <w:rFonts w:hint="eastAsia"/>
          <w:b/>
          <w:sz w:val="24"/>
        </w:rPr>
        <w:t>沼气储存</w:t>
      </w:r>
      <w:r>
        <w:rPr>
          <w:b/>
          <w:sz w:val="24"/>
        </w:rPr>
        <w:t>设施周边3km范围内环境敏感点情况调查表</w:t>
      </w:r>
    </w:p>
    <w:tbl>
      <w:tblPr>
        <w:tblStyle w:val="1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370"/>
        <w:gridCol w:w="2700"/>
        <w:gridCol w:w="1947"/>
        <w:gridCol w:w="1471"/>
        <w:gridCol w:w="145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766" w:type="pct"/>
            <w:tcBorders>
              <w:top w:val="single" w:color="auto" w:sz="12" w:space="0"/>
              <w:left w:val="single" w:color="auto" w:sz="12" w:space="0"/>
              <w:bottom w:val="single" w:color="auto" w:sz="4" w:space="0"/>
              <w:right w:val="single" w:color="auto" w:sz="4" w:space="0"/>
            </w:tcBorders>
            <w:noWrap w:val="0"/>
            <w:vAlign w:val="center"/>
          </w:tcPr>
          <w:p>
            <w:pPr>
              <w:spacing w:line="320" w:lineRule="exact"/>
              <w:jc w:val="center"/>
              <w:rPr>
                <w:szCs w:val="21"/>
              </w:rPr>
            </w:pPr>
            <w:r>
              <w:rPr>
                <w:rFonts w:hint="eastAsia" w:cs="宋体"/>
                <w:szCs w:val="21"/>
                <w:lang w:bidi="ar"/>
              </w:rPr>
              <w:t>环境要素</w:t>
            </w:r>
          </w:p>
        </w:tc>
        <w:tc>
          <w:tcPr>
            <w:tcW w:w="1509" w:type="pct"/>
            <w:tcBorders>
              <w:top w:val="single" w:color="auto" w:sz="12" w:space="0"/>
              <w:left w:val="single" w:color="auto" w:sz="4" w:space="0"/>
              <w:bottom w:val="single" w:color="auto" w:sz="4" w:space="0"/>
              <w:right w:val="single" w:color="auto" w:sz="4" w:space="0"/>
            </w:tcBorders>
            <w:noWrap w:val="0"/>
            <w:vAlign w:val="center"/>
          </w:tcPr>
          <w:p>
            <w:pPr>
              <w:spacing w:line="320" w:lineRule="exact"/>
              <w:jc w:val="center"/>
              <w:rPr>
                <w:szCs w:val="21"/>
              </w:rPr>
            </w:pPr>
            <w:r>
              <w:rPr>
                <w:rFonts w:hint="eastAsia" w:cs="宋体"/>
                <w:szCs w:val="21"/>
                <w:lang w:bidi="ar"/>
              </w:rPr>
              <w:t>保护对象</w:t>
            </w:r>
          </w:p>
        </w:tc>
        <w:tc>
          <w:tcPr>
            <w:tcW w:w="1088" w:type="pct"/>
            <w:tcBorders>
              <w:top w:val="single" w:color="auto" w:sz="12" w:space="0"/>
              <w:left w:val="single" w:color="auto" w:sz="4" w:space="0"/>
              <w:bottom w:val="single" w:color="auto" w:sz="4" w:space="0"/>
              <w:right w:val="single" w:color="auto" w:sz="4" w:space="0"/>
            </w:tcBorders>
            <w:noWrap w:val="0"/>
            <w:vAlign w:val="center"/>
          </w:tcPr>
          <w:p>
            <w:pPr>
              <w:spacing w:line="320" w:lineRule="exact"/>
              <w:jc w:val="center"/>
              <w:rPr>
                <w:szCs w:val="21"/>
              </w:rPr>
            </w:pPr>
            <w:r>
              <w:rPr>
                <w:rFonts w:hint="eastAsia" w:cs="宋体"/>
                <w:szCs w:val="21"/>
                <w:lang w:bidi="ar"/>
              </w:rPr>
              <w:t>方位</w:t>
            </w:r>
          </w:p>
        </w:tc>
        <w:tc>
          <w:tcPr>
            <w:tcW w:w="822" w:type="pct"/>
            <w:tcBorders>
              <w:top w:val="single" w:color="auto" w:sz="12" w:space="0"/>
              <w:left w:val="single" w:color="auto" w:sz="4" w:space="0"/>
              <w:bottom w:val="single" w:color="auto" w:sz="4" w:space="0"/>
              <w:right w:val="single" w:color="auto" w:sz="4" w:space="0"/>
            </w:tcBorders>
            <w:noWrap w:val="0"/>
            <w:vAlign w:val="center"/>
          </w:tcPr>
          <w:p>
            <w:pPr>
              <w:spacing w:line="320" w:lineRule="exact"/>
              <w:jc w:val="center"/>
              <w:rPr>
                <w:szCs w:val="21"/>
              </w:rPr>
            </w:pPr>
            <w:r>
              <w:rPr>
                <w:rFonts w:hint="eastAsia" w:cs="宋体"/>
                <w:szCs w:val="21"/>
                <w:lang w:bidi="ar"/>
              </w:rPr>
              <w:t>距离（</w:t>
            </w:r>
            <w:r>
              <w:rPr>
                <w:szCs w:val="21"/>
                <w:lang w:bidi="ar"/>
              </w:rPr>
              <w:t>m</w:t>
            </w:r>
            <w:r>
              <w:rPr>
                <w:rFonts w:hint="eastAsia" w:cs="宋体"/>
                <w:szCs w:val="21"/>
                <w:lang w:bidi="ar"/>
              </w:rPr>
              <w:t>）</w:t>
            </w:r>
          </w:p>
        </w:tc>
        <w:tc>
          <w:tcPr>
            <w:tcW w:w="815" w:type="pct"/>
            <w:tcBorders>
              <w:top w:val="single" w:color="auto" w:sz="12" w:space="0"/>
              <w:left w:val="single" w:color="auto" w:sz="4" w:space="0"/>
              <w:bottom w:val="single" w:color="auto" w:sz="4" w:space="0"/>
              <w:right w:val="single" w:color="auto" w:sz="4" w:space="0"/>
            </w:tcBorders>
            <w:noWrap w:val="0"/>
            <w:vAlign w:val="center"/>
          </w:tcPr>
          <w:p>
            <w:pPr>
              <w:spacing w:line="320" w:lineRule="exact"/>
              <w:jc w:val="center"/>
              <w:rPr>
                <w:szCs w:val="21"/>
              </w:rPr>
            </w:pPr>
            <w:r>
              <w:rPr>
                <w:rFonts w:hint="eastAsia" w:cs="宋体"/>
                <w:szCs w:val="21"/>
                <w:lang w:bidi="ar"/>
              </w:rPr>
              <w:t>户数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restart"/>
            <w:tcBorders>
              <w:top w:val="single" w:color="auto" w:sz="4" w:space="0"/>
              <w:left w:val="single" w:color="auto" w:sz="12" w:space="0"/>
              <w:bottom w:val="single" w:color="auto" w:sz="4" w:space="0"/>
              <w:right w:val="single" w:color="auto" w:sz="4" w:space="0"/>
            </w:tcBorders>
            <w:noWrap w:val="0"/>
            <w:vAlign w:val="center"/>
          </w:tcPr>
          <w:p>
            <w:pPr>
              <w:spacing w:line="320" w:lineRule="exact"/>
              <w:jc w:val="center"/>
              <w:rPr>
                <w:szCs w:val="21"/>
              </w:rPr>
            </w:pPr>
            <w:r>
              <w:rPr>
                <w:rFonts w:hint="eastAsia" w:cs="宋体"/>
                <w:szCs w:val="21"/>
                <w:lang w:bidi="ar"/>
              </w:rPr>
              <w:t>环境风险</w:t>
            </w: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s="宋体"/>
                <w:color w:val="000000"/>
                <w:sz w:val="22"/>
                <w:szCs w:val="22"/>
                <w:lang w:val="en-US" w:eastAsia="zh-CN" w:bidi="ar"/>
              </w:rPr>
              <w:t>何李庄</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color w:val="000000"/>
                <w:sz w:val="22"/>
                <w:szCs w:val="22"/>
                <w:lang w:bidi="ar"/>
              </w:rPr>
              <w:t>S</w:t>
            </w:r>
            <w:r>
              <w:rPr>
                <w:rFonts w:hint="eastAsia"/>
                <w:color w:val="000000"/>
                <w:sz w:val="22"/>
                <w:szCs w:val="22"/>
                <w:lang w:val="en-US" w:eastAsia="zh-CN" w:bidi="ar"/>
              </w:rPr>
              <w:t>E</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olor w:val="000000"/>
                <w:sz w:val="22"/>
                <w:szCs w:val="22"/>
                <w:lang w:val="en-US" w:eastAsia="zh-CN" w:bidi="ar"/>
              </w:rPr>
              <w:t>400</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rFonts w:hint="eastAsia"/>
                <w:color w:val="000000"/>
                <w:szCs w:val="21"/>
                <w:lang w:bidi="ar"/>
              </w:rPr>
              <w:t>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s="宋体"/>
                <w:color w:val="000000"/>
                <w:sz w:val="22"/>
                <w:szCs w:val="22"/>
                <w:lang w:val="en-US" w:eastAsia="zh-CN" w:bidi="ar"/>
              </w:rPr>
              <w:t>洪山庙村</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color w:val="000000"/>
                <w:sz w:val="22"/>
                <w:szCs w:val="22"/>
                <w:lang w:bidi="ar"/>
              </w:rPr>
              <w:t>S</w:t>
            </w:r>
            <w:r>
              <w:rPr>
                <w:rFonts w:hint="eastAsia"/>
                <w:color w:val="000000"/>
                <w:sz w:val="22"/>
                <w:szCs w:val="22"/>
                <w:lang w:val="en-US" w:eastAsia="zh-CN" w:bidi="ar"/>
              </w:rPr>
              <w:t>E</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olor w:val="000000"/>
                <w:sz w:val="22"/>
                <w:szCs w:val="22"/>
                <w:lang w:val="en-US" w:eastAsia="zh-CN" w:bidi="ar"/>
              </w:rPr>
              <w:t>680</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rFonts w:hint="eastAsia"/>
                <w:color w:val="000000"/>
                <w:szCs w:val="21"/>
                <w:lang w:bidi="ar"/>
              </w:rPr>
              <w:t>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s="宋体"/>
                <w:color w:val="000000"/>
                <w:sz w:val="22"/>
                <w:szCs w:val="22"/>
                <w:lang w:val="en-US" w:eastAsia="zh-CN" w:bidi="ar"/>
              </w:rPr>
              <w:t>东李庄</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color w:val="000000"/>
                <w:sz w:val="22"/>
                <w:szCs w:val="22"/>
                <w:lang w:bidi="ar"/>
              </w:rPr>
              <w:t>S</w:t>
            </w:r>
            <w:r>
              <w:rPr>
                <w:rFonts w:hint="eastAsia"/>
                <w:color w:val="000000"/>
                <w:sz w:val="22"/>
                <w:szCs w:val="22"/>
                <w:lang w:val="en-US" w:eastAsia="zh-CN" w:bidi="ar"/>
              </w:rPr>
              <w:t>E</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olor w:val="000000"/>
                <w:sz w:val="22"/>
                <w:szCs w:val="22"/>
                <w:lang w:val="en-US" w:eastAsia="zh-CN" w:bidi="ar"/>
              </w:rPr>
              <w:t>760</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color w:val="000000"/>
                <w:szCs w:val="21"/>
                <w:lang w:bidi="ar"/>
              </w:rPr>
              <w:t>3</w:t>
            </w:r>
            <w:r>
              <w:rPr>
                <w:rFonts w:hint="eastAsia"/>
                <w:color w:val="000000"/>
                <w:szCs w:val="21"/>
                <w:lang w:bidi="ar"/>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s="宋体"/>
                <w:color w:val="000000"/>
                <w:sz w:val="22"/>
                <w:szCs w:val="22"/>
                <w:lang w:val="en-US" w:eastAsia="zh-CN" w:bidi="ar"/>
              </w:rPr>
              <w:t>中杨寨</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color w:val="000000"/>
                <w:sz w:val="22"/>
                <w:szCs w:val="22"/>
                <w:lang w:bidi="ar"/>
              </w:rPr>
              <w:t>W</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olor w:val="000000"/>
                <w:sz w:val="22"/>
                <w:szCs w:val="22"/>
                <w:lang w:val="en-US" w:eastAsia="zh-CN" w:bidi="ar"/>
              </w:rPr>
              <w:t>520</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color w:val="000000"/>
                <w:szCs w:val="21"/>
                <w:lang w:bidi="ar"/>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s="宋体"/>
                <w:color w:val="000000"/>
                <w:sz w:val="22"/>
                <w:szCs w:val="22"/>
                <w:lang w:val="en-US" w:eastAsia="zh-CN" w:bidi="ar"/>
              </w:rPr>
              <w:t>叶庄</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olor w:val="000000"/>
                <w:sz w:val="22"/>
                <w:szCs w:val="22"/>
                <w:lang w:val="en-US" w:eastAsia="zh-CN" w:bidi="ar"/>
              </w:rPr>
              <w:t>S</w:t>
            </w:r>
            <w:r>
              <w:rPr>
                <w:color w:val="000000"/>
                <w:sz w:val="22"/>
                <w:szCs w:val="22"/>
                <w:lang w:bidi="ar"/>
              </w:rPr>
              <w:t>W</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olor w:val="000000"/>
                <w:sz w:val="22"/>
                <w:szCs w:val="22"/>
                <w:lang w:val="en-US" w:eastAsia="zh-CN" w:bidi="ar"/>
              </w:rPr>
              <w:t>500</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rFonts w:hint="eastAsia"/>
                <w:color w:val="000000"/>
                <w:szCs w:val="21"/>
                <w:lang w:bidi="ar"/>
              </w:rPr>
              <w:t>32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s="宋体"/>
                <w:color w:val="000000"/>
                <w:sz w:val="22"/>
                <w:szCs w:val="22"/>
                <w:lang w:val="en-US" w:eastAsia="zh-CN" w:bidi="ar"/>
              </w:rPr>
              <w:t>寺王店</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color w:val="000000"/>
                <w:sz w:val="22"/>
                <w:szCs w:val="22"/>
                <w:lang w:bidi="ar"/>
              </w:rPr>
              <w:t>SW</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olor w:val="000000"/>
                <w:sz w:val="22"/>
                <w:szCs w:val="22"/>
                <w:lang w:val="en-US" w:eastAsia="zh-CN" w:bidi="ar"/>
              </w:rPr>
              <w:t>480</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color w:val="000000"/>
                <w:szCs w:val="21"/>
                <w:lang w:bidi="ar"/>
              </w:rP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olor w:val="000000"/>
                <w:sz w:val="22"/>
                <w:szCs w:val="22"/>
                <w:lang w:eastAsia="zh-CN"/>
              </w:rPr>
            </w:pPr>
            <w:r>
              <w:rPr>
                <w:rFonts w:hint="eastAsia" w:cs="宋体"/>
                <w:color w:val="000000"/>
                <w:sz w:val="22"/>
                <w:szCs w:val="22"/>
                <w:lang w:val="en-US" w:eastAsia="zh-CN" w:bidi="ar"/>
              </w:rPr>
              <w:t>庙王庄</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color w:val="000000"/>
                <w:sz w:val="22"/>
                <w:szCs w:val="22"/>
                <w:lang w:bidi="ar"/>
              </w:rPr>
              <w:t>SW</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olor w:val="000000"/>
                <w:sz w:val="22"/>
                <w:szCs w:val="22"/>
                <w:lang w:val="en-US" w:eastAsia="zh-CN" w:bidi="ar"/>
              </w:rPr>
              <w:t>1150</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rFonts w:hint="eastAsia"/>
                <w:color w:val="000000"/>
                <w:szCs w:val="21"/>
                <w:lang w:bidi="ar"/>
              </w:rPr>
              <w:t>65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s="宋体"/>
                <w:color w:val="000000"/>
                <w:sz w:val="22"/>
                <w:szCs w:val="22"/>
                <w:lang w:val="en-US" w:eastAsia="zh-CN" w:bidi="ar"/>
              </w:rPr>
              <w:t>大邢庄</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olor w:val="000000"/>
                <w:sz w:val="22"/>
                <w:szCs w:val="22"/>
                <w:lang w:bidi="ar"/>
              </w:rPr>
              <w:t>N</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olor w:val="000000"/>
                <w:sz w:val="22"/>
                <w:szCs w:val="22"/>
                <w:lang w:val="en-US" w:eastAsia="zh-CN" w:bidi="ar"/>
              </w:rPr>
              <w:t>510</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rFonts w:hint="eastAsia"/>
                <w:color w:val="000000"/>
                <w:szCs w:val="21"/>
                <w:lang w:bidi="ar"/>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cs="宋体"/>
                <w:color w:val="000000"/>
                <w:sz w:val="22"/>
                <w:szCs w:val="22"/>
                <w:lang w:bidi="ar"/>
              </w:rPr>
            </w:pPr>
            <w:r>
              <w:rPr>
                <w:rFonts w:hint="eastAsia" w:cs="宋体"/>
                <w:color w:val="000000"/>
                <w:sz w:val="22"/>
                <w:szCs w:val="22"/>
                <w:lang w:val="en-US" w:eastAsia="zh-CN" w:bidi="ar"/>
              </w:rPr>
              <w:t>小吴庄</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bidi="ar"/>
              </w:rPr>
              <w:t>N</w:t>
            </w:r>
            <w:r>
              <w:rPr>
                <w:color w:val="000000"/>
                <w:sz w:val="22"/>
                <w:szCs w:val="22"/>
                <w:lang w:bidi="ar"/>
              </w:rPr>
              <w:t>W</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val="en-US" w:eastAsia="zh-CN" w:bidi="ar"/>
              </w:rPr>
              <w:t>1100</w:t>
            </w:r>
          </w:p>
        </w:tc>
        <w:tc>
          <w:tcPr>
            <w:tcW w:w="1458" w:type="dxa"/>
            <w:tcBorders>
              <w:top w:val="single" w:color="auto" w:sz="4" w:space="0"/>
              <w:left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cs="宋体"/>
                <w:color w:val="000000"/>
                <w:sz w:val="22"/>
                <w:szCs w:val="22"/>
                <w:lang w:bidi="ar"/>
              </w:rPr>
            </w:pPr>
            <w:r>
              <w:rPr>
                <w:rFonts w:hint="eastAsia" w:cs="宋体"/>
                <w:color w:val="000000"/>
                <w:sz w:val="22"/>
                <w:szCs w:val="22"/>
                <w:lang w:val="en-US" w:eastAsia="zh-CN" w:bidi="ar"/>
              </w:rPr>
              <w:t>孙庄</w:t>
            </w:r>
            <w:r>
              <w:rPr>
                <w:rFonts w:hint="eastAsia" w:cs="宋体"/>
                <w:color w:val="000000"/>
                <w:sz w:val="22"/>
                <w:szCs w:val="22"/>
                <w:lang w:bidi="ar"/>
              </w:rPr>
              <w:t>村</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val="en-US" w:eastAsia="zh-CN" w:bidi="ar"/>
              </w:rPr>
              <w:t>S</w:t>
            </w:r>
            <w:r>
              <w:rPr>
                <w:rFonts w:hint="eastAsia"/>
                <w:color w:val="000000"/>
                <w:sz w:val="22"/>
                <w:szCs w:val="22"/>
                <w:lang w:bidi="ar"/>
              </w:rPr>
              <w:t>E</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val="en-US" w:eastAsia="zh-CN" w:bidi="ar"/>
              </w:rPr>
              <w:t>2100</w:t>
            </w:r>
          </w:p>
        </w:tc>
        <w:tc>
          <w:tcPr>
            <w:tcW w:w="1458" w:type="dxa"/>
            <w:tcBorders>
              <w:left w:val="single" w:color="auto" w:sz="4" w:space="0"/>
              <w:right w:val="single" w:color="auto" w:sz="4" w:space="0"/>
            </w:tcBorders>
            <w:noWrap w:val="0"/>
            <w:vAlign w:val="center"/>
          </w:tcPr>
          <w:p>
            <w:pPr>
              <w:widowControl/>
              <w:spacing w:line="320" w:lineRule="exact"/>
              <w:jc w:val="center"/>
              <w:textAlignment w:val="center"/>
              <w:rPr>
                <w:rFonts w:hint="eastAsia"/>
                <w:color w:val="000000"/>
                <w:szCs w:val="21"/>
                <w:lang w:bidi="ar"/>
              </w:rPr>
            </w:pPr>
            <w:r>
              <w:rPr>
                <w:rFonts w:hint="eastAsia"/>
                <w:color w:val="000000"/>
                <w:szCs w:val="21"/>
                <w:lang w:bidi="ar"/>
              </w:rPr>
              <w:t>3</w:t>
            </w:r>
            <w:r>
              <w:rPr>
                <w:rFonts w:hint="eastAsia"/>
                <w:color w:val="000000"/>
                <w:szCs w:val="21"/>
                <w:lang w:val="en-US" w:eastAsia="zh-CN" w:bidi="ar"/>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cs="宋体"/>
                <w:color w:val="000000"/>
                <w:sz w:val="22"/>
                <w:szCs w:val="22"/>
                <w:lang w:bidi="ar"/>
              </w:rPr>
            </w:pPr>
            <w:r>
              <w:rPr>
                <w:rFonts w:hint="eastAsia" w:cs="宋体"/>
                <w:color w:val="000000"/>
                <w:sz w:val="22"/>
                <w:szCs w:val="22"/>
                <w:lang w:val="en-US" w:eastAsia="zh-CN" w:bidi="ar"/>
              </w:rPr>
              <w:t>张庄</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val="en-US" w:eastAsia="zh-CN" w:bidi="ar"/>
              </w:rPr>
              <w:t>NE</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val="en-US" w:eastAsia="zh-CN" w:bidi="ar"/>
              </w:rPr>
              <w:t>1000</w:t>
            </w:r>
          </w:p>
        </w:tc>
        <w:tc>
          <w:tcPr>
            <w:tcW w:w="1458" w:type="dxa"/>
            <w:tcBorders>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Cs w:val="21"/>
                <w:lang w:bidi="ar"/>
              </w:rPr>
            </w:pPr>
            <w:r>
              <w:rPr>
                <w:rFonts w:hint="eastAsia"/>
                <w:color w:val="000000"/>
                <w:szCs w:val="21"/>
                <w:lang w:bidi="ar"/>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cs="宋体"/>
                <w:color w:val="000000"/>
                <w:sz w:val="22"/>
                <w:szCs w:val="22"/>
                <w:lang w:bidi="ar"/>
              </w:rPr>
            </w:pPr>
            <w:r>
              <w:rPr>
                <w:rFonts w:hint="eastAsia" w:cs="宋体"/>
                <w:color w:val="000000"/>
                <w:sz w:val="22"/>
                <w:szCs w:val="22"/>
                <w:lang w:val="en-US" w:eastAsia="zh-CN" w:bidi="ar"/>
              </w:rPr>
              <w:t>西周庄</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E</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val="en-US" w:eastAsia="zh-CN" w:bidi="ar"/>
              </w:rPr>
              <w:t>1300</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42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cs="宋体"/>
                <w:color w:val="000000"/>
                <w:sz w:val="22"/>
                <w:szCs w:val="22"/>
                <w:lang w:bidi="ar"/>
              </w:rPr>
            </w:pPr>
            <w:r>
              <w:rPr>
                <w:rFonts w:hint="eastAsia" w:cs="宋体"/>
                <w:color w:val="000000"/>
                <w:sz w:val="22"/>
                <w:szCs w:val="22"/>
                <w:lang w:val="en-US" w:eastAsia="zh-CN" w:bidi="ar"/>
              </w:rPr>
              <w:t>陶庄</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E</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val="en-US" w:eastAsia="zh-CN" w:bidi="ar"/>
              </w:rPr>
              <w:t>2500</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s="宋体"/>
                <w:color w:val="000000"/>
                <w:sz w:val="22"/>
                <w:szCs w:val="22"/>
                <w:lang w:bidi="ar"/>
              </w:rPr>
            </w:pPr>
            <w:r>
              <w:rPr>
                <w:rFonts w:hint="eastAsia" w:cs="宋体"/>
                <w:color w:val="000000"/>
                <w:sz w:val="22"/>
                <w:szCs w:val="22"/>
                <w:lang w:val="en-US" w:eastAsia="zh-CN" w:bidi="ar"/>
              </w:rPr>
              <w:t>刘庄</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N</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val="en-US" w:eastAsia="zh-CN" w:bidi="ar"/>
              </w:rPr>
              <w:t>1415</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cs="宋体"/>
                <w:color w:val="000000"/>
                <w:sz w:val="22"/>
                <w:szCs w:val="22"/>
                <w:lang w:bidi="ar"/>
              </w:rPr>
            </w:pPr>
            <w:r>
              <w:rPr>
                <w:rFonts w:hint="eastAsia" w:cs="宋体"/>
                <w:color w:val="000000"/>
                <w:sz w:val="22"/>
                <w:szCs w:val="22"/>
                <w:lang w:val="en-US" w:eastAsia="zh-CN" w:bidi="ar"/>
              </w:rPr>
              <w:t>张夹道村</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N</w:t>
            </w:r>
            <w:r>
              <w:rPr>
                <w:rFonts w:hint="eastAsia"/>
                <w:color w:val="000000"/>
                <w:sz w:val="22"/>
                <w:szCs w:val="22"/>
                <w:lang w:val="en-US" w:eastAsia="zh-CN" w:bidi="ar"/>
              </w:rPr>
              <w:t>W</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val="en-US" w:eastAsia="zh-CN" w:bidi="ar"/>
              </w:rPr>
              <w:t>1524</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cs="宋体"/>
                <w:color w:val="000000"/>
                <w:sz w:val="22"/>
                <w:szCs w:val="22"/>
                <w:lang w:bidi="ar"/>
              </w:rPr>
            </w:pPr>
            <w:r>
              <w:rPr>
                <w:rFonts w:hint="eastAsia" w:cs="宋体"/>
                <w:color w:val="000000"/>
                <w:sz w:val="22"/>
                <w:szCs w:val="22"/>
                <w:lang w:val="en-US" w:eastAsia="zh-CN" w:bidi="ar"/>
              </w:rPr>
              <w:t>大陶庄</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N</w:t>
            </w:r>
            <w:r>
              <w:rPr>
                <w:rFonts w:hint="eastAsia"/>
                <w:color w:val="000000"/>
                <w:sz w:val="22"/>
                <w:szCs w:val="22"/>
                <w:lang w:val="en-US" w:eastAsia="zh-CN" w:bidi="ar"/>
              </w:rPr>
              <w:t>W</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bidi="ar"/>
              </w:rPr>
              <w:t>1953</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120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cs="宋体"/>
                <w:color w:val="000000"/>
                <w:sz w:val="22"/>
                <w:szCs w:val="22"/>
                <w:lang w:bidi="ar"/>
              </w:rPr>
            </w:pPr>
            <w:r>
              <w:rPr>
                <w:rFonts w:hint="eastAsia" w:cs="宋体"/>
                <w:color w:val="000000"/>
                <w:sz w:val="22"/>
                <w:szCs w:val="22"/>
                <w:lang w:val="en-US" w:eastAsia="zh-CN" w:bidi="ar"/>
              </w:rPr>
              <w:t>大温村</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bidi="ar"/>
              </w:rPr>
              <w:t>N</w:t>
            </w:r>
            <w:r>
              <w:rPr>
                <w:rFonts w:hint="eastAsia"/>
                <w:color w:val="000000"/>
                <w:sz w:val="22"/>
                <w:szCs w:val="22"/>
                <w:lang w:val="en-US" w:eastAsia="zh-CN" w:bidi="ar"/>
              </w:rPr>
              <w:t>W</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val="en-US" w:eastAsia="zh-CN" w:bidi="ar"/>
              </w:rPr>
              <w:t>1732</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cs="宋体"/>
                <w:color w:val="000000"/>
                <w:sz w:val="22"/>
                <w:szCs w:val="22"/>
                <w:lang w:bidi="ar"/>
              </w:rPr>
            </w:pPr>
            <w:r>
              <w:rPr>
                <w:rFonts w:hint="eastAsia" w:cs="宋体"/>
                <w:color w:val="000000"/>
                <w:sz w:val="22"/>
                <w:szCs w:val="22"/>
                <w:lang w:val="en-US" w:eastAsia="zh-CN" w:bidi="ar"/>
              </w:rPr>
              <w:t>薛寺</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N</w:t>
            </w:r>
            <w:r>
              <w:rPr>
                <w:rFonts w:hint="eastAsia"/>
                <w:color w:val="000000"/>
                <w:sz w:val="22"/>
                <w:szCs w:val="22"/>
                <w:lang w:val="en-US" w:eastAsia="zh-CN" w:bidi="ar"/>
              </w:rPr>
              <w:t>W</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val="en-US" w:eastAsia="zh-CN" w:bidi="ar"/>
              </w:rPr>
              <w:t>2142</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cs="宋体"/>
                <w:color w:val="000000"/>
                <w:sz w:val="22"/>
                <w:szCs w:val="22"/>
                <w:lang w:bidi="ar"/>
              </w:rPr>
            </w:pPr>
            <w:r>
              <w:rPr>
                <w:rFonts w:hint="eastAsia" w:cs="宋体"/>
                <w:color w:val="000000"/>
                <w:sz w:val="22"/>
                <w:szCs w:val="22"/>
                <w:lang w:val="en-US" w:eastAsia="zh-CN" w:bidi="ar"/>
              </w:rPr>
              <w:t>何楼</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val="en-US" w:eastAsia="zh-CN" w:bidi="ar"/>
              </w:rPr>
              <w:t>W</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val="en-US" w:eastAsia="zh-CN" w:bidi="ar"/>
              </w:rPr>
              <w:t>2010</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cs="宋体"/>
                <w:color w:val="000000"/>
                <w:sz w:val="22"/>
                <w:szCs w:val="22"/>
                <w:lang w:bidi="ar"/>
              </w:rPr>
            </w:pPr>
            <w:r>
              <w:rPr>
                <w:rFonts w:hint="eastAsia" w:cs="宋体"/>
                <w:color w:val="000000"/>
                <w:sz w:val="22"/>
                <w:szCs w:val="22"/>
                <w:lang w:val="en-US" w:eastAsia="zh-CN" w:bidi="ar"/>
              </w:rPr>
              <w:t>小骆庄</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bidi="ar"/>
              </w:rPr>
              <w:t>SW</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val="en-US" w:eastAsia="zh-CN" w:bidi="ar"/>
              </w:rPr>
              <w:t>2021</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140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cs="宋体"/>
                <w:color w:val="000000"/>
                <w:sz w:val="22"/>
                <w:szCs w:val="22"/>
                <w:lang w:bidi="ar"/>
              </w:rPr>
            </w:pPr>
            <w:r>
              <w:rPr>
                <w:rFonts w:hint="eastAsia" w:cs="宋体"/>
                <w:color w:val="000000"/>
                <w:sz w:val="22"/>
                <w:szCs w:val="22"/>
                <w:lang w:val="en-US" w:eastAsia="zh-CN" w:bidi="ar"/>
              </w:rPr>
              <w:t>谢寨村</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bidi="ar"/>
              </w:rPr>
              <w:t>SW</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val="en-US" w:eastAsia="zh-CN" w:bidi="ar"/>
              </w:rPr>
              <w:t>2269</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cs="宋体"/>
                <w:color w:val="000000"/>
                <w:sz w:val="22"/>
                <w:szCs w:val="22"/>
                <w:lang w:bidi="ar"/>
              </w:rPr>
            </w:pPr>
            <w:r>
              <w:rPr>
                <w:rFonts w:hint="eastAsia" w:cs="宋体"/>
                <w:color w:val="000000"/>
                <w:sz w:val="22"/>
                <w:szCs w:val="22"/>
                <w:lang w:val="en-US" w:eastAsia="zh-CN" w:bidi="ar"/>
              </w:rPr>
              <w:t>中杨寨</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SW</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val="en-US" w:eastAsia="zh-CN" w:bidi="ar"/>
              </w:rPr>
              <w:t>1854</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cs="宋体"/>
                <w:color w:val="000000"/>
                <w:sz w:val="22"/>
                <w:szCs w:val="22"/>
                <w:lang w:bidi="ar"/>
              </w:rPr>
            </w:pPr>
            <w:r>
              <w:rPr>
                <w:rFonts w:hint="eastAsia" w:cs="宋体"/>
                <w:color w:val="000000"/>
                <w:sz w:val="22"/>
                <w:szCs w:val="22"/>
                <w:lang w:val="en-US" w:eastAsia="zh-CN" w:bidi="ar"/>
              </w:rPr>
              <w:t>小围子村</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SW</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val="en-US" w:eastAsia="zh-CN" w:bidi="ar"/>
              </w:rPr>
              <w:t>1668</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cs="宋体"/>
                <w:color w:val="000000"/>
                <w:sz w:val="22"/>
                <w:szCs w:val="22"/>
                <w:lang w:bidi="ar"/>
              </w:rPr>
            </w:pPr>
            <w:r>
              <w:rPr>
                <w:rFonts w:hint="eastAsia" w:cs="宋体"/>
                <w:color w:val="000000"/>
                <w:sz w:val="22"/>
                <w:szCs w:val="22"/>
                <w:lang w:val="en-US" w:eastAsia="zh-CN" w:bidi="ar"/>
              </w:rPr>
              <w:t>后徐庄</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S</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val="en-US" w:eastAsia="zh-CN" w:bidi="ar"/>
              </w:rPr>
              <w:t>1314</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35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2700"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cs="宋体"/>
                <w:color w:val="000000"/>
                <w:sz w:val="22"/>
                <w:szCs w:val="22"/>
                <w:lang w:bidi="ar"/>
              </w:rPr>
            </w:pPr>
            <w:r>
              <w:rPr>
                <w:rFonts w:hint="eastAsia" w:cs="宋体"/>
                <w:color w:val="000000"/>
                <w:sz w:val="22"/>
                <w:szCs w:val="22"/>
                <w:lang w:val="en-US" w:eastAsia="zh-CN" w:bidi="ar"/>
              </w:rPr>
              <w:t>大田庄</w:t>
            </w:r>
          </w:p>
        </w:tc>
        <w:tc>
          <w:tcPr>
            <w:tcW w:w="1947"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S</w:t>
            </w:r>
          </w:p>
        </w:tc>
        <w:tc>
          <w:tcPr>
            <w:tcW w:w="1471"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bidi="ar"/>
              </w:rPr>
              <w:t>1</w:t>
            </w:r>
            <w:r>
              <w:rPr>
                <w:rFonts w:hint="eastAsia"/>
                <w:color w:val="000000"/>
                <w:sz w:val="22"/>
                <w:szCs w:val="22"/>
                <w:lang w:val="en-US" w:eastAsia="zh-CN" w:bidi="ar"/>
              </w:rPr>
              <w:t>234</w:t>
            </w:r>
          </w:p>
        </w:tc>
        <w:tc>
          <w:tcPr>
            <w:tcW w:w="1458" w:type="dxa"/>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1509"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s="宋体"/>
                <w:color w:val="000000"/>
                <w:sz w:val="22"/>
                <w:szCs w:val="22"/>
                <w:lang w:eastAsia="zh-CN" w:bidi="ar"/>
              </w:rPr>
            </w:pPr>
            <w:r>
              <w:rPr>
                <w:rFonts w:hint="eastAsia" w:cs="宋体"/>
                <w:color w:val="auto"/>
                <w:sz w:val="22"/>
                <w:szCs w:val="22"/>
                <w:lang w:val="en-US" w:eastAsia="zh-CN" w:bidi="ar"/>
              </w:rPr>
              <w:t>西袁庄</w:t>
            </w:r>
          </w:p>
        </w:tc>
        <w:tc>
          <w:tcPr>
            <w:tcW w:w="108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SW</w:t>
            </w:r>
          </w:p>
        </w:tc>
        <w:tc>
          <w:tcPr>
            <w:tcW w:w="822"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bidi="ar"/>
              </w:rPr>
            </w:pPr>
            <w:r>
              <w:rPr>
                <w:rFonts w:hint="eastAsia"/>
                <w:color w:val="000000"/>
                <w:sz w:val="22"/>
                <w:szCs w:val="22"/>
                <w:lang w:val="en-US" w:eastAsia="zh-CN" w:bidi="ar"/>
              </w:rPr>
              <w:t>2600</w:t>
            </w:r>
          </w:p>
        </w:tc>
        <w:tc>
          <w:tcPr>
            <w:tcW w:w="81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1509"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s="宋体"/>
                <w:color w:val="000000"/>
                <w:sz w:val="22"/>
                <w:szCs w:val="22"/>
                <w:lang w:eastAsia="zh-CN" w:bidi="ar"/>
              </w:rPr>
            </w:pPr>
            <w:r>
              <w:rPr>
                <w:rFonts w:hint="eastAsia" w:cs="宋体"/>
                <w:color w:val="000000"/>
                <w:sz w:val="22"/>
                <w:szCs w:val="22"/>
                <w:lang w:val="en-US" w:eastAsia="zh-CN" w:bidi="ar"/>
              </w:rPr>
              <w:t>西南周庄</w:t>
            </w:r>
          </w:p>
        </w:tc>
        <w:tc>
          <w:tcPr>
            <w:tcW w:w="108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SW</w:t>
            </w:r>
          </w:p>
        </w:tc>
        <w:tc>
          <w:tcPr>
            <w:tcW w:w="822"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olor w:val="000000"/>
                <w:sz w:val="22"/>
                <w:szCs w:val="22"/>
                <w:lang w:val="en-US" w:eastAsia="zh-CN" w:bidi="ar"/>
              </w:rPr>
            </w:pPr>
            <w:r>
              <w:rPr>
                <w:rFonts w:hint="eastAsia"/>
                <w:color w:val="000000"/>
                <w:sz w:val="22"/>
                <w:szCs w:val="22"/>
                <w:lang w:val="en-US" w:eastAsia="zh-CN" w:bidi="ar"/>
              </w:rPr>
              <w:t>3200</w:t>
            </w:r>
          </w:p>
        </w:tc>
        <w:tc>
          <w:tcPr>
            <w:tcW w:w="81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1509"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cs="宋体"/>
                <w:color w:val="000000"/>
                <w:sz w:val="22"/>
                <w:szCs w:val="22"/>
                <w:lang w:bidi="ar"/>
              </w:rPr>
            </w:pPr>
            <w:r>
              <w:rPr>
                <w:rFonts w:hint="eastAsia" w:cs="宋体"/>
                <w:color w:val="000000"/>
                <w:sz w:val="22"/>
                <w:szCs w:val="22"/>
                <w:lang w:bidi="ar"/>
              </w:rPr>
              <w:t>孙庄</w:t>
            </w:r>
          </w:p>
        </w:tc>
        <w:tc>
          <w:tcPr>
            <w:tcW w:w="108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SW</w:t>
            </w:r>
          </w:p>
        </w:tc>
        <w:tc>
          <w:tcPr>
            <w:tcW w:w="822"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bidi="ar"/>
              </w:rPr>
              <w:t>2033</w:t>
            </w:r>
          </w:p>
        </w:tc>
        <w:tc>
          <w:tcPr>
            <w:tcW w:w="81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1509"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s="宋体"/>
                <w:color w:val="000000"/>
                <w:sz w:val="22"/>
                <w:szCs w:val="22"/>
                <w:lang w:val="en-US" w:eastAsia="zh-CN" w:bidi="ar"/>
              </w:rPr>
            </w:pPr>
            <w:r>
              <w:rPr>
                <w:rFonts w:hint="eastAsia" w:cs="宋体"/>
                <w:color w:val="000000"/>
                <w:sz w:val="22"/>
                <w:szCs w:val="22"/>
                <w:lang w:val="en-US" w:eastAsia="zh-CN" w:bidi="ar"/>
              </w:rPr>
              <w:t>西郑庄</w:t>
            </w:r>
          </w:p>
        </w:tc>
        <w:tc>
          <w:tcPr>
            <w:tcW w:w="108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bidi="ar"/>
              </w:rPr>
              <w:t>W</w:t>
            </w:r>
          </w:p>
        </w:tc>
        <w:tc>
          <w:tcPr>
            <w:tcW w:w="822"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1892</w:t>
            </w:r>
          </w:p>
        </w:tc>
        <w:tc>
          <w:tcPr>
            <w:tcW w:w="81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44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1509"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default" w:eastAsia="宋体" w:cs="宋体"/>
                <w:color w:val="000000"/>
                <w:sz w:val="22"/>
                <w:szCs w:val="22"/>
                <w:lang w:val="en-US" w:eastAsia="zh-CN" w:bidi="ar"/>
              </w:rPr>
            </w:pPr>
            <w:r>
              <w:rPr>
                <w:rFonts w:hint="eastAsia" w:cs="宋体"/>
                <w:color w:val="000000"/>
                <w:sz w:val="22"/>
                <w:szCs w:val="22"/>
                <w:lang w:val="en-US" w:eastAsia="zh-CN" w:bidi="ar"/>
              </w:rPr>
              <w:t>台寺集</w:t>
            </w:r>
          </w:p>
        </w:tc>
        <w:tc>
          <w:tcPr>
            <w:tcW w:w="108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W</w:t>
            </w:r>
          </w:p>
        </w:tc>
        <w:tc>
          <w:tcPr>
            <w:tcW w:w="822"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bidi="ar"/>
              </w:rPr>
              <w:t>1618</w:t>
            </w:r>
          </w:p>
        </w:tc>
        <w:tc>
          <w:tcPr>
            <w:tcW w:w="81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1509"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s="宋体"/>
                <w:color w:val="000000"/>
                <w:sz w:val="22"/>
                <w:szCs w:val="22"/>
                <w:lang w:eastAsia="zh-CN" w:bidi="ar"/>
              </w:rPr>
            </w:pPr>
            <w:r>
              <w:rPr>
                <w:rFonts w:hint="eastAsia" w:cs="宋体"/>
                <w:color w:val="000000"/>
                <w:sz w:val="22"/>
                <w:szCs w:val="22"/>
                <w:lang w:val="en-US" w:eastAsia="zh-CN" w:bidi="ar"/>
              </w:rPr>
              <w:t>前楼</w:t>
            </w:r>
          </w:p>
        </w:tc>
        <w:tc>
          <w:tcPr>
            <w:tcW w:w="108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val="en-US" w:eastAsia="zh-CN" w:bidi="ar"/>
              </w:rPr>
              <w:t>S</w:t>
            </w:r>
            <w:r>
              <w:rPr>
                <w:rFonts w:hint="eastAsia"/>
                <w:color w:val="000000"/>
                <w:sz w:val="22"/>
                <w:szCs w:val="22"/>
                <w:lang w:bidi="ar"/>
              </w:rPr>
              <w:t>E</w:t>
            </w:r>
          </w:p>
        </w:tc>
        <w:tc>
          <w:tcPr>
            <w:tcW w:w="822"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bidi="ar"/>
              </w:rPr>
              <w:t>2120</w:t>
            </w:r>
          </w:p>
        </w:tc>
        <w:tc>
          <w:tcPr>
            <w:tcW w:w="81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1509"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s="宋体"/>
                <w:color w:val="000000"/>
                <w:sz w:val="22"/>
                <w:szCs w:val="22"/>
                <w:lang w:eastAsia="zh-CN" w:bidi="ar"/>
              </w:rPr>
            </w:pPr>
            <w:r>
              <w:rPr>
                <w:rFonts w:hint="eastAsia" w:cs="宋体"/>
                <w:color w:val="000000"/>
                <w:sz w:val="22"/>
                <w:szCs w:val="22"/>
                <w:lang w:val="en-US" w:eastAsia="zh-CN" w:bidi="ar"/>
              </w:rPr>
              <w:t>前许庄</w:t>
            </w:r>
          </w:p>
        </w:tc>
        <w:tc>
          <w:tcPr>
            <w:tcW w:w="108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NE</w:t>
            </w:r>
          </w:p>
        </w:tc>
        <w:tc>
          <w:tcPr>
            <w:tcW w:w="822"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bidi="ar"/>
              </w:rPr>
              <w:t>1344</w:t>
            </w:r>
          </w:p>
        </w:tc>
        <w:tc>
          <w:tcPr>
            <w:tcW w:w="81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1509"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s="宋体"/>
                <w:color w:val="000000"/>
                <w:sz w:val="22"/>
                <w:szCs w:val="22"/>
                <w:lang w:eastAsia="zh-CN" w:bidi="ar"/>
              </w:rPr>
            </w:pPr>
            <w:r>
              <w:rPr>
                <w:rFonts w:hint="eastAsia" w:cs="宋体"/>
                <w:color w:val="000000"/>
                <w:sz w:val="22"/>
                <w:szCs w:val="22"/>
                <w:lang w:val="en-US" w:eastAsia="zh-CN" w:bidi="ar"/>
              </w:rPr>
              <w:t>东许庄</w:t>
            </w:r>
          </w:p>
        </w:tc>
        <w:tc>
          <w:tcPr>
            <w:tcW w:w="108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NE</w:t>
            </w:r>
          </w:p>
        </w:tc>
        <w:tc>
          <w:tcPr>
            <w:tcW w:w="822"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bidi="ar"/>
              </w:rPr>
              <w:t>1547</w:t>
            </w:r>
          </w:p>
        </w:tc>
        <w:tc>
          <w:tcPr>
            <w:tcW w:w="81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60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1509"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s="宋体"/>
                <w:color w:val="000000"/>
                <w:sz w:val="22"/>
                <w:szCs w:val="22"/>
                <w:lang w:eastAsia="zh-CN" w:bidi="ar"/>
              </w:rPr>
            </w:pPr>
            <w:r>
              <w:rPr>
                <w:rFonts w:hint="eastAsia" w:cs="宋体"/>
                <w:color w:val="000000"/>
                <w:sz w:val="22"/>
                <w:szCs w:val="22"/>
                <w:lang w:val="en-US" w:eastAsia="zh-CN" w:bidi="ar"/>
              </w:rPr>
              <w:t>王庄</w:t>
            </w:r>
          </w:p>
        </w:tc>
        <w:tc>
          <w:tcPr>
            <w:tcW w:w="108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NE</w:t>
            </w:r>
          </w:p>
        </w:tc>
        <w:tc>
          <w:tcPr>
            <w:tcW w:w="822"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bidi="ar"/>
              </w:rPr>
              <w:t>1987</w:t>
            </w:r>
          </w:p>
        </w:tc>
        <w:tc>
          <w:tcPr>
            <w:tcW w:w="81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1509"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s="宋体"/>
                <w:color w:val="000000"/>
                <w:sz w:val="22"/>
                <w:szCs w:val="22"/>
                <w:lang w:eastAsia="zh-CN" w:bidi="ar"/>
              </w:rPr>
            </w:pPr>
            <w:r>
              <w:rPr>
                <w:rFonts w:hint="eastAsia" w:cs="宋体"/>
                <w:color w:val="000000"/>
                <w:sz w:val="22"/>
                <w:szCs w:val="22"/>
                <w:lang w:val="en-US" w:eastAsia="zh-CN" w:bidi="ar"/>
              </w:rPr>
              <w:t>朱楼</w:t>
            </w:r>
          </w:p>
        </w:tc>
        <w:tc>
          <w:tcPr>
            <w:tcW w:w="108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color w:val="000000"/>
                <w:sz w:val="22"/>
                <w:szCs w:val="22"/>
                <w:lang w:bidi="ar"/>
              </w:rPr>
            </w:pPr>
            <w:r>
              <w:rPr>
                <w:rFonts w:hint="eastAsia"/>
                <w:color w:val="000000"/>
                <w:sz w:val="22"/>
                <w:szCs w:val="22"/>
                <w:lang w:bidi="ar"/>
              </w:rPr>
              <w:t>NE</w:t>
            </w:r>
          </w:p>
        </w:tc>
        <w:tc>
          <w:tcPr>
            <w:tcW w:w="822"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lang w:bidi="ar"/>
              </w:rPr>
            </w:pPr>
            <w:r>
              <w:rPr>
                <w:rFonts w:hint="eastAsia"/>
                <w:color w:val="000000"/>
                <w:sz w:val="22"/>
                <w:szCs w:val="22"/>
                <w:lang w:bidi="ar"/>
              </w:rPr>
              <w:t>1989</w:t>
            </w:r>
          </w:p>
        </w:tc>
        <w:tc>
          <w:tcPr>
            <w:tcW w:w="81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lang w:bidi="ar"/>
              </w:rPr>
            </w:pPr>
            <w:r>
              <w:rPr>
                <w:rFonts w:hint="eastAsia"/>
                <w:color w:val="000000"/>
                <w:szCs w:val="21"/>
                <w:lang w:bidi="ar"/>
              </w:rPr>
              <w:t>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1509"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olor w:val="000000"/>
                <w:sz w:val="22"/>
                <w:szCs w:val="22"/>
                <w:lang w:eastAsia="zh-CN"/>
              </w:rPr>
            </w:pPr>
            <w:r>
              <w:rPr>
                <w:rFonts w:hint="eastAsia" w:cs="宋体"/>
                <w:color w:val="000000"/>
                <w:sz w:val="22"/>
                <w:szCs w:val="22"/>
                <w:lang w:val="en-US" w:eastAsia="zh-CN" w:bidi="ar"/>
              </w:rPr>
              <w:t>魏庄村</w:t>
            </w:r>
          </w:p>
        </w:tc>
        <w:tc>
          <w:tcPr>
            <w:tcW w:w="108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olor w:val="000000"/>
                <w:sz w:val="22"/>
                <w:szCs w:val="22"/>
                <w:lang w:bidi="ar"/>
              </w:rPr>
              <w:t>NE</w:t>
            </w:r>
          </w:p>
        </w:tc>
        <w:tc>
          <w:tcPr>
            <w:tcW w:w="822"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color w:val="000000"/>
                <w:sz w:val="22"/>
                <w:szCs w:val="22"/>
                <w:lang w:bidi="ar"/>
              </w:rPr>
              <w:t>1750</w:t>
            </w:r>
          </w:p>
        </w:tc>
        <w:tc>
          <w:tcPr>
            <w:tcW w:w="81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color w:val="000000"/>
                <w:szCs w:val="21"/>
                <w:lang w:bidi="ar"/>
              </w:rPr>
              <w:t>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766" w:type="pct"/>
            <w:vMerge w:val="continue"/>
            <w:tcBorders>
              <w:top w:val="single" w:color="auto" w:sz="4" w:space="0"/>
              <w:left w:val="single" w:color="auto" w:sz="12" w:space="0"/>
              <w:bottom w:val="single" w:color="auto" w:sz="4" w:space="0"/>
              <w:right w:val="single" w:color="auto" w:sz="4" w:space="0"/>
            </w:tcBorders>
            <w:noWrap w:val="0"/>
            <w:vAlign w:val="center"/>
          </w:tcPr>
          <w:p>
            <w:pPr>
              <w:rPr>
                <w:sz w:val="20"/>
                <w:szCs w:val="20"/>
              </w:rPr>
            </w:pPr>
          </w:p>
        </w:tc>
        <w:tc>
          <w:tcPr>
            <w:tcW w:w="1509"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rFonts w:hint="eastAsia" w:eastAsia="宋体"/>
                <w:color w:val="000000"/>
                <w:sz w:val="22"/>
                <w:szCs w:val="22"/>
                <w:lang w:eastAsia="zh-CN"/>
              </w:rPr>
            </w:pPr>
            <w:r>
              <w:rPr>
                <w:rFonts w:hint="eastAsia" w:cs="宋体"/>
                <w:color w:val="000000"/>
                <w:sz w:val="22"/>
                <w:szCs w:val="22"/>
                <w:lang w:val="en-US" w:eastAsia="zh-CN" w:bidi="ar"/>
              </w:rPr>
              <w:t>后龚庄</w:t>
            </w:r>
          </w:p>
        </w:tc>
        <w:tc>
          <w:tcPr>
            <w:tcW w:w="1088"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rFonts w:hint="eastAsia"/>
                <w:color w:val="000000"/>
                <w:sz w:val="22"/>
                <w:szCs w:val="22"/>
                <w:lang w:bidi="ar"/>
              </w:rPr>
              <w:t>NE</w:t>
            </w:r>
          </w:p>
        </w:tc>
        <w:tc>
          <w:tcPr>
            <w:tcW w:w="822"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 w:val="22"/>
                <w:szCs w:val="22"/>
              </w:rPr>
            </w:pPr>
            <w:r>
              <w:rPr>
                <w:color w:val="000000"/>
                <w:sz w:val="22"/>
                <w:szCs w:val="22"/>
                <w:lang w:bidi="ar"/>
              </w:rPr>
              <w:t>1888</w:t>
            </w:r>
          </w:p>
        </w:tc>
        <w:tc>
          <w:tcPr>
            <w:tcW w:w="815" w:type="pct"/>
            <w:tcBorders>
              <w:top w:val="single" w:color="auto" w:sz="4" w:space="0"/>
              <w:left w:val="single" w:color="auto" w:sz="4" w:space="0"/>
              <w:bottom w:val="single" w:color="auto" w:sz="4" w:space="0"/>
              <w:right w:val="single" w:color="auto" w:sz="4" w:space="0"/>
            </w:tcBorders>
            <w:noWrap w:val="0"/>
            <w:vAlign w:val="center"/>
          </w:tcPr>
          <w:p>
            <w:pPr>
              <w:widowControl/>
              <w:spacing w:line="320" w:lineRule="exact"/>
              <w:jc w:val="center"/>
              <w:textAlignment w:val="center"/>
              <w:rPr>
                <w:color w:val="000000"/>
                <w:szCs w:val="21"/>
              </w:rPr>
            </w:pPr>
            <w:r>
              <w:rPr>
                <w:color w:val="000000"/>
                <w:szCs w:val="21"/>
                <w:lang w:bidi="ar"/>
              </w:rPr>
              <w:t>100</w:t>
            </w:r>
          </w:p>
        </w:tc>
      </w:tr>
    </w:tbl>
    <w:p>
      <w:pPr>
        <w:keepNext/>
        <w:keepLines/>
        <w:adjustRightInd w:val="0"/>
        <w:spacing w:line="520" w:lineRule="exact"/>
        <w:jc w:val="left"/>
        <w:textAlignment w:val="baseline"/>
        <w:outlineLvl w:val="4"/>
        <w:rPr>
          <w:rFonts w:hint="eastAsia"/>
          <w:b/>
          <w:kern w:val="0"/>
          <w:sz w:val="24"/>
        </w:rPr>
      </w:pPr>
      <w:bookmarkStart w:id="425" w:name="_Toc11975"/>
      <w:bookmarkStart w:id="426" w:name="_Toc17342"/>
      <w:bookmarkStart w:id="427" w:name="_Toc445457750"/>
      <w:r>
        <w:rPr>
          <w:b/>
          <w:kern w:val="0"/>
          <w:sz w:val="24"/>
        </w:rPr>
        <w:t>4.3.3</w:t>
      </w:r>
      <w:r>
        <w:rPr>
          <w:rFonts w:hint="eastAsia"/>
          <w:b/>
          <w:kern w:val="0"/>
          <w:sz w:val="24"/>
        </w:rPr>
        <w:t>环境风险</w:t>
      </w:r>
      <w:r>
        <w:rPr>
          <w:b/>
          <w:kern w:val="0"/>
          <w:sz w:val="24"/>
        </w:rPr>
        <w:t>识别</w:t>
      </w:r>
    </w:p>
    <w:p>
      <w:pPr>
        <w:spacing w:line="520" w:lineRule="exact"/>
        <w:ind w:firstLine="480" w:firstLineChars="200"/>
        <w:rPr>
          <w:bCs/>
          <w:sz w:val="24"/>
        </w:rPr>
      </w:pPr>
      <w:r>
        <w:rPr>
          <w:rFonts w:hint="eastAsia" w:ascii="宋体" w:hAnsi="宋体" w:cs="宋体"/>
          <w:bCs/>
          <w:sz w:val="24"/>
        </w:rPr>
        <w:t>①</w:t>
      </w:r>
      <w:r>
        <w:rPr>
          <w:bCs/>
          <w:sz w:val="24"/>
        </w:rPr>
        <w:t xml:space="preserve"> 物质风险识别</w:t>
      </w:r>
    </w:p>
    <w:p>
      <w:pPr>
        <w:spacing w:line="520" w:lineRule="exact"/>
        <w:ind w:firstLine="480" w:firstLineChars="200"/>
        <w:rPr>
          <w:sz w:val="24"/>
        </w:rPr>
      </w:pPr>
      <w:r>
        <w:rPr>
          <w:sz w:val="24"/>
        </w:rPr>
        <w:t>项目的建设营运过程中产生的副产物为沼气。沼气为无色、略有气味可燃的混合气体，其中主要成份为CH</w:t>
      </w:r>
      <w:r>
        <w:rPr>
          <w:sz w:val="24"/>
          <w:vertAlign w:val="subscript"/>
        </w:rPr>
        <w:t>4</w:t>
      </w:r>
      <w:r>
        <w:rPr>
          <w:sz w:val="24"/>
        </w:rPr>
        <w:t>（50%-70%）和CO</w:t>
      </w:r>
      <w:r>
        <w:rPr>
          <w:sz w:val="24"/>
          <w:vertAlign w:val="subscript"/>
        </w:rPr>
        <w:t>2</w:t>
      </w:r>
      <w:r>
        <w:rPr>
          <w:sz w:val="24"/>
        </w:rPr>
        <w:t>（30%-40%），以及少量的H</w:t>
      </w:r>
      <w:r>
        <w:rPr>
          <w:sz w:val="24"/>
          <w:vertAlign w:val="subscript"/>
        </w:rPr>
        <w:t>2</w:t>
      </w:r>
      <w:r>
        <w:rPr>
          <w:sz w:val="24"/>
        </w:rPr>
        <w:t>、CO、N</w:t>
      </w:r>
      <w:r>
        <w:rPr>
          <w:sz w:val="24"/>
          <w:vertAlign w:val="subscript"/>
        </w:rPr>
        <w:t>2</w:t>
      </w:r>
      <w:r>
        <w:rPr>
          <w:sz w:val="24"/>
        </w:rPr>
        <w:t>、H</w:t>
      </w:r>
      <w:r>
        <w:rPr>
          <w:sz w:val="24"/>
          <w:vertAlign w:val="subscript"/>
        </w:rPr>
        <w:t>2</w:t>
      </w:r>
      <w:r>
        <w:rPr>
          <w:sz w:val="24"/>
        </w:rPr>
        <w:t>S等。沼气的主要成份为CH</w:t>
      </w:r>
      <w:r>
        <w:rPr>
          <w:sz w:val="24"/>
          <w:vertAlign w:val="subscript"/>
        </w:rPr>
        <w:t>4</w:t>
      </w:r>
      <w:r>
        <w:rPr>
          <w:sz w:val="24"/>
        </w:rPr>
        <w:t>，在发酵、存储及使用过程中，若管理不善或操作不当，遇到明火可发生燃烧、爆炸等风险事故，将对周围环境及人身财产产生较大的影响和损失。</w:t>
      </w:r>
    </w:p>
    <w:p>
      <w:pPr>
        <w:widowControl/>
        <w:spacing w:line="520" w:lineRule="exact"/>
        <w:ind w:firstLine="480" w:firstLineChars="200"/>
        <w:jc w:val="left"/>
        <w:rPr>
          <w:sz w:val="24"/>
        </w:rPr>
      </w:pPr>
      <w:r>
        <w:rPr>
          <w:sz w:val="24"/>
        </w:rPr>
        <w:t>根据本项目相关物品的危险类型，确定环境风险评价因子为畜禽传染病及沼气泄漏。</w:t>
      </w:r>
    </w:p>
    <w:p>
      <w:pPr>
        <w:spacing w:line="520" w:lineRule="exact"/>
        <w:ind w:firstLine="480" w:firstLineChars="200"/>
        <w:rPr>
          <w:bCs/>
          <w:sz w:val="24"/>
        </w:rPr>
      </w:pPr>
      <w:r>
        <w:rPr>
          <w:rFonts w:hint="eastAsia" w:ascii="宋体" w:hAnsi="宋体" w:cs="宋体"/>
          <w:bCs/>
          <w:sz w:val="24"/>
        </w:rPr>
        <w:t>②</w:t>
      </w:r>
      <w:r>
        <w:rPr>
          <w:bCs/>
          <w:sz w:val="24"/>
        </w:rPr>
        <w:t>生产设施风险识别</w:t>
      </w:r>
    </w:p>
    <w:p>
      <w:pPr>
        <w:spacing w:line="520" w:lineRule="exact"/>
        <w:ind w:firstLine="480" w:firstLineChars="200"/>
        <w:rPr>
          <w:sz w:val="24"/>
        </w:rPr>
      </w:pPr>
      <w:r>
        <w:rPr>
          <w:sz w:val="24"/>
        </w:rPr>
        <w:t>通过相关的资料和文献的查阅，在养猪场生产环节，主要存在以下的环境风险：</w:t>
      </w:r>
    </w:p>
    <w:p>
      <w:pPr>
        <w:spacing w:line="520" w:lineRule="exact"/>
        <w:ind w:firstLine="480" w:firstLineChars="200"/>
        <w:rPr>
          <w:sz w:val="24"/>
        </w:rPr>
      </w:pPr>
      <w:r>
        <w:rPr>
          <w:sz w:val="24"/>
        </w:rPr>
        <w:t>沼气工程运行过程中，输气阀门等损坏、管道破裂、操作失误、自然灾害等造成甲烷泄露，遇明火引发火灾及爆炸；沼气贮存系统常会出现由于设备损坏或操作失误引起泄露，甲烷的泄漏将会导致火灾、爆炸等重大事故发生。</w:t>
      </w:r>
    </w:p>
    <w:p>
      <w:pPr>
        <w:keepNext/>
        <w:keepLines/>
        <w:adjustRightInd w:val="0"/>
        <w:spacing w:line="520" w:lineRule="exact"/>
        <w:jc w:val="left"/>
        <w:textAlignment w:val="baseline"/>
        <w:outlineLvl w:val="4"/>
        <w:rPr>
          <w:rFonts w:hint="eastAsia"/>
          <w:b/>
          <w:kern w:val="0"/>
          <w:sz w:val="24"/>
        </w:rPr>
      </w:pPr>
      <w:r>
        <w:rPr>
          <w:b/>
          <w:kern w:val="0"/>
          <w:sz w:val="24"/>
        </w:rPr>
        <w:t>4.3.4</w:t>
      </w:r>
      <w:r>
        <w:rPr>
          <w:rFonts w:hint="eastAsia"/>
          <w:b/>
          <w:kern w:val="0"/>
          <w:sz w:val="24"/>
        </w:rPr>
        <w:t>环境风险</w:t>
      </w:r>
      <w:r>
        <w:rPr>
          <w:b/>
          <w:kern w:val="0"/>
          <w:sz w:val="24"/>
        </w:rPr>
        <w:t>分析</w:t>
      </w:r>
    </w:p>
    <w:p>
      <w:pPr>
        <w:spacing w:line="520" w:lineRule="exact"/>
        <w:rPr>
          <w:sz w:val="24"/>
        </w:rPr>
      </w:pPr>
      <w:bookmarkStart w:id="428" w:name="_Toc28557"/>
      <w:r>
        <w:rPr>
          <w:sz w:val="24"/>
        </w:rPr>
        <w:t xml:space="preserve">  </w:t>
      </w:r>
      <w:bookmarkEnd w:id="428"/>
      <w:r>
        <w:rPr>
          <w:b/>
          <w:bCs/>
          <w:sz w:val="24"/>
        </w:rPr>
        <w:t xml:space="preserve"> </w:t>
      </w:r>
      <w:r>
        <w:rPr>
          <w:rFonts w:hint="eastAsia"/>
          <w:sz w:val="24"/>
        </w:rPr>
        <w:t>（1）</w:t>
      </w:r>
      <w:r>
        <w:rPr>
          <w:sz w:val="24"/>
        </w:rPr>
        <w:t>火灾</w:t>
      </w:r>
    </w:p>
    <w:p>
      <w:pPr>
        <w:spacing w:line="520" w:lineRule="exact"/>
        <w:ind w:firstLine="480" w:firstLineChars="200"/>
        <w:rPr>
          <w:sz w:val="24"/>
        </w:rPr>
      </w:pPr>
      <w:r>
        <w:rPr>
          <w:sz w:val="24"/>
        </w:rPr>
        <w:t>经类比，项目火灾危害级别对应的距离见表4.3-5。</w:t>
      </w:r>
    </w:p>
    <w:p>
      <w:pPr>
        <w:snapToGrid w:val="0"/>
        <w:spacing w:line="520" w:lineRule="exact"/>
        <w:jc w:val="center"/>
        <w:rPr>
          <w:b/>
          <w:bCs/>
          <w:sz w:val="24"/>
        </w:rPr>
      </w:pPr>
      <w:r>
        <w:rPr>
          <w:b/>
          <w:bCs/>
          <w:sz w:val="24"/>
        </w:rPr>
        <w:t>表4.3-5    危害级别对应的距离</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58"/>
        <w:gridCol w:w="1200"/>
        <w:gridCol w:w="3410"/>
        <w:gridCol w:w="283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58" w:type="dxa"/>
            <w:noWrap w:val="0"/>
            <w:vAlign w:val="center"/>
          </w:tcPr>
          <w:p>
            <w:pPr>
              <w:adjustRightInd w:val="0"/>
              <w:snapToGrid w:val="0"/>
              <w:jc w:val="center"/>
              <w:rPr>
                <w:b/>
                <w:bCs/>
                <w:szCs w:val="21"/>
              </w:rPr>
            </w:pPr>
            <w:r>
              <w:rPr>
                <w:b/>
                <w:bCs/>
              </w:rPr>
              <w:t>危害级别</w:t>
            </w:r>
          </w:p>
        </w:tc>
        <w:tc>
          <w:tcPr>
            <w:tcW w:w="1200" w:type="dxa"/>
            <w:noWrap w:val="0"/>
            <w:vAlign w:val="center"/>
          </w:tcPr>
          <w:p>
            <w:pPr>
              <w:adjustRightInd w:val="0"/>
              <w:snapToGrid w:val="0"/>
              <w:jc w:val="center"/>
              <w:rPr>
                <w:b/>
                <w:bCs/>
              </w:rPr>
            </w:pPr>
            <w:r>
              <w:rPr>
                <w:b/>
                <w:bCs/>
              </w:rPr>
              <w:t>距离（m）</w:t>
            </w:r>
          </w:p>
        </w:tc>
        <w:tc>
          <w:tcPr>
            <w:tcW w:w="3410" w:type="dxa"/>
            <w:noWrap w:val="0"/>
            <w:vAlign w:val="center"/>
          </w:tcPr>
          <w:p>
            <w:pPr>
              <w:adjustRightInd w:val="0"/>
              <w:snapToGrid w:val="0"/>
              <w:jc w:val="center"/>
              <w:rPr>
                <w:b/>
                <w:bCs/>
              </w:rPr>
            </w:pPr>
            <w:r>
              <w:rPr>
                <w:b/>
                <w:bCs/>
              </w:rPr>
              <w:t>对设备的损害</w:t>
            </w:r>
          </w:p>
        </w:tc>
        <w:tc>
          <w:tcPr>
            <w:tcW w:w="2837" w:type="dxa"/>
            <w:noWrap w:val="0"/>
            <w:vAlign w:val="center"/>
          </w:tcPr>
          <w:p>
            <w:pPr>
              <w:adjustRightInd w:val="0"/>
              <w:snapToGrid w:val="0"/>
              <w:jc w:val="center"/>
              <w:rPr>
                <w:b/>
                <w:bCs/>
              </w:rPr>
            </w:pPr>
            <w:r>
              <w:rPr>
                <w:b/>
                <w:bCs/>
              </w:rPr>
              <w:t>对人的损害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58" w:type="dxa"/>
            <w:noWrap w:val="0"/>
            <w:vAlign w:val="center"/>
          </w:tcPr>
          <w:p>
            <w:pPr>
              <w:adjustRightInd w:val="0"/>
              <w:snapToGrid w:val="0"/>
              <w:jc w:val="center"/>
            </w:pPr>
            <w:r>
              <w:t>A</w:t>
            </w:r>
          </w:p>
        </w:tc>
        <w:tc>
          <w:tcPr>
            <w:tcW w:w="1200" w:type="dxa"/>
            <w:noWrap w:val="0"/>
            <w:vAlign w:val="center"/>
          </w:tcPr>
          <w:p>
            <w:pPr>
              <w:adjustRightInd w:val="0"/>
              <w:snapToGrid w:val="0"/>
              <w:jc w:val="center"/>
            </w:pPr>
            <w:r>
              <w:t>32.6</w:t>
            </w:r>
          </w:p>
        </w:tc>
        <w:tc>
          <w:tcPr>
            <w:tcW w:w="3410" w:type="dxa"/>
            <w:noWrap w:val="0"/>
            <w:vAlign w:val="center"/>
          </w:tcPr>
          <w:p>
            <w:pPr>
              <w:adjustRightInd w:val="0"/>
              <w:snapToGrid w:val="0"/>
              <w:jc w:val="center"/>
            </w:pPr>
            <w:r>
              <w:t>操作设备全部损坏</w:t>
            </w:r>
          </w:p>
        </w:tc>
        <w:tc>
          <w:tcPr>
            <w:tcW w:w="2837" w:type="dxa"/>
            <w:noWrap w:val="0"/>
            <w:vAlign w:val="center"/>
          </w:tcPr>
          <w:p>
            <w:pPr>
              <w:adjustRightInd w:val="0"/>
              <w:snapToGrid w:val="0"/>
              <w:jc w:val="center"/>
            </w:pPr>
            <w:r>
              <w:t>1%死亡/10秒</w:t>
            </w:r>
          </w:p>
          <w:p>
            <w:pPr>
              <w:adjustRightInd w:val="0"/>
              <w:snapToGrid w:val="0"/>
              <w:jc w:val="center"/>
            </w:pPr>
            <w:r>
              <w:t>100%死亡/1分钟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58" w:type="dxa"/>
            <w:noWrap w:val="0"/>
            <w:vAlign w:val="center"/>
          </w:tcPr>
          <w:p>
            <w:pPr>
              <w:adjustRightInd w:val="0"/>
              <w:snapToGrid w:val="0"/>
              <w:jc w:val="center"/>
            </w:pPr>
            <w:r>
              <w:t>B</w:t>
            </w:r>
          </w:p>
        </w:tc>
        <w:tc>
          <w:tcPr>
            <w:tcW w:w="1200" w:type="dxa"/>
            <w:noWrap w:val="0"/>
            <w:vAlign w:val="center"/>
          </w:tcPr>
          <w:p>
            <w:pPr>
              <w:adjustRightInd w:val="0"/>
              <w:snapToGrid w:val="0"/>
              <w:jc w:val="center"/>
            </w:pPr>
            <w:r>
              <w:t>39.9</w:t>
            </w:r>
          </w:p>
        </w:tc>
        <w:tc>
          <w:tcPr>
            <w:tcW w:w="3410" w:type="dxa"/>
            <w:noWrap w:val="0"/>
            <w:vAlign w:val="center"/>
          </w:tcPr>
          <w:p>
            <w:pPr>
              <w:adjustRightInd w:val="0"/>
              <w:snapToGrid w:val="0"/>
              <w:jc w:val="center"/>
            </w:pPr>
            <w:r>
              <w:t>在无火焰，长时间辐射下木材燃烧的最小能量</w:t>
            </w:r>
          </w:p>
        </w:tc>
        <w:tc>
          <w:tcPr>
            <w:tcW w:w="2837" w:type="dxa"/>
            <w:noWrap w:val="0"/>
            <w:vAlign w:val="center"/>
          </w:tcPr>
          <w:p>
            <w:pPr>
              <w:adjustRightInd w:val="0"/>
              <w:snapToGrid w:val="0"/>
              <w:jc w:val="center"/>
            </w:pPr>
            <w:r>
              <w:t>重大损伤亡/10秒100%死亡/1分钟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58" w:type="dxa"/>
            <w:noWrap w:val="0"/>
            <w:vAlign w:val="center"/>
          </w:tcPr>
          <w:p>
            <w:pPr>
              <w:adjustRightInd w:val="0"/>
              <w:snapToGrid w:val="0"/>
              <w:jc w:val="center"/>
            </w:pPr>
            <w:r>
              <w:t>C</w:t>
            </w:r>
          </w:p>
        </w:tc>
        <w:tc>
          <w:tcPr>
            <w:tcW w:w="1200" w:type="dxa"/>
            <w:noWrap w:val="0"/>
            <w:vAlign w:val="center"/>
          </w:tcPr>
          <w:p>
            <w:pPr>
              <w:adjustRightInd w:val="0"/>
              <w:snapToGrid w:val="0"/>
              <w:jc w:val="center"/>
            </w:pPr>
            <w:r>
              <w:t>56.4</w:t>
            </w:r>
          </w:p>
        </w:tc>
        <w:tc>
          <w:tcPr>
            <w:tcW w:w="3410" w:type="dxa"/>
            <w:noWrap w:val="0"/>
            <w:vAlign w:val="center"/>
          </w:tcPr>
          <w:p>
            <w:pPr>
              <w:adjustRightInd w:val="0"/>
              <w:snapToGrid w:val="0"/>
              <w:jc w:val="center"/>
            </w:pPr>
            <w:r>
              <w:t>在无火焰，木材燃烧，塑料熔化的最低能量</w:t>
            </w:r>
          </w:p>
        </w:tc>
        <w:tc>
          <w:tcPr>
            <w:tcW w:w="2837" w:type="dxa"/>
            <w:noWrap w:val="0"/>
            <w:vAlign w:val="center"/>
          </w:tcPr>
          <w:p>
            <w:pPr>
              <w:adjustRightInd w:val="0"/>
              <w:snapToGrid w:val="0"/>
              <w:jc w:val="center"/>
            </w:pPr>
            <w:r>
              <w:t>1度烧伤/10秒</w:t>
            </w:r>
          </w:p>
          <w:p>
            <w:pPr>
              <w:adjustRightInd w:val="0"/>
              <w:snapToGrid w:val="0"/>
              <w:jc w:val="center"/>
            </w:pPr>
            <w:r>
              <w:t>1%死亡/1分钟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58" w:type="dxa"/>
            <w:noWrap w:val="0"/>
            <w:vAlign w:val="center"/>
          </w:tcPr>
          <w:p>
            <w:pPr>
              <w:adjustRightInd w:val="0"/>
              <w:snapToGrid w:val="0"/>
              <w:jc w:val="center"/>
            </w:pPr>
            <w:r>
              <w:t>D</w:t>
            </w:r>
          </w:p>
        </w:tc>
        <w:tc>
          <w:tcPr>
            <w:tcW w:w="1200" w:type="dxa"/>
            <w:noWrap w:val="0"/>
            <w:vAlign w:val="center"/>
          </w:tcPr>
          <w:p>
            <w:pPr>
              <w:adjustRightInd w:val="0"/>
              <w:snapToGrid w:val="0"/>
              <w:jc w:val="center"/>
            </w:pPr>
            <w:r>
              <w:t>99.7</w:t>
            </w:r>
          </w:p>
        </w:tc>
        <w:tc>
          <w:tcPr>
            <w:tcW w:w="3410" w:type="dxa"/>
            <w:vMerge w:val="restart"/>
            <w:noWrap w:val="0"/>
            <w:vAlign w:val="center"/>
          </w:tcPr>
          <w:p>
            <w:pPr>
              <w:adjustRightInd w:val="0"/>
              <w:snapToGrid w:val="0"/>
              <w:jc w:val="center"/>
            </w:pPr>
            <w:r>
              <w:t>没有什么损坏</w:t>
            </w:r>
          </w:p>
        </w:tc>
        <w:tc>
          <w:tcPr>
            <w:tcW w:w="2837" w:type="dxa"/>
            <w:noWrap w:val="0"/>
            <w:vAlign w:val="center"/>
          </w:tcPr>
          <w:p>
            <w:pPr>
              <w:adjustRightInd w:val="0"/>
              <w:snapToGrid w:val="0"/>
              <w:jc w:val="center"/>
            </w:pPr>
            <w:r>
              <w:t>20秒以上感觉疼痛</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058" w:type="dxa"/>
            <w:noWrap w:val="0"/>
            <w:vAlign w:val="center"/>
          </w:tcPr>
          <w:p>
            <w:pPr>
              <w:adjustRightInd w:val="0"/>
              <w:snapToGrid w:val="0"/>
              <w:jc w:val="center"/>
            </w:pPr>
            <w:r>
              <w:t>E</w:t>
            </w:r>
          </w:p>
        </w:tc>
        <w:tc>
          <w:tcPr>
            <w:tcW w:w="1200" w:type="dxa"/>
            <w:noWrap w:val="0"/>
            <w:vAlign w:val="center"/>
          </w:tcPr>
          <w:p>
            <w:pPr>
              <w:adjustRightInd w:val="0"/>
              <w:snapToGrid w:val="0"/>
              <w:jc w:val="center"/>
            </w:pPr>
            <w:r>
              <w:t>157.7</w:t>
            </w:r>
          </w:p>
        </w:tc>
        <w:tc>
          <w:tcPr>
            <w:tcW w:w="3410" w:type="dxa"/>
            <w:vMerge w:val="continue"/>
            <w:noWrap w:val="0"/>
            <w:vAlign w:val="center"/>
          </w:tcPr>
          <w:p>
            <w:pPr>
              <w:widowControl/>
              <w:jc w:val="left"/>
              <w:rPr>
                <w:szCs w:val="21"/>
              </w:rPr>
            </w:pPr>
          </w:p>
        </w:tc>
        <w:tc>
          <w:tcPr>
            <w:tcW w:w="2837" w:type="dxa"/>
            <w:noWrap w:val="0"/>
            <w:vAlign w:val="center"/>
          </w:tcPr>
          <w:p>
            <w:pPr>
              <w:adjustRightInd w:val="0"/>
              <w:snapToGrid w:val="0"/>
              <w:jc w:val="center"/>
            </w:pPr>
            <w:r>
              <w:t>长期辐射，无不舒服感</w:t>
            </w:r>
          </w:p>
        </w:tc>
      </w:tr>
    </w:tbl>
    <w:p>
      <w:pPr>
        <w:spacing w:line="520" w:lineRule="exact"/>
        <w:ind w:firstLine="480" w:firstLineChars="200"/>
        <w:rPr>
          <w:sz w:val="24"/>
        </w:rPr>
      </w:pPr>
      <w:r>
        <w:rPr>
          <w:sz w:val="24"/>
        </w:rPr>
        <w:t>根据场区平面图可知，</w:t>
      </w:r>
      <w:r>
        <w:rPr>
          <w:rFonts w:hint="eastAsia"/>
          <w:sz w:val="24"/>
        </w:rPr>
        <w:t>黑膜</w:t>
      </w:r>
      <w:r>
        <w:rPr>
          <w:sz w:val="24"/>
        </w:rPr>
        <w:t>沼气池与最近猪舍的距离为35m，</w:t>
      </w:r>
      <w:r>
        <w:rPr>
          <w:bCs/>
          <w:sz w:val="24"/>
        </w:rPr>
        <w:t>因此沼气着火时对猪舍的影响危害等级介于B、C级之间，猪舍内猪死亡概率很低</w:t>
      </w:r>
      <w:r>
        <w:rPr>
          <w:sz w:val="24"/>
        </w:rPr>
        <w:t>。此外，</w:t>
      </w:r>
      <w:r>
        <w:rPr>
          <w:rFonts w:hint="eastAsia"/>
          <w:sz w:val="24"/>
        </w:rPr>
        <w:t>黑膜</w:t>
      </w:r>
      <w:r>
        <w:rPr>
          <w:sz w:val="24"/>
        </w:rPr>
        <w:t>沼气池与最近生活管理区相距为120m，对人不会造成伤害。</w:t>
      </w:r>
    </w:p>
    <w:p>
      <w:pPr>
        <w:spacing w:line="520" w:lineRule="exact"/>
        <w:ind w:firstLine="480" w:firstLineChars="200"/>
        <w:rPr>
          <w:sz w:val="24"/>
        </w:rPr>
      </w:pPr>
      <w:r>
        <w:rPr>
          <w:rFonts w:hint="eastAsia"/>
          <w:sz w:val="24"/>
        </w:rPr>
        <w:t>（2）</w:t>
      </w:r>
      <w:r>
        <w:rPr>
          <w:sz w:val="24"/>
        </w:rPr>
        <w:t>爆炸冲击波</w:t>
      </w:r>
    </w:p>
    <w:p>
      <w:pPr>
        <w:spacing w:line="520" w:lineRule="exact"/>
        <w:ind w:firstLine="480" w:firstLineChars="200"/>
        <w:rPr>
          <w:sz w:val="24"/>
        </w:rPr>
      </w:pPr>
      <w:r>
        <w:rPr>
          <w:sz w:val="24"/>
        </w:rPr>
        <w:t>冲击波损害等级对应距离见表4.3-6。</w:t>
      </w:r>
    </w:p>
    <w:p>
      <w:pPr>
        <w:spacing w:line="520" w:lineRule="exact"/>
        <w:ind w:firstLine="480" w:firstLineChars="200"/>
        <w:rPr>
          <w:sz w:val="24"/>
        </w:rPr>
      </w:pPr>
    </w:p>
    <w:p>
      <w:pPr>
        <w:snapToGrid w:val="0"/>
        <w:spacing w:line="520" w:lineRule="exact"/>
        <w:jc w:val="center"/>
        <w:rPr>
          <w:b/>
          <w:bCs/>
          <w:sz w:val="24"/>
        </w:rPr>
      </w:pPr>
      <w:r>
        <w:rPr>
          <w:b/>
          <w:bCs/>
          <w:sz w:val="24"/>
        </w:rPr>
        <w:t>表4.3-6   冲击波危害级别对应的距离</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65"/>
        <w:gridCol w:w="1034"/>
        <w:gridCol w:w="3368"/>
        <w:gridCol w:w="343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vMerge w:val="restart"/>
            <w:tcBorders>
              <w:top w:val="single" w:color="auto" w:sz="12" w:space="0"/>
              <w:left w:val="single" w:color="auto" w:sz="12" w:space="0"/>
              <w:bottom w:val="single" w:color="auto" w:sz="4" w:space="0"/>
              <w:right w:val="single" w:color="auto" w:sz="4" w:space="0"/>
            </w:tcBorders>
            <w:noWrap w:val="0"/>
            <w:vAlign w:val="center"/>
          </w:tcPr>
          <w:p>
            <w:pPr>
              <w:jc w:val="center"/>
              <w:rPr>
                <w:b/>
                <w:bCs/>
                <w:szCs w:val="21"/>
              </w:rPr>
            </w:pPr>
            <w:r>
              <w:rPr>
                <w:b/>
                <w:bCs/>
              </w:rPr>
              <w:t>损害</w:t>
            </w:r>
          </w:p>
          <w:p>
            <w:pPr>
              <w:jc w:val="center"/>
              <w:rPr>
                <w:b/>
                <w:bCs/>
              </w:rPr>
            </w:pPr>
            <w:r>
              <w:rPr>
                <w:b/>
                <w:bCs/>
              </w:rPr>
              <w:t>等级</w:t>
            </w:r>
          </w:p>
        </w:tc>
        <w:tc>
          <w:tcPr>
            <w:tcW w:w="1034" w:type="dxa"/>
            <w:vMerge w:val="restart"/>
            <w:tcBorders>
              <w:top w:val="single" w:color="auto" w:sz="12" w:space="0"/>
              <w:left w:val="single" w:color="auto" w:sz="4" w:space="0"/>
              <w:bottom w:val="single" w:color="auto" w:sz="4" w:space="0"/>
              <w:right w:val="single" w:color="auto" w:sz="4" w:space="0"/>
            </w:tcBorders>
            <w:noWrap w:val="0"/>
            <w:vAlign w:val="center"/>
          </w:tcPr>
          <w:p>
            <w:pPr>
              <w:jc w:val="center"/>
              <w:rPr>
                <w:b/>
                <w:bCs/>
              </w:rPr>
            </w:pPr>
            <w:r>
              <w:rPr>
                <w:b/>
                <w:bCs/>
              </w:rPr>
              <w:t>距离（m）</w:t>
            </w:r>
          </w:p>
        </w:tc>
        <w:tc>
          <w:tcPr>
            <w:tcW w:w="6806" w:type="dxa"/>
            <w:gridSpan w:val="2"/>
            <w:tcBorders>
              <w:top w:val="single" w:color="auto" w:sz="12" w:space="0"/>
              <w:left w:val="single" w:color="auto" w:sz="4" w:space="0"/>
              <w:bottom w:val="single" w:color="auto" w:sz="4" w:space="0"/>
              <w:right w:val="single" w:color="auto" w:sz="12" w:space="0"/>
            </w:tcBorders>
            <w:noWrap w:val="0"/>
            <w:vAlign w:val="center"/>
          </w:tcPr>
          <w:p>
            <w:pPr>
              <w:jc w:val="center"/>
              <w:rPr>
                <w:b/>
                <w:bCs/>
              </w:rPr>
            </w:pPr>
            <w:r>
              <w:rPr>
                <w:b/>
                <w:bCs/>
              </w:rPr>
              <w:t>爆炸损害特性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40" w:hRule="atLeast"/>
          <w:jc w:val="center"/>
        </w:trPr>
        <w:tc>
          <w:tcPr>
            <w:tcW w:w="665" w:type="dxa"/>
            <w:vMerge w:val="continue"/>
            <w:tcBorders>
              <w:top w:val="single" w:color="auto" w:sz="12" w:space="0"/>
              <w:left w:val="single" w:color="auto" w:sz="12" w:space="0"/>
              <w:bottom w:val="single" w:color="auto" w:sz="4" w:space="0"/>
              <w:right w:val="single" w:color="auto" w:sz="4" w:space="0"/>
            </w:tcBorders>
            <w:noWrap w:val="0"/>
            <w:vAlign w:val="center"/>
          </w:tcPr>
          <w:p>
            <w:pPr>
              <w:widowControl/>
              <w:jc w:val="left"/>
              <w:rPr>
                <w:b/>
                <w:bCs/>
                <w:szCs w:val="21"/>
              </w:rPr>
            </w:pPr>
          </w:p>
        </w:tc>
        <w:tc>
          <w:tcPr>
            <w:tcW w:w="1034" w:type="dxa"/>
            <w:vMerge w:val="continue"/>
            <w:tcBorders>
              <w:top w:val="single" w:color="auto" w:sz="12" w:space="0"/>
              <w:left w:val="single" w:color="auto" w:sz="4" w:space="0"/>
              <w:bottom w:val="single" w:color="auto" w:sz="4" w:space="0"/>
              <w:right w:val="single" w:color="auto" w:sz="4" w:space="0"/>
            </w:tcBorders>
            <w:noWrap w:val="0"/>
            <w:vAlign w:val="center"/>
          </w:tcPr>
          <w:p>
            <w:pPr>
              <w:widowControl/>
              <w:jc w:val="left"/>
              <w:rPr>
                <w:b/>
                <w:bCs/>
                <w:szCs w:val="21"/>
              </w:rPr>
            </w:pPr>
          </w:p>
        </w:tc>
        <w:tc>
          <w:tcPr>
            <w:tcW w:w="3368" w:type="dxa"/>
            <w:tcBorders>
              <w:top w:val="single" w:color="auto" w:sz="4" w:space="0"/>
              <w:left w:val="single" w:color="auto" w:sz="4" w:space="0"/>
              <w:bottom w:val="single" w:color="auto" w:sz="4" w:space="0"/>
              <w:right w:val="single" w:color="auto" w:sz="4" w:space="0"/>
            </w:tcBorders>
            <w:noWrap w:val="0"/>
            <w:vAlign w:val="center"/>
          </w:tcPr>
          <w:p>
            <w:pPr>
              <w:jc w:val="center"/>
              <w:rPr>
                <w:b/>
                <w:bCs/>
              </w:rPr>
            </w:pPr>
            <w:r>
              <w:rPr>
                <w:b/>
                <w:bCs/>
              </w:rPr>
              <w:t>对设备的损害</w:t>
            </w:r>
          </w:p>
        </w:tc>
        <w:tc>
          <w:tcPr>
            <w:tcW w:w="3438" w:type="dxa"/>
            <w:tcBorders>
              <w:top w:val="single" w:color="auto" w:sz="4" w:space="0"/>
              <w:left w:val="single" w:color="auto" w:sz="4" w:space="0"/>
              <w:bottom w:val="single" w:color="auto" w:sz="4" w:space="0"/>
              <w:right w:val="single" w:color="auto" w:sz="12" w:space="0"/>
            </w:tcBorders>
            <w:noWrap w:val="0"/>
            <w:vAlign w:val="center"/>
          </w:tcPr>
          <w:p>
            <w:pPr>
              <w:jc w:val="center"/>
              <w:rPr>
                <w:b/>
                <w:bCs/>
              </w:rPr>
            </w:pPr>
            <w:r>
              <w:rPr>
                <w:b/>
                <w:bCs/>
              </w:rPr>
              <w:t>对人的损害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op w:val="single" w:color="auto" w:sz="4" w:space="0"/>
              <w:left w:val="single" w:color="auto" w:sz="12" w:space="0"/>
              <w:bottom w:val="single" w:color="auto" w:sz="4" w:space="0"/>
              <w:right w:val="single" w:color="auto" w:sz="4" w:space="0"/>
            </w:tcBorders>
            <w:noWrap w:val="0"/>
            <w:vAlign w:val="center"/>
          </w:tcPr>
          <w:p>
            <w:pPr>
              <w:jc w:val="center"/>
            </w:pPr>
            <w:r>
              <w:t>A</w:t>
            </w:r>
          </w:p>
        </w:tc>
        <w:tc>
          <w:tcPr>
            <w:tcW w:w="1034" w:type="dxa"/>
            <w:tcBorders>
              <w:top w:val="single" w:color="auto" w:sz="4" w:space="0"/>
              <w:left w:val="single" w:color="auto" w:sz="4" w:space="0"/>
              <w:bottom w:val="single" w:color="auto" w:sz="4" w:space="0"/>
              <w:right w:val="single" w:color="auto" w:sz="4" w:space="0"/>
            </w:tcBorders>
            <w:noWrap w:val="0"/>
            <w:vAlign w:val="center"/>
          </w:tcPr>
          <w:p>
            <w:pPr>
              <w:jc w:val="center"/>
            </w:pPr>
            <w:r>
              <w:t>17.2</w:t>
            </w:r>
          </w:p>
        </w:tc>
        <w:tc>
          <w:tcPr>
            <w:tcW w:w="3368" w:type="dxa"/>
            <w:tcBorders>
              <w:top w:val="single" w:color="auto" w:sz="4" w:space="0"/>
              <w:left w:val="single" w:color="auto" w:sz="4" w:space="0"/>
              <w:bottom w:val="single" w:color="auto" w:sz="4" w:space="0"/>
              <w:right w:val="single" w:color="auto" w:sz="4" w:space="0"/>
            </w:tcBorders>
            <w:noWrap w:val="0"/>
            <w:vAlign w:val="center"/>
          </w:tcPr>
          <w:p>
            <w:pPr>
              <w:jc w:val="center"/>
            </w:pPr>
            <w:r>
              <w:t>重创建筑物和设备</w:t>
            </w:r>
          </w:p>
        </w:tc>
        <w:tc>
          <w:tcPr>
            <w:tcW w:w="3438" w:type="dxa"/>
            <w:tcBorders>
              <w:top w:val="single" w:color="auto" w:sz="4" w:space="0"/>
              <w:left w:val="single" w:color="auto" w:sz="4" w:space="0"/>
              <w:bottom w:val="single" w:color="auto" w:sz="4" w:space="0"/>
              <w:right w:val="single" w:color="auto" w:sz="12" w:space="0"/>
            </w:tcBorders>
            <w:noWrap w:val="0"/>
            <w:vAlign w:val="center"/>
          </w:tcPr>
          <w:p>
            <w:pPr>
              <w:jc w:val="center"/>
            </w:pPr>
            <w:r>
              <w:t>1%死亡肺部损害</w:t>
            </w:r>
          </w:p>
          <w:p>
            <w:pPr>
              <w:jc w:val="center"/>
            </w:pPr>
            <w:r>
              <w:t>＞50%耳膜损害</w:t>
            </w:r>
          </w:p>
          <w:p>
            <w:pPr>
              <w:jc w:val="center"/>
            </w:pPr>
            <w:r>
              <w:t>＞50%被抛射物严重砸伤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op w:val="single" w:color="auto" w:sz="4" w:space="0"/>
              <w:left w:val="single" w:color="auto" w:sz="12" w:space="0"/>
              <w:bottom w:val="single" w:color="auto" w:sz="4" w:space="0"/>
              <w:right w:val="single" w:color="auto" w:sz="4" w:space="0"/>
            </w:tcBorders>
            <w:noWrap w:val="0"/>
            <w:vAlign w:val="center"/>
          </w:tcPr>
          <w:p>
            <w:pPr>
              <w:jc w:val="center"/>
            </w:pPr>
            <w:r>
              <w:t>B</w:t>
            </w:r>
          </w:p>
        </w:tc>
        <w:tc>
          <w:tcPr>
            <w:tcW w:w="1034" w:type="dxa"/>
            <w:tcBorders>
              <w:top w:val="single" w:color="auto" w:sz="4" w:space="0"/>
              <w:left w:val="single" w:color="auto" w:sz="4" w:space="0"/>
              <w:bottom w:val="single" w:color="auto" w:sz="4" w:space="0"/>
              <w:right w:val="single" w:color="auto" w:sz="4" w:space="0"/>
            </w:tcBorders>
            <w:noWrap w:val="0"/>
            <w:vAlign w:val="center"/>
          </w:tcPr>
          <w:p>
            <w:pPr>
              <w:jc w:val="center"/>
            </w:pPr>
            <w:r>
              <w:t>34.3</w:t>
            </w:r>
          </w:p>
        </w:tc>
        <w:tc>
          <w:tcPr>
            <w:tcW w:w="3368" w:type="dxa"/>
            <w:tcBorders>
              <w:top w:val="single" w:color="auto" w:sz="4" w:space="0"/>
              <w:left w:val="single" w:color="auto" w:sz="4" w:space="0"/>
              <w:bottom w:val="single" w:color="auto" w:sz="4" w:space="0"/>
              <w:right w:val="single" w:color="auto" w:sz="4" w:space="0"/>
            </w:tcBorders>
            <w:noWrap w:val="0"/>
            <w:vAlign w:val="center"/>
          </w:tcPr>
          <w:p>
            <w:pPr>
              <w:jc w:val="center"/>
            </w:pPr>
            <w:r>
              <w:t>对建筑物造成外表性损伤或可修复破坏</w:t>
            </w:r>
          </w:p>
        </w:tc>
        <w:tc>
          <w:tcPr>
            <w:tcW w:w="3438" w:type="dxa"/>
            <w:tcBorders>
              <w:top w:val="single" w:color="auto" w:sz="4" w:space="0"/>
              <w:left w:val="single" w:color="auto" w:sz="4" w:space="0"/>
              <w:bottom w:val="single" w:color="auto" w:sz="4" w:space="0"/>
              <w:right w:val="single" w:color="auto" w:sz="12" w:space="0"/>
            </w:tcBorders>
            <w:noWrap w:val="0"/>
            <w:vAlign w:val="center"/>
          </w:tcPr>
          <w:p>
            <w:pPr>
              <w:jc w:val="center"/>
            </w:pPr>
            <w:r>
              <w:t>1%耳膜损害</w:t>
            </w:r>
          </w:p>
          <w:p>
            <w:pPr>
              <w:jc w:val="center"/>
            </w:pPr>
            <w:r>
              <w:t>1%被抛射物严重砸伤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op w:val="single" w:color="auto" w:sz="4" w:space="0"/>
              <w:left w:val="single" w:color="auto" w:sz="12" w:space="0"/>
              <w:bottom w:val="single" w:color="auto" w:sz="4" w:space="0"/>
              <w:right w:val="single" w:color="auto" w:sz="4" w:space="0"/>
            </w:tcBorders>
            <w:noWrap w:val="0"/>
            <w:vAlign w:val="center"/>
          </w:tcPr>
          <w:p>
            <w:pPr>
              <w:jc w:val="center"/>
            </w:pPr>
            <w:r>
              <w:t>C</w:t>
            </w:r>
          </w:p>
        </w:tc>
        <w:tc>
          <w:tcPr>
            <w:tcW w:w="1034" w:type="dxa"/>
            <w:tcBorders>
              <w:top w:val="single" w:color="auto" w:sz="4" w:space="0"/>
              <w:left w:val="single" w:color="auto" w:sz="4" w:space="0"/>
              <w:bottom w:val="single" w:color="auto" w:sz="4" w:space="0"/>
              <w:right w:val="single" w:color="auto" w:sz="4" w:space="0"/>
            </w:tcBorders>
            <w:noWrap w:val="0"/>
            <w:vAlign w:val="center"/>
          </w:tcPr>
          <w:p>
            <w:pPr>
              <w:jc w:val="center"/>
            </w:pPr>
            <w:r>
              <w:t>85.9</w:t>
            </w:r>
          </w:p>
        </w:tc>
        <w:tc>
          <w:tcPr>
            <w:tcW w:w="3368" w:type="dxa"/>
            <w:tcBorders>
              <w:top w:val="single" w:color="auto" w:sz="4" w:space="0"/>
              <w:left w:val="single" w:color="auto" w:sz="4" w:space="0"/>
              <w:bottom w:val="single" w:color="auto" w:sz="4" w:space="0"/>
              <w:right w:val="single" w:color="auto" w:sz="4" w:space="0"/>
            </w:tcBorders>
            <w:noWrap w:val="0"/>
            <w:vAlign w:val="center"/>
          </w:tcPr>
          <w:p>
            <w:pPr>
              <w:jc w:val="center"/>
            </w:pPr>
            <w:r>
              <w:t>玻璃大部分破碎</w:t>
            </w:r>
          </w:p>
        </w:tc>
        <w:tc>
          <w:tcPr>
            <w:tcW w:w="3438" w:type="dxa"/>
            <w:tcBorders>
              <w:top w:val="single" w:color="auto" w:sz="4" w:space="0"/>
              <w:left w:val="single" w:color="auto" w:sz="4" w:space="0"/>
              <w:bottom w:val="single" w:color="auto" w:sz="4" w:space="0"/>
              <w:right w:val="single" w:color="auto" w:sz="12" w:space="0"/>
            </w:tcBorders>
            <w:noWrap w:val="0"/>
            <w:vAlign w:val="center"/>
          </w:tcPr>
          <w:p>
            <w:pPr>
              <w:jc w:val="center"/>
            </w:pPr>
            <w:r>
              <w:t>被飞溅玻璃划伤</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op w:val="single" w:color="auto" w:sz="4" w:space="0"/>
              <w:left w:val="single" w:color="auto" w:sz="12" w:space="0"/>
              <w:bottom w:val="single" w:color="auto" w:sz="12" w:space="0"/>
              <w:right w:val="single" w:color="auto" w:sz="4" w:space="0"/>
            </w:tcBorders>
            <w:noWrap w:val="0"/>
            <w:vAlign w:val="center"/>
          </w:tcPr>
          <w:p>
            <w:pPr>
              <w:jc w:val="center"/>
            </w:pPr>
            <w:r>
              <w:t>D</w:t>
            </w:r>
          </w:p>
        </w:tc>
        <w:tc>
          <w:tcPr>
            <w:tcW w:w="1034" w:type="dxa"/>
            <w:tcBorders>
              <w:top w:val="single" w:color="auto" w:sz="4" w:space="0"/>
              <w:left w:val="single" w:color="auto" w:sz="4" w:space="0"/>
              <w:bottom w:val="single" w:color="auto" w:sz="12" w:space="0"/>
              <w:right w:val="single" w:color="auto" w:sz="4" w:space="0"/>
            </w:tcBorders>
            <w:noWrap w:val="0"/>
            <w:vAlign w:val="center"/>
          </w:tcPr>
          <w:p>
            <w:pPr>
              <w:jc w:val="center"/>
            </w:pPr>
            <w:r>
              <w:t>229</w:t>
            </w:r>
          </w:p>
        </w:tc>
        <w:tc>
          <w:tcPr>
            <w:tcW w:w="3368" w:type="dxa"/>
            <w:tcBorders>
              <w:top w:val="single" w:color="auto" w:sz="4" w:space="0"/>
              <w:left w:val="single" w:color="auto" w:sz="4" w:space="0"/>
              <w:bottom w:val="single" w:color="auto" w:sz="12" w:space="0"/>
              <w:right w:val="single" w:color="auto" w:sz="4" w:space="0"/>
            </w:tcBorders>
            <w:noWrap w:val="0"/>
            <w:vAlign w:val="center"/>
          </w:tcPr>
          <w:p>
            <w:pPr>
              <w:jc w:val="center"/>
            </w:pPr>
            <w:r>
              <w:t>10%玻璃破碎</w:t>
            </w:r>
          </w:p>
        </w:tc>
        <w:tc>
          <w:tcPr>
            <w:tcW w:w="3438" w:type="dxa"/>
            <w:tcBorders>
              <w:top w:val="single" w:color="auto" w:sz="4" w:space="0"/>
              <w:left w:val="single" w:color="auto" w:sz="4" w:space="0"/>
              <w:bottom w:val="single" w:color="auto" w:sz="12" w:space="0"/>
              <w:right w:val="single" w:color="auto" w:sz="12" w:space="0"/>
            </w:tcBorders>
            <w:noWrap w:val="0"/>
            <w:vAlign w:val="center"/>
          </w:tcPr>
          <w:p>
            <w:pPr>
              <w:jc w:val="center"/>
            </w:pPr>
            <w:r>
              <w:t>被飞溅玻璃划伤</w:t>
            </w:r>
          </w:p>
        </w:tc>
      </w:tr>
    </w:tbl>
    <w:p>
      <w:pPr>
        <w:spacing w:line="520" w:lineRule="exact"/>
        <w:ind w:firstLine="480" w:firstLineChars="200"/>
        <w:rPr>
          <w:sz w:val="24"/>
        </w:rPr>
      </w:pPr>
      <w:r>
        <w:rPr>
          <w:sz w:val="24"/>
        </w:rPr>
        <w:t>根据场区平面图可知，</w:t>
      </w:r>
      <w:r>
        <w:rPr>
          <w:rFonts w:hint="eastAsia"/>
          <w:sz w:val="24"/>
        </w:rPr>
        <w:t>黑膜</w:t>
      </w:r>
      <w:r>
        <w:rPr>
          <w:sz w:val="24"/>
        </w:rPr>
        <w:t>沼气池与最近猪舍的距离为35m，</w:t>
      </w:r>
      <w:r>
        <w:rPr>
          <w:rFonts w:hint="eastAsia"/>
          <w:sz w:val="24"/>
        </w:rPr>
        <w:t>黑膜</w:t>
      </w:r>
      <w:r>
        <w:rPr>
          <w:sz w:val="24"/>
        </w:rPr>
        <w:t>沼气池与最近生活管理区相距为120m，因此沼气爆炸时对猪舍的影响危害等级处于</w:t>
      </w:r>
      <w:r>
        <w:rPr>
          <w:rFonts w:hint="eastAsia"/>
          <w:sz w:val="24"/>
        </w:rPr>
        <w:t>B</w:t>
      </w:r>
      <w:r>
        <w:rPr>
          <w:sz w:val="24"/>
        </w:rPr>
        <w:t>和</w:t>
      </w:r>
      <w:r>
        <w:rPr>
          <w:rFonts w:hint="eastAsia"/>
          <w:sz w:val="24"/>
        </w:rPr>
        <w:t>C</w:t>
      </w:r>
      <w:r>
        <w:rPr>
          <w:sz w:val="24"/>
        </w:rPr>
        <w:t>之间，沼气爆炸对猪舍的影响主要为对建筑物外表及部分设备造成破坏，对猪只的影响主要是被飞溅玻璃划伤，而且猪只受到惊吓可能会引起相互踩踏至伤、至死。</w:t>
      </w:r>
    </w:p>
    <w:p>
      <w:pPr>
        <w:spacing w:line="520" w:lineRule="exact"/>
        <w:ind w:firstLine="480" w:firstLineChars="200"/>
        <w:rPr>
          <w:sz w:val="24"/>
        </w:rPr>
      </w:pPr>
      <w:r>
        <w:rPr>
          <w:sz w:val="24"/>
        </w:rPr>
        <w:t>发生火灾、爆炸的原因及概率主要有以下几个方面：</w:t>
      </w:r>
    </w:p>
    <w:p>
      <w:pPr>
        <w:spacing w:line="520" w:lineRule="exact"/>
        <w:ind w:firstLine="480" w:firstLineChars="200"/>
        <w:rPr>
          <w:sz w:val="24"/>
        </w:rPr>
      </w:pPr>
      <w:r>
        <w:rPr>
          <w:sz w:val="24"/>
        </w:rPr>
        <w:t>a阀门、泵、仪表管道、</w:t>
      </w:r>
      <w:r>
        <w:rPr>
          <w:rFonts w:hint="eastAsia"/>
          <w:sz w:val="24"/>
        </w:rPr>
        <w:t>黑膜</w:t>
      </w:r>
      <w:r>
        <w:rPr>
          <w:sz w:val="24"/>
        </w:rPr>
        <w:t>沼气池破裂、垫片、螺栓等的损坏引起物料泄漏，沼气气罐破损遇上明火而发生火灾爆炸，这类原因占火灾爆炸事故发生原因的66.0%；</w:t>
      </w:r>
    </w:p>
    <w:p>
      <w:pPr>
        <w:spacing w:line="520" w:lineRule="exact"/>
        <w:ind w:firstLine="480" w:firstLineChars="200"/>
        <w:rPr>
          <w:sz w:val="24"/>
        </w:rPr>
      </w:pPr>
      <w:r>
        <w:rPr>
          <w:sz w:val="24"/>
        </w:rPr>
        <w:t>b由于接地保护装置出现问题导致积累的静电荷不能释放而引起火灾爆炸，这类原因占火灾爆炸事故发生原因的8.0%；</w:t>
      </w:r>
    </w:p>
    <w:p>
      <w:pPr>
        <w:spacing w:line="520" w:lineRule="exact"/>
        <w:ind w:firstLine="480" w:firstLineChars="200"/>
        <w:rPr>
          <w:sz w:val="24"/>
        </w:rPr>
      </w:pPr>
      <w:r>
        <w:rPr>
          <w:sz w:val="24"/>
        </w:rPr>
        <w:t>c泵等设备在运行发生短路产生电火花，引起火灾爆炸，这类原因占火灾爆炸事故发生原因的13.0%；</w:t>
      </w:r>
    </w:p>
    <w:p>
      <w:pPr>
        <w:spacing w:line="520" w:lineRule="exact"/>
        <w:ind w:firstLine="480" w:firstLineChars="200"/>
        <w:rPr>
          <w:sz w:val="24"/>
        </w:rPr>
      </w:pPr>
      <w:r>
        <w:rPr>
          <w:sz w:val="24"/>
        </w:rPr>
        <w:t>d由于雷击而发生火灾爆炸，这类原因占火灾爆炸事故发生原因的4.0%；</w:t>
      </w:r>
    </w:p>
    <w:p>
      <w:pPr>
        <w:spacing w:line="520" w:lineRule="exact"/>
        <w:ind w:firstLine="480" w:firstLineChars="200"/>
        <w:rPr>
          <w:sz w:val="24"/>
        </w:rPr>
      </w:pPr>
      <w:r>
        <w:rPr>
          <w:sz w:val="24"/>
        </w:rPr>
        <w:t>e由于其它原因而发生火灾爆炸，这类原因占火灾爆炸事故发生原因的9%。</w:t>
      </w:r>
    </w:p>
    <w:p>
      <w:pPr>
        <w:keepNext/>
        <w:keepLines/>
        <w:adjustRightInd w:val="0"/>
        <w:spacing w:line="520" w:lineRule="exact"/>
        <w:jc w:val="left"/>
        <w:textAlignment w:val="baseline"/>
        <w:outlineLvl w:val="4"/>
        <w:rPr>
          <w:rFonts w:hint="eastAsia"/>
          <w:b/>
          <w:kern w:val="0"/>
          <w:sz w:val="24"/>
        </w:rPr>
      </w:pPr>
      <w:bookmarkStart w:id="429" w:name="_Toc24784"/>
      <w:bookmarkEnd w:id="429"/>
      <w:r>
        <w:rPr>
          <w:b/>
          <w:kern w:val="0"/>
          <w:sz w:val="24"/>
        </w:rPr>
        <w:t>4.3.5</w:t>
      </w:r>
      <w:r>
        <w:rPr>
          <w:rFonts w:hint="eastAsia"/>
          <w:b/>
          <w:kern w:val="0"/>
          <w:sz w:val="24"/>
        </w:rPr>
        <w:t>环境风险防范措施</w:t>
      </w:r>
      <w:r>
        <w:rPr>
          <w:b/>
          <w:kern w:val="0"/>
          <w:sz w:val="24"/>
        </w:rPr>
        <w:t>及应急要求</w:t>
      </w:r>
    </w:p>
    <w:p>
      <w:pPr>
        <w:spacing w:line="520" w:lineRule="exact"/>
        <w:ind w:firstLine="480" w:firstLineChars="200"/>
        <w:rPr>
          <w:bCs/>
          <w:sz w:val="24"/>
        </w:rPr>
      </w:pPr>
      <w:r>
        <w:rPr>
          <w:rFonts w:hint="eastAsia"/>
          <w:bCs/>
          <w:sz w:val="24"/>
        </w:rPr>
        <w:t>（1）</w:t>
      </w:r>
      <w:r>
        <w:rPr>
          <w:bCs/>
          <w:sz w:val="24"/>
        </w:rPr>
        <w:t>沼气泄漏预防</w:t>
      </w:r>
    </w:p>
    <w:p>
      <w:pPr>
        <w:spacing w:line="520" w:lineRule="exact"/>
        <w:ind w:firstLine="480" w:firstLineChars="200"/>
        <w:rPr>
          <w:bCs/>
          <w:sz w:val="24"/>
          <w:szCs w:val="32"/>
        </w:rPr>
      </w:pPr>
      <w:r>
        <w:rPr>
          <w:bCs/>
          <w:sz w:val="24"/>
          <w:szCs w:val="32"/>
        </w:rPr>
        <w:t>泄漏事故的防治是生产和储运过程中最重要的环节，发生泄漏事故可能引起火灾和爆炸等一系列重大事故。经验表明：设备失灵和人为的操作失误是引发泄漏的主要原因。因此选用较好的设备、精心设计、认真的管理和操作人员的责任心是减少泄漏事故的关键。</w:t>
      </w:r>
    </w:p>
    <w:p>
      <w:pPr>
        <w:spacing w:line="520" w:lineRule="exact"/>
        <w:ind w:firstLine="480" w:firstLineChars="200"/>
        <w:rPr>
          <w:bCs/>
          <w:sz w:val="24"/>
          <w:szCs w:val="32"/>
        </w:rPr>
      </w:pPr>
      <w:r>
        <w:rPr>
          <w:rFonts w:hint="eastAsia" w:ascii="宋体" w:hAnsi="宋体" w:cs="宋体"/>
          <w:bCs/>
          <w:sz w:val="24"/>
          <w:szCs w:val="32"/>
        </w:rPr>
        <w:t>①</w:t>
      </w:r>
      <w:r>
        <w:rPr>
          <w:bCs/>
          <w:sz w:val="24"/>
          <w:szCs w:val="32"/>
        </w:rPr>
        <w:t>为防止设备发生事故时的热辐射影响，在治污区安装水喷淋设施，保持周围消防通道的畅通。</w:t>
      </w:r>
    </w:p>
    <w:p>
      <w:pPr>
        <w:spacing w:line="520" w:lineRule="exact"/>
        <w:ind w:firstLine="480" w:firstLineChars="200"/>
        <w:rPr>
          <w:bCs/>
          <w:sz w:val="24"/>
          <w:szCs w:val="32"/>
        </w:rPr>
      </w:pPr>
      <w:r>
        <w:rPr>
          <w:rFonts w:hint="eastAsia" w:ascii="宋体" w:hAnsi="宋体" w:cs="宋体"/>
          <w:bCs/>
          <w:sz w:val="24"/>
          <w:szCs w:val="32"/>
        </w:rPr>
        <w:t>②</w:t>
      </w:r>
      <w:r>
        <w:rPr>
          <w:rFonts w:hint="eastAsia"/>
          <w:bCs/>
          <w:sz w:val="24"/>
          <w:szCs w:val="32"/>
        </w:rPr>
        <w:t>黑膜</w:t>
      </w:r>
      <w:r>
        <w:rPr>
          <w:bCs/>
          <w:sz w:val="24"/>
          <w:szCs w:val="32"/>
        </w:rPr>
        <w:t>沼气池的检查</w:t>
      </w:r>
    </w:p>
    <w:p>
      <w:pPr>
        <w:spacing w:line="520" w:lineRule="exact"/>
        <w:ind w:firstLine="480" w:firstLineChars="200"/>
        <w:rPr>
          <w:bCs/>
          <w:sz w:val="24"/>
          <w:szCs w:val="32"/>
        </w:rPr>
      </w:pPr>
      <w:r>
        <w:rPr>
          <w:rFonts w:hint="eastAsia"/>
          <w:bCs/>
          <w:sz w:val="24"/>
          <w:szCs w:val="32"/>
        </w:rPr>
        <w:t>黑膜</w:t>
      </w:r>
      <w:r>
        <w:rPr>
          <w:bCs/>
          <w:sz w:val="24"/>
          <w:szCs w:val="32"/>
        </w:rPr>
        <w:t>沼气池、管线进行适当的整体试验、外观检查或非破坏性的测厚检查、射线探伤，检查记录应存档备查。定期对</w:t>
      </w:r>
      <w:r>
        <w:rPr>
          <w:rFonts w:hint="eastAsia"/>
          <w:bCs/>
          <w:sz w:val="24"/>
          <w:szCs w:val="32"/>
        </w:rPr>
        <w:t>黑膜</w:t>
      </w:r>
      <w:r>
        <w:rPr>
          <w:bCs/>
          <w:sz w:val="24"/>
          <w:szCs w:val="32"/>
        </w:rPr>
        <w:t>沼气池外部检查，及时发现破损和漏处。</w:t>
      </w:r>
    </w:p>
    <w:p>
      <w:pPr>
        <w:spacing w:line="520" w:lineRule="exact"/>
        <w:ind w:firstLine="480" w:firstLineChars="200"/>
        <w:rPr>
          <w:bCs/>
          <w:sz w:val="24"/>
          <w:szCs w:val="32"/>
        </w:rPr>
      </w:pPr>
      <w:r>
        <w:rPr>
          <w:rFonts w:hint="eastAsia" w:ascii="宋体" w:hAnsi="宋体" w:cs="宋体"/>
          <w:bCs/>
          <w:sz w:val="24"/>
          <w:szCs w:val="32"/>
        </w:rPr>
        <w:t>③</w:t>
      </w:r>
      <w:r>
        <w:rPr>
          <w:bCs/>
          <w:sz w:val="24"/>
          <w:szCs w:val="32"/>
        </w:rPr>
        <w:t>防止管道的泄漏</w:t>
      </w:r>
    </w:p>
    <w:p>
      <w:pPr>
        <w:spacing w:line="520" w:lineRule="exact"/>
        <w:ind w:firstLine="480" w:firstLineChars="200"/>
        <w:rPr>
          <w:bCs/>
          <w:sz w:val="24"/>
          <w:szCs w:val="32"/>
        </w:rPr>
      </w:pPr>
      <w:r>
        <w:rPr>
          <w:bCs/>
          <w:sz w:val="24"/>
          <w:szCs w:val="32"/>
        </w:rPr>
        <w:t>经常检查管道，若地下管道应采用防腐蚀材料，并在埋设的地面作标记，以防开挖时破坏管道，地上管道应防止汽车碰撞，并控制管道支撑的磨损。定期系统试压、定期检漏。管道施工应按规范要求进行。</w:t>
      </w:r>
    </w:p>
    <w:p>
      <w:pPr>
        <w:spacing w:line="520" w:lineRule="exact"/>
        <w:ind w:firstLine="480" w:firstLineChars="200"/>
        <w:rPr>
          <w:bCs/>
          <w:sz w:val="24"/>
        </w:rPr>
      </w:pPr>
      <w:r>
        <w:rPr>
          <w:rFonts w:hint="eastAsia"/>
          <w:bCs/>
          <w:sz w:val="24"/>
        </w:rPr>
        <w:t>（2）</w:t>
      </w:r>
      <w:r>
        <w:rPr>
          <w:bCs/>
          <w:sz w:val="24"/>
        </w:rPr>
        <w:t>火灾和爆炸的预防</w:t>
      </w:r>
    </w:p>
    <w:p>
      <w:pPr>
        <w:spacing w:line="520" w:lineRule="exact"/>
        <w:ind w:firstLine="480" w:firstLineChars="200"/>
        <w:rPr>
          <w:bCs/>
          <w:sz w:val="24"/>
          <w:szCs w:val="32"/>
        </w:rPr>
      </w:pPr>
      <w:r>
        <w:rPr>
          <w:rFonts w:hint="eastAsia" w:ascii="宋体" w:hAnsi="宋体" w:cs="宋体"/>
          <w:bCs/>
          <w:sz w:val="24"/>
          <w:szCs w:val="32"/>
        </w:rPr>
        <w:t>①</w:t>
      </w:r>
      <w:r>
        <w:rPr>
          <w:bCs/>
          <w:sz w:val="24"/>
          <w:szCs w:val="32"/>
        </w:rPr>
        <w:t>沼气在生产过程要密闭化、自动化，严防跑冒滴漏。</w:t>
      </w:r>
    </w:p>
    <w:p>
      <w:pPr>
        <w:spacing w:line="520" w:lineRule="exact"/>
        <w:ind w:firstLine="480" w:firstLineChars="200"/>
        <w:rPr>
          <w:bCs/>
          <w:sz w:val="24"/>
          <w:szCs w:val="32"/>
        </w:rPr>
      </w:pPr>
      <w:r>
        <w:rPr>
          <w:rFonts w:hint="eastAsia" w:ascii="宋体" w:hAnsi="宋体" w:cs="宋体"/>
          <w:bCs/>
          <w:sz w:val="24"/>
          <w:szCs w:val="32"/>
        </w:rPr>
        <w:t>②</w:t>
      </w:r>
      <w:r>
        <w:rPr>
          <w:bCs/>
          <w:sz w:val="24"/>
          <w:szCs w:val="32"/>
        </w:rPr>
        <w:t>设备的安全管理</w:t>
      </w:r>
    </w:p>
    <w:p>
      <w:pPr>
        <w:spacing w:line="520" w:lineRule="exact"/>
        <w:ind w:firstLine="480" w:firstLineChars="200"/>
        <w:rPr>
          <w:bCs/>
          <w:sz w:val="24"/>
          <w:szCs w:val="32"/>
        </w:rPr>
      </w:pPr>
      <w:r>
        <w:rPr>
          <w:bCs/>
          <w:sz w:val="24"/>
          <w:szCs w:val="32"/>
        </w:rPr>
        <w:t>定期对设备进行安全检测，检测内容、时间、人员应有记录保存，安全检测应根据设备的安全性、危险性设定检测频次。</w:t>
      </w:r>
    </w:p>
    <w:p>
      <w:pPr>
        <w:spacing w:line="520" w:lineRule="exact"/>
        <w:ind w:firstLine="480" w:firstLineChars="200"/>
        <w:rPr>
          <w:bCs/>
          <w:sz w:val="24"/>
          <w:szCs w:val="32"/>
        </w:rPr>
      </w:pPr>
      <w:r>
        <w:rPr>
          <w:rFonts w:hint="eastAsia" w:ascii="宋体" w:hAnsi="宋体" w:cs="宋体"/>
          <w:bCs/>
          <w:sz w:val="24"/>
          <w:szCs w:val="32"/>
        </w:rPr>
        <w:t>③</w:t>
      </w:r>
      <w:r>
        <w:rPr>
          <w:bCs/>
          <w:sz w:val="24"/>
          <w:szCs w:val="32"/>
        </w:rPr>
        <w:t>火源管理</w:t>
      </w:r>
    </w:p>
    <w:p>
      <w:pPr>
        <w:spacing w:line="520" w:lineRule="exact"/>
        <w:ind w:firstLine="480" w:firstLineChars="200"/>
        <w:rPr>
          <w:bCs/>
          <w:sz w:val="24"/>
          <w:szCs w:val="32"/>
        </w:rPr>
      </w:pPr>
      <w:r>
        <w:rPr>
          <w:bCs/>
          <w:sz w:val="24"/>
          <w:szCs w:val="32"/>
        </w:rPr>
        <w:t>a、严禁火源进入治污区，对明火严格控制，在</w:t>
      </w:r>
      <w:r>
        <w:rPr>
          <w:rFonts w:hint="eastAsia"/>
          <w:bCs/>
          <w:sz w:val="24"/>
          <w:szCs w:val="32"/>
        </w:rPr>
        <w:t>黑膜</w:t>
      </w:r>
      <w:r>
        <w:rPr>
          <w:bCs/>
          <w:sz w:val="24"/>
          <w:szCs w:val="32"/>
        </w:rPr>
        <w:t>沼气池附近20m内不准有明火；</w:t>
      </w:r>
    </w:p>
    <w:p>
      <w:pPr>
        <w:spacing w:line="520" w:lineRule="exact"/>
        <w:ind w:firstLine="480" w:firstLineChars="200"/>
        <w:rPr>
          <w:bCs/>
          <w:sz w:val="24"/>
          <w:szCs w:val="32"/>
        </w:rPr>
      </w:pPr>
      <w:r>
        <w:rPr>
          <w:bCs/>
          <w:sz w:val="24"/>
          <w:szCs w:val="32"/>
        </w:rPr>
        <w:t>b、对设备维修检查，需进行维修焊接，应经安全部门确认、准许，并有记录在案；另外，在危险区作业是不能使用能产生撞击火花的金属物体，应用铜工具，如用钢工具，表面应涂黄油；</w:t>
      </w:r>
    </w:p>
    <w:p>
      <w:pPr>
        <w:spacing w:line="520" w:lineRule="exact"/>
        <w:ind w:firstLine="480" w:firstLineChars="200"/>
        <w:rPr>
          <w:bCs/>
          <w:sz w:val="24"/>
          <w:szCs w:val="32"/>
        </w:rPr>
      </w:pPr>
      <w:r>
        <w:rPr>
          <w:bCs/>
          <w:sz w:val="24"/>
          <w:szCs w:val="32"/>
        </w:rPr>
        <w:t>c、在</w:t>
      </w:r>
      <w:r>
        <w:rPr>
          <w:rFonts w:hint="eastAsia"/>
          <w:bCs/>
          <w:sz w:val="24"/>
          <w:szCs w:val="32"/>
        </w:rPr>
        <w:t>黑膜</w:t>
      </w:r>
      <w:r>
        <w:rPr>
          <w:bCs/>
          <w:sz w:val="24"/>
          <w:szCs w:val="32"/>
        </w:rPr>
        <w:t>沼气池上设置永久性接地装置；</w:t>
      </w:r>
    </w:p>
    <w:p>
      <w:pPr>
        <w:spacing w:line="520" w:lineRule="exact"/>
        <w:ind w:firstLine="480" w:firstLineChars="200"/>
        <w:rPr>
          <w:bCs/>
          <w:sz w:val="24"/>
          <w:szCs w:val="32"/>
        </w:rPr>
      </w:pPr>
      <w:r>
        <w:rPr>
          <w:bCs/>
          <w:sz w:val="24"/>
          <w:szCs w:val="32"/>
        </w:rPr>
        <w:t>d、在装置区内的所有设备，电气装置都应满足防爆防火的要求。</w:t>
      </w:r>
    </w:p>
    <w:p>
      <w:pPr>
        <w:spacing w:line="520" w:lineRule="exact"/>
        <w:ind w:firstLine="480" w:firstLineChars="200"/>
        <w:rPr>
          <w:bCs/>
          <w:sz w:val="24"/>
          <w:szCs w:val="32"/>
        </w:rPr>
      </w:pPr>
      <w:r>
        <w:rPr>
          <w:rFonts w:hint="eastAsia" w:ascii="宋体" w:hAnsi="宋体" w:cs="宋体"/>
          <w:bCs/>
          <w:sz w:val="24"/>
          <w:szCs w:val="32"/>
        </w:rPr>
        <w:t>④</w:t>
      </w:r>
      <w:r>
        <w:rPr>
          <w:bCs/>
          <w:sz w:val="24"/>
          <w:szCs w:val="32"/>
        </w:rPr>
        <w:t>人员的管理</w:t>
      </w:r>
    </w:p>
    <w:p>
      <w:pPr>
        <w:spacing w:line="520" w:lineRule="exact"/>
        <w:ind w:firstLine="480" w:firstLineChars="200"/>
        <w:rPr>
          <w:bCs/>
          <w:sz w:val="24"/>
          <w:szCs w:val="32"/>
        </w:rPr>
      </w:pPr>
      <w:r>
        <w:rPr>
          <w:bCs/>
          <w:sz w:val="24"/>
          <w:szCs w:val="32"/>
        </w:rPr>
        <w:t>a、加强沼气安全知识的宣传，加强对有关人员的培训教育和考核；</w:t>
      </w:r>
    </w:p>
    <w:p>
      <w:pPr>
        <w:spacing w:line="520" w:lineRule="exact"/>
        <w:ind w:firstLine="480" w:firstLineChars="200"/>
        <w:rPr>
          <w:bCs/>
          <w:sz w:val="24"/>
          <w:szCs w:val="32"/>
        </w:rPr>
      </w:pPr>
      <w:r>
        <w:rPr>
          <w:bCs/>
          <w:sz w:val="24"/>
          <w:szCs w:val="32"/>
        </w:rPr>
        <w:t>b、严格规章制度和安全操作规程，强化安全监督检查和管理；</w:t>
      </w:r>
    </w:p>
    <w:p>
      <w:pPr>
        <w:spacing w:line="520" w:lineRule="exact"/>
        <w:ind w:firstLine="480" w:firstLineChars="200"/>
        <w:rPr>
          <w:sz w:val="24"/>
          <w:szCs w:val="22"/>
        </w:rPr>
      </w:pPr>
      <w:r>
        <w:rPr>
          <w:bCs/>
          <w:sz w:val="24"/>
          <w:szCs w:val="32"/>
        </w:rPr>
        <w:t>c、沼气工程外设专职人员进行维护，严禁其他人员进入。</w:t>
      </w:r>
    </w:p>
    <w:p>
      <w:pPr>
        <w:pStyle w:val="2"/>
        <w:spacing w:before="0" w:after="0" w:line="520" w:lineRule="exact"/>
        <w:rPr>
          <w:rFonts w:eastAsia="黑体"/>
          <w:b w:val="0"/>
          <w:sz w:val="24"/>
          <w:szCs w:val="24"/>
        </w:rPr>
      </w:pPr>
      <w:r>
        <w:rPr>
          <w:rFonts w:eastAsia="黑体"/>
          <w:b w:val="0"/>
          <w:sz w:val="24"/>
          <w:szCs w:val="24"/>
        </w:rPr>
        <w:t>4.3.6 风险评价结论</w:t>
      </w:r>
      <w:bookmarkEnd w:id="425"/>
      <w:bookmarkEnd w:id="426"/>
      <w:bookmarkEnd w:id="427"/>
    </w:p>
    <w:p>
      <w:pPr>
        <w:spacing w:line="520" w:lineRule="exact"/>
        <w:ind w:firstLine="480" w:firstLineChars="200"/>
        <w:rPr>
          <w:bCs/>
          <w:sz w:val="24"/>
        </w:rPr>
      </w:pPr>
      <w:bookmarkStart w:id="430" w:name="_Toc472009603"/>
      <w:bookmarkEnd w:id="430"/>
      <w:r>
        <w:rPr>
          <w:bCs/>
          <w:sz w:val="24"/>
        </w:rPr>
        <w:t>本项目所涉及物质沼气（甲烷）具有</w:t>
      </w:r>
      <w:r>
        <w:rPr>
          <w:sz w:val="24"/>
        </w:rPr>
        <w:t>易燃易爆的危险性质，因此存在发生沼气泄漏并引发火灾、爆炸等事故的风险。本项目各个厂界距离敏感点村庄的距离均在500m以上，均在本项目爆炸影响范围之外，本项目</w:t>
      </w:r>
      <w:r>
        <w:rPr>
          <w:rFonts w:hint="eastAsia"/>
          <w:sz w:val="24"/>
        </w:rPr>
        <w:t>黑膜</w:t>
      </w:r>
      <w:r>
        <w:rPr>
          <w:sz w:val="24"/>
        </w:rPr>
        <w:t>沼气池发生爆炸不会对周围村庄造成较大影响。</w:t>
      </w:r>
    </w:p>
    <w:p>
      <w:pPr>
        <w:widowControl/>
        <w:spacing w:line="520" w:lineRule="exact"/>
        <w:ind w:firstLine="480"/>
        <w:rPr>
          <w:kern w:val="0"/>
          <w:sz w:val="24"/>
        </w:rPr>
      </w:pPr>
      <w:r>
        <w:rPr>
          <w:kern w:val="0"/>
          <w:sz w:val="24"/>
        </w:rPr>
        <w:t>在严格落实本环评提出的各项风险防范措施和事故应急预案后，该项目发生风险事故的可能进一步降低，其潜在的环境风险是可以接受的。</w:t>
      </w:r>
    </w:p>
    <w:p>
      <w:pPr>
        <w:pStyle w:val="2"/>
        <w:spacing w:before="0" w:after="0" w:line="520" w:lineRule="exact"/>
        <w:rPr>
          <w:rFonts w:hint="eastAsia" w:eastAsia="黑体"/>
          <w:b w:val="0"/>
          <w:sz w:val="24"/>
          <w:szCs w:val="24"/>
        </w:rPr>
      </w:pPr>
      <w:r>
        <w:rPr>
          <w:rFonts w:hint="eastAsia" w:eastAsia="黑体"/>
          <w:b w:val="0"/>
          <w:sz w:val="24"/>
          <w:szCs w:val="24"/>
        </w:rPr>
        <w:t>4.3.7</w:t>
      </w:r>
      <w:r>
        <w:rPr>
          <w:rFonts w:eastAsia="黑体"/>
          <w:b w:val="0"/>
          <w:sz w:val="24"/>
          <w:szCs w:val="24"/>
        </w:rPr>
        <w:t xml:space="preserve"> </w:t>
      </w:r>
      <w:r>
        <w:rPr>
          <w:rFonts w:hint="eastAsia" w:eastAsia="黑体"/>
          <w:b w:val="0"/>
          <w:sz w:val="24"/>
          <w:szCs w:val="24"/>
        </w:rPr>
        <w:t>总量控制</w:t>
      </w:r>
      <w:r>
        <w:rPr>
          <w:rFonts w:eastAsia="黑体"/>
          <w:b w:val="0"/>
          <w:sz w:val="24"/>
          <w:szCs w:val="24"/>
        </w:rPr>
        <w:t>分析</w:t>
      </w:r>
    </w:p>
    <w:p>
      <w:pPr>
        <w:spacing w:line="500" w:lineRule="exact"/>
        <w:ind w:firstLine="480" w:firstLineChars="200"/>
        <w:rPr>
          <w:rFonts w:hint="eastAsia" w:hAnsi="宋体"/>
          <w:sz w:val="24"/>
        </w:rPr>
      </w:pPr>
      <w:r>
        <w:rPr>
          <w:rFonts w:hint="eastAsia" w:hAnsi="宋体"/>
          <w:sz w:val="24"/>
        </w:rPr>
        <w:t>根据《河南省主要污染物排放总量预算管理办法（试行）实施细则》（豫环文【2012】42号）及全国主要污染物排放总量控制项目有关要求，总量控制指标为：水污染物——COD、氨氮；大气污染物——SO</w:t>
      </w:r>
      <w:r>
        <w:rPr>
          <w:rFonts w:hint="eastAsia" w:hAnsi="宋体"/>
          <w:sz w:val="24"/>
          <w:vertAlign w:val="subscript"/>
        </w:rPr>
        <w:t>2</w:t>
      </w:r>
      <w:r>
        <w:rPr>
          <w:rFonts w:hint="eastAsia" w:hAnsi="宋体"/>
          <w:sz w:val="24"/>
        </w:rPr>
        <w:t>、NOx。</w:t>
      </w:r>
    </w:p>
    <w:p>
      <w:pPr>
        <w:spacing w:line="500" w:lineRule="exact"/>
        <w:ind w:firstLine="480" w:firstLineChars="200"/>
        <w:rPr>
          <w:rFonts w:hAnsi="宋体"/>
          <w:sz w:val="24"/>
        </w:rPr>
      </w:pPr>
      <w:r>
        <w:rPr>
          <w:rFonts w:hint="eastAsia" w:hAnsi="宋体"/>
          <w:sz w:val="24"/>
        </w:rPr>
        <w:t>废气：项目涉及总量控制指标的是沼气燃烧废气中的SO</w:t>
      </w:r>
      <w:r>
        <w:rPr>
          <w:rFonts w:hint="eastAsia" w:hAnsi="宋体"/>
          <w:sz w:val="24"/>
          <w:vertAlign w:val="subscript"/>
        </w:rPr>
        <w:t>2</w:t>
      </w:r>
      <w:r>
        <w:rPr>
          <w:rFonts w:hint="eastAsia" w:hAnsi="宋体"/>
          <w:sz w:val="24"/>
        </w:rPr>
        <w:t>及NO</w:t>
      </w:r>
      <w:r>
        <w:rPr>
          <w:rFonts w:hint="eastAsia" w:hAnsi="宋体"/>
          <w:sz w:val="24"/>
          <w:vertAlign w:val="subscript"/>
        </w:rPr>
        <w:t>X</w:t>
      </w:r>
      <w:r>
        <w:rPr>
          <w:rFonts w:hint="eastAsia" w:hAnsi="宋体"/>
          <w:sz w:val="24"/>
        </w:rPr>
        <w:t>，经工程分析可知，项目全年燃烧沼气量共计</w:t>
      </w:r>
      <w:r>
        <w:rPr>
          <w:rFonts w:hint="eastAsia"/>
          <w:sz w:val="24"/>
          <w:lang w:eastAsia="zh-CN"/>
        </w:rPr>
        <w:t>29456.25</w:t>
      </w:r>
      <w:r>
        <w:rPr>
          <w:rFonts w:hint="eastAsia" w:hAnsi="宋体"/>
          <w:sz w:val="24"/>
        </w:rPr>
        <w:t>m</w:t>
      </w:r>
      <w:r>
        <w:rPr>
          <w:rFonts w:hint="eastAsia" w:hAnsi="宋体"/>
          <w:sz w:val="24"/>
          <w:vertAlign w:val="superscript"/>
        </w:rPr>
        <w:t>3</w:t>
      </w:r>
      <w:r>
        <w:rPr>
          <w:rFonts w:hint="eastAsia" w:hAnsi="宋体"/>
          <w:sz w:val="24"/>
        </w:rPr>
        <w:t>，脱硫后的沼气燃烧废气中SO</w:t>
      </w:r>
      <w:r>
        <w:rPr>
          <w:rFonts w:hint="eastAsia" w:hAnsi="宋体"/>
          <w:sz w:val="24"/>
          <w:vertAlign w:val="subscript"/>
        </w:rPr>
        <w:t>2</w:t>
      </w:r>
      <w:r>
        <w:rPr>
          <w:rFonts w:hint="eastAsia" w:hAnsi="宋体"/>
          <w:sz w:val="24"/>
        </w:rPr>
        <w:t>排放量为</w:t>
      </w:r>
      <w:r>
        <w:rPr>
          <w:rFonts w:hint="eastAsia" w:hAnsi="宋体"/>
          <w:sz w:val="24"/>
          <w:lang w:eastAsia="zh-CN"/>
        </w:rPr>
        <w:t>0.00089</w:t>
      </w:r>
      <w:r>
        <w:rPr>
          <w:rFonts w:hint="eastAsia" w:hAnsi="宋体"/>
          <w:sz w:val="24"/>
        </w:rPr>
        <w:t>t/a，NO</w:t>
      </w:r>
      <w:r>
        <w:rPr>
          <w:rFonts w:hint="eastAsia" w:hAnsi="宋体"/>
          <w:sz w:val="24"/>
          <w:vertAlign w:val="subscript"/>
        </w:rPr>
        <w:t>X</w:t>
      </w:r>
      <w:r>
        <w:rPr>
          <w:rFonts w:hint="eastAsia" w:hAnsi="宋体"/>
          <w:sz w:val="24"/>
        </w:rPr>
        <w:t>排放量为</w:t>
      </w:r>
      <w:r>
        <w:rPr>
          <w:rFonts w:hint="eastAsia" w:hAnsi="宋体"/>
          <w:sz w:val="24"/>
          <w:lang w:eastAsia="zh-CN"/>
        </w:rPr>
        <w:t>0.029</w:t>
      </w:r>
      <w:r>
        <w:rPr>
          <w:rFonts w:hint="eastAsia" w:hAnsi="宋体"/>
          <w:sz w:val="24"/>
        </w:rPr>
        <w:t>t/a</w:t>
      </w:r>
      <w:r>
        <w:rPr>
          <w:rFonts w:hAnsi="宋体"/>
          <w:sz w:val="24"/>
        </w:rPr>
        <w:t>。建议项目总量控制指标为SO</w:t>
      </w:r>
      <w:r>
        <w:rPr>
          <w:rFonts w:hAnsi="宋体"/>
          <w:sz w:val="24"/>
          <w:vertAlign w:val="subscript"/>
        </w:rPr>
        <w:t>2</w:t>
      </w:r>
      <w:r>
        <w:rPr>
          <w:rFonts w:hAnsi="宋体"/>
          <w:sz w:val="24"/>
        </w:rPr>
        <w:t>：</w:t>
      </w:r>
      <w:r>
        <w:rPr>
          <w:rFonts w:hint="eastAsia" w:hAnsi="宋体"/>
          <w:sz w:val="24"/>
          <w:lang w:eastAsia="zh-CN"/>
        </w:rPr>
        <w:t>0.00089</w:t>
      </w:r>
      <w:r>
        <w:rPr>
          <w:rFonts w:hAnsi="宋体"/>
          <w:sz w:val="24"/>
        </w:rPr>
        <w:t>t/a、NOx：</w:t>
      </w:r>
      <w:r>
        <w:rPr>
          <w:rFonts w:hint="eastAsia" w:hAnsi="宋体"/>
          <w:sz w:val="24"/>
          <w:lang w:eastAsia="zh-CN"/>
        </w:rPr>
        <w:t>0.029</w:t>
      </w:r>
      <w:r>
        <w:rPr>
          <w:rFonts w:hAnsi="宋体"/>
          <w:sz w:val="24"/>
        </w:rPr>
        <w:t>t/a。</w:t>
      </w:r>
    </w:p>
    <w:p>
      <w:pPr>
        <w:spacing w:line="500" w:lineRule="exact"/>
        <w:ind w:firstLine="480" w:firstLineChars="200"/>
        <w:rPr>
          <w:rFonts w:hint="eastAsia" w:hAnsi="宋体"/>
          <w:sz w:val="24"/>
        </w:rPr>
      </w:pPr>
      <w:r>
        <w:rPr>
          <w:rFonts w:hint="eastAsia" w:hAnsi="宋体"/>
          <w:sz w:val="24"/>
        </w:rPr>
        <w:t>废水：项目废水经沼气化处理后，沼液用于农田施肥，全部综合利用、不外排，无废水总量控制指标。</w:t>
      </w:r>
    </w:p>
    <w:p>
      <w:pPr>
        <w:spacing w:line="500" w:lineRule="exact"/>
        <w:ind w:firstLine="480" w:firstLineChars="200"/>
        <w:rPr>
          <w:rFonts w:hAnsi="宋体"/>
          <w:sz w:val="24"/>
        </w:rPr>
      </w:pPr>
      <w:r>
        <w:rPr>
          <w:rFonts w:hint="eastAsia" w:hAnsi="宋体"/>
          <w:sz w:val="24"/>
        </w:rPr>
        <w:t>综上，本项目设置的总量控制指标为0。</w:t>
      </w:r>
    </w:p>
    <w:p>
      <w:pPr>
        <w:spacing w:line="500" w:lineRule="exact"/>
        <w:ind w:firstLine="480" w:firstLineChars="200"/>
        <w:rPr>
          <w:rFonts w:eastAsia="黑体"/>
          <w:sz w:val="24"/>
        </w:rPr>
        <w:sectPr>
          <w:footerReference r:id="rId16" w:type="default"/>
          <w:pgSz w:w="11906" w:h="16838"/>
          <w:pgMar w:top="1588" w:right="1588" w:bottom="1588" w:left="1588" w:header="851" w:footer="992" w:gutter="0"/>
          <w:pgNumType w:fmt="numberInDash"/>
          <w:cols w:space="720" w:num="1"/>
          <w:docGrid w:type="linesAndChars" w:linePitch="312" w:charSpace="0"/>
        </w:sectPr>
      </w:pPr>
      <w:r>
        <w:rPr>
          <w:color w:val="000000"/>
          <w:sz w:val="24"/>
        </w:rPr>
        <w:t>综上，本项目设置的总量控制指标为：SO</w:t>
      </w:r>
      <w:r>
        <w:rPr>
          <w:color w:val="000000"/>
          <w:sz w:val="24"/>
          <w:vertAlign w:val="subscript"/>
        </w:rPr>
        <w:t>2</w:t>
      </w:r>
      <w:r>
        <w:rPr>
          <w:color w:val="000000"/>
          <w:sz w:val="24"/>
        </w:rPr>
        <w:t>：</w:t>
      </w:r>
      <w:r>
        <w:rPr>
          <w:rFonts w:hint="eastAsia"/>
          <w:sz w:val="24"/>
          <w:lang w:eastAsia="zh-CN"/>
        </w:rPr>
        <w:t>0.00089</w:t>
      </w:r>
      <w:r>
        <w:rPr>
          <w:color w:val="000000"/>
          <w:sz w:val="24"/>
        </w:rPr>
        <w:t>t/a、NOx：</w:t>
      </w:r>
      <w:r>
        <w:rPr>
          <w:rFonts w:hint="eastAsia"/>
          <w:sz w:val="24"/>
          <w:lang w:eastAsia="zh-CN"/>
        </w:rPr>
        <w:t>0.029</w:t>
      </w:r>
      <w:r>
        <w:rPr>
          <w:color w:val="000000"/>
          <w:sz w:val="24"/>
        </w:rPr>
        <w:t>t/a。</w:t>
      </w:r>
    </w:p>
    <w:p>
      <w:pPr>
        <w:keepNext/>
        <w:keepLines/>
        <w:spacing w:before="100" w:beforeAutospacing="1" w:after="100" w:afterAutospacing="1"/>
        <w:jc w:val="center"/>
        <w:outlineLvl w:val="0"/>
        <w:rPr>
          <w:rFonts w:hint="eastAsia"/>
          <w:b/>
          <w:sz w:val="44"/>
          <w:szCs w:val="44"/>
        </w:rPr>
      </w:pPr>
      <w:bookmarkStart w:id="431" w:name="_Toc3084"/>
      <w:r>
        <w:rPr>
          <w:b/>
          <w:kern w:val="0"/>
          <w:sz w:val="44"/>
          <w:szCs w:val="44"/>
          <w:lang w:bidi="ar"/>
        </w:rPr>
        <w:t xml:space="preserve">第五章  </w:t>
      </w:r>
      <w:r>
        <w:rPr>
          <w:rFonts w:hint="eastAsia"/>
          <w:b/>
          <w:kern w:val="0"/>
          <w:sz w:val="44"/>
          <w:szCs w:val="44"/>
          <w:lang w:bidi="ar"/>
        </w:rPr>
        <w:t>环境</w:t>
      </w:r>
      <w:r>
        <w:rPr>
          <w:b/>
          <w:kern w:val="0"/>
          <w:sz w:val="44"/>
          <w:szCs w:val="44"/>
          <w:lang w:bidi="ar"/>
        </w:rPr>
        <w:t>保护措施及可行性论证</w:t>
      </w:r>
      <w:bookmarkEnd w:id="431"/>
    </w:p>
    <w:p>
      <w:pPr>
        <w:keepNext/>
        <w:keepLines/>
        <w:spacing w:before="120" w:after="120" w:line="520" w:lineRule="exact"/>
        <w:outlineLvl w:val="1"/>
        <w:rPr>
          <w:rFonts w:eastAsia="黑体"/>
          <w:sz w:val="28"/>
          <w:szCs w:val="28"/>
        </w:rPr>
      </w:pPr>
      <w:bookmarkStart w:id="432" w:name="_Toc413833478"/>
      <w:bookmarkEnd w:id="432"/>
      <w:bookmarkStart w:id="433" w:name="_Toc409787336"/>
      <w:bookmarkEnd w:id="433"/>
      <w:bookmarkStart w:id="434" w:name="_Toc472009604"/>
      <w:bookmarkStart w:id="435" w:name="_Toc12369"/>
      <w:r>
        <w:rPr>
          <w:rFonts w:eastAsia="黑体"/>
          <w:kern w:val="0"/>
          <w:sz w:val="28"/>
          <w:szCs w:val="28"/>
          <w:lang w:bidi="ar"/>
        </w:rPr>
        <w:t>5</w:t>
      </w:r>
      <w:bookmarkEnd w:id="434"/>
      <w:r>
        <w:rPr>
          <w:rFonts w:eastAsia="黑体"/>
          <w:kern w:val="0"/>
          <w:sz w:val="28"/>
          <w:szCs w:val="28"/>
          <w:lang w:bidi="ar"/>
        </w:rPr>
        <w:t>.1 施工期污染防治措施</w:t>
      </w:r>
      <w:bookmarkEnd w:id="435"/>
    </w:p>
    <w:p>
      <w:pPr>
        <w:spacing w:line="500" w:lineRule="exact"/>
        <w:ind w:firstLine="480" w:firstLineChars="200"/>
        <w:rPr>
          <w:sz w:val="24"/>
        </w:rPr>
      </w:pPr>
      <w:r>
        <w:rPr>
          <w:kern w:val="0"/>
          <w:sz w:val="24"/>
          <w:lang w:bidi="ar"/>
        </w:rPr>
        <w:t>评价针对项目施工期可能对环境造成的影响，以保护项目区的环境、最大限度地减少项目建设对环境造成的不利影响为目的，对施工期环境影响因素进行简要分析并提出具体的防范措施。</w:t>
      </w:r>
    </w:p>
    <w:p>
      <w:pPr>
        <w:pStyle w:val="2"/>
        <w:spacing w:before="0" w:after="0" w:line="520" w:lineRule="exact"/>
        <w:rPr>
          <w:rFonts w:eastAsia="黑体"/>
          <w:b w:val="0"/>
          <w:sz w:val="24"/>
          <w:szCs w:val="24"/>
        </w:rPr>
      </w:pPr>
      <w:r>
        <w:rPr>
          <w:rFonts w:eastAsia="黑体"/>
          <w:b w:val="0"/>
          <w:sz w:val="24"/>
          <w:szCs w:val="24"/>
        </w:rPr>
        <w:t>5.1.1施工期水环境影响及保护措施</w:t>
      </w:r>
    </w:p>
    <w:p>
      <w:pPr>
        <w:spacing w:line="500" w:lineRule="exact"/>
        <w:ind w:firstLine="480" w:firstLineChars="200"/>
        <w:rPr>
          <w:sz w:val="24"/>
        </w:rPr>
      </w:pPr>
      <w:r>
        <w:rPr>
          <w:kern w:val="0"/>
          <w:sz w:val="24"/>
          <w:lang w:bidi="ar"/>
        </w:rPr>
        <w:t>项目对水环境的污染主要包括施工期建筑施工废水、施工人员生活污水，评价针对环境特点提出项目施工期水环境保护措施，详见表5.1-1。</w:t>
      </w:r>
    </w:p>
    <w:p>
      <w:pPr>
        <w:spacing w:after="93" w:afterLines="30" w:line="500" w:lineRule="exact"/>
        <w:jc w:val="center"/>
        <w:rPr>
          <w:b/>
          <w:sz w:val="24"/>
        </w:rPr>
      </w:pPr>
      <w:r>
        <w:rPr>
          <w:b/>
          <w:kern w:val="0"/>
          <w:sz w:val="24"/>
          <w:lang w:bidi="ar"/>
        </w:rPr>
        <w:t>表5.1-1      施工期水环境保护措施一览表</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81"/>
        <w:gridCol w:w="3143"/>
        <w:gridCol w:w="463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1" w:type="dxa"/>
            <w:noWrap w:val="0"/>
            <w:tcMar>
              <w:left w:w="0" w:type="dxa"/>
              <w:right w:w="0" w:type="dxa"/>
            </w:tcMar>
            <w:vAlign w:val="center"/>
          </w:tcPr>
          <w:p>
            <w:pPr>
              <w:spacing w:line="360" w:lineRule="exact"/>
              <w:jc w:val="center"/>
              <w:rPr>
                <w:b/>
                <w:szCs w:val="21"/>
              </w:rPr>
            </w:pPr>
            <w:r>
              <w:rPr>
                <w:b/>
                <w:kern w:val="0"/>
                <w:szCs w:val="21"/>
                <w:lang w:bidi="ar"/>
              </w:rPr>
              <w:t>序号</w:t>
            </w:r>
          </w:p>
        </w:tc>
        <w:tc>
          <w:tcPr>
            <w:tcW w:w="3143" w:type="dxa"/>
            <w:noWrap w:val="0"/>
            <w:tcMar>
              <w:left w:w="0" w:type="dxa"/>
              <w:right w:w="0" w:type="dxa"/>
            </w:tcMar>
            <w:vAlign w:val="center"/>
          </w:tcPr>
          <w:p>
            <w:pPr>
              <w:spacing w:line="360" w:lineRule="exact"/>
              <w:jc w:val="center"/>
              <w:rPr>
                <w:b/>
                <w:szCs w:val="21"/>
              </w:rPr>
            </w:pPr>
            <w:r>
              <w:rPr>
                <w:b/>
                <w:kern w:val="0"/>
                <w:szCs w:val="21"/>
                <w:lang w:bidi="ar"/>
              </w:rPr>
              <w:t>主要环境影响</w:t>
            </w:r>
          </w:p>
        </w:tc>
        <w:tc>
          <w:tcPr>
            <w:tcW w:w="4636" w:type="dxa"/>
            <w:noWrap w:val="0"/>
            <w:tcMar>
              <w:left w:w="0" w:type="dxa"/>
              <w:right w:w="0" w:type="dxa"/>
            </w:tcMar>
            <w:vAlign w:val="center"/>
          </w:tcPr>
          <w:p>
            <w:pPr>
              <w:spacing w:line="360" w:lineRule="exact"/>
              <w:jc w:val="center"/>
              <w:rPr>
                <w:b/>
                <w:szCs w:val="21"/>
              </w:rPr>
            </w:pPr>
            <w:r>
              <w:rPr>
                <w:b/>
                <w:kern w:val="0"/>
                <w:szCs w:val="21"/>
                <w:lang w:bidi="ar"/>
              </w:rPr>
              <w:t>环保措施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1" w:type="dxa"/>
            <w:noWrap w:val="0"/>
            <w:tcMar>
              <w:left w:w="0" w:type="dxa"/>
              <w:right w:w="0" w:type="dxa"/>
            </w:tcMar>
            <w:vAlign w:val="center"/>
          </w:tcPr>
          <w:p>
            <w:pPr>
              <w:spacing w:line="360" w:lineRule="exact"/>
              <w:jc w:val="center"/>
              <w:rPr>
                <w:szCs w:val="21"/>
              </w:rPr>
            </w:pPr>
            <w:r>
              <w:rPr>
                <w:kern w:val="0"/>
                <w:szCs w:val="21"/>
                <w:lang w:bidi="ar"/>
              </w:rPr>
              <w:t>1</w:t>
            </w:r>
          </w:p>
        </w:tc>
        <w:tc>
          <w:tcPr>
            <w:tcW w:w="3143" w:type="dxa"/>
            <w:noWrap w:val="0"/>
            <w:tcMar>
              <w:left w:w="0" w:type="dxa"/>
              <w:right w:w="0" w:type="dxa"/>
            </w:tcMar>
            <w:vAlign w:val="center"/>
          </w:tcPr>
          <w:p>
            <w:pPr>
              <w:spacing w:line="360" w:lineRule="exact"/>
              <w:jc w:val="center"/>
              <w:rPr>
                <w:szCs w:val="21"/>
              </w:rPr>
            </w:pPr>
            <w:r>
              <w:rPr>
                <w:kern w:val="0"/>
                <w:szCs w:val="21"/>
                <w:lang w:bidi="ar"/>
              </w:rPr>
              <w:t>建筑施工废水可能对水环境产生影响，造成水土流失</w:t>
            </w:r>
          </w:p>
        </w:tc>
        <w:tc>
          <w:tcPr>
            <w:tcW w:w="4636" w:type="dxa"/>
            <w:noWrap w:val="0"/>
            <w:tcMar>
              <w:left w:w="0" w:type="dxa"/>
              <w:right w:w="0" w:type="dxa"/>
            </w:tcMar>
            <w:vAlign w:val="center"/>
          </w:tcPr>
          <w:p>
            <w:pPr>
              <w:spacing w:line="360" w:lineRule="exact"/>
              <w:jc w:val="center"/>
              <w:rPr>
                <w:szCs w:val="21"/>
              </w:rPr>
            </w:pPr>
            <w:r>
              <w:rPr>
                <w:kern w:val="0"/>
                <w:szCs w:val="21"/>
                <w:lang w:bidi="ar"/>
              </w:rPr>
              <w:t>建筑施工废水经简单沉淀后用于地面洒水抑尘，严禁排入地表水体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1" w:type="dxa"/>
            <w:noWrap w:val="0"/>
            <w:tcMar>
              <w:left w:w="0" w:type="dxa"/>
              <w:right w:w="0" w:type="dxa"/>
            </w:tcMar>
            <w:vAlign w:val="center"/>
          </w:tcPr>
          <w:p>
            <w:pPr>
              <w:spacing w:line="360" w:lineRule="exact"/>
              <w:jc w:val="center"/>
              <w:rPr>
                <w:szCs w:val="21"/>
              </w:rPr>
            </w:pPr>
            <w:r>
              <w:rPr>
                <w:kern w:val="0"/>
                <w:szCs w:val="21"/>
                <w:lang w:bidi="ar"/>
              </w:rPr>
              <w:t>2</w:t>
            </w:r>
          </w:p>
        </w:tc>
        <w:tc>
          <w:tcPr>
            <w:tcW w:w="3143" w:type="dxa"/>
            <w:noWrap w:val="0"/>
            <w:tcMar>
              <w:left w:w="0" w:type="dxa"/>
              <w:right w:w="0" w:type="dxa"/>
            </w:tcMar>
            <w:vAlign w:val="center"/>
          </w:tcPr>
          <w:p>
            <w:pPr>
              <w:spacing w:line="360" w:lineRule="exact"/>
              <w:jc w:val="center"/>
              <w:rPr>
                <w:szCs w:val="21"/>
              </w:rPr>
            </w:pPr>
            <w:r>
              <w:rPr>
                <w:kern w:val="0"/>
                <w:szCs w:val="21"/>
                <w:lang w:bidi="ar"/>
              </w:rPr>
              <w:t>生活污水随便排放对环境污染影响</w:t>
            </w:r>
          </w:p>
        </w:tc>
        <w:tc>
          <w:tcPr>
            <w:tcW w:w="4636" w:type="dxa"/>
            <w:noWrap w:val="0"/>
            <w:tcMar>
              <w:left w:w="0" w:type="dxa"/>
              <w:right w:w="0" w:type="dxa"/>
            </w:tcMar>
            <w:vAlign w:val="center"/>
          </w:tcPr>
          <w:p>
            <w:pPr>
              <w:spacing w:line="360" w:lineRule="exact"/>
              <w:jc w:val="center"/>
              <w:rPr>
                <w:szCs w:val="21"/>
              </w:rPr>
            </w:pPr>
            <w:r>
              <w:rPr>
                <w:kern w:val="0"/>
                <w:szCs w:val="21"/>
                <w:lang w:bidi="ar"/>
              </w:rPr>
              <w:t>施工期修建化粪池，施工人员洗漱废水经沉淀后用于地面洒水降尘，施工期粪便经化粪池处理后定期由附近农民拉走用于农肥</w:t>
            </w:r>
          </w:p>
        </w:tc>
      </w:tr>
    </w:tbl>
    <w:p>
      <w:pPr>
        <w:pStyle w:val="2"/>
        <w:spacing w:before="0" w:after="0" w:line="520" w:lineRule="exact"/>
        <w:rPr>
          <w:rFonts w:eastAsia="黑体"/>
          <w:b w:val="0"/>
          <w:sz w:val="24"/>
          <w:szCs w:val="24"/>
        </w:rPr>
      </w:pPr>
      <w:r>
        <w:rPr>
          <w:rFonts w:eastAsia="黑体"/>
          <w:b w:val="0"/>
          <w:sz w:val="24"/>
          <w:szCs w:val="24"/>
        </w:rPr>
        <w:t>5.1.2施工期环境空气保护措施分析</w:t>
      </w:r>
    </w:p>
    <w:p>
      <w:pPr>
        <w:topLinePunct/>
        <w:spacing w:line="520" w:lineRule="exact"/>
        <w:ind w:firstLine="480" w:firstLineChars="200"/>
        <w:rPr>
          <w:color w:val="000000"/>
          <w:sz w:val="24"/>
        </w:rPr>
      </w:pPr>
      <w:r>
        <w:rPr>
          <w:color w:val="000000"/>
          <w:sz w:val="24"/>
        </w:rPr>
        <w:t>施工期对环境空气的污染主要包括扬尘及施工车辆尾气排放，本项目应严格执行国家环境保护总局（公告2007年第74号）《防治城市扬尘污染技术规范》，河南省住房和城乡建设厅《河南省建筑施工现场扬尘防治管理暂行规定的通知》(豫建建【2014】83号)、《驻马店市大气污染防治攻坚战工作方案》具体要求，评价针对各种污染物排放特点及性质提出施工期环境空气污染防治措施，详见表</w:t>
      </w:r>
      <w:r>
        <w:rPr>
          <w:rFonts w:hint="eastAsia"/>
          <w:color w:val="000000"/>
          <w:sz w:val="24"/>
        </w:rPr>
        <w:t>5.1</w:t>
      </w:r>
      <w:r>
        <w:rPr>
          <w:color w:val="000000"/>
          <w:sz w:val="24"/>
        </w:rPr>
        <w:t>-2。</w:t>
      </w:r>
    </w:p>
    <w:p>
      <w:pPr>
        <w:spacing w:after="93" w:afterLines="30" w:line="500" w:lineRule="exact"/>
        <w:jc w:val="center"/>
        <w:rPr>
          <w:b/>
          <w:kern w:val="0"/>
          <w:sz w:val="24"/>
          <w:lang w:bidi="ar"/>
        </w:rPr>
      </w:pPr>
      <w:r>
        <w:rPr>
          <w:b/>
          <w:kern w:val="0"/>
          <w:sz w:val="24"/>
          <w:lang w:bidi="ar"/>
        </w:rPr>
        <w:t>表</w:t>
      </w:r>
      <w:r>
        <w:rPr>
          <w:rFonts w:hint="eastAsia"/>
          <w:b/>
          <w:kern w:val="0"/>
          <w:sz w:val="24"/>
          <w:lang w:bidi="ar"/>
        </w:rPr>
        <w:t>5.1</w:t>
      </w:r>
      <w:r>
        <w:rPr>
          <w:b/>
          <w:kern w:val="0"/>
          <w:sz w:val="24"/>
          <w:lang w:bidi="ar"/>
        </w:rPr>
        <w:t>-2       施工期环境空气保护措施一览表</w:t>
      </w:r>
    </w:p>
    <w:tbl>
      <w:tblPr>
        <w:tblStyle w:val="17"/>
        <w:tblW w:w="5000"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64"/>
        <w:gridCol w:w="2395"/>
        <w:gridCol w:w="3155"/>
        <w:gridCol w:w="264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noWrap w:val="0"/>
            <w:tcMar>
              <w:left w:w="0" w:type="dxa"/>
              <w:right w:w="0" w:type="dxa"/>
            </w:tcMar>
            <w:vAlign w:val="center"/>
          </w:tcPr>
          <w:p>
            <w:pPr>
              <w:topLinePunct/>
              <w:adjustRightInd w:val="0"/>
              <w:snapToGrid w:val="0"/>
              <w:jc w:val="center"/>
              <w:rPr>
                <w:b/>
                <w:color w:val="000000"/>
                <w:szCs w:val="21"/>
              </w:rPr>
            </w:pPr>
            <w:r>
              <w:rPr>
                <w:b/>
                <w:color w:val="000000"/>
                <w:szCs w:val="21"/>
              </w:rPr>
              <w:t>序号</w:t>
            </w:r>
          </w:p>
        </w:tc>
        <w:tc>
          <w:tcPr>
            <w:tcW w:w="1367" w:type="pct"/>
            <w:noWrap w:val="0"/>
            <w:tcMar>
              <w:left w:w="0" w:type="dxa"/>
              <w:right w:w="0" w:type="dxa"/>
            </w:tcMar>
            <w:vAlign w:val="center"/>
          </w:tcPr>
          <w:p>
            <w:pPr>
              <w:topLinePunct/>
              <w:adjustRightInd w:val="0"/>
              <w:snapToGrid w:val="0"/>
              <w:jc w:val="center"/>
              <w:rPr>
                <w:b/>
                <w:color w:val="000000"/>
                <w:szCs w:val="21"/>
              </w:rPr>
            </w:pPr>
            <w:r>
              <w:rPr>
                <w:b/>
                <w:color w:val="000000"/>
                <w:szCs w:val="21"/>
              </w:rPr>
              <w:t>主要环境影响</w:t>
            </w:r>
          </w:p>
        </w:tc>
        <w:tc>
          <w:tcPr>
            <w:tcW w:w="1801" w:type="pct"/>
            <w:noWrap w:val="0"/>
            <w:tcMar>
              <w:left w:w="0" w:type="dxa"/>
              <w:right w:w="0" w:type="dxa"/>
            </w:tcMar>
            <w:vAlign w:val="center"/>
          </w:tcPr>
          <w:p>
            <w:pPr>
              <w:topLinePunct/>
              <w:adjustRightInd w:val="0"/>
              <w:snapToGrid w:val="0"/>
              <w:jc w:val="center"/>
              <w:rPr>
                <w:b/>
                <w:color w:val="000000"/>
                <w:szCs w:val="21"/>
              </w:rPr>
            </w:pPr>
            <w:r>
              <w:rPr>
                <w:b/>
                <w:color w:val="000000"/>
                <w:szCs w:val="21"/>
              </w:rPr>
              <w:t>环保措施</w:t>
            </w:r>
          </w:p>
        </w:tc>
        <w:tc>
          <w:tcPr>
            <w:tcW w:w="1510" w:type="pct"/>
            <w:noWrap w:val="0"/>
            <w:tcMar>
              <w:left w:w="0" w:type="dxa"/>
              <w:right w:w="0" w:type="dxa"/>
            </w:tcMar>
            <w:vAlign w:val="center"/>
          </w:tcPr>
          <w:p>
            <w:pPr>
              <w:topLinePunct/>
              <w:adjustRightInd w:val="0"/>
              <w:snapToGrid w:val="0"/>
              <w:jc w:val="center"/>
              <w:rPr>
                <w:b/>
                <w:color w:val="000000"/>
                <w:szCs w:val="21"/>
              </w:rPr>
            </w:pPr>
            <w:r>
              <w:rPr>
                <w:b/>
                <w:color w:val="000000"/>
                <w:szCs w:val="21"/>
              </w:rPr>
              <w:t>效益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86" w:hRule="atLeast"/>
        </w:trPr>
        <w:tc>
          <w:tcPr>
            <w:tcW w:w="322" w:type="pct"/>
            <w:noWrap w:val="0"/>
            <w:tcMar>
              <w:left w:w="0" w:type="dxa"/>
              <w:right w:w="0" w:type="dxa"/>
            </w:tcMar>
            <w:vAlign w:val="center"/>
          </w:tcPr>
          <w:p>
            <w:pPr>
              <w:topLinePunct/>
              <w:adjustRightInd w:val="0"/>
              <w:snapToGrid w:val="0"/>
              <w:jc w:val="center"/>
              <w:rPr>
                <w:color w:val="000000"/>
              </w:rPr>
            </w:pPr>
            <w:r>
              <w:rPr>
                <w:color w:val="000000"/>
              </w:rPr>
              <w:t>1</w:t>
            </w:r>
          </w:p>
        </w:tc>
        <w:tc>
          <w:tcPr>
            <w:tcW w:w="1367" w:type="pct"/>
            <w:noWrap w:val="0"/>
            <w:tcMar>
              <w:left w:w="0" w:type="dxa"/>
              <w:right w:w="0" w:type="dxa"/>
            </w:tcMar>
            <w:vAlign w:val="center"/>
          </w:tcPr>
          <w:p>
            <w:pPr>
              <w:topLinePunct/>
              <w:adjustRightInd w:val="0"/>
              <w:snapToGrid w:val="0"/>
              <w:jc w:val="center"/>
              <w:rPr>
                <w:color w:val="000000"/>
              </w:rPr>
            </w:pPr>
            <w:r>
              <w:rPr>
                <w:color w:val="000000"/>
              </w:rPr>
              <w:t>运输汽车运行产生道路扬尘污染</w:t>
            </w:r>
          </w:p>
        </w:tc>
        <w:tc>
          <w:tcPr>
            <w:tcW w:w="1801" w:type="pct"/>
            <w:noWrap w:val="0"/>
            <w:tcMar>
              <w:left w:w="0" w:type="dxa"/>
              <w:right w:w="0" w:type="dxa"/>
            </w:tcMar>
            <w:vAlign w:val="center"/>
          </w:tcPr>
          <w:p>
            <w:pPr>
              <w:topLinePunct/>
              <w:adjustRightInd w:val="0"/>
              <w:snapToGrid w:val="0"/>
              <w:jc w:val="center"/>
              <w:rPr>
                <w:color w:val="000000"/>
              </w:rPr>
            </w:pPr>
            <w:r>
              <w:rPr>
                <w:color w:val="000000"/>
              </w:rPr>
              <w:t>运输路线应定期洒水</w:t>
            </w:r>
          </w:p>
        </w:tc>
        <w:tc>
          <w:tcPr>
            <w:tcW w:w="1510" w:type="pct"/>
            <w:noWrap w:val="0"/>
            <w:tcMar>
              <w:left w:w="0" w:type="dxa"/>
              <w:right w:w="0" w:type="dxa"/>
            </w:tcMar>
            <w:vAlign w:val="center"/>
          </w:tcPr>
          <w:p>
            <w:pPr>
              <w:topLinePunct/>
              <w:adjustRightInd w:val="0"/>
              <w:snapToGrid w:val="0"/>
              <w:jc w:val="center"/>
              <w:rPr>
                <w:color w:val="000000"/>
                <w:szCs w:val="21"/>
              </w:rPr>
            </w:pPr>
            <w:r>
              <w:rPr>
                <w:color w:val="000000"/>
                <w:szCs w:val="21"/>
              </w:rPr>
              <w:t>减少道路扬尘对施工场区内人员、施工区周围厂房以及运输道路范围内污染影响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 w:type="pct"/>
            <w:noWrap w:val="0"/>
            <w:tcMar>
              <w:left w:w="0" w:type="dxa"/>
              <w:right w:w="0" w:type="dxa"/>
            </w:tcMar>
            <w:vAlign w:val="center"/>
          </w:tcPr>
          <w:p>
            <w:pPr>
              <w:topLinePunct/>
              <w:adjustRightInd w:val="0"/>
              <w:snapToGrid w:val="0"/>
              <w:jc w:val="center"/>
              <w:rPr>
                <w:color w:val="000000"/>
              </w:rPr>
            </w:pPr>
            <w:r>
              <w:rPr>
                <w:color w:val="000000"/>
              </w:rPr>
              <w:t>2</w:t>
            </w:r>
          </w:p>
        </w:tc>
        <w:tc>
          <w:tcPr>
            <w:tcW w:w="1367" w:type="pct"/>
            <w:noWrap w:val="0"/>
            <w:tcMar>
              <w:left w:w="0" w:type="dxa"/>
              <w:right w:w="0" w:type="dxa"/>
            </w:tcMar>
            <w:vAlign w:val="center"/>
          </w:tcPr>
          <w:p>
            <w:pPr>
              <w:topLinePunct/>
              <w:adjustRightInd w:val="0"/>
              <w:snapToGrid w:val="0"/>
              <w:jc w:val="center"/>
              <w:rPr>
                <w:color w:val="000000"/>
              </w:rPr>
            </w:pPr>
            <w:r>
              <w:rPr>
                <w:color w:val="000000"/>
              </w:rPr>
              <w:t>运输过程中撒落砂石、土等材料，产生二次污染</w:t>
            </w:r>
          </w:p>
        </w:tc>
        <w:tc>
          <w:tcPr>
            <w:tcW w:w="1801" w:type="pct"/>
            <w:noWrap w:val="0"/>
            <w:tcMar>
              <w:left w:w="0" w:type="dxa"/>
              <w:right w:w="0" w:type="dxa"/>
            </w:tcMar>
            <w:vAlign w:val="center"/>
          </w:tcPr>
          <w:p>
            <w:pPr>
              <w:topLinePunct/>
              <w:adjustRightInd w:val="0"/>
              <w:snapToGrid w:val="0"/>
              <w:jc w:val="center"/>
              <w:rPr>
                <w:color w:val="000000"/>
              </w:rPr>
            </w:pPr>
            <w:r>
              <w:rPr>
                <w:color w:val="000000"/>
              </w:rPr>
              <w:t>加强运输管理，保证汽车文明、安全、中速行驶，运输砂石、土、水泥、石灰的车辆表面应加以覆盖，避免砂石、土洒落造成二次污染影响</w:t>
            </w:r>
          </w:p>
        </w:tc>
        <w:tc>
          <w:tcPr>
            <w:tcW w:w="1510" w:type="pct"/>
            <w:noWrap w:val="0"/>
            <w:tcMar>
              <w:left w:w="0" w:type="dxa"/>
              <w:right w:w="0" w:type="dxa"/>
            </w:tcMar>
            <w:vAlign w:val="center"/>
          </w:tcPr>
          <w:p>
            <w:pPr>
              <w:topLinePunct/>
              <w:adjustRightInd w:val="0"/>
              <w:snapToGrid w:val="0"/>
              <w:jc w:val="center"/>
              <w:rPr>
                <w:color w:val="000000"/>
              </w:rPr>
            </w:pPr>
            <w:r>
              <w:rPr>
                <w:color w:val="000000"/>
              </w:rPr>
              <w:t>减少二次污染影响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7" w:hRule="atLeast"/>
        </w:trPr>
        <w:tc>
          <w:tcPr>
            <w:tcW w:w="322" w:type="pct"/>
            <w:noWrap w:val="0"/>
            <w:tcMar>
              <w:left w:w="0" w:type="dxa"/>
              <w:right w:w="0" w:type="dxa"/>
            </w:tcMar>
            <w:vAlign w:val="center"/>
          </w:tcPr>
          <w:p>
            <w:pPr>
              <w:topLinePunct/>
              <w:adjustRightInd w:val="0"/>
              <w:snapToGrid w:val="0"/>
              <w:jc w:val="center"/>
              <w:rPr>
                <w:color w:val="000000"/>
              </w:rPr>
            </w:pPr>
            <w:r>
              <w:rPr>
                <w:color w:val="000000"/>
              </w:rPr>
              <w:t>3</w:t>
            </w:r>
          </w:p>
        </w:tc>
        <w:tc>
          <w:tcPr>
            <w:tcW w:w="1367" w:type="pct"/>
            <w:noWrap w:val="0"/>
            <w:tcMar>
              <w:left w:w="0" w:type="dxa"/>
              <w:right w:w="0" w:type="dxa"/>
            </w:tcMar>
            <w:vAlign w:val="center"/>
          </w:tcPr>
          <w:p>
            <w:pPr>
              <w:topLinePunct/>
              <w:adjustRightInd w:val="0"/>
              <w:snapToGrid w:val="0"/>
              <w:jc w:val="center"/>
              <w:rPr>
                <w:color w:val="000000"/>
              </w:rPr>
            </w:pPr>
            <w:r>
              <w:rPr>
                <w:color w:val="000000"/>
              </w:rPr>
              <w:t>扬尘对灰土拌合操作人员身体健康影响</w:t>
            </w:r>
          </w:p>
        </w:tc>
        <w:tc>
          <w:tcPr>
            <w:tcW w:w="1801" w:type="pct"/>
            <w:noWrap w:val="0"/>
            <w:tcMar>
              <w:left w:w="0" w:type="dxa"/>
              <w:right w:w="0" w:type="dxa"/>
            </w:tcMar>
            <w:vAlign w:val="center"/>
          </w:tcPr>
          <w:p>
            <w:pPr>
              <w:topLinePunct/>
              <w:adjustRightInd w:val="0"/>
              <w:snapToGrid w:val="0"/>
              <w:jc w:val="center"/>
              <w:rPr>
                <w:color w:val="000000"/>
              </w:rPr>
            </w:pPr>
            <w:r>
              <w:rPr>
                <w:color w:val="000000"/>
              </w:rPr>
              <w:t>对拌合点操作人员实行卫生保护，如配戴口罩、风镜等</w:t>
            </w:r>
          </w:p>
        </w:tc>
        <w:tc>
          <w:tcPr>
            <w:tcW w:w="1510" w:type="pct"/>
            <w:noWrap w:val="0"/>
            <w:tcMar>
              <w:left w:w="0" w:type="dxa"/>
              <w:right w:w="0" w:type="dxa"/>
            </w:tcMar>
            <w:vAlign w:val="center"/>
          </w:tcPr>
          <w:p>
            <w:pPr>
              <w:topLinePunct/>
              <w:adjustRightInd w:val="0"/>
              <w:snapToGrid w:val="0"/>
              <w:jc w:val="center"/>
              <w:rPr>
                <w:color w:val="000000"/>
              </w:rPr>
            </w:pPr>
            <w:r>
              <w:rPr>
                <w:color w:val="000000"/>
              </w:rPr>
              <w:t>减轻灰土扬尘对操作人员健康的影响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77" w:hRule="atLeast"/>
        </w:trPr>
        <w:tc>
          <w:tcPr>
            <w:tcW w:w="322" w:type="pct"/>
            <w:noWrap w:val="0"/>
            <w:tcMar>
              <w:left w:w="0" w:type="dxa"/>
              <w:right w:w="0" w:type="dxa"/>
            </w:tcMar>
            <w:vAlign w:val="center"/>
          </w:tcPr>
          <w:p>
            <w:pPr>
              <w:topLinePunct/>
              <w:spacing w:line="320" w:lineRule="exact"/>
              <w:jc w:val="center"/>
              <w:rPr>
                <w:color w:val="000000"/>
              </w:rPr>
            </w:pPr>
            <w:r>
              <w:rPr>
                <w:color w:val="000000"/>
              </w:rPr>
              <w:t>4</w:t>
            </w:r>
          </w:p>
        </w:tc>
        <w:tc>
          <w:tcPr>
            <w:tcW w:w="1367" w:type="pct"/>
            <w:noWrap w:val="0"/>
            <w:tcMar>
              <w:left w:w="0" w:type="dxa"/>
              <w:right w:w="0" w:type="dxa"/>
            </w:tcMar>
            <w:vAlign w:val="center"/>
          </w:tcPr>
          <w:p>
            <w:pPr>
              <w:topLinePunct/>
              <w:spacing w:line="320" w:lineRule="exact"/>
              <w:rPr>
                <w:color w:val="000000"/>
              </w:rPr>
            </w:pPr>
            <w:r>
              <w:rPr>
                <w:color w:val="000000"/>
              </w:rPr>
              <w:t>施工过程对周边环境的影响</w:t>
            </w:r>
          </w:p>
        </w:tc>
        <w:tc>
          <w:tcPr>
            <w:tcW w:w="1801" w:type="pct"/>
            <w:noWrap w:val="0"/>
            <w:tcMar>
              <w:left w:w="0" w:type="dxa"/>
              <w:right w:w="0" w:type="dxa"/>
            </w:tcMar>
            <w:vAlign w:val="center"/>
          </w:tcPr>
          <w:p>
            <w:pPr>
              <w:topLinePunct/>
              <w:spacing w:line="320" w:lineRule="exact"/>
              <w:rPr>
                <w:color w:val="000000"/>
              </w:rPr>
            </w:pPr>
            <w:r>
              <w:rPr>
                <w:color w:val="000000"/>
              </w:rPr>
              <w:t>施工现场必须全封闭设置围挡墙,严禁敞开式作业;施工现场道路、作业区、生活区必须进行地面硬化,出口必须设置定型化自动冲洗设施,出入车辆必须冲洗干净；施工中产生的物料堆应采取遮盖、洒水、喷洒覆盖剂或其他防尘措施</w:t>
            </w:r>
          </w:p>
        </w:tc>
        <w:tc>
          <w:tcPr>
            <w:tcW w:w="1510" w:type="pct"/>
            <w:noWrap w:val="0"/>
            <w:tcMar>
              <w:left w:w="0" w:type="dxa"/>
              <w:right w:w="0" w:type="dxa"/>
            </w:tcMar>
            <w:vAlign w:val="center"/>
          </w:tcPr>
          <w:p>
            <w:pPr>
              <w:topLinePunct/>
              <w:spacing w:line="320" w:lineRule="exact"/>
              <w:rPr>
                <w:color w:val="000000"/>
              </w:rPr>
            </w:pPr>
            <w:r>
              <w:rPr>
                <w:color w:val="000000"/>
              </w:rPr>
              <w:t>减轻施工过程对周边大气环境的影响</w:t>
            </w:r>
          </w:p>
        </w:tc>
      </w:tr>
    </w:tbl>
    <w:p>
      <w:pPr>
        <w:pStyle w:val="2"/>
        <w:spacing w:before="0" w:after="0" w:line="520" w:lineRule="exact"/>
        <w:rPr>
          <w:rFonts w:eastAsia="黑体"/>
          <w:b w:val="0"/>
          <w:sz w:val="24"/>
          <w:szCs w:val="24"/>
        </w:rPr>
      </w:pPr>
      <w:r>
        <w:rPr>
          <w:rFonts w:eastAsia="黑体"/>
          <w:b w:val="0"/>
          <w:sz w:val="24"/>
          <w:szCs w:val="24"/>
        </w:rPr>
        <w:t>5.1.3施工期噪声污染防治措施</w:t>
      </w:r>
    </w:p>
    <w:p>
      <w:pPr>
        <w:adjustRightInd w:val="0"/>
        <w:snapToGrid w:val="0"/>
        <w:spacing w:line="500" w:lineRule="exact"/>
        <w:ind w:firstLine="480" w:firstLineChars="200"/>
        <w:rPr>
          <w:sz w:val="24"/>
        </w:rPr>
      </w:pPr>
      <w:r>
        <w:rPr>
          <w:kern w:val="0"/>
          <w:sz w:val="24"/>
          <w:lang w:bidi="ar"/>
        </w:rPr>
        <w:t>项目施工期噪声的污染主要是机械噪声，因项目场地距离周边村庄较远，一般不会对周围村民产生影响，施工期噪声主要是对施工生活区和施工人员的产生影响，此次评价根据项目特点提出施工期噪声污染防治措施见表5.1-3。</w:t>
      </w:r>
    </w:p>
    <w:p>
      <w:pPr>
        <w:spacing w:after="93" w:afterLines="30" w:line="500" w:lineRule="exact"/>
        <w:jc w:val="center"/>
        <w:rPr>
          <w:b/>
          <w:sz w:val="24"/>
        </w:rPr>
      </w:pPr>
      <w:r>
        <w:rPr>
          <w:b/>
          <w:kern w:val="0"/>
          <w:sz w:val="24"/>
          <w:lang w:bidi="ar"/>
        </w:rPr>
        <w:t>表5.1-3      施工期噪声污染防治措施一览表</w:t>
      </w:r>
    </w:p>
    <w:tbl>
      <w:tblPr>
        <w:tblStyle w:val="17"/>
        <w:tblW w:w="5000"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322"/>
        <w:gridCol w:w="1324"/>
        <w:gridCol w:w="5399"/>
        <w:gridCol w:w="18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2" w:type="pct"/>
            <w:noWrap w:val="0"/>
            <w:tcMar>
              <w:left w:w="0" w:type="dxa"/>
              <w:right w:w="0" w:type="dxa"/>
            </w:tcMar>
            <w:vAlign w:val="center"/>
          </w:tcPr>
          <w:p>
            <w:pPr>
              <w:jc w:val="center"/>
              <w:rPr>
                <w:b/>
                <w:szCs w:val="21"/>
              </w:rPr>
            </w:pPr>
            <w:r>
              <w:rPr>
                <w:b/>
                <w:kern w:val="0"/>
                <w:szCs w:val="21"/>
                <w:lang w:bidi="ar"/>
              </w:rPr>
              <w:t>序号</w:t>
            </w:r>
          </w:p>
        </w:tc>
        <w:tc>
          <w:tcPr>
            <w:tcW w:w="748" w:type="pct"/>
            <w:noWrap w:val="0"/>
            <w:tcMar>
              <w:left w:w="0" w:type="dxa"/>
              <w:right w:w="0" w:type="dxa"/>
            </w:tcMar>
            <w:vAlign w:val="center"/>
          </w:tcPr>
          <w:p>
            <w:pPr>
              <w:jc w:val="center"/>
              <w:rPr>
                <w:b/>
                <w:szCs w:val="21"/>
              </w:rPr>
            </w:pPr>
            <w:r>
              <w:rPr>
                <w:b/>
                <w:kern w:val="0"/>
                <w:szCs w:val="21"/>
                <w:lang w:bidi="ar"/>
              </w:rPr>
              <w:t>主要环境影响</w:t>
            </w:r>
          </w:p>
        </w:tc>
        <w:tc>
          <w:tcPr>
            <w:tcW w:w="3049" w:type="pct"/>
            <w:noWrap w:val="0"/>
            <w:tcMar>
              <w:left w:w="0" w:type="dxa"/>
              <w:right w:w="0" w:type="dxa"/>
            </w:tcMar>
            <w:vAlign w:val="center"/>
          </w:tcPr>
          <w:p>
            <w:pPr>
              <w:jc w:val="center"/>
              <w:rPr>
                <w:b/>
                <w:szCs w:val="21"/>
              </w:rPr>
            </w:pPr>
            <w:r>
              <w:rPr>
                <w:b/>
                <w:kern w:val="0"/>
                <w:szCs w:val="21"/>
                <w:lang w:bidi="ar"/>
              </w:rPr>
              <w:t>环保措施</w:t>
            </w:r>
          </w:p>
        </w:tc>
        <w:tc>
          <w:tcPr>
            <w:tcW w:w="1021" w:type="pct"/>
            <w:noWrap w:val="0"/>
            <w:vAlign w:val="center"/>
          </w:tcPr>
          <w:p>
            <w:pPr>
              <w:topLinePunct/>
              <w:jc w:val="center"/>
              <w:rPr>
                <w:b/>
                <w:color w:val="000000"/>
                <w:szCs w:val="21"/>
              </w:rPr>
            </w:pPr>
            <w:r>
              <w:rPr>
                <w:b/>
                <w:color w:val="000000"/>
                <w:szCs w:val="21"/>
              </w:rPr>
              <w:t>效益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2" w:type="pct"/>
            <w:noWrap w:val="0"/>
            <w:tcMar>
              <w:left w:w="0" w:type="dxa"/>
              <w:right w:w="0" w:type="dxa"/>
            </w:tcMar>
            <w:vAlign w:val="center"/>
          </w:tcPr>
          <w:p>
            <w:pPr>
              <w:jc w:val="center"/>
              <w:rPr>
                <w:szCs w:val="21"/>
              </w:rPr>
            </w:pPr>
            <w:r>
              <w:rPr>
                <w:kern w:val="0"/>
                <w:szCs w:val="21"/>
                <w:lang w:bidi="ar"/>
              </w:rPr>
              <w:t>1</w:t>
            </w:r>
          </w:p>
        </w:tc>
        <w:tc>
          <w:tcPr>
            <w:tcW w:w="748" w:type="pct"/>
            <w:noWrap w:val="0"/>
            <w:tcMar>
              <w:left w:w="0" w:type="dxa"/>
              <w:right w:w="0" w:type="dxa"/>
            </w:tcMar>
            <w:vAlign w:val="center"/>
          </w:tcPr>
          <w:p>
            <w:pPr>
              <w:jc w:val="center"/>
              <w:rPr>
                <w:szCs w:val="21"/>
              </w:rPr>
            </w:pPr>
            <w:r>
              <w:rPr>
                <w:kern w:val="0"/>
                <w:szCs w:val="21"/>
                <w:lang w:bidi="ar"/>
              </w:rPr>
              <w:t>对施工生活区影响</w:t>
            </w:r>
          </w:p>
        </w:tc>
        <w:tc>
          <w:tcPr>
            <w:tcW w:w="3049" w:type="pct"/>
            <w:noWrap w:val="0"/>
            <w:tcMar>
              <w:left w:w="0" w:type="dxa"/>
              <w:right w:w="0" w:type="dxa"/>
            </w:tcMar>
            <w:vAlign w:val="center"/>
          </w:tcPr>
          <w:p>
            <w:pPr>
              <w:jc w:val="center"/>
              <w:rPr>
                <w:szCs w:val="21"/>
              </w:rPr>
            </w:pPr>
            <w:r>
              <w:rPr>
                <w:kern w:val="0"/>
                <w:szCs w:val="21"/>
                <w:lang w:bidi="ar"/>
              </w:rPr>
              <w:t>合理规划各种施工机械设备布局，采用科学的施工方法，严格控制施工作业范围和作业时间，禁止夜间施工</w:t>
            </w:r>
          </w:p>
        </w:tc>
        <w:tc>
          <w:tcPr>
            <w:tcW w:w="1021" w:type="pct"/>
            <w:noWrap w:val="0"/>
            <w:vAlign w:val="center"/>
          </w:tcPr>
          <w:p>
            <w:pPr>
              <w:topLinePunct/>
              <w:spacing w:before="78" w:beforeLines="25" w:after="78" w:afterLines="25"/>
              <w:jc w:val="center"/>
              <w:rPr>
                <w:color w:val="000000"/>
              </w:rPr>
            </w:pPr>
            <w:r>
              <w:rPr>
                <w:color w:val="000000"/>
              </w:rPr>
              <w:t>减轻噪声对施工生活区影响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2" w:type="pct"/>
            <w:noWrap w:val="0"/>
            <w:tcMar>
              <w:left w:w="0" w:type="dxa"/>
              <w:right w:w="0" w:type="dxa"/>
            </w:tcMar>
            <w:vAlign w:val="center"/>
          </w:tcPr>
          <w:p>
            <w:pPr>
              <w:jc w:val="center"/>
              <w:rPr>
                <w:szCs w:val="21"/>
              </w:rPr>
            </w:pPr>
            <w:r>
              <w:rPr>
                <w:kern w:val="0"/>
                <w:szCs w:val="21"/>
                <w:lang w:bidi="ar"/>
              </w:rPr>
              <w:t>2</w:t>
            </w:r>
          </w:p>
        </w:tc>
        <w:tc>
          <w:tcPr>
            <w:tcW w:w="748" w:type="pct"/>
            <w:noWrap w:val="0"/>
            <w:tcMar>
              <w:left w:w="0" w:type="dxa"/>
              <w:right w:w="0" w:type="dxa"/>
            </w:tcMar>
            <w:vAlign w:val="center"/>
          </w:tcPr>
          <w:p>
            <w:pPr>
              <w:jc w:val="center"/>
              <w:rPr>
                <w:szCs w:val="21"/>
              </w:rPr>
            </w:pPr>
            <w:r>
              <w:rPr>
                <w:kern w:val="0"/>
                <w:szCs w:val="21"/>
                <w:lang w:bidi="ar"/>
              </w:rPr>
              <w:t>对高噪声源设备操作人员影响</w:t>
            </w:r>
          </w:p>
        </w:tc>
        <w:tc>
          <w:tcPr>
            <w:tcW w:w="3049" w:type="pct"/>
            <w:noWrap w:val="0"/>
            <w:tcMar>
              <w:left w:w="0" w:type="dxa"/>
              <w:right w:w="0" w:type="dxa"/>
            </w:tcMar>
            <w:vAlign w:val="center"/>
          </w:tcPr>
          <w:p>
            <w:pPr>
              <w:jc w:val="center"/>
              <w:rPr>
                <w:szCs w:val="21"/>
              </w:rPr>
            </w:pPr>
            <w:r>
              <w:rPr>
                <w:kern w:val="0"/>
                <w:szCs w:val="21"/>
                <w:lang w:bidi="ar"/>
              </w:rPr>
              <w:t>尽量选用低噪声、高效率设备，给高噪声设备安装隔声罩、推土机、铲平机等强噪声源设备的操作人员配戴耳塞，加强身体防护</w:t>
            </w:r>
          </w:p>
        </w:tc>
        <w:tc>
          <w:tcPr>
            <w:tcW w:w="1021" w:type="pct"/>
            <w:noWrap w:val="0"/>
            <w:vAlign w:val="center"/>
          </w:tcPr>
          <w:p>
            <w:pPr>
              <w:topLinePunct/>
              <w:spacing w:before="78" w:beforeLines="25" w:after="78" w:afterLines="25"/>
              <w:jc w:val="center"/>
              <w:rPr>
                <w:color w:val="000000"/>
              </w:rPr>
            </w:pPr>
            <w:r>
              <w:rPr>
                <w:color w:val="000000"/>
              </w:rPr>
              <w:t>减轻噪声对施工人员身体健康的影响</w:t>
            </w:r>
          </w:p>
        </w:tc>
      </w:tr>
    </w:tbl>
    <w:p>
      <w:pPr>
        <w:pStyle w:val="2"/>
        <w:spacing w:before="0" w:after="0" w:line="520" w:lineRule="exact"/>
        <w:rPr>
          <w:rFonts w:eastAsia="黑体"/>
          <w:b w:val="0"/>
          <w:sz w:val="24"/>
          <w:szCs w:val="24"/>
        </w:rPr>
      </w:pPr>
      <w:r>
        <w:rPr>
          <w:rFonts w:eastAsia="黑体"/>
          <w:b w:val="0"/>
          <w:sz w:val="24"/>
          <w:szCs w:val="24"/>
        </w:rPr>
        <w:t>5.1.4施工期固废污染防治措施分析</w:t>
      </w:r>
    </w:p>
    <w:p>
      <w:pPr>
        <w:adjustRightInd w:val="0"/>
        <w:snapToGrid w:val="0"/>
        <w:spacing w:line="500" w:lineRule="exact"/>
        <w:ind w:firstLine="480" w:firstLineChars="200"/>
        <w:rPr>
          <w:sz w:val="24"/>
        </w:rPr>
      </w:pPr>
      <w:r>
        <w:rPr>
          <w:kern w:val="0"/>
          <w:sz w:val="24"/>
          <w:lang w:bidi="ar"/>
        </w:rPr>
        <w:t>项目施工期固废主要是施工建筑垃圾、施工生活垃圾，评价根据各种污染物排放特点及性质提出污染防治措施见表5.1-4。</w:t>
      </w:r>
    </w:p>
    <w:p>
      <w:pPr>
        <w:spacing w:after="93" w:afterLines="30" w:line="500" w:lineRule="exact"/>
        <w:jc w:val="center"/>
        <w:rPr>
          <w:b/>
          <w:sz w:val="24"/>
        </w:rPr>
      </w:pPr>
      <w:r>
        <w:rPr>
          <w:b/>
          <w:kern w:val="0"/>
          <w:sz w:val="24"/>
          <w:lang w:bidi="ar"/>
        </w:rPr>
        <w:t>表5.1-4      施工期固废污染防治措施一览表</w:t>
      </w:r>
    </w:p>
    <w:tbl>
      <w:tblPr>
        <w:tblStyle w:val="17"/>
        <w:tblW w:w="0" w:type="auto"/>
        <w:tblInd w:w="10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20"/>
        <w:gridCol w:w="3872"/>
        <w:gridCol w:w="396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20" w:type="dxa"/>
            <w:noWrap w:val="0"/>
            <w:tcMar>
              <w:left w:w="0" w:type="dxa"/>
              <w:right w:w="0" w:type="dxa"/>
            </w:tcMar>
            <w:vAlign w:val="center"/>
          </w:tcPr>
          <w:p>
            <w:pPr>
              <w:adjustRightInd w:val="0"/>
              <w:snapToGrid w:val="0"/>
              <w:spacing w:line="360" w:lineRule="exact"/>
              <w:jc w:val="center"/>
              <w:rPr>
                <w:b/>
                <w:szCs w:val="21"/>
              </w:rPr>
            </w:pPr>
            <w:r>
              <w:rPr>
                <w:b/>
                <w:kern w:val="0"/>
                <w:szCs w:val="21"/>
                <w:lang w:bidi="ar"/>
              </w:rPr>
              <w:t>序号</w:t>
            </w:r>
          </w:p>
        </w:tc>
        <w:tc>
          <w:tcPr>
            <w:tcW w:w="3872" w:type="dxa"/>
            <w:noWrap w:val="0"/>
            <w:tcMar>
              <w:left w:w="0" w:type="dxa"/>
              <w:right w:w="0" w:type="dxa"/>
            </w:tcMar>
            <w:vAlign w:val="center"/>
          </w:tcPr>
          <w:p>
            <w:pPr>
              <w:adjustRightInd w:val="0"/>
              <w:snapToGrid w:val="0"/>
              <w:spacing w:line="360" w:lineRule="exact"/>
              <w:jc w:val="center"/>
              <w:rPr>
                <w:b/>
                <w:szCs w:val="21"/>
              </w:rPr>
            </w:pPr>
            <w:r>
              <w:rPr>
                <w:b/>
                <w:kern w:val="0"/>
                <w:szCs w:val="21"/>
                <w:lang w:bidi="ar"/>
              </w:rPr>
              <w:t>主要环境影响</w:t>
            </w:r>
          </w:p>
        </w:tc>
        <w:tc>
          <w:tcPr>
            <w:tcW w:w="3968" w:type="dxa"/>
            <w:noWrap w:val="0"/>
            <w:tcMar>
              <w:left w:w="0" w:type="dxa"/>
              <w:right w:w="0" w:type="dxa"/>
            </w:tcMar>
            <w:vAlign w:val="center"/>
          </w:tcPr>
          <w:p>
            <w:pPr>
              <w:adjustRightInd w:val="0"/>
              <w:snapToGrid w:val="0"/>
              <w:spacing w:line="360" w:lineRule="exact"/>
              <w:jc w:val="center"/>
              <w:rPr>
                <w:b/>
                <w:szCs w:val="21"/>
              </w:rPr>
            </w:pPr>
            <w:r>
              <w:rPr>
                <w:b/>
                <w:kern w:val="0"/>
                <w:szCs w:val="21"/>
                <w:lang w:bidi="ar"/>
              </w:rPr>
              <w:t>环保措施</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20" w:type="dxa"/>
            <w:noWrap w:val="0"/>
            <w:tcMar>
              <w:left w:w="0" w:type="dxa"/>
              <w:right w:w="0" w:type="dxa"/>
            </w:tcMar>
            <w:vAlign w:val="center"/>
          </w:tcPr>
          <w:p>
            <w:pPr>
              <w:adjustRightInd w:val="0"/>
              <w:snapToGrid w:val="0"/>
              <w:spacing w:line="360" w:lineRule="exact"/>
              <w:jc w:val="center"/>
              <w:rPr>
                <w:szCs w:val="21"/>
              </w:rPr>
            </w:pPr>
            <w:r>
              <w:rPr>
                <w:kern w:val="0"/>
                <w:szCs w:val="21"/>
                <w:lang w:bidi="ar"/>
              </w:rPr>
              <w:t>1</w:t>
            </w:r>
          </w:p>
        </w:tc>
        <w:tc>
          <w:tcPr>
            <w:tcW w:w="3872" w:type="dxa"/>
            <w:noWrap w:val="0"/>
            <w:tcMar>
              <w:left w:w="0" w:type="dxa"/>
              <w:right w:w="0" w:type="dxa"/>
            </w:tcMar>
            <w:vAlign w:val="center"/>
          </w:tcPr>
          <w:p>
            <w:pPr>
              <w:adjustRightInd w:val="0"/>
              <w:snapToGrid w:val="0"/>
              <w:spacing w:line="360" w:lineRule="exact"/>
              <w:jc w:val="center"/>
              <w:rPr>
                <w:szCs w:val="21"/>
              </w:rPr>
            </w:pPr>
            <w:r>
              <w:rPr>
                <w:kern w:val="0"/>
                <w:szCs w:val="21"/>
                <w:lang w:bidi="ar"/>
              </w:rPr>
              <w:t>建筑垃圾遇风、雨、雪等恶劣天气材料流失，对环境产生的影响</w:t>
            </w:r>
          </w:p>
        </w:tc>
        <w:tc>
          <w:tcPr>
            <w:tcW w:w="3968" w:type="dxa"/>
            <w:noWrap w:val="0"/>
            <w:tcMar>
              <w:left w:w="0" w:type="dxa"/>
              <w:right w:w="0" w:type="dxa"/>
            </w:tcMar>
            <w:vAlign w:val="center"/>
          </w:tcPr>
          <w:p>
            <w:pPr>
              <w:adjustRightInd w:val="0"/>
              <w:snapToGrid w:val="0"/>
              <w:spacing w:line="360" w:lineRule="exact"/>
              <w:jc w:val="center"/>
              <w:rPr>
                <w:szCs w:val="21"/>
              </w:rPr>
            </w:pPr>
            <w:r>
              <w:rPr>
                <w:kern w:val="0"/>
                <w:szCs w:val="21"/>
                <w:lang w:bidi="ar"/>
              </w:rPr>
              <w:t>建筑垃圾集中堆存，堆场加防尘网覆盖，并及时清运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20" w:type="dxa"/>
            <w:noWrap w:val="0"/>
            <w:tcMar>
              <w:left w:w="0" w:type="dxa"/>
              <w:right w:w="0" w:type="dxa"/>
            </w:tcMar>
            <w:vAlign w:val="center"/>
          </w:tcPr>
          <w:p>
            <w:pPr>
              <w:adjustRightInd w:val="0"/>
              <w:snapToGrid w:val="0"/>
              <w:spacing w:line="360" w:lineRule="exact"/>
              <w:jc w:val="center"/>
              <w:rPr>
                <w:szCs w:val="21"/>
              </w:rPr>
            </w:pPr>
            <w:r>
              <w:rPr>
                <w:kern w:val="0"/>
                <w:szCs w:val="21"/>
                <w:lang w:bidi="ar"/>
              </w:rPr>
              <w:t>2</w:t>
            </w:r>
          </w:p>
        </w:tc>
        <w:tc>
          <w:tcPr>
            <w:tcW w:w="3872" w:type="dxa"/>
            <w:noWrap w:val="0"/>
            <w:tcMar>
              <w:left w:w="0" w:type="dxa"/>
              <w:right w:w="0" w:type="dxa"/>
            </w:tcMar>
            <w:vAlign w:val="center"/>
          </w:tcPr>
          <w:p>
            <w:pPr>
              <w:adjustRightInd w:val="0"/>
              <w:snapToGrid w:val="0"/>
              <w:spacing w:line="360" w:lineRule="exact"/>
              <w:jc w:val="center"/>
              <w:rPr>
                <w:szCs w:val="21"/>
              </w:rPr>
            </w:pPr>
            <w:r>
              <w:rPr>
                <w:kern w:val="0"/>
                <w:szCs w:val="21"/>
                <w:lang w:bidi="ar"/>
              </w:rPr>
              <w:t>施工人员生活垃圾</w:t>
            </w:r>
          </w:p>
        </w:tc>
        <w:tc>
          <w:tcPr>
            <w:tcW w:w="3968" w:type="dxa"/>
            <w:noWrap w:val="0"/>
            <w:tcMar>
              <w:left w:w="0" w:type="dxa"/>
              <w:right w:w="0" w:type="dxa"/>
            </w:tcMar>
            <w:vAlign w:val="center"/>
          </w:tcPr>
          <w:p>
            <w:pPr>
              <w:adjustRightInd w:val="0"/>
              <w:snapToGrid w:val="0"/>
              <w:spacing w:line="360" w:lineRule="exact"/>
              <w:jc w:val="center"/>
              <w:rPr>
                <w:szCs w:val="21"/>
              </w:rPr>
            </w:pPr>
            <w:r>
              <w:rPr>
                <w:kern w:val="0"/>
                <w:szCs w:val="21"/>
                <w:lang w:bidi="ar"/>
              </w:rPr>
              <w:t>设置垃圾箱，由环卫工人及时清运</w:t>
            </w:r>
          </w:p>
        </w:tc>
      </w:tr>
    </w:tbl>
    <w:p>
      <w:pPr>
        <w:pStyle w:val="2"/>
        <w:spacing w:before="0" w:after="0" w:line="520" w:lineRule="exact"/>
        <w:rPr>
          <w:rFonts w:eastAsia="黑体"/>
          <w:b w:val="0"/>
          <w:sz w:val="24"/>
          <w:szCs w:val="24"/>
        </w:rPr>
      </w:pPr>
      <w:r>
        <w:rPr>
          <w:rFonts w:eastAsia="黑体"/>
          <w:b w:val="0"/>
          <w:sz w:val="24"/>
          <w:szCs w:val="24"/>
        </w:rPr>
        <w:t>5.1.5施工期水土保持措施分析</w:t>
      </w:r>
    </w:p>
    <w:p>
      <w:pPr>
        <w:pStyle w:val="14"/>
        <w:widowControl w:val="0"/>
        <w:spacing w:before="0" w:beforeAutospacing="0" w:after="0" w:afterAutospacing="0" w:line="500" w:lineRule="exact"/>
        <w:ind w:firstLine="400"/>
        <w:jc w:val="both"/>
        <w:rPr>
          <w:rFonts w:ascii="Times New Roman" w:hAnsi="Times New Roman" w:eastAsia="宋体" w:cs="Times New Roman"/>
          <w:color w:val="auto"/>
          <w:kern w:val="2"/>
        </w:rPr>
      </w:pPr>
      <w:r>
        <w:rPr>
          <w:rFonts w:ascii="Times New Roman" w:hAnsi="Times New Roman" w:eastAsia="宋体" w:cs="Times New Roman"/>
          <w:color w:val="auto"/>
          <w:kern w:val="2"/>
          <w:lang w:bidi="ar"/>
        </w:rPr>
        <w:t>（1）主体工程防治区</w:t>
      </w:r>
    </w:p>
    <w:p>
      <w:pPr>
        <w:pStyle w:val="14"/>
        <w:widowControl w:val="0"/>
        <w:spacing w:before="0" w:beforeAutospacing="0" w:after="0" w:afterAutospacing="0" w:line="500" w:lineRule="exact"/>
        <w:ind w:firstLine="480" w:firstLineChars="200"/>
        <w:jc w:val="both"/>
        <w:rPr>
          <w:rFonts w:ascii="Times New Roman" w:hAnsi="Times New Roman" w:eastAsia="宋体" w:cs="Times New Roman"/>
          <w:color w:val="auto"/>
          <w:kern w:val="2"/>
        </w:rPr>
      </w:pPr>
      <w:r>
        <w:rPr>
          <w:rFonts w:ascii="Times New Roman" w:hAnsi="Times New Roman" w:eastAsia="宋体" w:cs="Times New Roman"/>
          <w:color w:val="auto"/>
          <w:kern w:val="2"/>
          <w:lang w:bidi="ar"/>
        </w:rPr>
        <w:t>主体及辅助工程开挖完工后及时对边坡进行固化护坡，在坡脚撒播草籽对裸露地表进行绿化，对进厂道路进行固化，完善排水设施，使水土流失降到最低水平</w:t>
      </w:r>
      <w:r>
        <w:rPr>
          <w:rFonts w:hint="eastAsia" w:ascii="Times New Roman" w:hAnsi="Times New Roman" w:eastAsia="宋体" w:cs="Times New Roman"/>
          <w:color w:val="auto"/>
          <w:kern w:val="2"/>
          <w:lang w:bidi="ar"/>
        </w:rPr>
        <w:t>。</w:t>
      </w:r>
    </w:p>
    <w:p>
      <w:pPr>
        <w:pStyle w:val="14"/>
        <w:widowControl w:val="0"/>
        <w:spacing w:before="0" w:beforeAutospacing="0" w:after="0" w:afterAutospacing="0" w:line="500" w:lineRule="exact"/>
        <w:ind w:firstLine="400"/>
        <w:jc w:val="both"/>
        <w:rPr>
          <w:rFonts w:ascii="Times New Roman" w:hAnsi="Times New Roman" w:eastAsia="宋体" w:cs="Times New Roman"/>
          <w:color w:val="auto"/>
          <w:kern w:val="2"/>
        </w:rPr>
      </w:pPr>
      <w:r>
        <w:rPr>
          <w:rFonts w:ascii="Times New Roman" w:hAnsi="Times New Roman" w:eastAsia="宋体" w:cs="Times New Roman"/>
          <w:color w:val="auto"/>
          <w:kern w:val="2"/>
          <w:lang w:bidi="ar"/>
        </w:rPr>
        <w:t>（2）施工临时工程防治区</w:t>
      </w:r>
    </w:p>
    <w:p>
      <w:pPr>
        <w:pStyle w:val="14"/>
        <w:widowControl w:val="0"/>
        <w:spacing w:before="0" w:beforeAutospacing="0" w:after="0" w:afterAutospacing="0" w:line="500" w:lineRule="exact"/>
        <w:ind w:firstLine="480" w:firstLineChars="200"/>
        <w:jc w:val="both"/>
        <w:rPr>
          <w:rFonts w:ascii="Times New Roman" w:hAnsi="Times New Roman" w:eastAsia="宋体" w:cs="Times New Roman"/>
          <w:color w:val="auto"/>
          <w:kern w:val="2"/>
        </w:rPr>
      </w:pPr>
      <w:r>
        <w:rPr>
          <w:rFonts w:ascii="Times New Roman" w:hAnsi="Times New Roman" w:eastAsia="宋体" w:cs="Times New Roman"/>
          <w:color w:val="auto"/>
          <w:kern w:val="2"/>
          <w:lang w:bidi="ar"/>
        </w:rPr>
        <w:t>施工临时工程主要包括施工道路和施工生产区。施工完工后，应对临时地面建筑进行清理，对土地进行平整并硬化，同时设置必要的绿化带来缓解水土流失的影响。</w:t>
      </w:r>
    </w:p>
    <w:p>
      <w:pPr>
        <w:pStyle w:val="14"/>
        <w:widowControl w:val="0"/>
        <w:spacing w:before="0" w:beforeAutospacing="0" w:after="0" w:afterAutospacing="0" w:line="500" w:lineRule="exact"/>
        <w:ind w:firstLine="400"/>
        <w:jc w:val="both"/>
        <w:rPr>
          <w:rFonts w:ascii="Times New Roman" w:hAnsi="Times New Roman" w:eastAsia="宋体" w:cs="Times New Roman"/>
          <w:color w:val="auto"/>
          <w:kern w:val="2"/>
        </w:rPr>
      </w:pPr>
      <w:r>
        <w:rPr>
          <w:rFonts w:ascii="Times New Roman" w:hAnsi="Times New Roman" w:eastAsia="宋体" w:cs="Times New Roman"/>
          <w:color w:val="auto"/>
          <w:kern w:val="2"/>
          <w:lang w:bidi="ar"/>
        </w:rPr>
        <w:t>（3）进场道路区</w:t>
      </w:r>
    </w:p>
    <w:p>
      <w:pPr>
        <w:pStyle w:val="14"/>
        <w:widowControl w:val="0"/>
        <w:spacing w:before="0" w:beforeAutospacing="0" w:after="0" w:afterAutospacing="0" w:line="500" w:lineRule="exact"/>
        <w:ind w:firstLine="480" w:firstLineChars="200"/>
        <w:jc w:val="both"/>
        <w:rPr>
          <w:rFonts w:ascii="Times New Roman" w:hAnsi="Times New Roman" w:eastAsia="宋体" w:cs="Times New Roman"/>
          <w:color w:val="auto"/>
          <w:kern w:val="2"/>
        </w:rPr>
      </w:pPr>
      <w:r>
        <w:rPr>
          <w:rFonts w:ascii="Times New Roman" w:hAnsi="Times New Roman" w:eastAsia="宋体" w:cs="Times New Roman"/>
          <w:color w:val="auto"/>
          <w:kern w:val="2"/>
          <w:lang w:bidi="ar"/>
        </w:rPr>
        <w:t>本工程设永久进场道路，进场道路进行硬化，两侧设混凝土路边排水沟，并种植高大植物予以绿化。</w:t>
      </w:r>
    </w:p>
    <w:p>
      <w:pPr>
        <w:pStyle w:val="2"/>
        <w:spacing w:before="0" w:after="0" w:line="520" w:lineRule="exact"/>
        <w:rPr>
          <w:rFonts w:eastAsia="黑体"/>
          <w:b w:val="0"/>
          <w:sz w:val="24"/>
          <w:szCs w:val="24"/>
        </w:rPr>
      </w:pPr>
      <w:r>
        <w:rPr>
          <w:rFonts w:eastAsia="黑体"/>
          <w:b w:val="0"/>
          <w:sz w:val="24"/>
          <w:szCs w:val="24"/>
        </w:rPr>
        <w:t>5.1.6生态保护措施分析</w:t>
      </w:r>
    </w:p>
    <w:p>
      <w:pPr>
        <w:pStyle w:val="14"/>
        <w:widowControl w:val="0"/>
        <w:spacing w:before="0" w:beforeAutospacing="0" w:after="0" w:afterAutospacing="0" w:line="500" w:lineRule="exact"/>
        <w:ind w:firstLine="480" w:firstLineChars="200"/>
        <w:jc w:val="both"/>
        <w:rPr>
          <w:rFonts w:ascii="Times New Roman" w:hAnsi="Times New Roman" w:eastAsia="宋体" w:cs="Times New Roman"/>
          <w:color w:val="auto"/>
          <w:kern w:val="2"/>
        </w:rPr>
      </w:pPr>
      <w:bookmarkStart w:id="436" w:name="_Toc409787337"/>
      <w:bookmarkEnd w:id="436"/>
      <w:bookmarkStart w:id="437" w:name="_Toc413833479"/>
      <w:r>
        <w:rPr>
          <w:rFonts w:ascii="Times New Roman" w:hAnsi="Times New Roman" w:eastAsia="宋体" w:cs="Times New Roman"/>
          <w:color w:val="auto"/>
          <w:kern w:val="2"/>
          <w:lang w:bidi="ar"/>
        </w:rPr>
        <w:t>项目施工期所有建筑材料由乡道、村道运往项目建设区，临时堆放于项目厂区。项目厂区用地为农田，紧邻村道，项目建设不涉及临时占地。项目施工期主要是项目厂区土地平整</w:t>
      </w:r>
      <w:bookmarkEnd w:id="437"/>
      <w:r>
        <w:rPr>
          <w:rFonts w:ascii="Times New Roman" w:hAnsi="Times New Roman" w:eastAsia="宋体" w:cs="Times New Roman"/>
          <w:color w:val="auto"/>
          <w:kern w:val="2"/>
          <w:lang w:bidi="ar"/>
        </w:rPr>
        <w:t>、开挖对项目区植被的破坏，现在项目建设期及建设完成后拟将从以下几个方面进行生态恢复：</w:t>
      </w:r>
    </w:p>
    <w:p>
      <w:pPr>
        <w:spacing w:line="500" w:lineRule="exact"/>
        <w:ind w:firstLine="480" w:firstLineChars="200"/>
        <w:rPr>
          <w:sz w:val="24"/>
        </w:rPr>
      </w:pPr>
      <w:r>
        <w:rPr>
          <w:sz w:val="24"/>
          <w:lang w:bidi="ar"/>
        </w:rPr>
        <w:t>（1）施工期尽量避开农作物生长季节施工，最大限度减少农作物产量的损失；</w:t>
      </w:r>
    </w:p>
    <w:p>
      <w:pPr>
        <w:spacing w:line="500" w:lineRule="exact"/>
        <w:ind w:firstLine="480" w:firstLineChars="200"/>
        <w:rPr>
          <w:sz w:val="24"/>
        </w:rPr>
      </w:pPr>
      <w:r>
        <w:rPr>
          <w:sz w:val="24"/>
          <w:lang w:bidi="ar"/>
        </w:rPr>
        <w:t>（2）项目施工过程中尽量减少土石方量，对场址周围受到破坏的植被进行修复，四周、道路两边及空地进行绿化，提高植被覆盖率，以最大限度降低项目对生态环境的影响；</w:t>
      </w:r>
    </w:p>
    <w:p>
      <w:pPr>
        <w:spacing w:line="500" w:lineRule="exact"/>
        <w:ind w:firstLine="480" w:firstLineChars="200"/>
        <w:rPr>
          <w:sz w:val="24"/>
        </w:rPr>
      </w:pPr>
      <w:r>
        <w:rPr>
          <w:sz w:val="24"/>
          <w:lang w:bidi="ar"/>
        </w:rPr>
        <w:t>（3）及时清理施工作业区域产生的废弃物</w:t>
      </w:r>
      <w:r>
        <w:rPr>
          <w:rFonts w:hint="eastAsia"/>
          <w:sz w:val="24"/>
          <w:lang w:bidi="ar"/>
        </w:rPr>
        <w:t>；</w:t>
      </w:r>
    </w:p>
    <w:p>
      <w:pPr>
        <w:pStyle w:val="14"/>
        <w:widowControl w:val="0"/>
        <w:spacing w:before="0" w:beforeAutospacing="0" w:after="0" w:afterAutospacing="0" w:line="500" w:lineRule="exact"/>
        <w:ind w:firstLine="480" w:firstLineChars="200"/>
        <w:jc w:val="both"/>
        <w:rPr>
          <w:rFonts w:ascii="Times New Roman" w:hAnsi="Times New Roman" w:eastAsia="宋体" w:cs="Times New Roman"/>
          <w:color w:val="auto"/>
          <w:kern w:val="2"/>
        </w:rPr>
      </w:pPr>
      <w:r>
        <w:rPr>
          <w:rFonts w:ascii="Times New Roman" w:hAnsi="Times New Roman" w:eastAsia="宋体" w:cs="Times New Roman"/>
          <w:color w:val="auto"/>
          <w:kern w:val="2"/>
          <w:lang w:bidi="ar"/>
        </w:rPr>
        <w:t>（4）项目建成后，将对场区内进行绿化，能在一定程度上补偿对原有生态的影响，并能使项目与周围环境更加协调，起到美化环境的效果</w:t>
      </w:r>
      <w:r>
        <w:rPr>
          <w:rFonts w:hint="eastAsia" w:ascii="Times New Roman" w:hAnsi="Times New Roman" w:eastAsia="宋体" w:cs="Times New Roman"/>
          <w:color w:val="auto"/>
          <w:kern w:val="2"/>
          <w:lang w:bidi="ar"/>
        </w:rPr>
        <w:t>；</w:t>
      </w:r>
    </w:p>
    <w:p>
      <w:pPr>
        <w:spacing w:line="500" w:lineRule="exact"/>
        <w:ind w:firstLine="480" w:firstLineChars="200"/>
        <w:rPr>
          <w:sz w:val="24"/>
        </w:rPr>
      </w:pPr>
      <w:r>
        <w:rPr>
          <w:sz w:val="24"/>
          <w:lang w:bidi="ar"/>
        </w:rPr>
        <w:t>（5）项目运营结束后，及时对土地进行复垦。</w:t>
      </w:r>
    </w:p>
    <w:p>
      <w:pPr>
        <w:pStyle w:val="14"/>
        <w:widowControl w:val="0"/>
        <w:spacing w:before="0" w:beforeAutospacing="0" w:after="0" w:afterAutospacing="0" w:line="500" w:lineRule="exact"/>
        <w:ind w:firstLine="480" w:firstLineChars="200"/>
        <w:jc w:val="both"/>
        <w:rPr>
          <w:rFonts w:hint="eastAsia" w:ascii="Times New Roman" w:hAnsi="Times New Roman" w:eastAsia="宋体" w:cs="Times New Roman"/>
          <w:color w:val="auto"/>
          <w:kern w:val="2"/>
          <w:lang w:bidi="ar"/>
        </w:rPr>
      </w:pPr>
      <w:r>
        <w:rPr>
          <w:rFonts w:ascii="Times New Roman" w:hAnsi="Times New Roman" w:eastAsia="宋体" w:cs="Times New Roman"/>
          <w:color w:val="auto"/>
          <w:kern w:val="2"/>
          <w:lang w:bidi="ar"/>
        </w:rPr>
        <w:t>一般来说，施工期间对环境的影响是暂时的，加强施工管理，采取环评提出的措施后，施工结束后受影响的环境要素大多可得到恢复。</w:t>
      </w:r>
    </w:p>
    <w:p>
      <w:pPr>
        <w:pStyle w:val="2"/>
        <w:spacing w:before="0" w:after="0" w:line="520" w:lineRule="exact"/>
        <w:rPr>
          <w:rFonts w:eastAsia="黑体"/>
          <w:sz w:val="24"/>
          <w:szCs w:val="24"/>
        </w:rPr>
      </w:pPr>
      <w:r>
        <w:rPr>
          <w:rFonts w:eastAsia="黑体"/>
          <w:sz w:val="24"/>
          <w:szCs w:val="24"/>
        </w:rPr>
        <w:t>5.1.</w:t>
      </w:r>
      <w:r>
        <w:rPr>
          <w:rFonts w:hint="eastAsia" w:eastAsia="黑体"/>
          <w:sz w:val="24"/>
          <w:szCs w:val="24"/>
        </w:rPr>
        <w:t>7施工监理计划</w:t>
      </w:r>
    </w:p>
    <w:p>
      <w:pPr>
        <w:pStyle w:val="14"/>
        <w:widowControl w:val="0"/>
        <w:spacing w:before="0" w:beforeAutospacing="0" w:after="0" w:afterAutospacing="0" w:line="500" w:lineRule="exact"/>
        <w:ind w:firstLine="480" w:firstLineChars="200"/>
        <w:jc w:val="both"/>
        <w:rPr>
          <w:rFonts w:hint="eastAsia" w:ascii="Times New Roman" w:hAnsi="Times New Roman" w:eastAsia="宋体" w:cs="Times New Roman"/>
          <w:color w:val="auto"/>
          <w:kern w:val="2"/>
          <w:lang w:bidi="ar"/>
        </w:rPr>
      </w:pPr>
      <w:r>
        <w:rPr>
          <w:rFonts w:hint="eastAsia" w:ascii="Times New Roman" w:hAnsi="Times New Roman" w:eastAsia="宋体" w:cs="Times New Roman"/>
          <w:color w:val="auto"/>
          <w:kern w:val="2"/>
          <w:lang w:bidi="ar"/>
        </w:rPr>
        <w:t>本项目施工期为6个月，建议实行环境监理。根据国家和地方有关的环境保护法律、法规和文件，技术规范，设计文件，工程和环境质量标准等为监理依据。</w:t>
      </w:r>
    </w:p>
    <w:p>
      <w:pPr>
        <w:pStyle w:val="14"/>
        <w:widowControl w:val="0"/>
        <w:spacing w:before="0" w:beforeAutospacing="0" w:after="0" w:afterAutospacing="0" w:line="500" w:lineRule="exact"/>
        <w:ind w:firstLine="480" w:firstLineChars="200"/>
        <w:jc w:val="both"/>
        <w:rPr>
          <w:rFonts w:hint="eastAsia" w:ascii="Times New Roman" w:hAnsi="Times New Roman" w:eastAsia="宋体" w:cs="Times New Roman"/>
          <w:color w:val="auto"/>
          <w:kern w:val="2"/>
          <w:lang w:bidi="ar"/>
        </w:rPr>
      </w:pPr>
      <w:r>
        <w:rPr>
          <w:rFonts w:hint="eastAsia" w:ascii="Times New Roman" w:hAnsi="Times New Roman" w:eastAsia="宋体" w:cs="Times New Roman"/>
          <w:color w:val="auto"/>
          <w:kern w:val="2"/>
          <w:lang w:bidi="ar"/>
        </w:rPr>
        <w:t>组成环境监理工作领导小组，编制环境监理方案及细则、审核施工环保计划等，以及具体的施工行为作为监理的要点，制定环境隐患及事故的处理应急预案，发现事故及时报告，根据预案流程逐级上报，调查和解决。</w:t>
      </w:r>
    </w:p>
    <w:p>
      <w:pPr>
        <w:keepNext/>
        <w:keepLines/>
        <w:spacing w:before="120" w:after="120" w:line="520" w:lineRule="exact"/>
        <w:outlineLvl w:val="1"/>
        <w:rPr>
          <w:rFonts w:eastAsia="黑体"/>
          <w:sz w:val="28"/>
          <w:szCs w:val="28"/>
        </w:rPr>
      </w:pPr>
      <w:bookmarkStart w:id="438" w:name="_Toc472009605"/>
      <w:bookmarkEnd w:id="438"/>
      <w:bookmarkStart w:id="439" w:name="_Toc9959"/>
      <w:r>
        <w:rPr>
          <w:rFonts w:eastAsia="黑体"/>
          <w:kern w:val="0"/>
          <w:sz w:val="28"/>
          <w:szCs w:val="28"/>
          <w:lang w:bidi="ar"/>
        </w:rPr>
        <w:t>5.2 营运期污染防治措施可行性分析</w:t>
      </w:r>
      <w:bookmarkEnd w:id="439"/>
    </w:p>
    <w:p>
      <w:pPr>
        <w:pStyle w:val="2"/>
        <w:spacing w:before="0" w:after="0" w:line="520" w:lineRule="exact"/>
        <w:rPr>
          <w:rFonts w:eastAsia="黑体"/>
          <w:b w:val="0"/>
          <w:sz w:val="24"/>
          <w:szCs w:val="24"/>
        </w:rPr>
      </w:pPr>
      <w:r>
        <w:rPr>
          <w:rFonts w:eastAsia="黑体"/>
          <w:b w:val="0"/>
          <w:sz w:val="24"/>
          <w:szCs w:val="24"/>
        </w:rPr>
        <w:t>5.2.1</w:t>
      </w:r>
      <w:r>
        <w:rPr>
          <w:rFonts w:hint="eastAsia" w:eastAsia="黑体"/>
          <w:b w:val="0"/>
          <w:sz w:val="24"/>
          <w:szCs w:val="24"/>
        </w:rPr>
        <w:t>废水处理及综合利用措施分析</w:t>
      </w:r>
    </w:p>
    <w:p>
      <w:pPr>
        <w:spacing w:line="500" w:lineRule="exact"/>
        <w:rPr>
          <w:b/>
          <w:sz w:val="24"/>
        </w:rPr>
      </w:pPr>
      <w:r>
        <w:rPr>
          <w:b/>
          <w:kern w:val="0"/>
          <w:sz w:val="24"/>
          <w:lang w:bidi="ar"/>
        </w:rPr>
        <w:t>5.2.1.1</w:t>
      </w:r>
      <w:r>
        <w:rPr>
          <w:rFonts w:hint="eastAsia"/>
          <w:b/>
          <w:kern w:val="0"/>
          <w:sz w:val="24"/>
          <w:lang w:bidi="ar"/>
        </w:rPr>
        <w:t>清粪工艺比选及确定</w:t>
      </w:r>
    </w:p>
    <w:p>
      <w:pPr>
        <w:spacing w:line="520" w:lineRule="exact"/>
        <w:ind w:firstLine="480" w:firstLineChars="200"/>
        <w:rPr>
          <w:kern w:val="0"/>
          <w:sz w:val="24"/>
          <w:lang w:bidi="ar"/>
        </w:rPr>
      </w:pPr>
      <w:r>
        <w:rPr>
          <w:kern w:val="0"/>
          <w:sz w:val="24"/>
          <w:lang w:bidi="ar"/>
        </w:rPr>
        <w:t>根据《畜禽养殖业污染防治技术规范》（HJ/T81-2001），规模化养猪场清粪工艺分为三种：传统干清粪、水冲粪及水泡粪工艺，评价结合生态垫料养殖工艺，从粪污的达标排放及综合利用的角度分别进行比选，对以上四种工艺进行对比分析，最终确定适合本项目的清粪工艺，对比分析结果见表</w:t>
      </w:r>
      <w:r>
        <w:rPr>
          <w:rFonts w:hint="eastAsia"/>
          <w:kern w:val="0"/>
          <w:sz w:val="24"/>
          <w:lang w:bidi="ar"/>
        </w:rPr>
        <w:t>5.2-1</w:t>
      </w:r>
      <w:r>
        <w:rPr>
          <w:kern w:val="0"/>
          <w:sz w:val="24"/>
          <w:lang w:bidi="ar"/>
        </w:rPr>
        <w:t>。</w:t>
      </w:r>
    </w:p>
    <w:p>
      <w:pPr>
        <w:spacing w:after="93" w:afterLines="30" w:line="500" w:lineRule="exact"/>
        <w:jc w:val="center"/>
        <w:rPr>
          <w:b/>
          <w:kern w:val="0"/>
          <w:sz w:val="24"/>
          <w:lang w:bidi="ar"/>
        </w:rPr>
      </w:pPr>
      <w:r>
        <w:rPr>
          <w:b/>
          <w:kern w:val="0"/>
          <w:sz w:val="24"/>
          <w:lang w:bidi="ar"/>
        </w:rPr>
        <w:t>表</w:t>
      </w:r>
      <w:r>
        <w:rPr>
          <w:rFonts w:hint="eastAsia"/>
          <w:b/>
          <w:kern w:val="0"/>
          <w:sz w:val="24"/>
          <w:lang w:bidi="ar"/>
        </w:rPr>
        <w:t>5.2-1</w:t>
      </w:r>
      <w:r>
        <w:rPr>
          <w:b/>
          <w:kern w:val="0"/>
          <w:sz w:val="24"/>
          <w:lang w:bidi="ar"/>
        </w:rPr>
        <w:tab/>
      </w:r>
      <w:r>
        <w:rPr>
          <w:b/>
          <w:kern w:val="0"/>
          <w:sz w:val="24"/>
          <w:lang w:bidi="ar"/>
        </w:rPr>
        <w:t xml:space="preserve"> 清粪工艺对比分析</w:t>
      </w:r>
    </w:p>
    <w:tbl>
      <w:tblPr>
        <w:tblStyle w:val="17"/>
        <w:tblW w:w="5000"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98"/>
        <w:gridCol w:w="2875"/>
        <w:gridCol w:w="1278"/>
        <w:gridCol w:w="1608"/>
        <w:gridCol w:w="1232"/>
        <w:gridCol w:w="116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94" w:type="pct"/>
            <w:vMerge w:val="restart"/>
            <w:noWrap w:val="0"/>
            <w:tcMar>
              <w:left w:w="0" w:type="dxa"/>
              <w:right w:w="0" w:type="dxa"/>
            </w:tcMar>
            <w:vAlign w:val="center"/>
          </w:tcPr>
          <w:p>
            <w:pPr>
              <w:adjustRightInd w:val="0"/>
              <w:jc w:val="center"/>
              <w:rPr>
                <w:color w:val="000000"/>
                <w:szCs w:val="21"/>
              </w:rPr>
            </w:pPr>
            <w:r>
              <w:rPr>
                <w:color w:val="000000"/>
                <w:szCs w:val="21"/>
              </w:rPr>
              <w:t>工艺</w:t>
            </w:r>
          </w:p>
          <w:p>
            <w:pPr>
              <w:adjustRightInd w:val="0"/>
              <w:jc w:val="center"/>
              <w:rPr>
                <w:color w:val="000000"/>
                <w:szCs w:val="21"/>
              </w:rPr>
            </w:pPr>
            <w:r>
              <w:rPr>
                <w:color w:val="000000"/>
                <w:szCs w:val="21"/>
              </w:rPr>
              <w:t>名称</w:t>
            </w:r>
          </w:p>
        </w:tc>
        <w:tc>
          <w:tcPr>
            <w:tcW w:w="1624" w:type="pct"/>
            <w:vMerge w:val="restart"/>
            <w:noWrap w:val="0"/>
            <w:tcMar>
              <w:left w:w="0" w:type="dxa"/>
              <w:right w:w="0" w:type="dxa"/>
            </w:tcMar>
            <w:vAlign w:val="center"/>
          </w:tcPr>
          <w:p>
            <w:pPr>
              <w:adjustRightInd w:val="0"/>
              <w:jc w:val="center"/>
              <w:rPr>
                <w:color w:val="000000"/>
                <w:szCs w:val="21"/>
              </w:rPr>
            </w:pPr>
            <w:r>
              <w:rPr>
                <w:color w:val="000000"/>
                <w:szCs w:val="21"/>
              </w:rPr>
              <w:t>工艺说明</w:t>
            </w:r>
          </w:p>
        </w:tc>
        <w:tc>
          <w:tcPr>
            <w:tcW w:w="1630" w:type="pct"/>
            <w:gridSpan w:val="2"/>
            <w:noWrap w:val="0"/>
            <w:tcMar>
              <w:left w:w="0" w:type="dxa"/>
              <w:right w:w="0" w:type="dxa"/>
            </w:tcMar>
            <w:vAlign w:val="center"/>
          </w:tcPr>
          <w:p>
            <w:pPr>
              <w:adjustRightInd w:val="0"/>
              <w:jc w:val="center"/>
              <w:rPr>
                <w:color w:val="000000"/>
                <w:szCs w:val="21"/>
              </w:rPr>
            </w:pPr>
            <w:r>
              <w:rPr>
                <w:color w:val="000000"/>
                <w:szCs w:val="21"/>
              </w:rPr>
              <w:t>达标排放方案</w:t>
            </w:r>
          </w:p>
        </w:tc>
        <w:tc>
          <w:tcPr>
            <w:tcW w:w="1352" w:type="pct"/>
            <w:gridSpan w:val="2"/>
            <w:noWrap w:val="0"/>
            <w:vAlign w:val="center"/>
          </w:tcPr>
          <w:p>
            <w:pPr>
              <w:adjustRightInd w:val="0"/>
              <w:jc w:val="center"/>
              <w:rPr>
                <w:color w:val="000000"/>
                <w:szCs w:val="21"/>
              </w:rPr>
            </w:pPr>
            <w:r>
              <w:rPr>
                <w:color w:val="000000"/>
                <w:szCs w:val="21"/>
              </w:rPr>
              <w:t>综合利用方案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94" w:type="pct"/>
            <w:vMerge w:val="continue"/>
            <w:noWrap w:val="0"/>
            <w:tcMar>
              <w:left w:w="0" w:type="dxa"/>
              <w:right w:w="0" w:type="dxa"/>
            </w:tcMar>
            <w:vAlign w:val="center"/>
          </w:tcPr>
          <w:p>
            <w:pPr>
              <w:adjustRightInd w:val="0"/>
              <w:jc w:val="center"/>
              <w:rPr>
                <w:color w:val="000000"/>
                <w:szCs w:val="21"/>
              </w:rPr>
            </w:pPr>
          </w:p>
        </w:tc>
        <w:tc>
          <w:tcPr>
            <w:tcW w:w="1624" w:type="pct"/>
            <w:vMerge w:val="continue"/>
            <w:noWrap w:val="0"/>
            <w:tcMar>
              <w:left w:w="0" w:type="dxa"/>
              <w:right w:w="0" w:type="dxa"/>
            </w:tcMar>
            <w:vAlign w:val="center"/>
          </w:tcPr>
          <w:p>
            <w:pPr>
              <w:adjustRightInd w:val="0"/>
              <w:jc w:val="center"/>
              <w:rPr>
                <w:color w:val="000000"/>
                <w:szCs w:val="21"/>
              </w:rPr>
            </w:pPr>
          </w:p>
        </w:tc>
        <w:tc>
          <w:tcPr>
            <w:tcW w:w="722" w:type="pct"/>
            <w:noWrap w:val="0"/>
            <w:tcMar>
              <w:left w:w="0" w:type="dxa"/>
              <w:right w:w="0" w:type="dxa"/>
            </w:tcMar>
            <w:vAlign w:val="center"/>
          </w:tcPr>
          <w:p>
            <w:pPr>
              <w:adjustRightInd w:val="0"/>
              <w:jc w:val="center"/>
              <w:rPr>
                <w:color w:val="000000"/>
                <w:szCs w:val="21"/>
              </w:rPr>
            </w:pPr>
            <w:r>
              <w:rPr>
                <w:color w:val="000000"/>
                <w:szCs w:val="21"/>
              </w:rPr>
              <w:t>优点</w:t>
            </w:r>
          </w:p>
        </w:tc>
        <w:tc>
          <w:tcPr>
            <w:tcW w:w="908" w:type="pct"/>
            <w:noWrap w:val="0"/>
            <w:vAlign w:val="center"/>
          </w:tcPr>
          <w:p>
            <w:pPr>
              <w:adjustRightInd w:val="0"/>
              <w:jc w:val="center"/>
              <w:rPr>
                <w:color w:val="000000"/>
                <w:szCs w:val="21"/>
              </w:rPr>
            </w:pPr>
            <w:r>
              <w:rPr>
                <w:color w:val="000000"/>
                <w:szCs w:val="21"/>
              </w:rPr>
              <w:t>缺点</w:t>
            </w:r>
          </w:p>
        </w:tc>
        <w:tc>
          <w:tcPr>
            <w:tcW w:w="696" w:type="pct"/>
            <w:noWrap w:val="0"/>
            <w:tcMar>
              <w:left w:w="0" w:type="dxa"/>
              <w:right w:w="0" w:type="dxa"/>
            </w:tcMar>
            <w:vAlign w:val="center"/>
          </w:tcPr>
          <w:p>
            <w:pPr>
              <w:adjustRightInd w:val="0"/>
              <w:jc w:val="center"/>
              <w:rPr>
                <w:color w:val="000000"/>
                <w:szCs w:val="21"/>
              </w:rPr>
            </w:pPr>
            <w:r>
              <w:rPr>
                <w:color w:val="000000"/>
                <w:szCs w:val="21"/>
              </w:rPr>
              <w:t>优点</w:t>
            </w:r>
          </w:p>
        </w:tc>
        <w:tc>
          <w:tcPr>
            <w:tcW w:w="656" w:type="pct"/>
            <w:noWrap w:val="0"/>
            <w:vAlign w:val="center"/>
          </w:tcPr>
          <w:p>
            <w:pPr>
              <w:adjustRightInd w:val="0"/>
              <w:jc w:val="center"/>
              <w:rPr>
                <w:color w:val="000000"/>
                <w:szCs w:val="21"/>
              </w:rPr>
            </w:pPr>
            <w:r>
              <w:rPr>
                <w:color w:val="000000"/>
                <w:szCs w:val="21"/>
              </w:rPr>
              <w:t>缺点</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noWrap w:val="0"/>
            <w:tcMar>
              <w:left w:w="0" w:type="dxa"/>
              <w:right w:w="0" w:type="dxa"/>
            </w:tcMar>
            <w:vAlign w:val="center"/>
          </w:tcPr>
          <w:p>
            <w:pPr>
              <w:adjustRightInd w:val="0"/>
              <w:jc w:val="center"/>
              <w:rPr>
                <w:color w:val="000000"/>
                <w:szCs w:val="21"/>
              </w:rPr>
            </w:pPr>
            <w:r>
              <w:rPr>
                <w:color w:val="000000"/>
                <w:szCs w:val="21"/>
              </w:rPr>
              <w:t>水冲粪处理工艺</w:t>
            </w:r>
          </w:p>
        </w:tc>
        <w:tc>
          <w:tcPr>
            <w:tcW w:w="1624" w:type="pct"/>
            <w:noWrap w:val="0"/>
            <w:tcMar>
              <w:left w:w="0" w:type="dxa"/>
              <w:right w:w="0" w:type="dxa"/>
            </w:tcMar>
            <w:vAlign w:val="center"/>
          </w:tcPr>
          <w:p>
            <w:pPr>
              <w:adjustRightInd w:val="0"/>
              <w:jc w:val="center"/>
              <w:rPr>
                <w:color w:val="000000"/>
                <w:szCs w:val="21"/>
              </w:rPr>
            </w:pPr>
            <w:r>
              <w:rPr>
                <w:color w:val="000000"/>
                <w:szCs w:val="21"/>
              </w:rPr>
              <w:t>指畜禽排放的粪、尿和污水混合进入粪沟，每天数次放水冲洗，粪水顺粪沟流入粪便主干沟后排出的清粪工艺</w:t>
            </w:r>
          </w:p>
        </w:tc>
        <w:tc>
          <w:tcPr>
            <w:tcW w:w="722" w:type="pct"/>
            <w:noWrap w:val="0"/>
            <w:tcMar>
              <w:left w:w="0" w:type="dxa"/>
              <w:right w:w="0" w:type="dxa"/>
            </w:tcMar>
            <w:vAlign w:val="center"/>
          </w:tcPr>
          <w:p>
            <w:pPr>
              <w:adjustRightInd w:val="0"/>
              <w:jc w:val="center"/>
              <w:rPr>
                <w:color w:val="000000"/>
                <w:szCs w:val="21"/>
              </w:rPr>
            </w:pPr>
            <w:r>
              <w:rPr>
                <w:color w:val="000000"/>
                <w:szCs w:val="21"/>
              </w:rPr>
              <w:t>保持猪舍内的环境清洁，劳动强度小，劳动效率高</w:t>
            </w:r>
          </w:p>
        </w:tc>
        <w:tc>
          <w:tcPr>
            <w:tcW w:w="908" w:type="pct"/>
            <w:noWrap w:val="0"/>
            <w:vAlign w:val="center"/>
          </w:tcPr>
          <w:p>
            <w:pPr>
              <w:adjustRightInd w:val="0"/>
              <w:jc w:val="center"/>
              <w:rPr>
                <w:color w:val="000000"/>
                <w:szCs w:val="21"/>
              </w:rPr>
            </w:pPr>
            <w:r>
              <w:rPr>
                <w:color w:val="000000"/>
                <w:szCs w:val="21"/>
              </w:rPr>
              <w:t>排水量较大，污染物浓度较高，水处理难度较大，投资成本较高</w:t>
            </w:r>
          </w:p>
        </w:tc>
        <w:tc>
          <w:tcPr>
            <w:tcW w:w="696" w:type="pct"/>
            <w:noWrap w:val="0"/>
            <w:tcMar>
              <w:left w:w="0" w:type="dxa"/>
              <w:right w:w="0" w:type="dxa"/>
            </w:tcMar>
            <w:vAlign w:val="center"/>
          </w:tcPr>
          <w:p>
            <w:pPr>
              <w:adjustRightInd w:val="0"/>
              <w:jc w:val="center"/>
              <w:rPr>
                <w:color w:val="000000"/>
                <w:szCs w:val="21"/>
              </w:rPr>
            </w:pPr>
            <w:r>
              <w:rPr>
                <w:color w:val="000000"/>
                <w:szCs w:val="21"/>
              </w:rPr>
              <w:t>保持猪舍内的环境清洁，劳动强度较小，污水中污染物浓度较高，有利于沼气的产生</w:t>
            </w:r>
          </w:p>
        </w:tc>
        <w:tc>
          <w:tcPr>
            <w:tcW w:w="656" w:type="pct"/>
            <w:noWrap w:val="0"/>
            <w:vAlign w:val="center"/>
          </w:tcPr>
          <w:p>
            <w:pPr>
              <w:adjustRightInd w:val="0"/>
              <w:jc w:val="center"/>
              <w:rPr>
                <w:color w:val="000000"/>
                <w:szCs w:val="21"/>
              </w:rPr>
            </w:pPr>
            <w:r>
              <w:rPr>
                <w:color w:val="000000"/>
                <w:szCs w:val="21"/>
              </w:rPr>
              <w:t>排水量较大，周边需要有较多的土地资源用于消纳粪污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noWrap w:val="0"/>
            <w:tcMar>
              <w:left w:w="0" w:type="dxa"/>
              <w:right w:w="0" w:type="dxa"/>
            </w:tcMar>
            <w:vAlign w:val="center"/>
          </w:tcPr>
          <w:p>
            <w:pPr>
              <w:adjustRightInd w:val="0"/>
              <w:jc w:val="center"/>
              <w:rPr>
                <w:color w:val="000000"/>
                <w:szCs w:val="21"/>
              </w:rPr>
            </w:pPr>
            <w:r>
              <w:rPr>
                <w:color w:val="000000"/>
                <w:szCs w:val="21"/>
              </w:rPr>
              <w:t>水泡粪工艺</w:t>
            </w:r>
          </w:p>
        </w:tc>
        <w:tc>
          <w:tcPr>
            <w:tcW w:w="1624" w:type="pct"/>
            <w:noWrap w:val="0"/>
            <w:tcMar>
              <w:left w:w="0" w:type="dxa"/>
              <w:right w:w="0" w:type="dxa"/>
            </w:tcMar>
            <w:vAlign w:val="center"/>
          </w:tcPr>
          <w:p>
            <w:pPr>
              <w:adjustRightInd w:val="0"/>
              <w:jc w:val="center"/>
              <w:rPr>
                <w:color w:val="000000"/>
                <w:szCs w:val="21"/>
              </w:rPr>
            </w:pPr>
            <w:r>
              <w:rPr>
                <w:color w:val="000000"/>
                <w:szCs w:val="21"/>
              </w:rPr>
              <w:t>在畜禽舍内的排粪沟中注入一定量的水，将粪、尿、冲洗和饲养管理用水一并排放至漏缝地板下的粪沟中，贮存一定时间（一般为 1～2 个月）、待粪沟填满后，打开出口闸门，沟中的粪水顺粪沟流入粪便主干沟后排出的清粪工艺</w:t>
            </w:r>
          </w:p>
        </w:tc>
        <w:tc>
          <w:tcPr>
            <w:tcW w:w="722" w:type="pct"/>
            <w:noWrap w:val="0"/>
            <w:tcMar>
              <w:left w:w="0" w:type="dxa"/>
              <w:right w:w="0" w:type="dxa"/>
            </w:tcMar>
            <w:vAlign w:val="center"/>
          </w:tcPr>
          <w:p>
            <w:pPr>
              <w:adjustRightInd w:val="0"/>
              <w:jc w:val="center"/>
              <w:rPr>
                <w:color w:val="000000"/>
                <w:szCs w:val="21"/>
              </w:rPr>
            </w:pPr>
            <w:r>
              <w:rPr>
                <w:color w:val="000000"/>
                <w:szCs w:val="21"/>
              </w:rPr>
              <w:t>保持猪舍内的环境清洁，劳动强度小，劳动效率高</w:t>
            </w:r>
          </w:p>
        </w:tc>
        <w:tc>
          <w:tcPr>
            <w:tcW w:w="908" w:type="pct"/>
            <w:noWrap w:val="0"/>
            <w:vAlign w:val="center"/>
          </w:tcPr>
          <w:p>
            <w:pPr>
              <w:adjustRightInd w:val="0"/>
              <w:jc w:val="center"/>
              <w:rPr>
                <w:color w:val="000000"/>
                <w:szCs w:val="21"/>
              </w:rPr>
            </w:pPr>
            <w:r>
              <w:rPr>
                <w:color w:val="000000"/>
                <w:szCs w:val="21"/>
              </w:rPr>
              <w:t>排水量适中，污染物浓度较高，水处理难度较大，投资成本较高</w:t>
            </w:r>
          </w:p>
        </w:tc>
        <w:tc>
          <w:tcPr>
            <w:tcW w:w="696" w:type="pct"/>
            <w:noWrap w:val="0"/>
            <w:tcMar>
              <w:left w:w="0" w:type="dxa"/>
              <w:right w:w="0" w:type="dxa"/>
            </w:tcMar>
            <w:vAlign w:val="center"/>
          </w:tcPr>
          <w:p>
            <w:pPr>
              <w:adjustRightInd w:val="0"/>
              <w:jc w:val="center"/>
              <w:rPr>
                <w:color w:val="000000"/>
                <w:szCs w:val="21"/>
              </w:rPr>
            </w:pPr>
            <w:r>
              <w:rPr>
                <w:color w:val="000000"/>
                <w:szCs w:val="21"/>
              </w:rPr>
              <w:t>保持猪舍内的环境清洁，劳动强度较小，污水中污染物浓度较高，有利于沼气的产生</w:t>
            </w:r>
          </w:p>
        </w:tc>
        <w:tc>
          <w:tcPr>
            <w:tcW w:w="656" w:type="pct"/>
            <w:noWrap w:val="0"/>
            <w:vAlign w:val="center"/>
          </w:tcPr>
          <w:p>
            <w:pPr>
              <w:adjustRightInd w:val="0"/>
              <w:jc w:val="center"/>
              <w:rPr>
                <w:color w:val="000000"/>
                <w:szCs w:val="21"/>
              </w:rPr>
            </w:pPr>
            <w:r>
              <w:rPr>
                <w:color w:val="000000"/>
                <w:szCs w:val="21"/>
              </w:rPr>
              <w:t>排水量适中，周边需要有足够的土地资源用于消纳粪污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noWrap w:val="0"/>
            <w:tcMar>
              <w:left w:w="0" w:type="dxa"/>
              <w:right w:w="0" w:type="dxa"/>
            </w:tcMar>
            <w:vAlign w:val="center"/>
          </w:tcPr>
          <w:p>
            <w:pPr>
              <w:adjustRightInd w:val="0"/>
              <w:jc w:val="center"/>
              <w:rPr>
                <w:color w:val="000000"/>
                <w:szCs w:val="21"/>
              </w:rPr>
            </w:pPr>
            <w:r>
              <w:rPr>
                <w:color w:val="000000"/>
                <w:szCs w:val="21"/>
              </w:rPr>
              <w:t>机械刮板干清粪处理工艺</w:t>
            </w:r>
          </w:p>
        </w:tc>
        <w:tc>
          <w:tcPr>
            <w:tcW w:w="1624" w:type="pct"/>
            <w:noWrap w:val="0"/>
            <w:tcMar>
              <w:left w:w="0" w:type="dxa"/>
              <w:right w:w="0" w:type="dxa"/>
            </w:tcMar>
            <w:vAlign w:val="center"/>
          </w:tcPr>
          <w:p>
            <w:pPr>
              <w:adjustRightInd w:val="0"/>
              <w:jc w:val="center"/>
              <w:rPr>
                <w:color w:val="000000"/>
                <w:szCs w:val="21"/>
              </w:rPr>
            </w:pPr>
            <w:r>
              <w:rPr>
                <w:color w:val="000000"/>
                <w:szCs w:val="21"/>
              </w:rPr>
              <w:t>指畜禽排放的粪便一经产生便通过机械刮板清除，尿液、残余粪便及冲洗水则从排污道排出的清粪工艺</w:t>
            </w:r>
          </w:p>
        </w:tc>
        <w:tc>
          <w:tcPr>
            <w:tcW w:w="722" w:type="pct"/>
            <w:noWrap w:val="0"/>
            <w:tcMar>
              <w:left w:w="0" w:type="dxa"/>
              <w:right w:w="0" w:type="dxa"/>
            </w:tcMar>
            <w:vAlign w:val="center"/>
          </w:tcPr>
          <w:p>
            <w:pPr>
              <w:adjustRightInd w:val="0"/>
              <w:jc w:val="center"/>
              <w:rPr>
                <w:color w:val="000000"/>
                <w:szCs w:val="21"/>
              </w:rPr>
            </w:pPr>
            <w:r>
              <w:rPr>
                <w:color w:val="000000"/>
                <w:szCs w:val="21"/>
              </w:rPr>
              <w:t>用水量较小、清粪比例较高，工艺废水中污染物浓度较低，有利于实现达标排放</w:t>
            </w:r>
          </w:p>
        </w:tc>
        <w:tc>
          <w:tcPr>
            <w:tcW w:w="908" w:type="pct"/>
            <w:noWrap w:val="0"/>
            <w:vAlign w:val="center"/>
          </w:tcPr>
          <w:p>
            <w:pPr>
              <w:adjustRightInd w:val="0"/>
              <w:jc w:val="center"/>
              <w:rPr>
                <w:color w:val="000000"/>
                <w:szCs w:val="21"/>
              </w:rPr>
            </w:pPr>
            <w:r>
              <w:rPr>
                <w:color w:val="000000"/>
                <w:szCs w:val="21"/>
              </w:rPr>
              <w:t>一次性投资大，设备操作难度高，污水处理成本大</w:t>
            </w:r>
          </w:p>
        </w:tc>
        <w:tc>
          <w:tcPr>
            <w:tcW w:w="696" w:type="pct"/>
            <w:noWrap w:val="0"/>
            <w:tcMar>
              <w:left w:w="0" w:type="dxa"/>
              <w:right w:w="0" w:type="dxa"/>
            </w:tcMar>
            <w:vAlign w:val="center"/>
          </w:tcPr>
          <w:p>
            <w:pPr>
              <w:adjustRightInd w:val="0"/>
              <w:jc w:val="center"/>
              <w:rPr>
                <w:color w:val="000000"/>
                <w:szCs w:val="21"/>
              </w:rPr>
            </w:pPr>
            <w:r>
              <w:rPr>
                <w:color w:val="000000"/>
                <w:szCs w:val="21"/>
              </w:rPr>
              <w:t>排水量较小，需要消纳粪污的土地资源较少</w:t>
            </w:r>
          </w:p>
        </w:tc>
        <w:tc>
          <w:tcPr>
            <w:tcW w:w="656" w:type="pct"/>
            <w:noWrap w:val="0"/>
            <w:vAlign w:val="center"/>
          </w:tcPr>
          <w:p>
            <w:pPr>
              <w:adjustRightInd w:val="0"/>
              <w:jc w:val="center"/>
              <w:rPr>
                <w:color w:val="000000"/>
                <w:szCs w:val="21"/>
              </w:rPr>
            </w:pPr>
            <w:r>
              <w:rPr>
                <w:color w:val="000000"/>
                <w:szCs w:val="21"/>
              </w:rPr>
              <w:t>管理难度高，设备容易出现故障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noWrap w:val="0"/>
            <w:tcMar>
              <w:left w:w="0" w:type="dxa"/>
              <w:right w:w="0" w:type="dxa"/>
            </w:tcMar>
            <w:vAlign w:val="center"/>
          </w:tcPr>
          <w:p>
            <w:pPr>
              <w:adjustRightInd w:val="0"/>
              <w:jc w:val="center"/>
              <w:rPr>
                <w:color w:val="000000"/>
                <w:szCs w:val="21"/>
              </w:rPr>
            </w:pPr>
            <w:r>
              <w:rPr>
                <w:color w:val="000000"/>
                <w:kern w:val="0"/>
                <w:szCs w:val="21"/>
              </w:rPr>
              <w:t>生态垫料养殖工艺</w:t>
            </w:r>
          </w:p>
        </w:tc>
        <w:tc>
          <w:tcPr>
            <w:tcW w:w="1624" w:type="pct"/>
            <w:noWrap w:val="0"/>
            <w:tcMar>
              <w:left w:w="0" w:type="dxa"/>
              <w:right w:w="0" w:type="dxa"/>
            </w:tcMar>
            <w:vAlign w:val="center"/>
          </w:tcPr>
          <w:p>
            <w:pPr>
              <w:adjustRightInd w:val="0"/>
              <w:jc w:val="center"/>
              <w:rPr>
                <w:color w:val="000000"/>
                <w:szCs w:val="21"/>
              </w:rPr>
            </w:pPr>
            <w:r>
              <w:rPr>
                <w:color w:val="000000"/>
                <w:szCs w:val="21"/>
              </w:rPr>
              <w:t>按一定比例混合秸杆、锯末屑等作为猪舍的垫料，再利用生猪的拱翻习性使猪粪、尿和垫料充分混合，通过垫料的分解发酵，使猪粪、尿中的有机物质得到充分的分解和转化的养殖工艺</w:t>
            </w:r>
          </w:p>
        </w:tc>
        <w:tc>
          <w:tcPr>
            <w:tcW w:w="722" w:type="pct"/>
            <w:noWrap w:val="0"/>
            <w:tcMar>
              <w:left w:w="0" w:type="dxa"/>
              <w:right w:w="0" w:type="dxa"/>
            </w:tcMar>
            <w:vAlign w:val="center"/>
          </w:tcPr>
          <w:p>
            <w:pPr>
              <w:adjustRightInd w:val="0"/>
              <w:jc w:val="center"/>
              <w:rPr>
                <w:color w:val="000000"/>
                <w:szCs w:val="21"/>
              </w:rPr>
            </w:pPr>
            <w:r>
              <w:rPr>
                <w:color w:val="000000"/>
                <w:szCs w:val="21"/>
              </w:rPr>
              <w:t>不需要冲洗，无粪尿污水排出，垫料2~3年清理1次、劳动强度较小</w:t>
            </w:r>
          </w:p>
        </w:tc>
        <w:tc>
          <w:tcPr>
            <w:tcW w:w="908" w:type="pct"/>
            <w:noWrap w:val="0"/>
            <w:vAlign w:val="center"/>
          </w:tcPr>
          <w:p>
            <w:pPr>
              <w:adjustRightInd w:val="0"/>
              <w:jc w:val="center"/>
              <w:rPr>
                <w:color w:val="000000"/>
                <w:szCs w:val="21"/>
              </w:rPr>
            </w:pPr>
            <w:r>
              <w:rPr>
                <w:color w:val="000000"/>
                <w:szCs w:val="21"/>
              </w:rPr>
              <w:t>夏天发酵床温度过高等不利于猪生长，粪污资源利用率低</w:t>
            </w:r>
          </w:p>
        </w:tc>
        <w:tc>
          <w:tcPr>
            <w:tcW w:w="696" w:type="pct"/>
            <w:noWrap w:val="0"/>
            <w:tcMar>
              <w:left w:w="0" w:type="dxa"/>
              <w:right w:w="0" w:type="dxa"/>
            </w:tcMar>
            <w:vAlign w:val="center"/>
          </w:tcPr>
          <w:p>
            <w:pPr>
              <w:adjustRightInd w:val="0"/>
              <w:jc w:val="center"/>
              <w:rPr>
                <w:color w:val="000000"/>
                <w:szCs w:val="21"/>
              </w:rPr>
            </w:pPr>
            <w:r>
              <w:rPr>
                <w:color w:val="000000"/>
                <w:szCs w:val="21"/>
              </w:rPr>
              <w:t>不需要冲洗，无粪尿污水排出，垫料2~3年清理1次、劳动强度较小</w:t>
            </w:r>
          </w:p>
        </w:tc>
        <w:tc>
          <w:tcPr>
            <w:tcW w:w="656" w:type="pct"/>
            <w:noWrap w:val="0"/>
            <w:vAlign w:val="center"/>
          </w:tcPr>
          <w:p>
            <w:pPr>
              <w:adjustRightInd w:val="0"/>
              <w:jc w:val="center"/>
              <w:rPr>
                <w:color w:val="000000"/>
                <w:szCs w:val="21"/>
              </w:rPr>
            </w:pPr>
            <w:r>
              <w:rPr>
                <w:color w:val="000000"/>
                <w:szCs w:val="21"/>
              </w:rPr>
              <w:t>夏天发酵床温度过高等不利于猪生长，粪污资源利用率低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94" w:type="pct"/>
            <w:noWrap w:val="0"/>
            <w:tcMar>
              <w:left w:w="0" w:type="dxa"/>
              <w:right w:w="0" w:type="dxa"/>
            </w:tcMar>
            <w:vAlign w:val="center"/>
          </w:tcPr>
          <w:p>
            <w:pPr>
              <w:adjustRightInd w:val="0"/>
              <w:jc w:val="center"/>
              <w:rPr>
                <w:color w:val="000000"/>
                <w:szCs w:val="21"/>
              </w:rPr>
            </w:pPr>
            <w:r>
              <w:rPr>
                <w:color w:val="000000"/>
                <w:szCs w:val="21"/>
              </w:rPr>
              <w:t>经干清粪工艺</w:t>
            </w:r>
          </w:p>
        </w:tc>
        <w:tc>
          <w:tcPr>
            <w:tcW w:w="1624" w:type="pct"/>
            <w:noWrap w:val="0"/>
            <w:tcMar>
              <w:left w:w="0" w:type="dxa"/>
              <w:right w:w="0" w:type="dxa"/>
            </w:tcMar>
            <w:vAlign w:val="center"/>
          </w:tcPr>
          <w:p>
            <w:pPr>
              <w:adjustRightInd w:val="0"/>
              <w:jc w:val="center"/>
              <w:rPr>
                <w:color w:val="000000"/>
                <w:szCs w:val="21"/>
              </w:rPr>
            </w:pPr>
            <w:r>
              <w:rPr>
                <w:color w:val="000000"/>
                <w:szCs w:val="21"/>
              </w:rPr>
              <w:t>养殖圈舍不注入清水，也不将清水用于圈舍粪尿日常清理，养殖舍内粪尿产生即依靠重力经漏缝地板离开猪舍进入猪舍下部粪污储存池，粪污储存池实现定期及时清理，粪污水离开粪污储存池后即进行干湿分离和无害化处理</w:t>
            </w:r>
          </w:p>
        </w:tc>
        <w:tc>
          <w:tcPr>
            <w:tcW w:w="722" w:type="pct"/>
            <w:noWrap w:val="0"/>
            <w:tcMar>
              <w:left w:w="0" w:type="dxa"/>
              <w:right w:w="0" w:type="dxa"/>
            </w:tcMar>
            <w:vAlign w:val="center"/>
          </w:tcPr>
          <w:p>
            <w:pPr>
              <w:adjustRightInd w:val="0"/>
              <w:jc w:val="center"/>
              <w:rPr>
                <w:color w:val="000000"/>
                <w:szCs w:val="21"/>
              </w:rPr>
            </w:pPr>
            <w:r>
              <w:rPr>
                <w:color w:val="000000"/>
                <w:szCs w:val="21"/>
              </w:rPr>
              <w:t>保持猪舍内的环境清洁，劳动强度小，不需清水冲洗，节能，成本低，易于管理</w:t>
            </w:r>
          </w:p>
        </w:tc>
        <w:tc>
          <w:tcPr>
            <w:tcW w:w="908" w:type="pct"/>
            <w:noWrap w:val="0"/>
            <w:vAlign w:val="center"/>
          </w:tcPr>
          <w:p>
            <w:pPr>
              <w:adjustRightInd w:val="0"/>
              <w:jc w:val="center"/>
              <w:rPr>
                <w:color w:val="000000"/>
                <w:szCs w:val="21"/>
              </w:rPr>
            </w:pPr>
            <w:r>
              <w:rPr>
                <w:color w:val="000000"/>
                <w:szCs w:val="21"/>
              </w:rPr>
              <w:t>排水固液分离效率偏低，废水中SS浓度高</w:t>
            </w:r>
          </w:p>
        </w:tc>
        <w:tc>
          <w:tcPr>
            <w:tcW w:w="696" w:type="pct"/>
            <w:noWrap w:val="0"/>
            <w:tcMar>
              <w:left w:w="0" w:type="dxa"/>
              <w:right w:w="0" w:type="dxa"/>
            </w:tcMar>
            <w:vAlign w:val="center"/>
          </w:tcPr>
          <w:p>
            <w:pPr>
              <w:adjustRightInd w:val="0"/>
              <w:jc w:val="center"/>
              <w:rPr>
                <w:color w:val="000000"/>
                <w:szCs w:val="21"/>
              </w:rPr>
            </w:pPr>
            <w:r>
              <w:rPr>
                <w:color w:val="000000"/>
                <w:szCs w:val="21"/>
              </w:rPr>
              <w:t>劳动强度小、粪污资源利用率较高，便于管理</w:t>
            </w:r>
          </w:p>
        </w:tc>
        <w:tc>
          <w:tcPr>
            <w:tcW w:w="656" w:type="pct"/>
            <w:noWrap w:val="0"/>
            <w:vAlign w:val="center"/>
          </w:tcPr>
          <w:p>
            <w:pPr>
              <w:adjustRightInd w:val="0"/>
              <w:jc w:val="center"/>
              <w:rPr>
                <w:color w:val="000000"/>
                <w:szCs w:val="21"/>
              </w:rPr>
            </w:pPr>
            <w:r>
              <w:rPr>
                <w:color w:val="000000"/>
                <w:szCs w:val="21"/>
              </w:rPr>
              <w:t>排水中SS浓度高，须选择合适的污水处理设施</w:t>
            </w:r>
          </w:p>
        </w:tc>
      </w:tr>
    </w:tbl>
    <w:p>
      <w:pPr>
        <w:tabs>
          <w:tab w:val="right" w:leader="dot" w:pos="8647"/>
        </w:tabs>
        <w:adjustRightInd w:val="0"/>
        <w:snapToGrid w:val="0"/>
        <w:spacing w:line="520" w:lineRule="exact"/>
        <w:ind w:firstLine="480" w:firstLineChars="200"/>
        <w:rPr>
          <w:color w:val="000000"/>
          <w:sz w:val="24"/>
        </w:rPr>
      </w:pPr>
      <w:r>
        <w:rPr>
          <w:rFonts w:hint="eastAsia" w:ascii="宋体" w:hAnsi="宋体" w:cs="宋体"/>
          <w:color w:val="000000"/>
          <w:sz w:val="24"/>
        </w:rPr>
        <w:t>①</w:t>
      </w:r>
      <w:r>
        <w:rPr>
          <w:color w:val="000000"/>
          <w:sz w:val="24"/>
        </w:rPr>
        <w:t>水冲粪工艺优点是用水冲的方式清粪，能够保持猪舍内的环境清洁，劳动强度小，劳动效率高；缺点是比其它几种工艺的排水量大，废水污染物浓度较高，治理难度较大，一次投入成本较高。</w:t>
      </w:r>
    </w:p>
    <w:p>
      <w:pPr>
        <w:tabs>
          <w:tab w:val="right" w:leader="dot" w:pos="8647"/>
        </w:tabs>
        <w:adjustRightInd w:val="0"/>
        <w:snapToGrid w:val="0"/>
        <w:spacing w:line="520" w:lineRule="exact"/>
        <w:ind w:firstLine="480" w:firstLineChars="200"/>
        <w:rPr>
          <w:color w:val="000000"/>
          <w:sz w:val="24"/>
        </w:rPr>
      </w:pPr>
      <w:r>
        <w:rPr>
          <w:rFonts w:hint="eastAsia" w:ascii="宋体" w:hAnsi="宋体" w:cs="宋体"/>
          <w:color w:val="000000"/>
          <w:sz w:val="24"/>
        </w:rPr>
        <w:t>②</w:t>
      </w:r>
      <w:r>
        <w:rPr>
          <w:color w:val="000000"/>
          <w:sz w:val="24"/>
        </w:rPr>
        <w:t>水泡粪工艺废水排放量适中，优点在于保持猪舍内的环境清洁，清粪劳动强度较小，污水中污染物浓度较高，有利于沼气的产生，但缺点是水处理成本较高，周边需要有足够的土地资源用于消纳粪污。</w:t>
      </w:r>
    </w:p>
    <w:p>
      <w:pPr>
        <w:tabs>
          <w:tab w:val="right" w:leader="dot" w:pos="8647"/>
        </w:tabs>
        <w:adjustRightInd w:val="0"/>
        <w:snapToGrid w:val="0"/>
        <w:spacing w:line="520" w:lineRule="exact"/>
        <w:ind w:firstLine="480" w:firstLineChars="200"/>
        <w:rPr>
          <w:color w:val="000000"/>
          <w:sz w:val="24"/>
        </w:rPr>
      </w:pPr>
      <w:r>
        <w:rPr>
          <w:rFonts w:hint="eastAsia" w:ascii="宋体" w:hAnsi="宋体" w:cs="宋体"/>
          <w:color w:val="000000"/>
          <w:sz w:val="24"/>
        </w:rPr>
        <w:t>③</w:t>
      </w:r>
      <w:r>
        <w:rPr>
          <w:color w:val="000000"/>
          <w:sz w:val="24"/>
        </w:rPr>
        <w:t>机械刮板干清粪工艺的优点在于粪水分离，废水产生量较小，污染物浓度较低，废水处理技术成熟、可靠，便于污染处理和资源化利用；缺点在于设备操作难度高，容易出现故障。</w:t>
      </w:r>
    </w:p>
    <w:p>
      <w:pPr>
        <w:tabs>
          <w:tab w:val="right" w:leader="dot" w:pos="8647"/>
        </w:tabs>
        <w:adjustRightInd w:val="0"/>
        <w:snapToGrid w:val="0"/>
        <w:spacing w:line="520" w:lineRule="exact"/>
        <w:ind w:firstLine="480" w:firstLineChars="200"/>
        <w:rPr>
          <w:color w:val="000000"/>
          <w:sz w:val="24"/>
        </w:rPr>
      </w:pPr>
      <w:r>
        <w:rPr>
          <w:rFonts w:hint="eastAsia" w:ascii="宋体" w:hAnsi="宋体" w:cs="宋体"/>
          <w:color w:val="000000"/>
          <w:sz w:val="24"/>
        </w:rPr>
        <w:t>④</w:t>
      </w:r>
      <w:r>
        <w:rPr>
          <w:color w:val="000000"/>
          <w:sz w:val="24"/>
        </w:rPr>
        <w:t>生态垫料养殖工艺的优点是不需要冲洗，无粪尿污水排出，垫料2~3年清理1次、劳动强度较小。在发酵床的制作过程中，通过垫料的分解发酵，使猪粪、尿中的有机物质得到充分的分解和转化；缺点是夏季猪舍的温度较高，粪污资源利用率低，且不适合大规模养殖场。</w:t>
      </w:r>
    </w:p>
    <w:p>
      <w:pPr>
        <w:tabs>
          <w:tab w:val="right" w:leader="dot" w:pos="8647"/>
        </w:tabs>
        <w:adjustRightInd w:val="0"/>
        <w:snapToGrid w:val="0"/>
        <w:spacing w:line="520" w:lineRule="exact"/>
        <w:ind w:firstLine="480" w:firstLineChars="200"/>
        <w:rPr>
          <w:color w:val="000000"/>
          <w:sz w:val="24"/>
        </w:rPr>
      </w:pPr>
      <w:r>
        <w:rPr>
          <w:rFonts w:hint="eastAsia" w:ascii="宋体" w:hAnsi="宋体" w:cs="宋体"/>
          <w:color w:val="000000"/>
          <w:sz w:val="24"/>
        </w:rPr>
        <w:t>⑤</w:t>
      </w:r>
      <w:r>
        <w:rPr>
          <w:color w:val="000000"/>
          <w:sz w:val="24"/>
        </w:rPr>
        <w:t>本项目采用干清粪工艺。</w:t>
      </w:r>
    </w:p>
    <w:p>
      <w:pPr>
        <w:tabs>
          <w:tab w:val="right" w:leader="dot" w:pos="8647"/>
        </w:tabs>
        <w:adjustRightInd w:val="0"/>
        <w:snapToGrid w:val="0"/>
        <w:spacing w:line="520" w:lineRule="exact"/>
        <w:ind w:firstLine="480" w:firstLineChars="200"/>
        <w:rPr>
          <w:color w:val="000000"/>
          <w:sz w:val="24"/>
        </w:rPr>
      </w:pPr>
      <w:r>
        <w:rPr>
          <w:color w:val="000000"/>
          <w:sz w:val="24"/>
        </w:rPr>
        <w:t>猪生活在漏缝地板上，猪舍内产生的猪粪由于猪的踩踏及重力作用离开猪舍进入猪舍底部的粪污储存池，粪污储存池使用尿封，不注入清水，也不将清水用于圈舍粪尿日常清理。储存池底部设计成一端高一端低的倾斜结构，排粪塞位于最低端，项目粪污储存池定期排空，排空时粪尿依靠储存池底部坡度由储存池排出，进入污水处理系统干湿分离段进行干湿分离。干湿分离后的干物质制有机肥基料，液体经厌氧发酵处理后用于农田施肥，粪尿实现全部综合利用。本项目采用的清粪工艺日常清理不需使用清水，废水产生量较小，劳动强度小，管理难度低。</w:t>
      </w:r>
    </w:p>
    <w:p>
      <w:pPr>
        <w:tabs>
          <w:tab w:val="right" w:leader="dot" w:pos="8647"/>
        </w:tabs>
        <w:adjustRightInd w:val="0"/>
        <w:snapToGrid w:val="0"/>
        <w:spacing w:line="520" w:lineRule="exact"/>
        <w:ind w:firstLine="480" w:firstLineChars="200"/>
        <w:rPr>
          <w:color w:val="000000"/>
          <w:sz w:val="24"/>
        </w:rPr>
      </w:pPr>
      <w:r>
        <w:rPr>
          <w:color w:val="000000"/>
          <w:sz w:val="24"/>
        </w:rPr>
        <w:t>干清粪工艺与目前国内干清粪工艺模式比对，评价认为就饲养机械水平、防疫水平、环境卫生水平、恶臭气体排放、人力投入量、污水产生量和可回用率等方面，干清粪工艺均优于传统干清粪；该项目采用现代化养殖方式，自动化程度高，粪污处理工艺以能源和资源综合利用为目的，综合上述对比分析，评价认为采用干清粪工艺可行。</w:t>
      </w:r>
    </w:p>
    <w:p>
      <w:pPr>
        <w:spacing w:line="500" w:lineRule="exact"/>
        <w:rPr>
          <w:b/>
          <w:sz w:val="24"/>
        </w:rPr>
      </w:pPr>
      <w:r>
        <w:rPr>
          <w:b/>
          <w:kern w:val="0"/>
          <w:sz w:val="24"/>
          <w:lang w:bidi="ar"/>
        </w:rPr>
        <w:t>5.2.1.2</w:t>
      </w:r>
      <w:r>
        <w:rPr>
          <w:rFonts w:hint="eastAsia"/>
          <w:b/>
          <w:kern w:val="0"/>
          <w:sz w:val="24"/>
          <w:lang w:bidi="ar"/>
        </w:rPr>
        <w:t>废水沼气处理工艺比选</w:t>
      </w:r>
    </w:p>
    <w:p>
      <w:pPr>
        <w:tabs>
          <w:tab w:val="right" w:leader="dot" w:pos="8647"/>
        </w:tabs>
        <w:spacing w:line="520" w:lineRule="exact"/>
        <w:ind w:firstLine="480" w:firstLineChars="200"/>
        <w:rPr>
          <w:color w:val="000000"/>
          <w:sz w:val="24"/>
        </w:rPr>
      </w:pPr>
      <w:r>
        <w:rPr>
          <w:color w:val="000000"/>
          <w:sz w:val="24"/>
        </w:rPr>
        <w:t>本项目采用干清粪工艺清理养殖舍粪尿，养殖粪尿从粪污储存池流出后即进入污水处理站处理，项目拟采用“干湿分离（过滤+固液分离）+厌氧发酵”处理工艺处理养殖粪尿污水，拟采用“</w:t>
      </w:r>
      <w:r>
        <w:rPr>
          <w:rFonts w:hint="eastAsia"/>
          <w:color w:val="000000"/>
          <w:sz w:val="24"/>
        </w:rPr>
        <w:t>黑膜</w:t>
      </w:r>
      <w:r>
        <w:rPr>
          <w:color w:val="000000"/>
          <w:sz w:val="24"/>
        </w:rPr>
        <w:t>沼气池（即黑膜厌氧发酵塘）”工艺。</w:t>
      </w:r>
    </w:p>
    <w:p>
      <w:pPr>
        <w:tabs>
          <w:tab w:val="right" w:leader="dot" w:pos="8647"/>
        </w:tabs>
        <w:spacing w:line="520" w:lineRule="exact"/>
        <w:ind w:firstLine="480" w:firstLineChars="200"/>
        <w:rPr>
          <w:color w:val="000000"/>
          <w:sz w:val="24"/>
        </w:rPr>
      </w:pPr>
      <w:r>
        <w:rPr>
          <w:color w:val="000000"/>
          <w:sz w:val="24"/>
        </w:rPr>
        <w:t>两种处理工艺对比如下：</w:t>
      </w:r>
    </w:p>
    <w:p>
      <w:pPr>
        <w:tabs>
          <w:tab w:val="right" w:leader="dot" w:pos="8647"/>
        </w:tabs>
        <w:spacing w:line="520" w:lineRule="exact"/>
        <w:ind w:firstLine="480" w:firstLineChars="200"/>
        <w:rPr>
          <w:color w:val="000000"/>
          <w:sz w:val="24"/>
        </w:rPr>
      </w:pPr>
      <w:r>
        <w:rPr>
          <w:color w:val="000000"/>
          <w:sz w:val="24"/>
        </w:rPr>
        <w:t>（1）上流式厌氧污泥床反应器（UASB）</w:t>
      </w:r>
    </w:p>
    <w:p>
      <w:pPr>
        <w:tabs>
          <w:tab w:val="right" w:leader="dot" w:pos="8647"/>
        </w:tabs>
        <w:spacing w:line="520" w:lineRule="exact"/>
        <w:ind w:firstLine="480" w:firstLineChars="200"/>
        <w:rPr>
          <w:color w:val="000000"/>
          <w:sz w:val="24"/>
        </w:rPr>
      </w:pPr>
      <w:r>
        <w:rPr>
          <w:color w:val="000000"/>
          <w:sz w:val="24"/>
        </w:rPr>
        <w:t>UASB是第二代高效反应器，具有较高的水力处理负荷，适用于高浓度工业废水和养殖废水的处理。当采用UASB作为有机废水处理工艺时，废水首先进行固液分离处理，去除溶液中含有的大颗粒物质，然后废水被引进UASB反应器的底部，向上流过由絮状或颗粒状厌氧污泥组成的污泥床，随着污水与污泥相接触而发生厌氧反应，产生沼气引起污泥床的扰动。在污泥床产生的沼气有一部分附着在污泥颗粒上，自由气泡和附着在污泥颗粒上的气泡上升至反应器的上部。污泥颗粒上升撞击到三相分离器挡板的下部，这引起附着的气泡释放；脱气的污泥颗粒沉淀回到污泥层的表面。自由状态下的沼气和由污泥颗粒释放的气体被收集在三相分离器锥顶部的集气室内。液体中包含一些剩余的固体物和生物颗粒进入到三相分离器的沉淀区内，剩余固体物和生物颗粒从液体中分离并通过三相分离器的锥板间隙回到污泥层。</w:t>
      </w:r>
    </w:p>
    <w:p>
      <w:pPr>
        <w:tabs>
          <w:tab w:val="right" w:leader="dot" w:pos="8647"/>
        </w:tabs>
        <w:spacing w:line="520" w:lineRule="exact"/>
        <w:ind w:firstLine="480" w:firstLineChars="200"/>
        <w:rPr>
          <w:color w:val="000000"/>
          <w:sz w:val="24"/>
        </w:rPr>
      </w:pPr>
      <w:r>
        <w:rPr>
          <w:color w:val="000000"/>
          <w:sz w:val="24"/>
        </w:rPr>
        <w:t>UASB反应器的优点在于可维持较高的污泥浓度，污泥泥龄（30天以上），较高的进水容积负荷率，提高了厌氧反应器单位体积的处理能力。</w:t>
      </w:r>
    </w:p>
    <w:p>
      <w:pPr>
        <w:tabs>
          <w:tab w:val="right" w:leader="dot" w:pos="8647"/>
        </w:tabs>
        <w:spacing w:line="520" w:lineRule="exact"/>
        <w:ind w:firstLine="480" w:firstLineChars="200"/>
        <w:rPr>
          <w:color w:val="000000"/>
          <w:sz w:val="24"/>
        </w:rPr>
      </w:pPr>
      <w:r>
        <w:rPr>
          <w:color w:val="000000"/>
          <w:sz w:val="24"/>
        </w:rPr>
        <w:t>UASB反应器的不足之处主要是：进水中悬浮物需要适当控制，不宜过高，否则容易造成三相分离器拥堵，损坏设备；厌氧消化受温度影响很大，冬季须对装置进行加温；水力停留时间较短，废水中的有机质很难完全腐化；为提高UASB反应器的运行可靠性，必须设置各种类型的计量设备和仪表，如控制进水量、投药量等计量设备和pH计(酸度计)、温度测量等自动化仪表；对水质和负荷突然变化较敏感，耐冲击力稍差。</w:t>
      </w:r>
    </w:p>
    <w:p>
      <w:pPr>
        <w:tabs>
          <w:tab w:val="right" w:leader="dot" w:pos="8647"/>
        </w:tabs>
        <w:spacing w:line="520" w:lineRule="exact"/>
        <w:ind w:firstLine="480" w:firstLineChars="200"/>
        <w:rPr>
          <w:color w:val="000000"/>
          <w:sz w:val="24"/>
        </w:rPr>
      </w:pPr>
      <w:r>
        <w:rPr>
          <w:color w:val="000000"/>
          <w:sz w:val="24"/>
        </w:rPr>
        <w:t>（2）</w:t>
      </w:r>
      <w:r>
        <w:rPr>
          <w:rFonts w:hint="eastAsia"/>
          <w:color w:val="000000"/>
          <w:sz w:val="24"/>
        </w:rPr>
        <w:t>黑膜</w:t>
      </w:r>
      <w:r>
        <w:rPr>
          <w:color w:val="000000"/>
          <w:sz w:val="24"/>
        </w:rPr>
        <w:t>沼气池（黑膜厌氧发酵塘）工艺</w:t>
      </w:r>
    </w:p>
    <w:p>
      <w:pPr>
        <w:tabs>
          <w:tab w:val="right" w:leader="dot" w:pos="8647"/>
        </w:tabs>
        <w:spacing w:line="520" w:lineRule="exact"/>
        <w:ind w:firstLine="480" w:firstLineChars="200"/>
        <w:rPr>
          <w:color w:val="000000"/>
          <w:sz w:val="24"/>
        </w:rPr>
      </w:pPr>
      <w:r>
        <w:rPr>
          <w:rFonts w:hint="eastAsia"/>
          <w:color w:val="000000"/>
          <w:sz w:val="24"/>
        </w:rPr>
        <w:t>黑膜</w:t>
      </w:r>
      <w:r>
        <w:rPr>
          <w:color w:val="000000"/>
          <w:sz w:val="24"/>
        </w:rPr>
        <w:t>沼气池是在开挖好的土方基础上，采用优质HDPE材料，由底膜和顶膜密封形成的全封闭厌氧反应器。在</w:t>
      </w:r>
      <w:r>
        <w:rPr>
          <w:rFonts w:hint="eastAsia"/>
          <w:color w:val="000000"/>
          <w:sz w:val="24"/>
        </w:rPr>
        <w:t>黑膜</w:t>
      </w:r>
      <w:r>
        <w:rPr>
          <w:color w:val="000000"/>
          <w:sz w:val="24"/>
        </w:rPr>
        <w:t>沼气池内，污水中的有机物在微生物作用下降解转化生成沼气，系统配置沼气净化和利用设施。</w:t>
      </w:r>
      <w:r>
        <w:rPr>
          <w:rFonts w:hint="eastAsia"/>
          <w:color w:val="000000"/>
          <w:sz w:val="24"/>
        </w:rPr>
        <w:t>黑膜</w:t>
      </w:r>
      <w:r>
        <w:rPr>
          <w:color w:val="000000"/>
          <w:sz w:val="24"/>
        </w:rPr>
        <w:t>沼气池容积大、深度较深，污水进入池内后，每天进水量相对较少，因此耐污水的冲击负荷强；加之黑膜沼气池顶部的沼气隔温和地埋式沼气池具有冬季相对恒温的特点，池内污水温度受外界影响较小，冬季不需保温。</w:t>
      </w:r>
      <w:r>
        <w:rPr>
          <w:rFonts w:hint="eastAsia"/>
          <w:color w:val="000000"/>
          <w:sz w:val="24"/>
        </w:rPr>
        <w:t>黑膜</w:t>
      </w:r>
      <w:r>
        <w:rPr>
          <w:color w:val="000000"/>
          <w:sz w:val="24"/>
        </w:rPr>
        <w:t>沼气池主体工程位于地面以下，顶部、底部用黑膜密封，和外界环境气温不流通，形成独特的小气候，经调查在室外温度2</w:t>
      </w:r>
      <w:r>
        <w:rPr>
          <w:rFonts w:hint="eastAsia" w:ascii="宋体" w:hAnsi="宋体" w:cs="宋体"/>
          <w:color w:val="000000"/>
          <w:sz w:val="24"/>
        </w:rPr>
        <w:t>℃</w:t>
      </w:r>
      <w:r>
        <w:rPr>
          <w:color w:val="000000"/>
          <w:sz w:val="24"/>
        </w:rPr>
        <w:t>，进水温度15.8</w:t>
      </w:r>
      <w:r>
        <w:rPr>
          <w:rFonts w:hint="eastAsia" w:ascii="宋体" w:hAnsi="宋体" w:cs="宋体"/>
          <w:color w:val="000000"/>
          <w:sz w:val="24"/>
        </w:rPr>
        <w:t>℃</w:t>
      </w:r>
      <w:r>
        <w:rPr>
          <w:color w:val="000000"/>
          <w:sz w:val="24"/>
        </w:rPr>
        <w:t>的环境中，经</w:t>
      </w:r>
      <w:r>
        <w:rPr>
          <w:rFonts w:hint="eastAsia"/>
          <w:color w:val="000000"/>
          <w:sz w:val="24"/>
        </w:rPr>
        <w:t>黑膜</w:t>
      </w:r>
      <w:r>
        <w:rPr>
          <w:color w:val="000000"/>
          <w:sz w:val="24"/>
        </w:rPr>
        <w:t>沼气池发酵后的出水温度达19</w:t>
      </w:r>
      <w:r>
        <w:rPr>
          <w:rFonts w:hint="eastAsia" w:ascii="宋体" w:hAnsi="宋体" w:cs="宋体"/>
          <w:color w:val="000000"/>
          <w:sz w:val="24"/>
        </w:rPr>
        <w:t>℃</w:t>
      </w:r>
      <w:r>
        <w:rPr>
          <w:color w:val="000000"/>
          <w:sz w:val="24"/>
        </w:rPr>
        <w:t>；在室外温度-1</w:t>
      </w:r>
      <w:r>
        <w:rPr>
          <w:rFonts w:hint="eastAsia" w:ascii="宋体" w:hAnsi="宋体" w:cs="宋体"/>
          <w:color w:val="000000"/>
          <w:sz w:val="24"/>
        </w:rPr>
        <w:t>℃</w:t>
      </w:r>
      <w:r>
        <w:rPr>
          <w:color w:val="000000"/>
          <w:sz w:val="24"/>
        </w:rPr>
        <w:t>，进水温度13.6</w:t>
      </w:r>
      <w:r>
        <w:rPr>
          <w:rFonts w:hint="eastAsia" w:ascii="宋体" w:hAnsi="宋体" w:cs="宋体"/>
          <w:color w:val="000000"/>
          <w:sz w:val="24"/>
        </w:rPr>
        <w:t>℃</w:t>
      </w:r>
      <w:r>
        <w:rPr>
          <w:color w:val="000000"/>
          <w:sz w:val="24"/>
        </w:rPr>
        <w:t>的环境中，发酵后的出水温度达17.9</w:t>
      </w:r>
      <w:r>
        <w:rPr>
          <w:rFonts w:hint="eastAsia" w:ascii="宋体" w:hAnsi="宋体" w:cs="宋体"/>
          <w:color w:val="000000"/>
          <w:sz w:val="24"/>
        </w:rPr>
        <w:t>℃</w:t>
      </w:r>
      <w:r>
        <w:rPr>
          <w:color w:val="000000"/>
          <w:sz w:val="24"/>
        </w:rPr>
        <w:t>。污水在池内的滞留期长（35天及以上），厌氧发酵充分，可收集的沼气量多，COD去除率可达到80%以上。</w:t>
      </w:r>
    </w:p>
    <w:p>
      <w:pPr>
        <w:tabs>
          <w:tab w:val="right" w:leader="dot" w:pos="8647"/>
        </w:tabs>
        <w:spacing w:line="520" w:lineRule="exact"/>
        <w:ind w:firstLine="480" w:firstLineChars="200"/>
        <w:rPr>
          <w:color w:val="000000"/>
          <w:sz w:val="24"/>
        </w:rPr>
      </w:pPr>
      <w:r>
        <w:rPr>
          <w:rFonts w:hint="eastAsia"/>
          <w:color w:val="000000"/>
          <w:sz w:val="24"/>
        </w:rPr>
        <w:t>黑膜</w:t>
      </w:r>
      <w:r>
        <w:rPr>
          <w:color w:val="000000"/>
          <w:sz w:val="24"/>
        </w:rPr>
        <w:t>沼气池的优点如下：</w:t>
      </w:r>
    </w:p>
    <w:p>
      <w:pPr>
        <w:tabs>
          <w:tab w:val="right" w:leader="dot" w:pos="8647"/>
        </w:tabs>
        <w:spacing w:line="520" w:lineRule="exact"/>
        <w:ind w:firstLine="480" w:firstLineChars="200"/>
        <w:rPr>
          <w:color w:val="000000"/>
          <w:sz w:val="24"/>
        </w:rPr>
      </w:pPr>
      <w:r>
        <w:rPr>
          <w:rFonts w:hint="eastAsia" w:ascii="宋体" w:hAnsi="宋体" w:cs="宋体"/>
          <w:color w:val="000000"/>
          <w:sz w:val="24"/>
        </w:rPr>
        <w:t>①</w:t>
      </w:r>
      <w:r>
        <w:rPr>
          <w:rFonts w:hint="eastAsia"/>
          <w:color w:val="000000"/>
          <w:sz w:val="24"/>
        </w:rPr>
        <w:t>黑膜</w:t>
      </w:r>
      <w:r>
        <w:rPr>
          <w:color w:val="000000"/>
          <w:sz w:val="24"/>
        </w:rPr>
        <w:t>沼气池具有优异的化学稳定性，耐高低温，耐沥青、油及焦油，耐酸、碱、盐等80多种强酸强碱化学介质腐蚀；对进水SS浓度无要求，不会造成污泥淤积，拥堵管道。</w:t>
      </w:r>
    </w:p>
    <w:p>
      <w:pPr>
        <w:tabs>
          <w:tab w:val="right" w:leader="dot" w:pos="8647"/>
        </w:tabs>
        <w:spacing w:line="520" w:lineRule="exact"/>
        <w:ind w:firstLine="480" w:firstLineChars="200"/>
        <w:rPr>
          <w:color w:val="000000"/>
          <w:sz w:val="24"/>
        </w:rPr>
      </w:pPr>
      <w:r>
        <w:rPr>
          <w:rFonts w:hint="eastAsia" w:ascii="宋体" w:hAnsi="宋体" w:cs="宋体"/>
          <w:color w:val="000000"/>
          <w:sz w:val="24"/>
        </w:rPr>
        <w:t>②</w:t>
      </w:r>
      <w:r>
        <w:rPr>
          <w:rFonts w:hint="eastAsia"/>
          <w:color w:val="000000"/>
          <w:sz w:val="24"/>
        </w:rPr>
        <w:t>黑膜</w:t>
      </w:r>
      <w:r>
        <w:rPr>
          <w:color w:val="000000"/>
          <w:sz w:val="24"/>
        </w:rPr>
        <w:t>沼气池施工简单，建设成本低；施工简单，建设周期短；安全性高，工艺流程短，运行维护方便，广泛适用于禽畜粪污水的处理、城垃圾填埋场等。</w:t>
      </w:r>
    </w:p>
    <w:p>
      <w:pPr>
        <w:tabs>
          <w:tab w:val="right" w:leader="dot" w:pos="8647"/>
        </w:tabs>
        <w:spacing w:line="520" w:lineRule="exact"/>
        <w:ind w:firstLine="480" w:firstLineChars="200"/>
        <w:rPr>
          <w:color w:val="000000"/>
          <w:sz w:val="24"/>
        </w:rPr>
      </w:pPr>
      <w:r>
        <w:rPr>
          <w:rFonts w:hint="eastAsia" w:ascii="宋体" w:hAnsi="宋体" w:cs="宋体"/>
          <w:color w:val="000000"/>
          <w:sz w:val="24"/>
        </w:rPr>
        <w:t>③</w:t>
      </w:r>
      <w:r>
        <w:rPr>
          <w:color w:val="000000"/>
          <w:sz w:val="24"/>
        </w:rPr>
        <w:t>项目</w:t>
      </w:r>
      <w:r>
        <w:rPr>
          <w:rFonts w:hint="eastAsia"/>
          <w:color w:val="000000"/>
          <w:sz w:val="24"/>
        </w:rPr>
        <w:t>黑膜</w:t>
      </w:r>
      <w:r>
        <w:rPr>
          <w:color w:val="000000"/>
          <w:sz w:val="24"/>
        </w:rPr>
        <w:t>沼气池厌氧发酵产生的沼气可以作为燃料综合利用。</w:t>
      </w:r>
    </w:p>
    <w:p>
      <w:pPr>
        <w:tabs>
          <w:tab w:val="right" w:leader="dot" w:pos="8647"/>
        </w:tabs>
        <w:spacing w:line="520" w:lineRule="exact"/>
        <w:ind w:firstLine="480" w:firstLineChars="200"/>
        <w:rPr>
          <w:color w:val="000000"/>
          <w:sz w:val="24"/>
        </w:rPr>
      </w:pPr>
      <w:r>
        <w:rPr>
          <w:rFonts w:hint="eastAsia" w:ascii="宋体" w:hAnsi="宋体" w:cs="宋体"/>
          <w:color w:val="000000"/>
          <w:sz w:val="24"/>
        </w:rPr>
        <w:t>④</w:t>
      </w:r>
      <w:r>
        <w:rPr>
          <w:rFonts w:hint="eastAsia"/>
          <w:color w:val="000000"/>
          <w:sz w:val="24"/>
        </w:rPr>
        <w:t>黑膜</w:t>
      </w:r>
      <w:r>
        <w:rPr>
          <w:color w:val="000000"/>
          <w:sz w:val="24"/>
        </w:rPr>
        <w:t>沼气池内温度稳定，有利于厌氧菌发酵，即使在寒季长、气温低的北方地区，</w:t>
      </w:r>
      <w:r>
        <w:rPr>
          <w:rFonts w:hint="eastAsia"/>
          <w:color w:val="000000"/>
          <w:sz w:val="24"/>
        </w:rPr>
        <w:t>黑膜</w:t>
      </w:r>
      <w:r>
        <w:rPr>
          <w:color w:val="000000"/>
          <w:sz w:val="24"/>
        </w:rPr>
        <w:t>沼气池内也可以保持常温发酵温度，污水处理效果好。</w:t>
      </w:r>
    </w:p>
    <w:p>
      <w:pPr>
        <w:tabs>
          <w:tab w:val="right" w:leader="dot" w:pos="8647"/>
        </w:tabs>
        <w:spacing w:line="520" w:lineRule="exact"/>
        <w:ind w:firstLine="480" w:firstLineChars="200"/>
        <w:rPr>
          <w:color w:val="000000"/>
          <w:sz w:val="24"/>
        </w:rPr>
      </w:pPr>
      <w:r>
        <w:rPr>
          <w:rFonts w:hint="eastAsia" w:ascii="宋体" w:hAnsi="宋体" w:cs="宋体"/>
          <w:color w:val="000000"/>
          <w:sz w:val="24"/>
        </w:rPr>
        <w:t>⑤</w:t>
      </w:r>
      <w:r>
        <w:rPr>
          <w:rFonts w:hint="eastAsia"/>
          <w:color w:val="000000"/>
          <w:sz w:val="24"/>
        </w:rPr>
        <w:t>黑膜</w:t>
      </w:r>
      <w:r>
        <w:rPr>
          <w:color w:val="000000"/>
          <w:sz w:val="24"/>
        </w:rPr>
        <w:t>沼气池厌氧发酵容积大、污水滞留期长、沼气产生量大、运行处理费低。</w:t>
      </w:r>
    </w:p>
    <w:p>
      <w:pPr>
        <w:tabs>
          <w:tab w:val="right" w:leader="dot" w:pos="8647"/>
        </w:tabs>
        <w:spacing w:line="520" w:lineRule="exact"/>
        <w:ind w:firstLine="480" w:firstLineChars="200"/>
        <w:rPr>
          <w:color w:val="000000"/>
          <w:sz w:val="24"/>
        </w:rPr>
      </w:pPr>
      <w:r>
        <w:rPr>
          <w:rFonts w:hint="eastAsia"/>
          <w:color w:val="000000"/>
          <w:sz w:val="24"/>
        </w:rPr>
        <w:t>黑膜</w:t>
      </w:r>
      <w:r>
        <w:rPr>
          <w:color w:val="000000"/>
          <w:sz w:val="24"/>
        </w:rPr>
        <w:t>沼气池的缺点：需依靠四周充足的农田利用厌氧发酵产生的沼液。</w:t>
      </w:r>
    </w:p>
    <w:p>
      <w:pPr>
        <w:tabs>
          <w:tab w:val="right" w:leader="dot" w:pos="8647"/>
        </w:tabs>
        <w:spacing w:line="520" w:lineRule="exact"/>
        <w:ind w:firstLine="480" w:firstLineChars="200"/>
        <w:rPr>
          <w:color w:val="000000"/>
          <w:sz w:val="24"/>
        </w:rPr>
      </w:pPr>
      <w:r>
        <w:rPr>
          <w:color w:val="000000"/>
          <w:sz w:val="24"/>
        </w:rPr>
        <w:t>（3）工艺比选</w:t>
      </w:r>
    </w:p>
    <w:p>
      <w:pPr>
        <w:tabs>
          <w:tab w:val="right" w:leader="dot" w:pos="8647"/>
        </w:tabs>
        <w:spacing w:line="520" w:lineRule="exact"/>
        <w:ind w:firstLine="480" w:firstLineChars="200"/>
        <w:rPr>
          <w:color w:val="000000"/>
          <w:sz w:val="24"/>
        </w:rPr>
      </w:pPr>
      <w:r>
        <w:rPr>
          <w:rFonts w:hint="eastAsia" w:ascii="宋体" w:hAnsi="宋体" w:cs="宋体"/>
          <w:color w:val="000000"/>
          <w:sz w:val="24"/>
        </w:rPr>
        <w:t>①</w:t>
      </w:r>
      <w:r>
        <w:rPr>
          <w:color w:val="000000"/>
          <w:sz w:val="24"/>
        </w:rPr>
        <w:t>工艺指标对比</w:t>
      </w:r>
    </w:p>
    <w:p>
      <w:pPr>
        <w:spacing w:line="520" w:lineRule="exact"/>
        <w:ind w:firstLine="480" w:firstLineChars="200"/>
        <w:rPr>
          <w:rFonts w:hint="eastAsia"/>
          <w:color w:val="000000"/>
          <w:sz w:val="24"/>
        </w:rPr>
      </w:pPr>
      <w:r>
        <w:rPr>
          <w:color w:val="000000"/>
          <w:sz w:val="24"/>
        </w:rPr>
        <w:t>UASB工艺和</w:t>
      </w:r>
      <w:r>
        <w:rPr>
          <w:rFonts w:hint="eastAsia"/>
          <w:color w:val="000000"/>
          <w:sz w:val="24"/>
        </w:rPr>
        <w:t>黑膜</w:t>
      </w:r>
      <w:r>
        <w:rPr>
          <w:color w:val="000000"/>
          <w:sz w:val="24"/>
        </w:rPr>
        <w:t>沼气池工艺指标对比一览表见表</w:t>
      </w:r>
      <w:r>
        <w:rPr>
          <w:rFonts w:hint="eastAsia"/>
          <w:color w:val="000000"/>
          <w:sz w:val="24"/>
        </w:rPr>
        <w:t>5.2-2</w:t>
      </w:r>
      <w:r>
        <w:rPr>
          <w:color w:val="000000"/>
          <w:sz w:val="24"/>
        </w:rPr>
        <w:t>。</w:t>
      </w:r>
    </w:p>
    <w:p>
      <w:pPr>
        <w:tabs>
          <w:tab w:val="right" w:leader="dot" w:pos="8647"/>
        </w:tabs>
        <w:spacing w:before="156" w:beforeLines="50" w:after="156" w:afterLines="50"/>
        <w:ind w:firstLine="480" w:firstLineChars="200"/>
        <w:jc w:val="center"/>
        <w:rPr>
          <w:b/>
          <w:bCs/>
          <w:color w:val="000000"/>
          <w:sz w:val="24"/>
        </w:rPr>
      </w:pPr>
      <w:r>
        <w:rPr>
          <w:b/>
          <w:bCs/>
          <w:color w:val="000000"/>
          <w:sz w:val="24"/>
        </w:rPr>
        <w:t>表</w:t>
      </w:r>
      <w:r>
        <w:rPr>
          <w:rFonts w:hint="eastAsia"/>
          <w:b/>
          <w:bCs/>
          <w:color w:val="000000"/>
          <w:sz w:val="24"/>
        </w:rPr>
        <w:t>5.2-2</w:t>
      </w:r>
      <w:r>
        <w:rPr>
          <w:b/>
          <w:bCs/>
          <w:color w:val="000000"/>
          <w:sz w:val="24"/>
        </w:rPr>
        <w:t xml:space="preserve">   UASB工艺和</w:t>
      </w:r>
      <w:r>
        <w:rPr>
          <w:rFonts w:hint="eastAsia"/>
          <w:b/>
          <w:bCs/>
          <w:color w:val="000000"/>
          <w:sz w:val="24"/>
        </w:rPr>
        <w:t>黑膜</w:t>
      </w:r>
      <w:r>
        <w:rPr>
          <w:b/>
          <w:bCs/>
          <w:color w:val="000000"/>
          <w:sz w:val="24"/>
        </w:rPr>
        <w:t>沼气池工艺指标对比一览表</w:t>
      </w:r>
    </w:p>
    <w:tbl>
      <w:tblPr>
        <w:tblStyle w:val="17"/>
        <w:tblW w:w="5000" w:type="pct"/>
        <w:tblInd w:w="-15"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2130"/>
        <w:gridCol w:w="3244"/>
        <w:gridCol w:w="338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1216" w:type="pct"/>
            <w:noWrap w:val="0"/>
            <w:tcMar>
              <w:left w:w="0" w:type="dxa"/>
              <w:right w:w="0" w:type="dxa"/>
            </w:tcMar>
            <w:vAlign w:val="center"/>
          </w:tcPr>
          <w:p>
            <w:pPr>
              <w:adjustRightInd w:val="0"/>
              <w:jc w:val="center"/>
              <w:rPr>
                <w:color w:val="000000"/>
                <w:spacing w:val="7"/>
                <w:szCs w:val="21"/>
              </w:rPr>
            </w:pPr>
            <w:r>
              <w:rPr>
                <w:color w:val="000000"/>
                <w:spacing w:val="7"/>
                <w:szCs w:val="21"/>
              </w:rPr>
              <mc:AlternateContent>
                <mc:Choice Requires="wps">
                  <w:drawing>
                    <wp:anchor distT="0" distB="0" distL="114300" distR="114300" simplePos="0" relativeHeight="251750400" behindDoc="0" locked="0" layoutInCell="1" allowOverlap="1">
                      <wp:simplePos x="0" y="0"/>
                      <wp:positionH relativeFrom="column">
                        <wp:posOffset>13970</wp:posOffset>
                      </wp:positionH>
                      <wp:positionV relativeFrom="paragraph">
                        <wp:posOffset>15240</wp:posOffset>
                      </wp:positionV>
                      <wp:extent cx="1324610" cy="319405"/>
                      <wp:effectExtent l="1270" t="4445" r="7620" b="19050"/>
                      <wp:wrapNone/>
                      <wp:docPr id="461" name="__TH_L1859"/>
                      <wp:cNvGraphicFramePr/>
                      <a:graphic xmlns:a="http://schemas.openxmlformats.org/drawingml/2006/main">
                        <a:graphicData uri="http://schemas.microsoft.com/office/word/2010/wordprocessingShape">
                          <wps:wsp>
                            <wps:cNvCnPr/>
                            <wps:spPr>
                              <a:xfrm>
                                <a:off x="0" y="0"/>
                                <a:ext cx="1324610" cy="319405"/>
                              </a:xfrm>
                              <a:prstGeom prst="line">
                                <a:avLst/>
                              </a:prstGeom>
                              <a:ln w="6350" cap="flat" cmpd="sng">
                                <a:solidFill>
                                  <a:srgbClr val="000000"/>
                                </a:solidFill>
                                <a:prstDash val="solid"/>
                                <a:headEnd type="none" w="med" len="med"/>
                                <a:tailEnd type="none" w="med" len="med"/>
                              </a:ln>
                              <a:effectLst/>
                            </wps:spPr>
                            <wps:bodyPr upright="1"/>
                          </wps:wsp>
                        </a:graphicData>
                      </a:graphic>
                    </wp:anchor>
                  </w:drawing>
                </mc:Choice>
                <mc:Fallback>
                  <w:pict>
                    <v:line id="__TH_L1859" o:spid="_x0000_s1026" o:spt="20" style="position:absolute;left:0pt;margin-left:1.1pt;margin-top:1.2pt;height:25.15pt;width:104.3pt;z-index:251750400;mso-width-relative:page;mso-height-relative:page;" filled="f" stroked="t" coordsize="21600,21600" o:gfxdata="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kyop90wAA&#10;AAYBAAAPAAAAAAAAAAEAIAAAACIAAABkcnMvZG93bnJldi54bWxQSwECFAAUAAAACACHTuJANRUr&#10;pOoBAADyAwAADgAAAAAAAAABACAAAAAiAQAAZHJzL2Uyb0RvYy54bWxQSwUGAAAAAAYABgBZAQAA&#10;fgUAAAAA&#10;">
                      <v:fill on="f" focussize="0,0"/>
                      <v:stroke weight="0.5pt" color="#000000" joinstyle="round"/>
                      <v:imagedata o:title=""/>
                      <o:lock v:ext="edit" aspectratio="f"/>
                    </v:line>
                  </w:pict>
                </mc:Fallback>
              </mc:AlternateContent>
            </w:r>
            <w:r>
              <w:rPr>
                <w:color w:val="000000"/>
                <w:spacing w:val="7"/>
                <w:szCs w:val="21"/>
              </w:rPr>
              <w:t>工艺</w:t>
            </w:r>
          </w:p>
          <w:p>
            <w:pPr>
              <w:adjustRightInd w:val="0"/>
              <w:rPr>
                <w:color w:val="000000"/>
                <w:spacing w:val="7"/>
                <w:szCs w:val="21"/>
              </w:rPr>
            </w:pPr>
            <w:r>
              <w:rPr>
                <w:color w:val="000000"/>
                <w:spacing w:val="7"/>
                <w:szCs w:val="21"/>
              </w:rPr>
              <w:t>指标</w:t>
            </w:r>
          </w:p>
        </w:tc>
        <w:tc>
          <w:tcPr>
            <w:tcW w:w="1851" w:type="pct"/>
            <w:noWrap w:val="0"/>
            <w:tcMar>
              <w:left w:w="0" w:type="dxa"/>
              <w:right w:w="0" w:type="dxa"/>
            </w:tcMar>
            <w:vAlign w:val="center"/>
          </w:tcPr>
          <w:p>
            <w:pPr>
              <w:adjustRightInd w:val="0"/>
              <w:jc w:val="center"/>
              <w:rPr>
                <w:color w:val="000000"/>
                <w:spacing w:val="7"/>
                <w:szCs w:val="21"/>
              </w:rPr>
            </w:pPr>
            <w:r>
              <w:rPr>
                <w:color w:val="000000"/>
                <w:spacing w:val="7"/>
                <w:szCs w:val="21"/>
              </w:rPr>
              <w:t>UASB工艺</w:t>
            </w:r>
          </w:p>
        </w:tc>
        <w:tc>
          <w:tcPr>
            <w:tcW w:w="1932" w:type="pct"/>
            <w:noWrap w:val="0"/>
            <w:vAlign w:val="center"/>
          </w:tcPr>
          <w:p>
            <w:pPr>
              <w:adjustRightInd w:val="0"/>
              <w:jc w:val="center"/>
              <w:rPr>
                <w:color w:val="000000"/>
                <w:spacing w:val="7"/>
                <w:szCs w:val="21"/>
              </w:rPr>
            </w:pPr>
            <w:r>
              <w:rPr>
                <w:rFonts w:hint="eastAsia"/>
                <w:color w:val="000000"/>
                <w:spacing w:val="7"/>
                <w:szCs w:val="21"/>
              </w:rPr>
              <w:t>黑膜</w:t>
            </w:r>
            <w:r>
              <w:rPr>
                <w:color w:val="000000"/>
                <w:spacing w:val="7"/>
                <w:szCs w:val="21"/>
              </w:rPr>
              <w:t>沼气池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1216" w:type="pct"/>
            <w:noWrap w:val="0"/>
            <w:tcMar>
              <w:left w:w="0" w:type="dxa"/>
              <w:right w:w="0" w:type="dxa"/>
            </w:tcMar>
            <w:vAlign w:val="center"/>
          </w:tcPr>
          <w:p>
            <w:pPr>
              <w:adjustRightInd w:val="0"/>
              <w:jc w:val="center"/>
              <w:rPr>
                <w:color w:val="000000"/>
                <w:spacing w:val="7"/>
                <w:szCs w:val="21"/>
              </w:rPr>
            </w:pPr>
            <w:r>
              <w:rPr>
                <w:color w:val="000000"/>
                <w:spacing w:val="7"/>
                <w:szCs w:val="21"/>
              </w:rPr>
              <w:t>原料范围</w:t>
            </w:r>
          </w:p>
        </w:tc>
        <w:tc>
          <w:tcPr>
            <w:tcW w:w="1851" w:type="pct"/>
            <w:noWrap w:val="0"/>
            <w:tcMar>
              <w:left w:w="0" w:type="dxa"/>
              <w:right w:w="0" w:type="dxa"/>
            </w:tcMar>
            <w:vAlign w:val="center"/>
          </w:tcPr>
          <w:p>
            <w:pPr>
              <w:adjustRightInd w:val="0"/>
              <w:jc w:val="center"/>
              <w:rPr>
                <w:color w:val="000000"/>
                <w:spacing w:val="7"/>
                <w:szCs w:val="21"/>
              </w:rPr>
            </w:pPr>
            <w:r>
              <w:rPr>
                <w:color w:val="000000"/>
                <w:spacing w:val="7"/>
                <w:szCs w:val="21"/>
              </w:rPr>
              <w:t>畜禽场污水</w:t>
            </w:r>
          </w:p>
        </w:tc>
        <w:tc>
          <w:tcPr>
            <w:tcW w:w="1932" w:type="pct"/>
            <w:noWrap w:val="0"/>
            <w:vAlign w:val="center"/>
          </w:tcPr>
          <w:p>
            <w:pPr>
              <w:adjustRightInd w:val="0"/>
              <w:jc w:val="center"/>
              <w:rPr>
                <w:color w:val="000000"/>
                <w:spacing w:val="7"/>
                <w:szCs w:val="21"/>
              </w:rPr>
            </w:pPr>
            <w:r>
              <w:rPr>
                <w:color w:val="000000"/>
                <w:spacing w:val="7"/>
                <w:szCs w:val="21"/>
              </w:rPr>
              <w:t>畜禽场污水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1216" w:type="pct"/>
            <w:noWrap w:val="0"/>
            <w:tcMar>
              <w:left w:w="0" w:type="dxa"/>
              <w:right w:w="0" w:type="dxa"/>
            </w:tcMar>
            <w:vAlign w:val="center"/>
          </w:tcPr>
          <w:p>
            <w:pPr>
              <w:adjustRightInd w:val="0"/>
              <w:jc w:val="center"/>
              <w:rPr>
                <w:color w:val="000000"/>
                <w:spacing w:val="7"/>
                <w:szCs w:val="21"/>
              </w:rPr>
            </w:pPr>
            <w:r>
              <w:rPr>
                <w:color w:val="000000"/>
                <w:spacing w:val="7"/>
                <w:szCs w:val="21"/>
              </w:rPr>
              <w:t>原料TS浓度</w:t>
            </w:r>
          </w:p>
        </w:tc>
        <w:tc>
          <w:tcPr>
            <w:tcW w:w="1851" w:type="pct"/>
            <w:noWrap w:val="0"/>
            <w:tcMar>
              <w:left w:w="0" w:type="dxa"/>
              <w:right w:w="0" w:type="dxa"/>
            </w:tcMar>
            <w:vAlign w:val="center"/>
          </w:tcPr>
          <w:p>
            <w:pPr>
              <w:adjustRightInd w:val="0"/>
              <w:jc w:val="center"/>
              <w:rPr>
                <w:color w:val="000000"/>
                <w:spacing w:val="7"/>
                <w:szCs w:val="21"/>
              </w:rPr>
            </w:pPr>
            <w:r>
              <w:rPr>
                <w:color w:val="000000"/>
                <w:spacing w:val="7"/>
                <w:szCs w:val="21"/>
              </w:rPr>
              <w:t>＜2%</w:t>
            </w:r>
          </w:p>
        </w:tc>
        <w:tc>
          <w:tcPr>
            <w:tcW w:w="1932" w:type="pct"/>
            <w:noWrap w:val="0"/>
            <w:vAlign w:val="center"/>
          </w:tcPr>
          <w:p>
            <w:pPr>
              <w:adjustRightInd w:val="0"/>
              <w:jc w:val="center"/>
              <w:rPr>
                <w:color w:val="000000"/>
                <w:spacing w:val="7"/>
                <w:szCs w:val="21"/>
              </w:rPr>
            </w:pPr>
            <w:r>
              <w:rPr>
                <w:color w:val="000000"/>
                <w:spacing w:val="7"/>
                <w:szCs w:val="21"/>
              </w:rPr>
              <w:t>无要求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1216" w:type="pct"/>
            <w:noWrap w:val="0"/>
            <w:tcMar>
              <w:left w:w="0" w:type="dxa"/>
              <w:right w:w="0" w:type="dxa"/>
            </w:tcMar>
            <w:vAlign w:val="center"/>
          </w:tcPr>
          <w:p>
            <w:pPr>
              <w:adjustRightInd w:val="0"/>
              <w:jc w:val="center"/>
              <w:rPr>
                <w:color w:val="000000"/>
                <w:spacing w:val="7"/>
                <w:szCs w:val="21"/>
              </w:rPr>
            </w:pPr>
            <w:r>
              <w:rPr>
                <w:color w:val="000000"/>
                <w:spacing w:val="7"/>
                <w:szCs w:val="21"/>
              </w:rPr>
              <w:t>应用区域</w:t>
            </w:r>
          </w:p>
        </w:tc>
        <w:tc>
          <w:tcPr>
            <w:tcW w:w="1851" w:type="pct"/>
            <w:noWrap w:val="0"/>
            <w:tcMar>
              <w:left w:w="0" w:type="dxa"/>
              <w:right w:w="0" w:type="dxa"/>
            </w:tcMar>
            <w:vAlign w:val="center"/>
          </w:tcPr>
          <w:p>
            <w:pPr>
              <w:adjustRightInd w:val="0"/>
              <w:jc w:val="center"/>
              <w:rPr>
                <w:color w:val="000000"/>
                <w:spacing w:val="7"/>
                <w:szCs w:val="21"/>
              </w:rPr>
            </w:pPr>
            <w:r>
              <w:rPr>
                <w:color w:val="000000"/>
                <w:spacing w:val="7"/>
                <w:szCs w:val="21"/>
              </w:rPr>
              <w:t>中部、南部</w:t>
            </w:r>
          </w:p>
        </w:tc>
        <w:tc>
          <w:tcPr>
            <w:tcW w:w="1932" w:type="pct"/>
            <w:noWrap w:val="0"/>
            <w:vAlign w:val="center"/>
          </w:tcPr>
          <w:p>
            <w:pPr>
              <w:adjustRightInd w:val="0"/>
              <w:jc w:val="center"/>
              <w:rPr>
                <w:color w:val="000000"/>
                <w:spacing w:val="7"/>
                <w:szCs w:val="21"/>
              </w:rPr>
            </w:pPr>
            <w:r>
              <w:rPr>
                <w:color w:val="000000"/>
                <w:spacing w:val="7"/>
                <w:szCs w:val="21"/>
              </w:rPr>
              <w:t>全国各地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1216" w:type="pct"/>
            <w:noWrap w:val="0"/>
            <w:tcMar>
              <w:left w:w="0" w:type="dxa"/>
              <w:right w:w="0" w:type="dxa"/>
            </w:tcMar>
            <w:vAlign w:val="center"/>
          </w:tcPr>
          <w:p>
            <w:pPr>
              <w:adjustRightInd w:val="0"/>
              <w:jc w:val="center"/>
              <w:rPr>
                <w:color w:val="000000"/>
                <w:spacing w:val="7"/>
                <w:szCs w:val="21"/>
              </w:rPr>
            </w:pPr>
            <w:r>
              <w:rPr>
                <w:color w:val="000000"/>
                <w:spacing w:val="7"/>
                <w:szCs w:val="21"/>
              </w:rPr>
              <w:t>单位能耗</w:t>
            </w:r>
          </w:p>
        </w:tc>
        <w:tc>
          <w:tcPr>
            <w:tcW w:w="1851" w:type="pct"/>
            <w:noWrap w:val="0"/>
            <w:tcMar>
              <w:left w:w="0" w:type="dxa"/>
              <w:right w:w="0" w:type="dxa"/>
            </w:tcMar>
            <w:vAlign w:val="center"/>
          </w:tcPr>
          <w:p>
            <w:pPr>
              <w:adjustRightInd w:val="0"/>
              <w:jc w:val="center"/>
              <w:rPr>
                <w:color w:val="000000"/>
                <w:spacing w:val="7"/>
                <w:szCs w:val="21"/>
              </w:rPr>
            </w:pPr>
            <w:r>
              <w:rPr>
                <w:color w:val="000000"/>
                <w:spacing w:val="7"/>
                <w:szCs w:val="21"/>
              </w:rPr>
              <w:t>中等</w:t>
            </w:r>
          </w:p>
        </w:tc>
        <w:tc>
          <w:tcPr>
            <w:tcW w:w="1932" w:type="pct"/>
            <w:noWrap w:val="0"/>
            <w:vAlign w:val="center"/>
          </w:tcPr>
          <w:p>
            <w:pPr>
              <w:adjustRightInd w:val="0"/>
              <w:jc w:val="center"/>
              <w:rPr>
                <w:color w:val="000000"/>
                <w:spacing w:val="7"/>
                <w:szCs w:val="21"/>
              </w:rPr>
            </w:pPr>
            <w:r>
              <w:rPr>
                <w:color w:val="000000"/>
                <w:spacing w:val="7"/>
                <w:szCs w:val="21"/>
              </w:rPr>
              <w:t>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1216" w:type="pct"/>
            <w:noWrap w:val="0"/>
            <w:tcMar>
              <w:left w:w="0" w:type="dxa"/>
              <w:right w:w="0" w:type="dxa"/>
            </w:tcMar>
            <w:vAlign w:val="center"/>
          </w:tcPr>
          <w:p>
            <w:pPr>
              <w:adjustRightInd w:val="0"/>
              <w:jc w:val="center"/>
              <w:rPr>
                <w:color w:val="000000"/>
                <w:spacing w:val="7"/>
                <w:szCs w:val="21"/>
              </w:rPr>
            </w:pPr>
            <w:r>
              <w:rPr>
                <w:color w:val="000000"/>
                <w:spacing w:val="7"/>
                <w:szCs w:val="21"/>
              </w:rPr>
              <w:t>操作难度</w:t>
            </w:r>
          </w:p>
        </w:tc>
        <w:tc>
          <w:tcPr>
            <w:tcW w:w="1851" w:type="pct"/>
            <w:noWrap w:val="0"/>
            <w:tcMar>
              <w:left w:w="0" w:type="dxa"/>
              <w:right w:w="0" w:type="dxa"/>
            </w:tcMar>
            <w:vAlign w:val="center"/>
          </w:tcPr>
          <w:p>
            <w:pPr>
              <w:adjustRightInd w:val="0"/>
              <w:jc w:val="center"/>
              <w:rPr>
                <w:color w:val="000000"/>
                <w:spacing w:val="7"/>
                <w:szCs w:val="21"/>
              </w:rPr>
            </w:pPr>
            <w:r>
              <w:rPr>
                <w:color w:val="000000"/>
                <w:spacing w:val="7"/>
                <w:szCs w:val="21"/>
              </w:rPr>
              <w:t>较高</w:t>
            </w:r>
          </w:p>
        </w:tc>
        <w:tc>
          <w:tcPr>
            <w:tcW w:w="1932" w:type="pct"/>
            <w:noWrap w:val="0"/>
            <w:vAlign w:val="center"/>
          </w:tcPr>
          <w:p>
            <w:pPr>
              <w:adjustRightInd w:val="0"/>
              <w:jc w:val="center"/>
              <w:rPr>
                <w:color w:val="000000"/>
                <w:spacing w:val="7"/>
                <w:szCs w:val="21"/>
              </w:rPr>
            </w:pPr>
            <w:r>
              <w:rPr>
                <w:color w:val="000000"/>
                <w:spacing w:val="7"/>
                <w:szCs w:val="21"/>
              </w:rPr>
              <w:t>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1216" w:type="pct"/>
            <w:noWrap w:val="0"/>
            <w:tcMar>
              <w:left w:w="0" w:type="dxa"/>
              <w:right w:w="0" w:type="dxa"/>
            </w:tcMar>
            <w:vAlign w:val="center"/>
          </w:tcPr>
          <w:p>
            <w:pPr>
              <w:adjustRightInd w:val="0"/>
              <w:jc w:val="center"/>
              <w:rPr>
                <w:color w:val="000000"/>
                <w:spacing w:val="7"/>
                <w:szCs w:val="21"/>
              </w:rPr>
            </w:pPr>
            <w:r>
              <w:rPr>
                <w:color w:val="000000"/>
                <w:spacing w:val="7"/>
                <w:szCs w:val="21"/>
              </w:rPr>
              <w:t>产气率</w:t>
            </w:r>
          </w:p>
        </w:tc>
        <w:tc>
          <w:tcPr>
            <w:tcW w:w="1851" w:type="pct"/>
            <w:noWrap w:val="0"/>
            <w:tcMar>
              <w:left w:w="0" w:type="dxa"/>
              <w:right w:w="0" w:type="dxa"/>
            </w:tcMar>
            <w:vAlign w:val="center"/>
          </w:tcPr>
          <w:p>
            <w:pPr>
              <w:adjustRightInd w:val="0"/>
              <w:jc w:val="center"/>
              <w:rPr>
                <w:color w:val="000000"/>
                <w:spacing w:val="7"/>
                <w:szCs w:val="21"/>
              </w:rPr>
            </w:pPr>
            <w:r>
              <w:rPr>
                <w:color w:val="000000"/>
                <w:spacing w:val="7"/>
                <w:szCs w:val="21"/>
              </w:rPr>
              <w:t>≥0.5m</w:t>
            </w:r>
            <w:r>
              <w:rPr>
                <w:color w:val="000000"/>
                <w:spacing w:val="7"/>
                <w:szCs w:val="21"/>
                <w:vertAlign w:val="superscript"/>
              </w:rPr>
              <w:t>3</w:t>
            </w:r>
            <w:r>
              <w:rPr>
                <w:color w:val="000000"/>
                <w:spacing w:val="7"/>
                <w:szCs w:val="21"/>
              </w:rPr>
              <w:t>/m</w:t>
            </w:r>
            <w:r>
              <w:rPr>
                <w:color w:val="000000"/>
                <w:spacing w:val="7"/>
                <w:szCs w:val="21"/>
                <w:vertAlign w:val="superscript"/>
              </w:rPr>
              <w:t>3</w:t>
            </w:r>
          </w:p>
        </w:tc>
        <w:tc>
          <w:tcPr>
            <w:tcW w:w="1932" w:type="pct"/>
            <w:noWrap w:val="0"/>
            <w:vAlign w:val="center"/>
          </w:tcPr>
          <w:p>
            <w:pPr>
              <w:adjustRightInd w:val="0"/>
              <w:jc w:val="center"/>
              <w:rPr>
                <w:color w:val="000000"/>
                <w:spacing w:val="7"/>
                <w:szCs w:val="21"/>
              </w:rPr>
            </w:pPr>
            <w:r>
              <w:rPr>
                <w:color w:val="000000"/>
                <w:spacing w:val="7"/>
                <w:szCs w:val="21"/>
              </w:rPr>
              <w:t>≥0.8m</w:t>
            </w:r>
            <w:r>
              <w:rPr>
                <w:color w:val="000000"/>
                <w:spacing w:val="7"/>
                <w:szCs w:val="21"/>
                <w:vertAlign w:val="superscript"/>
              </w:rPr>
              <w:t>3</w:t>
            </w:r>
            <w:r>
              <w:rPr>
                <w:color w:val="000000"/>
                <w:spacing w:val="7"/>
                <w:szCs w:val="21"/>
              </w:rPr>
              <w:t>/m</w:t>
            </w:r>
            <w:r>
              <w:rPr>
                <w:color w:val="000000"/>
                <w:spacing w:val="7"/>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1216" w:type="pct"/>
            <w:noWrap w:val="0"/>
            <w:tcMar>
              <w:left w:w="0" w:type="dxa"/>
              <w:right w:w="0" w:type="dxa"/>
            </w:tcMar>
            <w:vAlign w:val="center"/>
          </w:tcPr>
          <w:p>
            <w:pPr>
              <w:adjustRightInd w:val="0"/>
              <w:jc w:val="center"/>
              <w:rPr>
                <w:color w:val="000000"/>
                <w:spacing w:val="7"/>
                <w:szCs w:val="21"/>
              </w:rPr>
            </w:pPr>
            <w:r>
              <w:rPr>
                <w:color w:val="000000"/>
                <w:spacing w:val="7"/>
                <w:szCs w:val="21"/>
              </w:rPr>
              <w:t>主体工程使用寿命</w:t>
            </w:r>
          </w:p>
        </w:tc>
        <w:tc>
          <w:tcPr>
            <w:tcW w:w="1851" w:type="pct"/>
            <w:noWrap w:val="0"/>
            <w:tcMar>
              <w:left w:w="0" w:type="dxa"/>
              <w:right w:w="0" w:type="dxa"/>
            </w:tcMar>
            <w:vAlign w:val="center"/>
          </w:tcPr>
          <w:p>
            <w:pPr>
              <w:adjustRightInd w:val="0"/>
              <w:jc w:val="center"/>
              <w:rPr>
                <w:color w:val="000000"/>
                <w:spacing w:val="7"/>
                <w:szCs w:val="21"/>
              </w:rPr>
            </w:pPr>
            <w:r>
              <w:rPr>
                <w:color w:val="000000"/>
                <w:spacing w:val="7"/>
                <w:szCs w:val="21"/>
              </w:rPr>
              <w:t>5~10年</w:t>
            </w:r>
          </w:p>
        </w:tc>
        <w:tc>
          <w:tcPr>
            <w:tcW w:w="1932" w:type="pct"/>
            <w:noWrap w:val="0"/>
            <w:vAlign w:val="center"/>
          </w:tcPr>
          <w:p>
            <w:pPr>
              <w:adjustRightInd w:val="0"/>
              <w:jc w:val="center"/>
              <w:rPr>
                <w:color w:val="000000"/>
                <w:spacing w:val="7"/>
                <w:szCs w:val="21"/>
              </w:rPr>
            </w:pPr>
            <w:r>
              <w:rPr>
                <w:color w:val="000000"/>
                <w:spacing w:val="7"/>
                <w:szCs w:val="21"/>
              </w:rPr>
              <w:t>10~20年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1216" w:type="pct"/>
            <w:noWrap w:val="0"/>
            <w:tcMar>
              <w:left w:w="0" w:type="dxa"/>
              <w:right w:w="0" w:type="dxa"/>
            </w:tcMar>
            <w:vAlign w:val="center"/>
          </w:tcPr>
          <w:p>
            <w:pPr>
              <w:adjustRightInd w:val="0"/>
              <w:jc w:val="center"/>
              <w:rPr>
                <w:color w:val="000000"/>
                <w:spacing w:val="7"/>
                <w:szCs w:val="21"/>
              </w:rPr>
            </w:pPr>
            <w:r>
              <w:rPr>
                <w:color w:val="000000"/>
                <w:spacing w:val="7"/>
                <w:szCs w:val="21"/>
              </w:rPr>
              <w:t>配套装置</w:t>
            </w:r>
          </w:p>
        </w:tc>
        <w:tc>
          <w:tcPr>
            <w:tcW w:w="1851" w:type="pct"/>
            <w:noWrap w:val="0"/>
            <w:tcMar>
              <w:left w:w="0" w:type="dxa"/>
              <w:right w:w="0" w:type="dxa"/>
            </w:tcMar>
            <w:vAlign w:val="center"/>
          </w:tcPr>
          <w:p>
            <w:pPr>
              <w:adjustRightInd w:val="0"/>
              <w:jc w:val="center"/>
              <w:rPr>
                <w:color w:val="000000"/>
                <w:spacing w:val="7"/>
                <w:szCs w:val="21"/>
              </w:rPr>
            </w:pPr>
            <w:r>
              <w:rPr>
                <w:color w:val="000000"/>
                <w:spacing w:val="7"/>
                <w:szCs w:val="21"/>
              </w:rPr>
              <w:t>须配套建设保温加热设备、沼气贮存装置；自动化程度要求高，须配套监控设备</w:t>
            </w:r>
          </w:p>
        </w:tc>
        <w:tc>
          <w:tcPr>
            <w:tcW w:w="1932" w:type="pct"/>
            <w:noWrap w:val="0"/>
            <w:vAlign w:val="center"/>
          </w:tcPr>
          <w:p>
            <w:pPr>
              <w:adjustRightInd w:val="0"/>
              <w:jc w:val="center"/>
              <w:rPr>
                <w:color w:val="000000"/>
                <w:spacing w:val="7"/>
                <w:szCs w:val="21"/>
              </w:rPr>
            </w:pPr>
            <w:r>
              <w:rPr>
                <w:color w:val="000000"/>
                <w:spacing w:val="7"/>
                <w:szCs w:val="21"/>
              </w:rPr>
              <w:t>沼气池集厌氧发酵、贮气于一体；池内污水温度受外界影响较小；污水进出自流、污泥产生量小，自动除渣，不容易堵塞</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1216" w:type="pct"/>
            <w:noWrap w:val="0"/>
            <w:tcMar>
              <w:left w:w="0" w:type="dxa"/>
              <w:right w:w="0" w:type="dxa"/>
            </w:tcMar>
            <w:vAlign w:val="center"/>
          </w:tcPr>
          <w:p>
            <w:pPr>
              <w:adjustRightInd w:val="0"/>
              <w:jc w:val="center"/>
              <w:rPr>
                <w:color w:val="000000"/>
                <w:spacing w:val="7"/>
                <w:szCs w:val="21"/>
              </w:rPr>
            </w:pPr>
            <w:r>
              <w:rPr>
                <w:color w:val="000000"/>
                <w:spacing w:val="7"/>
                <w:szCs w:val="21"/>
              </w:rPr>
              <w:t>建设成本</w:t>
            </w:r>
          </w:p>
        </w:tc>
        <w:tc>
          <w:tcPr>
            <w:tcW w:w="1851" w:type="pct"/>
            <w:noWrap w:val="0"/>
            <w:tcMar>
              <w:left w:w="0" w:type="dxa"/>
              <w:right w:w="0" w:type="dxa"/>
            </w:tcMar>
            <w:vAlign w:val="center"/>
          </w:tcPr>
          <w:p>
            <w:pPr>
              <w:adjustRightInd w:val="0"/>
              <w:jc w:val="center"/>
              <w:rPr>
                <w:color w:val="000000"/>
                <w:spacing w:val="7"/>
                <w:szCs w:val="21"/>
                <w:vertAlign w:val="superscript"/>
              </w:rPr>
            </w:pPr>
            <w:r>
              <w:rPr>
                <w:color w:val="000000"/>
                <w:spacing w:val="7"/>
                <w:szCs w:val="21"/>
              </w:rPr>
              <w:t>500~700元/m</w:t>
            </w:r>
            <w:r>
              <w:rPr>
                <w:color w:val="000000"/>
                <w:spacing w:val="7"/>
                <w:szCs w:val="21"/>
                <w:vertAlign w:val="superscript"/>
              </w:rPr>
              <w:t>3</w:t>
            </w:r>
          </w:p>
        </w:tc>
        <w:tc>
          <w:tcPr>
            <w:tcW w:w="1932" w:type="pct"/>
            <w:noWrap w:val="0"/>
            <w:vAlign w:val="center"/>
          </w:tcPr>
          <w:p>
            <w:pPr>
              <w:adjustRightInd w:val="0"/>
              <w:jc w:val="center"/>
              <w:rPr>
                <w:color w:val="000000"/>
                <w:spacing w:val="7"/>
                <w:szCs w:val="21"/>
              </w:rPr>
            </w:pPr>
            <w:r>
              <w:rPr>
                <w:color w:val="000000"/>
                <w:spacing w:val="7"/>
                <w:szCs w:val="21"/>
              </w:rPr>
              <w:t>50~60元/m</w:t>
            </w:r>
            <w:r>
              <w:rPr>
                <w:color w:val="000000"/>
                <w:spacing w:val="7"/>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1216" w:type="pct"/>
            <w:noWrap w:val="0"/>
            <w:tcMar>
              <w:left w:w="0" w:type="dxa"/>
              <w:right w:w="0" w:type="dxa"/>
            </w:tcMar>
            <w:vAlign w:val="center"/>
          </w:tcPr>
          <w:p>
            <w:pPr>
              <w:adjustRightInd w:val="0"/>
              <w:jc w:val="center"/>
              <w:rPr>
                <w:color w:val="000000"/>
                <w:spacing w:val="7"/>
                <w:szCs w:val="21"/>
              </w:rPr>
            </w:pPr>
            <w:r>
              <w:rPr>
                <w:color w:val="000000"/>
                <w:spacing w:val="7"/>
                <w:szCs w:val="21"/>
              </w:rPr>
              <w:t>经济效益</w:t>
            </w:r>
          </w:p>
        </w:tc>
        <w:tc>
          <w:tcPr>
            <w:tcW w:w="1851" w:type="pct"/>
            <w:noWrap w:val="0"/>
            <w:tcMar>
              <w:left w:w="0" w:type="dxa"/>
              <w:right w:w="0" w:type="dxa"/>
            </w:tcMar>
            <w:vAlign w:val="center"/>
          </w:tcPr>
          <w:p>
            <w:pPr>
              <w:adjustRightInd w:val="0"/>
              <w:jc w:val="center"/>
              <w:rPr>
                <w:color w:val="000000"/>
                <w:spacing w:val="7"/>
                <w:szCs w:val="21"/>
              </w:rPr>
            </w:pPr>
            <w:r>
              <w:rPr>
                <w:color w:val="000000"/>
                <w:spacing w:val="7"/>
                <w:szCs w:val="21"/>
              </w:rPr>
              <w:t>低</w:t>
            </w:r>
          </w:p>
        </w:tc>
        <w:tc>
          <w:tcPr>
            <w:tcW w:w="1932" w:type="pct"/>
            <w:noWrap w:val="0"/>
            <w:vAlign w:val="center"/>
          </w:tcPr>
          <w:p>
            <w:pPr>
              <w:adjustRightInd w:val="0"/>
              <w:jc w:val="center"/>
              <w:rPr>
                <w:color w:val="000000"/>
                <w:spacing w:val="7"/>
                <w:szCs w:val="21"/>
              </w:rPr>
            </w:pPr>
            <w:r>
              <w:rPr>
                <w:color w:val="000000"/>
                <w:spacing w:val="7"/>
                <w:szCs w:val="21"/>
              </w:rPr>
              <w:t>佳</w:t>
            </w:r>
          </w:p>
        </w:tc>
      </w:tr>
    </w:tbl>
    <w:p>
      <w:pPr>
        <w:tabs>
          <w:tab w:val="right" w:leader="dot" w:pos="8647"/>
        </w:tabs>
        <w:spacing w:line="520" w:lineRule="exact"/>
        <w:ind w:firstLine="480" w:firstLineChars="200"/>
        <w:rPr>
          <w:color w:val="000000"/>
          <w:sz w:val="24"/>
        </w:rPr>
      </w:pPr>
      <w:r>
        <w:rPr>
          <w:color w:val="000000"/>
          <w:sz w:val="24"/>
        </w:rPr>
        <w:t>由以上分析可知，</w:t>
      </w:r>
      <w:r>
        <w:rPr>
          <w:rFonts w:hint="eastAsia"/>
          <w:color w:val="000000"/>
          <w:sz w:val="24"/>
        </w:rPr>
        <w:t>黑膜</w:t>
      </w:r>
      <w:r>
        <w:rPr>
          <w:color w:val="000000"/>
          <w:sz w:val="24"/>
        </w:rPr>
        <w:t>沼气池工艺建设成本低，抗污水冲击力强，管理方便，污染物去除率高等优点。</w:t>
      </w:r>
    </w:p>
    <w:p>
      <w:pPr>
        <w:tabs>
          <w:tab w:val="right" w:leader="dot" w:pos="8647"/>
        </w:tabs>
        <w:adjustRightInd w:val="0"/>
        <w:snapToGrid w:val="0"/>
        <w:spacing w:line="500" w:lineRule="exact"/>
        <w:ind w:firstLine="480" w:firstLineChars="200"/>
        <w:rPr>
          <w:color w:val="000000"/>
          <w:sz w:val="24"/>
        </w:rPr>
      </w:pPr>
      <w:r>
        <w:rPr>
          <w:rFonts w:hint="eastAsia" w:ascii="宋体" w:hAnsi="宋体" w:cs="宋体"/>
          <w:color w:val="000000"/>
          <w:sz w:val="24"/>
        </w:rPr>
        <w:t>②</w:t>
      </w:r>
      <w:r>
        <w:rPr>
          <w:color w:val="000000"/>
          <w:sz w:val="24"/>
        </w:rPr>
        <w:t>处理效果对比</w:t>
      </w:r>
    </w:p>
    <w:p>
      <w:pPr>
        <w:tabs>
          <w:tab w:val="right" w:leader="dot" w:pos="8647"/>
        </w:tabs>
        <w:adjustRightInd w:val="0"/>
        <w:snapToGrid w:val="0"/>
        <w:spacing w:line="500" w:lineRule="exact"/>
        <w:ind w:firstLine="480" w:firstLineChars="200"/>
        <w:rPr>
          <w:color w:val="000000"/>
          <w:sz w:val="24"/>
        </w:rPr>
      </w:pPr>
      <w:r>
        <w:rPr>
          <w:color w:val="000000"/>
          <w:sz w:val="24"/>
        </w:rPr>
        <w:t>根据</w:t>
      </w:r>
      <w:r>
        <w:rPr>
          <w:rFonts w:hint="eastAsia"/>
          <w:color w:val="000000"/>
          <w:sz w:val="24"/>
        </w:rPr>
        <w:t>国内同类养殖场</w:t>
      </w:r>
      <w:r>
        <w:rPr>
          <w:color w:val="000000"/>
          <w:sz w:val="24"/>
        </w:rPr>
        <w:t>已运行养殖场（采用干清粪养殖工艺，污水处理采用UASB厌氧发酵）废水处理效果见表</w:t>
      </w:r>
      <w:r>
        <w:rPr>
          <w:rFonts w:hint="eastAsia"/>
          <w:color w:val="000000"/>
          <w:sz w:val="24"/>
        </w:rPr>
        <w:t>5.2-3</w:t>
      </w:r>
      <w:r>
        <w:rPr>
          <w:color w:val="000000"/>
          <w:sz w:val="24"/>
        </w:rPr>
        <w:t>。</w:t>
      </w:r>
    </w:p>
    <w:p>
      <w:pPr>
        <w:tabs>
          <w:tab w:val="right" w:leader="dot" w:pos="8647"/>
        </w:tabs>
        <w:spacing w:before="156" w:beforeLines="50" w:after="156" w:afterLines="50"/>
        <w:ind w:firstLine="480" w:firstLineChars="200"/>
        <w:jc w:val="center"/>
        <w:rPr>
          <w:rFonts w:hint="eastAsia"/>
          <w:b/>
          <w:bCs/>
          <w:color w:val="000000"/>
          <w:sz w:val="24"/>
        </w:rPr>
      </w:pPr>
    </w:p>
    <w:p>
      <w:pPr>
        <w:tabs>
          <w:tab w:val="right" w:leader="dot" w:pos="8647"/>
        </w:tabs>
        <w:spacing w:before="156" w:beforeLines="50" w:after="156" w:afterLines="50"/>
        <w:ind w:firstLine="480" w:firstLineChars="200"/>
        <w:jc w:val="center"/>
        <w:rPr>
          <w:rFonts w:hint="eastAsia"/>
          <w:b/>
          <w:bCs/>
          <w:color w:val="000000"/>
          <w:sz w:val="24"/>
        </w:rPr>
      </w:pPr>
    </w:p>
    <w:p>
      <w:pPr>
        <w:tabs>
          <w:tab w:val="right" w:leader="dot" w:pos="8647"/>
        </w:tabs>
        <w:spacing w:before="156" w:beforeLines="50" w:after="156" w:afterLines="50"/>
        <w:ind w:firstLine="480" w:firstLineChars="200"/>
        <w:jc w:val="center"/>
        <w:rPr>
          <w:b/>
          <w:bCs/>
          <w:color w:val="000000"/>
          <w:sz w:val="24"/>
        </w:rPr>
      </w:pPr>
      <w:r>
        <w:rPr>
          <w:b/>
          <w:bCs/>
          <w:color w:val="000000"/>
          <w:sz w:val="24"/>
        </w:rPr>
        <w:t>表</w:t>
      </w:r>
      <w:r>
        <w:rPr>
          <w:rFonts w:hint="eastAsia"/>
          <w:b/>
          <w:bCs/>
          <w:color w:val="000000"/>
          <w:sz w:val="24"/>
        </w:rPr>
        <w:t>5.2-3同类</w:t>
      </w:r>
      <w:r>
        <w:rPr>
          <w:b/>
          <w:bCs/>
          <w:color w:val="000000"/>
          <w:sz w:val="24"/>
        </w:rPr>
        <w:t>养殖场废水处理效果</w:t>
      </w:r>
    </w:p>
    <w:tbl>
      <w:tblPr>
        <w:tblStyle w:val="17"/>
        <w:tblW w:w="8946"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1809"/>
        <w:gridCol w:w="851"/>
        <w:gridCol w:w="956"/>
        <w:gridCol w:w="957"/>
        <w:gridCol w:w="957"/>
        <w:gridCol w:w="957"/>
        <w:gridCol w:w="1559"/>
        <w:gridCol w:w="900"/>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660" w:type="dxa"/>
            <w:gridSpan w:val="2"/>
            <w:vMerge w:val="restart"/>
            <w:noWrap w:val="0"/>
            <w:vAlign w:val="center"/>
          </w:tcPr>
          <w:p>
            <w:pPr>
              <w:jc w:val="center"/>
              <w:rPr>
                <w:color w:val="000000"/>
                <w:szCs w:val="21"/>
              </w:rPr>
            </w:pPr>
            <w:r>
              <w:rPr>
                <w:color w:val="000000"/>
                <w:szCs w:val="21"/>
              </w:rPr>
              <w:t>处理工段</w:t>
            </w:r>
          </w:p>
        </w:tc>
        <w:tc>
          <w:tcPr>
            <w:tcW w:w="3827" w:type="dxa"/>
            <w:gridSpan w:val="4"/>
            <w:tcBorders>
              <w:right w:val="single" w:color="auto" w:sz="4" w:space="0"/>
            </w:tcBorders>
            <w:noWrap w:val="0"/>
            <w:vAlign w:val="center"/>
          </w:tcPr>
          <w:p>
            <w:pPr>
              <w:jc w:val="center"/>
              <w:rPr>
                <w:color w:val="000000"/>
                <w:szCs w:val="21"/>
              </w:rPr>
            </w:pPr>
            <w:r>
              <w:rPr>
                <w:color w:val="000000"/>
                <w:szCs w:val="21"/>
              </w:rPr>
              <w:t>主要污染物浓度（mg/L）</w:t>
            </w:r>
          </w:p>
        </w:tc>
        <w:tc>
          <w:tcPr>
            <w:tcW w:w="1559" w:type="dxa"/>
            <w:vMerge w:val="restart"/>
            <w:tcBorders>
              <w:left w:val="single" w:color="auto" w:sz="4" w:space="0"/>
              <w:right w:val="single" w:color="auto" w:sz="4" w:space="0"/>
            </w:tcBorders>
            <w:noWrap w:val="0"/>
            <w:vAlign w:val="center"/>
          </w:tcPr>
          <w:p>
            <w:pPr>
              <w:jc w:val="center"/>
              <w:rPr>
                <w:color w:val="000000"/>
                <w:szCs w:val="21"/>
              </w:rPr>
            </w:pPr>
            <w:r>
              <w:rPr>
                <w:color w:val="000000"/>
                <w:szCs w:val="21"/>
              </w:rPr>
              <w:t>性状</w:t>
            </w:r>
          </w:p>
        </w:tc>
        <w:tc>
          <w:tcPr>
            <w:tcW w:w="900" w:type="dxa"/>
            <w:vMerge w:val="restart"/>
            <w:tcBorders>
              <w:left w:val="single" w:color="auto" w:sz="4" w:space="0"/>
            </w:tcBorders>
            <w:noWrap w:val="0"/>
            <w:vAlign w:val="center"/>
          </w:tcPr>
          <w:p>
            <w:pPr>
              <w:jc w:val="center"/>
              <w:rPr>
                <w:color w:val="000000"/>
                <w:szCs w:val="21"/>
              </w:rPr>
            </w:pPr>
            <w:r>
              <w:rPr>
                <w:color w:val="000000"/>
                <w:szCs w:val="21"/>
              </w:rPr>
              <w:t>水力停留时间</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660" w:type="dxa"/>
            <w:gridSpan w:val="2"/>
            <w:vMerge w:val="continue"/>
            <w:noWrap w:val="0"/>
            <w:vAlign w:val="center"/>
          </w:tcPr>
          <w:p>
            <w:pPr>
              <w:jc w:val="center"/>
              <w:rPr>
                <w:color w:val="000000"/>
                <w:szCs w:val="21"/>
              </w:rPr>
            </w:pPr>
          </w:p>
        </w:tc>
        <w:tc>
          <w:tcPr>
            <w:tcW w:w="956" w:type="dxa"/>
            <w:noWrap w:val="0"/>
            <w:vAlign w:val="center"/>
          </w:tcPr>
          <w:p>
            <w:pPr>
              <w:jc w:val="center"/>
              <w:rPr>
                <w:color w:val="000000"/>
                <w:szCs w:val="21"/>
              </w:rPr>
            </w:pPr>
            <w:r>
              <w:rPr>
                <w:color w:val="000000"/>
                <w:szCs w:val="21"/>
              </w:rPr>
              <w:t>COD</w:t>
            </w:r>
          </w:p>
        </w:tc>
        <w:tc>
          <w:tcPr>
            <w:tcW w:w="957" w:type="dxa"/>
            <w:noWrap w:val="0"/>
            <w:vAlign w:val="center"/>
          </w:tcPr>
          <w:p>
            <w:pPr>
              <w:jc w:val="center"/>
              <w:rPr>
                <w:color w:val="000000"/>
                <w:szCs w:val="21"/>
              </w:rPr>
            </w:pPr>
            <w:r>
              <w:rPr>
                <w:color w:val="000000"/>
                <w:szCs w:val="21"/>
              </w:rPr>
              <w:t>BOD</w:t>
            </w:r>
            <w:r>
              <w:rPr>
                <w:color w:val="000000"/>
                <w:szCs w:val="21"/>
                <w:vertAlign w:val="subscript"/>
              </w:rPr>
              <w:t>5</w:t>
            </w:r>
          </w:p>
        </w:tc>
        <w:tc>
          <w:tcPr>
            <w:tcW w:w="957" w:type="dxa"/>
            <w:noWrap w:val="0"/>
            <w:vAlign w:val="center"/>
          </w:tcPr>
          <w:p>
            <w:pPr>
              <w:jc w:val="center"/>
              <w:rPr>
                <w:color w:val="000000"/>
                <w:szCs w:val="21"/>
              </w:rPr>
            </w:pPr>
            <w:r>
              <w:rPr>
                <w:color w:val="000000"/>
                <w:szCs w:val="21"/>
              </w:rPr>
              <w:t>SS</w:t>
            </w:r>
          </w:p>
        </w:tc>
        <w:tc>
          <w:tcPr>
            <w:tcW w:w="957" w:type="dxa"/>
            <w:tcBorders>
              <w:right w:val="single" w:color="auto" w:sz="4" w:space="0"/>
            </w:tcBorders>
            <w:noWrap w:val="0"/>
            <w:vAlign w:val="center"/>
          </w:tcPr>
          <w:p>
            <w:pPr>
              <w:jc w:val="center"/>
              <w:rPr>
                <w:color w:val="000000"/>
                <w:szCs w:val="21"/>
              </w:rPr>
            </w:pPr>
            <w:r>
              <w:rPr>
                <w:color w:val="000000"/>
                <w:szCs w:val="21"/>
              </w:rPr>
              <w:t>NH</w:t>
            </w:r>
            <w:r>
              <w:rPr>
                <w:color w:val="000000"/>
                <w:szCs w:val="21"/>
                <w:vertAlign w:val="subscript"/>
              </w:rPr>
              <w:t>3</w:t>
            </w:r>
            <w:r>
              <w:rPr>
                <w:color w:val="000000"/>
                <w:szCs w:val="21"/>
              </w:rPr>
              <w:t>-N</w:t>
            </w:r>
          </w:p>
        </w:tc>
        <w:tc>
          <w:tcPr>
            <w:tcW w:w="1559" w:type="dxa"/>
            <w:vMerge w:val="continue"/>
            <w:tcBorders>
              <w:left w:val="single" w:color="auto" w:sz="4" w:space="0"/>
              <w:right w:val="single" w:color="auto" w:sz="4" w:space="0"/>
            </w:tcBorders>
            <w:noWrap w:val="0"/>
            <w:vAlign w:val="center"/>
          </w:tcPr>
          <w:p>
            <w:pPr>
              <w:jc w:val="center"/>
              <w:rPr>
                <w:color w:val="000000"/>
                <w:szCs w:val="21"/>
              </w:rPr>
            </w:pPr>
          </w:p>
        </w:tc>
        <w:tc>
          <w:tcPr>
            <w:tcW w:w="900" w:type="dxa"/>
            <w:vMerge w:val="continue"/>
            <w:tcBorders>
              <w:left w:val="single" w:color="auto" w:sz="4" w:space="0"/>
            </w:tcBorders>
            <w:noWrap w:val="0"/>
            <w:vAlign w:val="center"/>
          </w:tcPr>
          <w:p>
            <w:pPr>
              <w:jc w:val="center"/>
              <w:rPr>
                <w:color w:val="000000"/>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809" w:type="dxa"/>
            <w:vMerge w:val="restart"/>
            <w:noWrap w:val="0"/>
            <w:vAlign w:val="center"/>
          </w:tcPr>
          <w:p>
            <w:pPr>
              <w:jc w:val="center"/>
              <w:rPr>
                <w:color w:val="000000"/>
                <w:szCs w:val="21"/>
              </w:rPr>
            </w:pPr>
            <w:r>
              <w:rPr>
                <w:color w:val="000000"/>
                <w:szCs w:val="21"/>
              </w:rPr>
              <w:t>UASB进、出口</w:t>
            </w:r>
          </w:p>
        </w:tc>
        <w:tc>
          <w:tcPr>
            <w:tcW w:w="851" w:type="dxa"/>
            <w:noWrap w:val="0"/>
            <w:vAlign w:val="center"/>
          </w:tcPr>
          <w:p>
            <w:pPr>
              <w:jc w:val="center"/>
              <w:rPr>
                <w:color w:val="000000"/>
                <w:szCs w:val="21"/>
              </w:rPr>
            </w:pPr>
            <w:r>
              <w:rPr>
                <w:color w:val="000000"/>
                <w:szCs w:val="21"/>
              </w:rPr>
              <w:t>进水</w:t>
            </w:r>
          </w:p>
        </w:tc>
        <w:tc>
          <w:tcPr>
            <w:tcW w:w="956" w:type="dxa"/>
            <w:noWrap w:val="0"/>
            <w:vAlign w:val="center"/>
          </w:tcPr>
          <w:p>
            <w:pPr>
              <w:jc w:val="center"/>
              <w:rPr>
                <w:color w:val="000000"/>
                <w:szCs w:val="21"/>
              </w:rPr>
            </w:pPr>
            <w:r>
              <w:rPr>
                <w:color w:val="000000"/>
                <w:szCs w:val="21"/>
              </w:rPr>
              <w:t>8230</w:t>
            </w:r>
          </w:p>
        </w:tc>
        <w:tc>
          <w:tcPr>
            <w:tcW w:w="957" w:type="dxa"/>
            <w:noWrap w:val="0"/>
            <w:vAlign w:val="center"/>
          </w:tcPr>
          <w:p>
            <w:pPr>
              <w:jc w:val="center"/>
              <w:rPr>
                <w:color w:val="000000"/>
                <w:szCs w:val="21"/>
              </w:rPr>
            </w:pPr>
            <w:r>
              <w:rPr>
                <w:color w:val="000000"/>
                <w:szCs w:val="21"/>
              </w:rPr>
              <w:t>3873</w:t>
            </w:r>
          </w:p>
        </w:tc>
        <w:tc>
          <w:tcPr>
            <w:tcW w:w="957" w:type="dxa"/>
            <w:noWrap w:val="0"/>
            <w:vAlign w:val="center"/>
          </w:tcPr>
          <w:p>
            <w:pPr>
              <w:jc w:val="center"/>
              <w:rPr>
                <w:color w:val="000000"/>
                <w:szCs w:val="21"/>
              </w:rPr>
            </w:pPr>
            <w:r>
              <w:rPr>
                <w:color w:val="000000"/>
                <w:szCs w:val="21"/>
              </w:rPr>
              <w:t>2424</w:t>
            </w:r>
          </w:p>
        </w:tc>
        <w:tc>
          <w:tcPr>
            <w:tcW w:w="957" w:type="dxa"/>
            <w:tcBorders>
              <w:right w:val="single" w:color="auto" w:sz="4" w:space="0"/>
            </w:tcBorders>
            <w:noWrap w:val="0"/>
            <w:vAlign w:val="center"/>
          </w:tcPr>
          <w:p>
            <w:pPr>
              <w:jc w:val="center"/>
              <w:rPr>
                <w:color w:val="000000"/>
                <w:szCs w:val="21"/>
              </w:rPr>
            </w:pPr>
            <w:r>
              <w:rPr>
                <w:color w:val="000000"/>
                <w:szCs w:val="21"/>
              </w:rPr>
              <w:t>968</w:t>
            </w:r>
          </w:p>
        </w:tc>
        <w:tc>
          <w:tcPr>
            <w:tcW w:w="1559" w:type="dxa"/>
            <w:vMerge w:val="restart"/>
            <w:tcBorders>
              <w:left w:val="single" w:color="auto" w:sz="4" w:space="0"/>
              <w:right w:val="single" w:color="auto" w:sz="4" w:space="0"/>
            </w:tcBorders>
            <w:noWrap w:val="0"/>
            <w:vAlign w:val="center"/>
          </w:tcPr>
          <w:p>
            <w:pPr>
              <w:jc w:val="center"/>
              <w:rPr>
                <w:color w:val="000000"/>
                <w:szCs w:val="21"/>
              </w:rPr>
            </w:pPr>
            <w:r>
              <w:rPr>
                <w:color w:val="000000"/>
                <w:szCs w:val="21"/>
              </w:rPr>
              <w:t>棕色，腐化程度较低，沼液异味大</w:t>
            </w:r>
          </w:p>
        </w:tc>
        <w:tc>
          <w:tcPr>
            <w:tcW w:w="900" w:type="dxa"/>
            <w:vMerge w:val="restart"/>
            <w:tcBorders>
              <w:left w:val="single" w:color="auto" w:sz="4" w:space="0"/>
            </w:tcBorders>
            <w:noWrap w:val="0"/>
            <w:vAlign w:val="center"/>
          </w:tcPr>
          <w:p>
            <w:pPr>
              <w:jc w:val="center"/>
              <w:rPr>
                <w:color w:val="000000"/>
                <w:szCs w:val="21"/>
              </w:rPr>
            </w:pPr>
            <w:r>
              <w:rPr>
                <w:color w:val="000000"/>
                <w:szCs w:val="21"/>
              </w:rPr>
              <w:t>3天</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809" w:type="dxa"/>
            <w:vMerge w:val="continue"/>
            <w:noWrap w:val="0"/>
            <w:vAlign w:val="center"/>
          </w:tcPr>
          <w:p>
            <w:pPr>
              <w:jc w:val="center"/>
              <w:rPr>
                <w:color w:val="000000"/>
                <w:szCs w:val="21"/>
              </w:rPr>
            </w:pPr>
          </w:p>
        </w:tc>
        <w:tc>
          <w:tcPr>
            <w:tcW w:w="851" w:type="dxa"/>
            <w:noWrap w:val="0"/>
            <w:vAlign w:val="center"/>
          </w:tcPr>
          <w:p>
            <w:pPr>
              <w:jc w:val="center"/>
              <w:rPr>
                <w:color w:val="000000"/>
                <w:szCs w:val="21"/>
              </w:rPr>
            </w:pPr>
            <w:r>
              <w:rPr>
                <w:color w:val="000000"/>
                <w:szCs w:val="21"/>
              </w:rPr>
              <w:t>去除率</w:t>
            </w:r>
          </w:p>
        </w:tc>
        <w:tc>
          <w:tcPr>
            <w:tcW w:w="956" w:type="dxa"/>
            <w:noWrap w:val="0"/>
            <w:vAlign w:val="center"/>
          </w:tcPr>
          <w:p>
            <w:pPr>
              <w:jc w:val="center"/>
              <w:rPr>
                <w:color w:val="000000"/>
                <w:szCs w:val="21"/>
              </w:rPr>
            </w:pPr>
            <w:r>
              <w:rPr>
                <w:color w:val="000000"/>
                <w:szCs w:val="21"/>
              </w:rPr>
              <w:t>60%</w:t>
            </w:r>
          </w:p>
        </w:tc>
        <w:tc>
          <w:tcPr>
            <w:tcW w:w="957" w:type="dxa"/>
            <w:noWrap w:val="0"/>
            <w:vAlign w:val="center"/>
          </w:tcPr>
          <w:p>
            <w:pPr>
              <w:jc w:val="center"/>
              <w:rPr>
                <w:color w:val="000000"/>
                <w:szCs w:val="21"/>
              </w:rPr>
            </w:pPr>
            <w:r>
              <w:rPr>
                <w:color w:val="000000"/>
                <w:szCs w:val="21"/>
              </w:rPr>
              <w:t>75%</w:t>
            </w:r>
          </w:p>
        </w:tc>
        <w:tc>
          <w:tcPr>
            <w:tcW w:w="957" w:type="dxa"/>
            <w:noWrap w:val="0"/>
            <w:vAlign w:val="center"/>
          </w:tcPr>
          <w:p>
            <w:pPr>
              <w:jc w:val="center"/>
              <w:rPr>
                <w:color w:val="000000"/>
                <w:szCs w:val="21"/>
              </w:rPr>
            </w:pPr>
            <w:r>
              <w:rPr>
                <w:color w:val="000000"/>
                <w:szCs w:val="21"/>
              </w:rPr>
              <w:t>65%</w:t>
            </w:r>
          </w:p>
        </w:tc>
        <w:tc>
          <w:tcPr>
            <w:tcW w:w="957" w:type="dxa"/>
            <w:tcBorders>
              <w:right w:val="single" w:color="auto" w:sz="4" w:space="0"/>
            </w:tcBorders>
            <w:noWrap w:val="0"/>
            <w:vAlign w:val="center"/>
          </w:tcPr>
          <w:p>
            <w:pPr>
              <w:jc w:val="center"/>
              <w:rPr>
                <w:color w:val="000000"/>
                <w:szCs w:val="21"/>
              </w:rPr>
            </w:pPr>
            <w:r>
              <w:rPr>
                <w:color w:val="000000"/>
                <w:szCs w:val="21"/>
              </w:rPr>
              <w:t>10%</w:t>
            </w:r>
          </w:p>
        </w:tc>
        <w:tc>
          <w:tcPr>
            <w:tcW w:w="1559" w:type="dxa"/>
            <w:vMerge w:val="continue"/>
            <w:tcBorders>
              <w:left w:val="single" w:color="auto" w:sz="4" w:space="0"/>
              <w:right w:val="single" w:color="auto" w:sz="4" w:space="0"/>
            </w:tcBorders>
            <w:noWrap w:val="0"/>
            <w:vAlign w:val="center"/>
          </w:tcPr>
          <w:p>
            <w:pPr>
              <w:jc w:val="center"/>
              <w:rPr>
                <w:color w:val="000000"/>
                <w:szCs w:val="21"/>
              </w:rPr>
            </w:pPr>
          </w:p>
        </w:tc>
        <w:tc>
          <w:tcPr>
            <w:tcW w:w="900" w:type="dxa"/>
            <w:vMerge w:val="continue"/>
            <w:tcBorders>
              <w:left w:val="single" w:color="auto" w:sz="4" w:space="0"/>
            </w:tcBorders>
            <w:noWrap w:val="0"/>
            <w:vAlign w:val="center"/>
          </w:tcPr>
          <w:p>
            <w:pPr>
              <w:jc w:val="center"/>
              <w:rPr>
                <w:color w:val="000000"/>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809" w:type="dxa"/>
            <w:vMerge w:val="continue"/>
            <w:noWrap w:val="0"/>
            <w:vAlign w:val="center"/>
          </w:tcPr>
          <w:p>
            <w:pPr>
              <w:jc w:val="center"/>
              <w:rPr>
                <w:color w:val="000000"/>
                <w:szCs w:val="21"/>
              </w:rPr>
            </w:pPr>
          </w:p>
        </w:tc>
        <w:tc>
          <w:tcPr>
            <w:tcW w:w="851" w:type="dxa"/>
            <w:noWrap w:val="0"/>
            <w:vAlign w:val="center"/>
          </w:tcPr>
          <w:p>
            <w:pPr>
              <w:jc w:val="center"/>
              <w:rPr>
                <w:color w:val="000000"/>
                <w:szCs w:val="21"/>
              </w:rPr>
            </w:pPr>
            <w:r>
              <w:rPr>
                <w:color w:val="000000"/>
                <w:szCs w:val="21"/>
              </w:rPr>
              <w:t>出水</w:t>
            </w:r>
          </w:p>
        </w:tc>
        <w:tc>
          <w:tcPr>
            <w:tcW w:w="956" w:type="dxa"/>
            <w:noWrap w:val="0"/>
            <w:vAlign w:val="center"/>
          </w:tcPr>
          <w:p>
            <w:pPr>
              <w:jc w:val="center"/>
              <w:rPr>
                <w:color w:val="000000"/>
                <w:szCs w:val="21"/>
              </w:rPr>
            </w:pPr>
            <w:r>
              <w:rPr>
                <w:color w:val="000000"/>
                <w:szCs w:val="21"/>
              </w:rPr>
              <w:t>3292</w:t>
            </w:r>
          </w:p>
        </w:tc>
        <w:tc>
          <w:tcPr>
            <w:tcW w:w="957" w:type="dxa"/>
            <w:noWrap w:val="0"/>
            <w:vAlign w:val="center"/>
          </w:tcPr>
          <w:p>
            <w:pPr>
              <w:jc w:val="center"/>
              <w:rPr>
                <w:color w:val="000000"/>
                <w:szCs w:val="21"/>
              </w:rPr>
            </w:pPr>
            <w:r>
              <w:rPr>
                <w:color w:val="000000"/>
                <w:szCs w:val="21"/>
              </w:rPr>
              <w:t>968</w:t>
            </w:r>
          </w:p>
        </w:tc>
        <w:tc>
          <w:tcPr>
            <w:tcW w:w="957" w:type="dxa"/>
            <w:noWrap w:val="0"/>
            <w:vAlign w:val="center"/>
          </w:tcPr>
          <w:p>
            <w:pPr>
              <w:jc w:val="center"/>
              <w:rPr>
                <w:color w:val="000000"/>
                <w:szCs w:val="21"/>
              </w:rPr>
            </w:pPr>
            <w:r>
              <w:rPr>
                <w:color w:val="000000"/>
                <w:szCs w:val="21"/>
              </w:rPr>
              <w:t>848</w:t>
            </w:r>
          </w:p>
        </w:tc>
        <w:tc>
          <w:tcPr>
            <w:tcW w:w="957" w:type="dxa"/>
            <w:tcBorders>
              <w:right w:val="single" w:color="auto" w:sz="4" w:space="0"/>
            </w:tcBorders>
            <w:noWrap w:val="0"/>
            <w:vAlign w:val="center"/>
          </w:tcPr>
          <w:p>
            <w:pPr>
              <w:jc w:val="center"/>
              <w:rPr>
                <w:color w:val="000000"/>
                <w:szCs w:val="21"/>
              </w:rPr>
            </w:pPr>
            <w:r>
              <w:rPr>
                <w:color w:val="000000"/>
                <w:szCs w:val="21"/>
              </w:rPr>
              <w:t>871</w:t>
            </w:r>
          </w:p>
        </w:tc>
        <w:tc>
          <w:tcPr>
            <w:tcW w:w="1559" w:type="dxa"/>
            <w:vMerge w:val="continue"/>
            <w:tcBorders>
              <w:left w:val="single" w:color="auto" w:sz="4" w:space="0"/>
              <w:right w:val="single" w:color="auto" w:sz="4" w:space="0"/>
            </w:tcBorders>
            <w:noWrap w:val="0"/>
            <w:vAlign w:val="center"/>
          </w:tcPr>
          <w:p>
            <w:pPr>
              <w:jc w:val="center"/>
              <w:rPr>
                <w:color w:val="000000"/>
                <w:szCs w:val="21"/>
              </w:rPr>
            </w:pPr>
          </w:p>
        </w:tc>
        <w:tc>
          <w:tcPr>
            <w:tcW w:w="900" w:type="dxa"/>
            <w:vMerge w:val="continue"/>
            <w:tcBorders>
              <w:left w:val="single" w:color="auto" w:sz="4" w:space="0"/>
            </w:tcBorders>
            <w:noWrap w:val="0"/>
            <w:vAlign w:val="center"/>
          </w:tcPr>
          <w:p>
            <w:pPr>
              <w:jc w:val="center"/>
              <w:rPr>
                <w:color w:val="000000"/>
                <w:szCs w:val="21"/>
              </w:rPr>
            </w:pPr>
          </w:p>
        </w:tc>
      </w:tr>
    </w:tbl>
    <w:p>
      <w:pPr>
        <w:tabs>
          <w:tab w:val="right" w:leader="dot" w:pos="8647"/>
        </w:tabs>
        <w:adjustRightInd w:val="0"/>
        <w:snapToGrid w:val="0"/>
        <w:spacing w:line="500" w:lineRule="exact"/>
        <w:ind w:firstLine="480" w:firstLineChars="200"/>
        <w:rPr>
          <w:color w:val="000000"/>
          <w:sz w:val="24"/>
        </w:rPr>
      </w:pPr>
      <w:r>
        <w:rPr>
          <w:color w:val="000000"/>
          <w:sz w:val="24"/>
        </w:rPr>
        <w:t>本项目（采用干清粪养殖工艺，污水处理采用</w:t>
      </w:r>
      <w:r>
        <w:rPr>
          <w:rFonts w:hint="eastAsia"/>
          <w:color w:val="000000"/>
          <w:sz w:val="24"/>
        </w:rPr>
        <w:t>黑膜</w:t>
      </w:r>
      <w:r>
        <w:rPr>
          <w:color w:val="000000"/>
          <w:sz w:val="24"/>
        </w:rPr>
        <w:t>沼气池厌氧发酵）设计废水处理效果见表</w:t>
      </w:r>
      <w:r>
        <w:rPr>
          <w:rFonts w:hint="eastAsia"/>
          <w:color w:val="000000"/>
          <w:sz w:val="24"/>
        </w:rPr>
        <w:t>5.2-4</w:t>
      </w:r>
      <w:r>
        <w:rPr>
          <w:color w:val="000000"/>
          <w:sz w:val="24"/>
        </w:rPr>
        <w:t>。</w:t>
      </w:r>
    </w:p>
    <w:p>
      <w:pPr>
        <w:tabs>
          <w:tab w:val="right" w:leader="dot" w:pos="8647"/>
        </w:tabs>
        <w:spacing w:before="156" w:beforeLines="50" w:after="156" w:afterLines="50"/>
        <w:ind w:firstLine="480" w:firstLineChars="200"/>
        <w:jc w:val="center"/>
        <w:rPr>
          <w:b/>
          <w:bCs/>
          <w:color w:val="000000"/>
          <w:sz w:val="24"/>
        </w:rPr>
      </w:pPr>
      <w:r>
        <w:rPr>
          <w:b/>
          <w:bCs/>
          <w:color w:val="000000"/>
          <w:sz w:val="24"/>
        </w:rPr>
        <w:t>表</w:t>
      </w:r>
      <w:r>
        <w:rPr>
          <w:rFonts w:hint="eastAsia"/>
          <w:b/>
          <w:bCs/>
          <w:color w:val="000000"/>
          <w:sz w:val="24"/>
        </w:rPr>
        <w:t>5.2-4</w:t>
      </w:r>
      <w:r>
        <w:rPr>
          <w:b/>
          <w:bCs/>
          <w:color w:val="000000"/>
          <w:sz w:val="24"/>
        </w:rPr>
        <w:t xml:space="preserve">  本项目设计废水处理效果</w:t>
      </w:r>
    </w:p>
    <w:tbl>
      <w:tblPr>
        <w:tblStyle w:val="17"/>
        <w:tblW w:w="8946"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1809"/>
        <w:gridCol w:w="851"/>
        <w:gridCol w:w="1134"/>
        <w:gridCol w:w="850"/>
        <w:gridCol w:w="993"/>
        <w:gridCol w:w="1134"/>
        <w:gridCol w:w="1275"/>
        <w:gridCol w:w="900"/>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660" w:type="dxa"/>
            <w:gridSpan w:val="2"/>
            <w:vMerge w:val="restart"/>
            <w:noWrap w:val="0"/>
            <w:vAlign w:val="center"/>
          </w:tcPr>
          <w:p>
            <w:pPr>
              <w:jc w:val="center"/>
              <w:rPr>
                <w:color w:val="000000"/>
                <w:szCs w:val="21"/>
              </w:rPr>
            </w:pPr>
            <w:r>
              <w:rPr>
                <w:color w:val="000000"/>
                <w:szCs w:val="21"/>
              </w:rPr>
              <w:t>处理工段</w:t>
            </w:r>
          </w:p>
        </w:tc>
        <w:tc>
          <w:tcPr>
            <w:tcW w:w="4111" w:type="dxa"/>
            <w:gridSpan w:val="4"/>
            <w:tcBorders>
              <w:right w:val="single" w:color="auto" w:sz="4" w:space="0"/>
            </w:tcBorders>
            <w:noWrap w:val="0"/>
            <w:vAlign w:val="center"/>
          </w:tcPr>
          <w:p>
            <w:pPr>
              <w:jc w:val="center"/>
              <w:rPr>
                <w:color w:val="000000"/>
                <w:szCs w:val="21"/>
              </w:rPr>
            </w:pPr>
            <w:r>
              <w:rPr>
                <w:color w:val="000000"/>
                <w:szCs w:val="21"/>
              </w:rPr>
              <w:t>主要污染物浓度（mg/L）</w:t>
            </w:r>
          </w:p>
        </w:tc>
        <w:tc>
          <w:tcPr>
            <w:tcW w:w="1275" w:type="dxa"/>
            <w:vMerge w:val="restart"/>
            <w:tcBorders>
              <w:left w:val="single" w:color="auto" w:sz="4" w:space="0"/>
              <w:right w:val="single" w:color="auto" w:sz="4" w:space="0"/>
            </w:tcBorders>
            <w:noWrap w:val="0"/>
            <w:vAlign w:val="center"/>
          </w:tcPr>
          <w:p>
            <w:pPr>
              <w:jc w:val="center"/>
              <w:rPr>
                <w:color w:val="000000"/>
                <w:szCs w:val="21"/>
              </w:rPr>
            </w:pPr>
            <w:r>
              <w:rPr>
                <w:color w:val="000000"/>
                <w:szCs w:val="21"/>
              </w:rPr>
              <w:t>性状</w:t>
            </w:r>
          </w:p>
        </w:tc>
        <w:tc>
          <w:tcPr>
            <w:tcW w:w="900" w:type="dxa"/>
            <w:vMerge w:val="restart"/>
            <w:tcBorders>
              <w:left w:val="single" w:color="auto" w:sz="4" w:space="0"/>
            </w:tcBorders>
            <w:noWrap w:val="0"/>
            <w:vAlign w:val="center"/>
          </w:tcPr>
          <w:p>
            <w:pPr>
              <w:jc w:val="center"/>
              <w:rPr>
                <w:color w:val="000000"/>
                <w:szCs w:val="21"/>
              </w:rPr>
            </w:pPr>
            <w:r>
              <w:rPr>
                <w:color w:val="000000"/>
                <w:szCs w:val="21"/>
              </w:rPr>
              <w:t>水力停留时间</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2660" w:type="dxa"/>
            <w:gridSpan w:val="2"/>
            <w:vMerge w:val="continue"/>
            <w:noWrap w:val="0"/>
            <w:vAlign w:val="center"/>
          </w:tcPr>
          <w:p>
            <w:pPr>
              <w:jc w:val="center"/>
              <w:rPr>
                <w:color w:val="000000"/>
                <w:szCs w:val="21"/>
              </w:rPr>
            </w:pPr>
          </w:p>
        </w:tc>
        <w:tc>
          <w:tcPr>
            <w:tcW w:w="1134" w:type="dxa"/>
            <w:noWrap w:val="0"/>
            <w:vAlign w:val="center"/>
          </w:tcPr>
          <w:p>
            <w:pPr>
              <w:jc w:val="center"/>
              <w:rPr>
                <w:color w:val="000000"/>
                <w:szCs w:val="21"/>
              </w:rPr>
            </w:pPr>
            <w:r>
              <w:rPr>
                <w:color w:val="000000"/>
                <w:szCs w:val="21"/>
              </w:rPr>
              <w:t>COD</w:t>
            </w:r>
          </w:p>
        </w:tc>
        <w:tc>
          <w:tcPr>
            <w:tcW w:w="850" w:type="dxa"/>
            <w:noWrap w:val="0"/>
            <w:vAlign w:val="center"/>
          </w:tcPr>
          <w:p>
            <w:pPr>
              <w:jc w:val="center"/>
              <w:rPr>
                <w:color w:val="000000"/>
                <w:szCs w:val="21"/>
              </w:rPr>
            </w:pPr>
            <w:r>
              <w:rPr>
                <w:color w:val="000000"/>
                <w:szCs w:val="21"/>
              </w:rPr>
              <w:t>BOD</w:t>
            </w:r>
            <w:r>
              <w:rPr>
                <w:color w:val="000000"/>
                <w:szCs w:val="21"/>
                <w:vertAlign w:val="subscript"/>
              </w:rPr>
              <w:t>5</w:t>
            </w:r>
          </w:p>
        </w:tc>
        <w:tc>
          <w:tcPr>
            <w:tcW w:w="993" w:type="dxa"/>
            <w:noWrap w:val="0"/>
            <w:vAlign w:val="center"/>
          </w:tcPr>
          <w:p>
            <w:pPr>
              <w:jc w:val="center"/>
              <w:rPr>
                <w:color w:val="000000"/>
                <w:szCs w:val="21"/>
              </w:rPr>
            </w:pPr>
            <w:r>
              <w:rPr>
                <w:color w:val="000000"/>
                <w:szCs w:val="21"/>
              </w:rPr>
              <w:t>NH</w:t>
            </w:r>
            <w:r>
              <w:rPr>
                <w:color w:val="000000"/>
                <w:szCs w:val="21"/>
                <w:vertAlign w:val="subscript"/>
              </w:rPr>
              <w:t>3</w:t>
            </w:r>
            <w:r>
              <w:rPr>
                <w:color w:val="000000"/>
                <w:szCs w:val="21"/>
              </w:rPr>
              <w:t>-N</w:t>
            </w:r>
          </w:p>
        </w:tc>
        <w:tc>
          <w:tcPr>
            <w:tcW w:w="1134" w:type="dxa"/>
            <w:tcBorders>
              <w:right w:val="single" w:color="auto" w:sz="4" w:space="0"/>
            </w:tcBorders>
            <w:noWrap w:val="0"/>
            <w:vAlign w:val="center"/>
          </w:tcPr>
          <w:p>
            <w:pPr>
              <w:jc w:val="center"/>
              <w:rPr>
                <w:color w:val="000000"/>
                <w:szCs w:val="21"/>
              </w:rPr>
            </w:pPr>
            <w:r>
              <w:rPr>
                <w:color w:val="000000"/>
                <w:szCs w:val="21"/>
              </w:rPr>
              <w:t xml:space="preserve">SS </w:t>
            </w:r>
          </w:p>
        </w:tc>
        <w:tc>
          <w:tcPr>
            <w:tcW w:w="1275" w:type="dxa"/>
            <w:vMerge w:val="continue"/>
            <w:tcBorders>
              <w:left w:val="single" w:color="auto" w:sz="4" w:space="0"/>
              <w:right w:val="single" w:color="auto" w:sz="4" w:space="0"/>
            </w:tcBorders>
            <w:noWrap w:val="0"/>
            <w:vAlign w:val="center"/>
          </w:tcPr>
          <w:p>
            <w:pPr>
              <w:jc w:val="center"/>
              <w:rPr>
                <w:color w:val="000000"/>
                <w:szCs w:val="21"/>
              </w:rPr>
            </w:pPr>
          </w:p>
        </w:tc>
        <w:tc>
          <w:tcPr>
            <w:tcW w:w="900" w:type="dxa"/>
            <w:vMerge w:val="continue"/>
            <w:tcBorders>
              <w:left w:val="single" w:color="auto" w:sz="4" w:space="0"/>
            </w:tcBorders>
            <w:noWrap w:val="0"/>
            <w:vAlign w:val="center"/>
          </w:tcPr>
          <w:p>
            <w:pPr>
              <w:jc w:val="center"/>
              <w:rPr>
                <w:color w:val="000000"/>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809" w:type="dxa"/>
            <w:vMerge w:val="restart"/>
            <w:noWrap w:val="0"/>
            <w:vAlign w:val="center"/>
          </w:tcPr>
          <w:p>
            <w:pPr>
              <w:jc w:val="center"/>
              <w:rPr>
                <w:color w:val="000000"/>
                <w:szCs w:val="21"/>
              </w:rPr>
            </w:pPr>
            <w:r>
              <w:rPr>
                <w:rFonts w:hint="eastAsia"/>
                <w:color w:val="000000"/>
                <w:szCs w:val="21"/>
              </w:rPr>
              <w:t>黑膜</w:t>
            </w:r>
            <w:r>
              <w:rPr>
                <w:color w:val="000000"/>
                <w:szCs w:val="21"/>
              </w:rPr>
              <w:t>沼气池进、出口</w:t>
            </w:r>
          </w:p>
        </w:tc>
        <w:tc>
          <w:tcPr>
            <w:tcW w:w="851" w:type="dxa"/>
            <w:noWrap w:val="0"/>
            <w:vAlign w:val="center"/>
          </w:tcPr>
          <w:p>
            <w:pPr>
              <w:topLinePunct/>
              <w:spacing w:line="320" w:lineRule="exact"/>
              <w:jc w:val="center"/>
              <w:rPr>
                <w:color w:val="000000"/>
                <w:szCs w:val="21"/>
              </w:rPr>
            </w:pPr>
            <w:r>
              <w:rPr>
                <w:color w:val="000000"/>
                <w:szCs w:val="21"/>
              </w:rPr>
              <w:t>进水</w:t>
            </w:r>
          </w:p>
        </w:tc>
        <w:tc>
          <w:tcPr>
            <w:tcW w:w="1134" w:type="dxa"/>
            <w:noWrap w:val="0"/>
            <w:vAlign w:val="center"/>
          </w:tcPr>
          <w:p>
            <w:pPr>
              <w:topLinePunct/>
              <w:spacing w:line="320" w:lineRule="exact"/>
              <w:jc w:val="center"/>
              <w:rPr>
                <w:color w:val="000000"/>
                <w:szCs w:val="21"/>
              </w:rPr>
            </w:pPr>
            <w:r>
              <w:rPr>
                <w:color w:val="000000"/>
                <w:szCs w:val="21"/>
              </w:rPr>
              <w:t>15000</w:t>
            </w:r>
          </w:p>
        </w:tc>
        <w:tc>
          <w:tcPr>
            <w:tcW w:w="850" w:type="dxa"/>
            <w:noWrap w:val="0"/>
            <w:vAlign w:val="center"/>
          </w:tcPr>
          <w:p>
            <w:pPr>
              <w:topLinePunct/>
              <w:spacing w:line="320" w:lineRule="exact"/>
              <w:jc w:val="center"/>
              <w:rPr>
                <w:color w:val="000000"/>
                <w:szCs w:val="21"/>
              </w:rPr>
            </w:pPr>
            <w:r>
              <w:rPr>
                <w:color w:val="000000"/>
                <w:szCs w:val="21"/>
              </w:rPr>
              <w:t>8000</w:t>
            </w:r>
          </w:p>
        </w:tc>
        <w:tc>
          <w:tcPr>
            <w:tcW w:w="993" w:type="dxa"/>
            <w:noWrap w:val="0"/>
            <w:vAlign w:val="center"/>
          </w:tcPr>
          <w:p>
            <w:pPr>
              <w:topLinePunct/>
              <w:spacing w:line="320" w:lineRule="exact"/>
              <w:jc w:val="center"/>
              <w:rPr>
                <w:color w:val="000000"/>
                <w:szCs w:val="21"/>
              </w:rPr>
            </w:pPr>
            <w:r>
              <w:rPr>
                <w:color w:val="000000"/>
                <w:szCs w:val="21"/>
              </w:rPr>
              <w:t>1200</w:t>
            </w:r>
          </w:p>
        </w:tc>
        <w:tc>
          <w:tcPr>
            <w:tcW w:w="1134" w:type="dxa"/>
            <w:tcBorders>
              <w:right w:val="single" w:color="auto" w:sz="4" w:space="0"/>
            </w:tcBorders>
            <w:noWrap w:val="0"/>
            <w:vAlign w:val="center"/>
          </w:tcPr>
          <w:p>
            <w:pPr>
              <w:topLinePunct/>
              <w:spacing w:line="320" w:lineRule="exact"/>
              <w:jc w:val="center"/>
              <w:rPr>
                <w:color w:val="000000"/>
                <w:szCs w:val="21"/>
              </w:rPr>
            </w:pPr>
            <w:r>
              <w:rPr>
                <w:color w:val="000000"/>
                <w:szCs w:val="21"/>
              </w:rPr>
              <w:t>16000</w:t>
            </w:r>
          </w:p>
        </w:tc>
        <w:tc>
          <w:tcPr>
            <w:tcW w:w="1275" w:type="dxa"/>
            <w:vMerge w:val="restart"/>
            <w:tcBorders>
              <w:left w:val="single" w:color="auto" w:sz="4" w:space="0"/>
              <w:right w:val="single" w:color="auto" w:sz="4" w:space="0"/>
            </w:tcBorders>
            <w:noWrap w:val="0"/>
            <w:vAlign w:val="center"/>
          </w:tcPr>
          <w:p>
            <w:pPr>
              <w:jc w:val="center"/>
              <w:rPr>
                <w:color w:val="000000"/>
                <w:szCs w:val="21"/>
              </w:rPr>
            </w:pPr>
            <w:r>
              <w:rPr>
                <w:color w:val="000000"/>
                <w:szCs w:val="21"/>
              </w:rPr>
              <w:t>红棕色，腐化程度较高，沼液异味小</w:t>
            </w:r>
          </w:p>
        </w:tc>
        <w:tc>
          <w:tcPr>
            <w:tcW w:w="900" w:type="dxa"/>
            <w:vMerge w:val="restart"/>
            <w:tcBorders>
              <w:left w:val="single" w:color="auto" w:sz="4" w:space="0"/>
            </w:tcBorders>
            <w:noWrap w:val="0"/>
            <w:vAlign w:val="center"/>
          </w:tcPr>
          <w:p>
            <w:pPr>
              <w:jc w:val="center"/>
              <w:rPr>
                <w:color w:val="000000"/>
                <w:kern w:val="0"/>
                <w:szCs w:val="21"/>
              </w:rPr>
            </w:pPr>
            <w:r>
              <w:rPr>
                <w:color w:val="000000"/>
                <w:kern w:val="0"/>
                <w:szCs w:val="21"/>
              </w:rPr>
              <w:t>35天</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809" w:type="dxa"/>
            <w:vMerge w:val="continue"/>
            <w:noWrap w:val="0"/>
            <w:vAlign w:val="center"/>
          </w:tcPr>
          <w:p>
            <w:pPr>
              <w:jc w:val="center"/>
              <w:rPr>
                <w:color w:val="000000"/>
                <w:szCs w:val="21"/>
              </w:rPr>
            </w:pPr>
          </w:p>
        </w:tc>
        <w:tc>
          <w:tcPr>
            <w:tcW w:w="851" w:type="dxa"/>
            <w:noWrap w:val="0"/>
            <w:vAlign w:val="center"/>
          </w:tcPr>
          <w:p>
            <w:pPr>
              <w:topLinePunct/>
              <w:spacing w:line="320" w:lineRule="exact"/>
              <w:jc w:val="center"/>
              <w:rPr>
                <w:color w:val="000000"/>
                <w:szCs w:val="21"/>
              </w:rPr>
            </w:pPr>
            <w:r>
              <w:rPr>
                <w:color w:val="000000"/>
                <w:szCs w:val="21"/>
              </w:rPr>
              <w:t>去除率</w:t>
            </w:r>
          </w:p>
        </w:tc>
        <w:tc>
          <w:tcPr>
            <w:tcW w:w="1134" w:type="dxa"/>
            <w:noWrap w:val="0"/>
            <w:vAlign w:val="center"/>
          </w:tcPr>
          <w:p>
            <w:pPr>
              <w:topLinePunct/>
              <w:spacing w:line="320" w:lineRule="exact"/>
              <w:jc w:val="center"/>
              <w:rPr>
                <w:color w:val="000000"/>
                <w:szCs w:val="21"/>
              </w:rPr>
            </w:pPr>
            <w:r>
              <w:rPr>
                <w:color w:val="000000"/>
                <w:szCs w:val="21"/>
              </w:rPr>
              <w:t>80%</w:t>
            </w:r>
          </w:p>
        </w:tc>
        <w:tc>
          <w:tcPr>
            <w:tcW w:w="850" w:type="dxa"/>
            <w:noWrap w:val="0"/>
            <w:vAlign w:val="center"/>
          </w:tcPr>
          <w:p>
            <w:pPr>
              <w:topLinePunct/>
              <w:spacing w:line="320" w:lineRule="exact"/>
              <w:jc w:val="center"/>
              <w:rPr>
                <w:color w:val="000000"/>
                <w:szCs w:val="21"/>
              </w:rPr>
            </w:pPr>
            <w:r>
              <w:rPr>
                <w:color w:val="000000"/>
                <w:szCs w:val="21"/>
              </w:rPr>
              <w:t>82.5%</w:t>
            </w:r>
          </w:p>
        </w:tc>
        <w:tc>
          <w:tcPr>
            <w:tcW w:w="993" w:type="dxa"/>
            <w:noWrap w:val="0"/>
            <w:vAlign w:val="center"/>
          </w:tcPr>
          <w:p>
            <w:pPr>
              <w:topLinePunct/>
              <w:spacing w:line="320" w:lineRule="exact"/>
              <w:jc w:val="center"/>
              <w:rPr>
                <w:color w:val="000000"/>
                <w:szCs w:val="21"/>
              </w:rPr>
            </w:pPr>
            <w:r>
              <w:rPr>
                <w:color w:val="000000"/>
                <w:szCs w:val="21"/>
              </w:rPr>
              <w:t>25%</w:t>
            </w:r>
          </w:p>
        </w:tc>
        <w:tc>
          <w:tcPr>
            <w:tcW w:w="1134" w:type="dxa"/>
            <w:tcBorders>
              <w:right w:val="single" w:color="auto" w:sz="4" w:space="0"/>
            </w:tcBorders>
            <w:noWrap w:val="0"/>
            <w:vAlign w:val="center"/>
          </w:tcPr>
          <w:p>
            <w:pPr>
              <w:topLinePunct/>
              <w:spacing w:line="320" w:lineRule="exact"/>
              <w:jc w:val="center"/>
              <w:rPr>
                <w:color w:val="000000"/>
                <w:szCs w:val="21"/>
              </w:rPr>
            </w:pPr>
            <w:r>
              <w:rPr>
                <w:color w:val="000000"/>
                <w:szCs w:val="21"/>
              </w:rPr>
              <w:t>87.5%</w:t>
            </w:r>
          </w:p>
        </w:tc>
        <w:tc>
          <w:tcPr>
            <w:tcW w:w="1275" w:type="dxa"/>
            <w:vMerge w:val="continue"/>
            <w:tcBorders>
              <w:left w:val="single" w:color="auto" w:sz="4" w:space="0"/>
              <w:right w:val="single" w:color="auto" w:sz="4" w:space="0"/>
            </w:tcBorders>
            <w:noWrap w:val="0"/>
            <w:vAlign w:val="center"/>
          </w:tcPr>
          <w:p>
            <w:pPr>
              <w:jc w:val="center"/>
              <w:rPr>
                <w:color w:val="000000"/>
                <w:kern w:val="0"/>
                <w:szCs w:val="21"/>
              </w:rPr>
            </w:pPr>
          </w:p>
        </w:tc>
        <w:tc>
          <w:tcPr>
            <w:tcW w:w="900" w:type="dxa"/>
            <w:vMerge w:val="continue"/>
            <w:tcBorders>
              <w:left w:val="single" w:color="auto" w:sz="4" w:space="0"/>
            </w:tcBorders>
            <w:noWrap w:val="0"/>
            <w:vAlign w:val="center"/>
          </w:tcPr>
          <w:p>
            <w:pPr>
              <w:jc w:val="center"/>
              <w:rPr>
                <w:color w:val="000000"/>
                <w:kern w:val="0"/>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rPr>
          <w:trHeight w:val="340" w:hRule="atLeast"/>
          <w:jc w:val="center"/>
        </w:trPr>
        <w:tc>
          <w:tcPr>
            <w:tcW w:w="1809" w:type="dxa"/>
            <w:vMerge w:val="continue"/>
            <w:noWrap w:val="0"/>
            <w:vAlign w:val="center"/>
          </w:tcPr>
          <w:p>
            <w:pPr>
              <w:jc w:val="center"/>
              <w:rPr>
                <w:color w:val="000000"/>
                <w:szCs w:val="21"/>
              </w:rPr>
            </w:pPr>
          </w:p>
        </w:tc>
        <w:tc>
          <w:tcPr>
            <w:tcW w:w="851" w:type="dxa"/>
            <w:noWrap w:val="0"/>
            <w:vAlign w:val="center"/>
          </w:tcPr>
          <w:p>
            <w:pPr>
              <w:topLinePunct/>
              <w:spacing w:line="320" w:lineRule="exact"/>
              <w:jc w:val="center"/>
              <w:rPr>
                <w:color w:val="000000"/>
                <w:szCs w:val="21"/>
              </w:rPr>
            </w:pPr>
            <w:r>
              <w:rPr>
                <w:color w:val="000000"/>
                <w:szCs w:val="21"/>
              </w:rPr>
              <w:t>出水</w:t>
            </w:r>
          </w:p>
        </w:tc>
        <w:tc>
          <w:tcPr>
            <w:tcW w:w="1134" w:type="dxa"/>
            <w:noWrap w:val="0"/>
            <w:vAlign w:val="center"/>
          </w:tcPr>
          <w:p>
            <w:pPr>
              <w:topLinePunct/>
              <w:spacing w:line="320" w:lineRule="exact"/>
              <w:jc w:val="center"/>
              <w:rPr>
                <w:color w:val="000000"/>
                <w:szCs w:val="21"/>
              </w:rPr>
            </w:pPr>
            <w:r>
              <w:rPr>
                <w:color w:val="000000"/>
                <w:szCs w:val="21"/>
              </w:rPr>
              <w:t>3000</w:t>
            </w:r>
          </w:p>
        </w:tc>
        <w:tc>
          <w:tcPr>
            <w:tcW w:w="850" w:type="dxa"/>
            <w:noWrap w:val="0"/>
            <w:vAlign w:val="center"/>
          </w:tcPr>
          <w:p>
            <w:pPr>
              <w:topLinePunct/>
              <w:spacing w:line="320" w:lineRule="exact"/>
              <w:jc w:val="center"/>
              <w:rPr>
                <w:color w:val="000000"/>
                <w:szCs w:val="21"/>
              </w:rPr>
            </w:pPr>
            <w:r>
              <w:rPr>
                <w:color w:val="000000"/>
                <w:szCs w:val="21"/>
              </w:rPr>
              <w:t>1400</w:t>
            </w:r>
          </w:p>
        </w:tc>
        <w:tc>
          <w:tcPr>
            <w:tcW w:w="993" w:type="dxa"/>
            <w:noWrap w:val="0"/>
            <w:vAlign w:val="center"/>
          </w:tcPr>
          <w:p>
            <w:pPr>
              <w:topLinePunct/>
              <w:spacing w:line="320" w:lineRule="exact"/>
              <w:jc w:val="center"/>
              <w:rPr>
                <w:color w:val="000000"/>
                <w:szCs w:val="21"/>
              </w:rPr>
            </w:pPr>
            <w:r>
              <w:rPr>
                <w:color w:val="000000"/>
                <w:szCs w:val="21"/>
              </w:rPr>
              <w:t>900</w:t>
            </w:r>
          </w:p>
        </w:tc>
        <w:tc>
          <w:tcPr>
            <w:tcW w:w="1134" w:type="dxa"/>
            <w:tcBorders>
              <w:right w:val="single" w:color="auto" w:sz="4" w:space="0"/>
            </w:tcBorders>
            <w:noWrap w:val="0"/>
            <w:vAlign w:val="center"/>
          </w:tcPr>
          <w:p>
            <w:pPr>
              <w:topLinePunct/>
              <w:spacing w:line="320" w:lineRule="exact"/>
              <w:jc w:val="center"/>
              <w:rPr>
                <w:color w:val="000000"/>
                <w:szCs w:val="21"/>
              </w:rPr>
            </w:pPr>
            <w:r>
              <w:rPr>
                <w:color w:val="000000"/>
                <w:szCs w:val="21"/>
              </w:rPr>
              <w:t>2000</w:t>
            </w:r>
          </w:p>
        </w:tc>
        <w:tc>
          <w:tcPr>
            <w:tcW w:w="1275" w:type="dxa"/>
            <w:vMerge w:val="continue"/>
            <w:tcBorders>
              <w:left w:val="single" w:color="auto" w:sz="4" w:space="0"/>
              <w:right w:val="single" w:color="auto" w:sz="4" w:space="0"/>
            </w:tcBorders>
            <w:noWrap w:val="0"/>
            <w:vAlign w:val="center"/>
          </w:tcPr>
          <w:p>
            <w:pPr>
              <w:jc w:val="center"/>
              <w:rPr>
                <w:color w:val="000000"/>
                <w:kern w:val="0"/>
                <w:szCs w:val="21"/>
              </w:rPr>
            </w:pPr>
          </w:p>
        </w:tc>
        <w:tc>
          <w:tcPr>
            <w:tcW w:w="900" w:type="dxa"/>
            <w:vMerge w:val="continue"/>
            <w:tcBorders>
              <w:left w:val="single" w:color="auto" w:sz="4" w:space="0"/>
            </w:tcBorders>
            <w:noWrap w:val="0"/>
            <w:vAlign w:val="center"/>
          </w:tcPr>
          <w:p>
            <w:pPr>
              <w:jc w:val="center"/>
              <w:rPr>
                <w:color w:val="000000"/>
                <w:kern w:val="0"/>
                <w:szCs w:val="21"/>
              </w:rPr>
            </w:pPr>
          </w:p>
        </w:tc>
      </w:tr>
    </w:tbl>
    <w:p>
      <w:pPr>
        <w:tabs>
          <w:tab w:val="right" w:leader="dot" w:pos="8647"/>
        </w:tabs>
        <w:adjustRightInd w:val="0"/>
        <w:snapToGrid w:val="0"/>
        <w:spacing w:line="500" w:lineRule="exact"/>
        <w:ind w:firstLine="480" w:firstLineChars="200"/>
        <w:rPr>
          <w:color w:val="000000"/>
          <w:sz w:val="24"/>
        </w:rPr>
      </w:pPr>
      <w:r>
        <w:rPr>
          <w:color w:val="000000"/>
          <w:sz w:val="24"/>
        </w:rPr>
        <w:t>由上可知，UASB厌氧发酵工艺主要污染物处理效率分别为COD 60%、BOD</w:t>
      </w:r>
      <w:r>
        <w:rPr>
          <w:color w:val="000000"/>
          <w:sz w:val="24"/>
          <w:vertAlign w:val="subscript"/>
        </w:rPr>
        <w:t>5</w:t>
      </w:r>
      <w:r>
        <w:rPr>
          <w:color w:val="000000"/>
          <w:sz w:val="24"/>
        </w:rPr>
        <w:t>75%、SS65%、氨氮10%，水力停留时间为3天，出水呈棕色，腐化程度较低，沼液异味大；</w:t>
      </w:r>
      <w:r>
        <w:rPr>
          <w:rFonts w:hint="eastAsia"/>
          <w:color w:val="000000"/>
          <w:sz w:val="24"/>
        </w:rPr>
        <w:t>黑膜</w:t>
      </w:r>
      <w:r>
        <w:rPr>
          <w:color w:val="000000"/>
          <w:sz w:val="24"/>
        </w:rPr>
        <w:t>沼气池厌氧发酵工艺主要污染物处理效率分别为COD 80%、BOD</w:t>
      </w:r>
      <w:r>
        <w:rPr>
          <w:color w:val="000000"/>
          <w:sz w:val="24"/>
          <w:vertAlign w:val="subscript"/>
        </w:rPr>
        <w:t>5</w:t>
      </w:r>
      <w:r>
        <w:rPr>
          <w:color w:val="000000"/>
          <w:sz w:val="24"/>
        </w:rPr>
        <w:t xml:space="preserve"> 82.5%、SS 87.5%、氨氮25%，设计水力停留时间为35天，出水呈红棕色，腐化程度较高，沼液异味小。</w:t>
      </w:r>
    </w:p>
    <w:p>
      <w:pPr>
        <w:tabs>
          <w:tab w:val="right" w:leader="dot" w:pos="8647"/>
        </w:tabs>
        <w:adjustRightInd w:val="0"/>
        <w:snapToGrid w:val="0"/>
        <w:spacing w:line="500" w:lineRule="exact"/>
        <w:ind w:firstLine="480" w:firstLineChars="200"/>
        <w:rPr>
          <w:color w:val="000000"/>
          <w:sz w:val="24"/>
        </w:rPr>
      </w:pPr>
      <w:r>
        <w:rPr>
          <w:color w:val="000000"/>
          <w:sz w:val="24"/>
        </w:rPr>
        <w:t>经比较，因为采用干清粪工艺后，养殖废水中COD、氨氮、悬浮物浓度较大，宜采用污染物处理效率较高，对进水悬浮物浓度无要求的</w:t>
      </w:r>
      <w:r>
        <w:rPr>
          <w:rFonts w:hint="eastAsia"/>
          <w:color w:val="000000"/>
          <w:sz w:val="24"/>
        </w:rPr>
        <w:t>黑膜</w:t>
      </w:r>
      <w:r>
        <w:rPr>
          <w:color w:val="000000"/>
          <w:sz w:val="24"/>
        </w:rPr>
        <w:t>沼气池厌氧发酵工艺污染物处理；且项目拟选场址位于农村地区，周边有大量农田可供沼液综合利用。因此本项目选用</w:t>
      </w:r>
      <w:r>
        <w:rPr>
          <w:rFonts w:hint="eastAsia"/>
          <w:color w:val="000000"/>
          <w:sz w:val="24"/>
        </w:rPr>
        <w:t>黑膜</w:t>
      </w:r>
      <w:r>
        <w:rPr>
          <w:color w:val="000000"/>
          <w:sz w:val="24"/>
        </w:rPr>
        <w:t>沼气池处理场内养殖及生活废水，该处理模式符合《省环保厅、省农业厅、省农业农村局关于印发畜禽养殖业污染源总量减排技术指导意见（试行）的通知》（豫环文【2012】99号）猪场污染减排模式2：养猪场采用干清粪方式，建设治污设施，粪便生产有机肥基料，污水/尿液经处理后还田，无污水排放口进行外排，有与养殖规模相适应的消纳土地，且治污设施满足养殖场规模需求。保证COD、氨氮100%总量减排。</w:t>
      </w:r>
    </w:p>
    <w:p>
      <w:pPr>
        <w:tabs>
          <w:tab w:val="right" w:leader="dot" w:pos="8647"/>
        </w:tabs>
        <w:adjustRightInd w:val="0"/>
        <w:snapToGrid w:val="0"/>
        <w:spacing w:line="500" w:lineRule="exact"/>
        <w:ind w:firstLine="480" w:firstLineChars="200"/>
        <w:rPr>
          <w:color w:val="000000"/>
          <w:sz w:val="24"/>
        </w:rPr>
      </w:pPr>
      <w:r>
        <w:rPr>
          <w:color w:val="000000"/>
          <w:sz w:val="24"/>
        </w:rPr>
        <w:t>本项目</w:t>
      </w:r>
      <w:r>
        <w:rPr>
          <w:rFonts w:hint="eastAsia"/>
          <w:color w:val="000000"/>
          <w:sz w:val="24"/>
        </w:rPr>
        <w:t>黑膜</w:t>
      </w:r>
      <w:r>
        <w:rPr>
          <w:color w:val="000000"/>
          <w:sz w:val="24"/>
        </w:rPr>
        <w:t>沼气池设计水力停留时间为30天，能够在保证废水处理效果。废水进厌氧发酵塘前经过收集池均匀水质水量，再经过固液分离机处理，能够减少废水中的粪便固形物，做到沼液的保氮保肥，最大限度的发挥</w:t>
      </w:r>
      <w:r>
        <w:rPr>
          <w:rFonts w:hint="eastAsia"/>
          <w:color w:val="000000"/>
          <w:sz w:val="24"/>
        </w:rPr>
        <w:t>黑膜</w:t>
      </w:r>
      <w:r>
        <w:rPr>
          <w:color w:val="000000"/>
          <w:sz w:val="24"/>
        </w:rPr>
        <w:t>沼气池除臭杀菌的作用。经过厌氧发酵处理后产生的沼液属于高浓度有机废水，该废水具有有机物浓度高、可生化性好、易降解的特点，是较为理想的肥料。</w:t>
      </w:r>
    </w:p>
    <w:p>
      <w:pPr>
        <w:spacing w:line="500" w:lineRule="exact"/>
        <w:rPr>
          <w:b/>
          <w:kern w:val="0"/>
          <w:sz w:val="24"/>
          <w:lang w:bidi="ar"/>
        </w:rPr>
      </w:pPr>
      <w:r>
        <w:rPr>
          <w:rFonts w:hint="eastAsia"/>
          <w:b/>
          <w:kern w:val="0"/>
          <w:sz w:val="24"/>
          <w:lang w:bidi="ar"/>
        </w:rPr>
        <w:t>5</w:t>
      </w:r>
      <w:r>
        <w:rPr>
          <w:b/>
          <w:kern w:val="0"/>
          <w:sz w:val="24"/>
          <w:lang w:bidi="ar"/>
        </w:rPr>
        <w:t>.2.1.3本项目废水治理工艺</w:t>
      </w:r>
    </w:p>
    <w:p>
      <w:pPr>
        <w:topLinePunct/>
        <w:adjustRightInd w:val="0"/>
        <w:snapToGrid w:val="0"/>
        <w:spacing w:line="500" w:lineRule="exact"/>
        <w:ind w:firstLine="480" w:firstLineChars="200"/>
        <w:rPr>
          <w:color w:val="000000"/>
          <w:sz w:val="24"/>
        </w:rPr>
      </w:pPr>
      <w:r>
        <w:rPr>
          <w:color w:val="000000"/>
          <w:sz w:val="24"/>
        </w:rPr>
        <w:t>项目生猪饲养猪舍采用漏缝地板饲养，粪尿一经产生便依靠重力经过漏缝地板离开猪舍，在猪舍下部贮存池暂存后由密闭管道输送至治污区处理。采用</w:t>
      </w:r>
      <w:r>
        <w:rPr>
          <w:rFonts w:ascii="宋体" w:hAnsi="宋体"/>
          <w:color w:val="000000"/>
          <w:sz w:val="24"/>
        </w:rPr>
        <w:t>“</w:t>
      </w:r>
      <w:r>
        <w:rPr>
          <w:rFonts w:hint="eastAsia" w:ascii="宋体" w:hAnsi="宋体"/>
          <w:color w:val="000000"/>
          <w:sz w:val="24"/>
        </w:rPr>
        <w:t>黑膜</w:t>
      </w:r>
      <w:r>
        <w:rPr>
          <w:rFonts w:ascii="宋体" w:hAnsi="宋体"/>
          <w:color w:val="000000"/>
          <w:sz w:val="24"/>
        </w:rPr>
        <w:t>沼气池+沼气、沼液、沼渣综合利用”</w:t>
      </w:r>
      <w:r>
        <w:rPr>
          <w:color w:val="000000"/>
          <w:sz w:val="24"/>
        </w:rPr>
        <w:t>的处理工艺。</w:t>
      </w:r>
    </w:p>
    <w:p>
      <w:pPr>
        <w:topLinePunct/>
        <w:adjustRightInd w:val="0"/>
        <w:snapToGrid w:val="0"/>
        <w:spacing w:line="500" w:lineRule="exact"/>
        <w:ind w:firstLine="480" w:firstLineChars="200"/>
        <w:rPr>
          <w:color w:val="000000"/>
          <w:sz w:val="24"/>
        </w:rPr>
      </w:pPr>
      <w:r>
        <w:rPr>
          <w:rFonts w:hint="eastAsia" w:ascii="宋体" w:hAnsi="宋体" w:cs="宋体"/>
          <w:color w:val="000000"/>
          <w:sz w:val="24"/>
        </w:rPr>
        <w:t>①</w:t>
      </w:r>
      <w:r>
        <w:rPr>
          <w:color w:val="000000"/>
          <w:sz w:val="24"/>
        </w:rPr>
        <w:t>工程废水处理工艺：</w:t>
      </w:r>
    </w:p>
    <w:p>
      <w:pPr>
        <w:topLinePunct/>
        <w:adjustRightInd w:val="0"/>
        <w:snapToGrid w:val="0"/>
        <w:spacing w:line="500" w:lineRule="exact"/>
        <w:ind w:firstLine="480" w:firstLineChars="200"/>
        <w:rPr>
          <w:bCs/>
          <w:color w:val="000000"/>
          <w:sz w:val="24"/>
        </w:rPr>
      </w:pPr>
      <w:r>
        <w:rPr>
          <w:bCs/>
          <w:color w:val="000000"/>
          <w:sz w:val="24"/>
        </w:rPr>
        <w:t>本工程污染治理详细工艺描述如下：</w:t>
      </w:r>
    </w:p>
    <w:p>
      <w:pPr>
        <w:topLinePunct/>
        <w:spacing w:line="500" w:lineRule="exact"/>
        <w:ind w:firstLine="480" w:firstLineChars="200"/>
        <w:rPr>
          <w:bCs/>
          <w:color w:val="000000"/>
          <w:sz w:val="24"/>
        </w:rPr>
      </w:pPr>
      <w:r>
        <w:rPr>
          <w:bCs/>
          <w:color w:val="000000"/>
          <w:sz w:val="24"/>
        </w:rPr>
        <w:t>收集池、固液分离机：主要目的是为减轻后续工艺负荷，减少投资，通过物理方法去除杂质，实现减量化，均衡水质、水量。</w:t>
      </w:r>
    </w:p>
    <w:p>
      <w:pPr>
        <w:topLinePunct/>
        <w:spacing w:line="500" w:lineRule="exact"/>
        <w:ind w:firstLine="480" w:firstLineChars="200"/>
        <w:rPr>
          <w:color w:val="000000"/>
          <w:sz w:val="24"/>
        </w:rPr>
      </w:pPr>
      <w:r>
        <w:rPr>
          <w:rFonts w:hint="eastAsia"/>
          <w:bCs/>
          <w:color w:val="000000"/>
          <w:sz w:val="24"/>
        </w:rPr>
        <w:t>黑膜</w:t>
      </w:r>
      <w:r>
        <w:rPr>
          <w:bCs/>
          <w:color w:val="000000"/>
          <w:sz w:val="24"/>
        </w:rPr>
        <w:t>沼气池：本项目废水经固液分离、调节后经进入</w:t>
      </w:r>
      <w:r>
        <w:rPr>
          <w:rFonts w:hint="eastAsia"/>
          <w:bCs/>
          <w:color w:val="000000"/>
          <w:sz w:val="24"/>
        </w:rPr>
        <w:t>黑膜</w:t>
      </w:r>
      <w:r>
        <w:rPr>
          <w:bCs/>
          <w:color w:val="000000"/>
          <w:sz w:val="24"/>
        </w:rPr>
        <w:t>沼气池，经30天厌氧发酵去除大部分有机物，沼液排入沼液储存池暂存，沼渣经底部设置排沼渣管道排出。</w:t>
      </w:r>
      <w:r>
        <w:rPr>
          <w:color w:val="000000"/>
          <w:sz w:val="24"/>
        </w:rPr>
        <w:t>沼液储存池：项目设1个沼液储存池，沼液作为肥料定期给</w:t>
      </w:r>
      <w:r>
        <w:rPr>
          <w:rFonts w:hint="eastAsia"/>
          <w:color w:val="000000"/>
          <w:sz w:val="24"/>
        </w:rPr>
        <w:t>周边农田</w:t>
      </w:r>
      <w:r>
        <w:rPr>
          <w:color w:val="000000"/>
          <w:sz w:val="24"/>
        </w:rPr>
        <w:t>施肥。</w:t>
      </w:r>
    </w:p>
    <w:p>
      <w:pPr>
        <w:topLinePunct/>
        <w:adjustRightInd w:val="0"/>
        <w:snapToGrid w:val="0"/>
        <w:spacing w:line="520" w:lineRule="exact"/>
        <w:ind w:firstLine="480" w:firstLineChars="200"/>
        <w:rPr>
          <w:bCs/>
          <w:color w:val="000000"/>
          <w:sz w:val="24"/>
        </w:rPr>
      </w:pPr>
      <w:r>
        <w:rPr>
          <w:bCs/>
          <w:color w:val="000000"/>
          <w:sz w:val="24"/>
        </w:rPr>
        <w:fldChar w:fldCharType="begin"/>
      </w:r>
      <w:r>
        <w:rPr>
          <w:bCs/>
          <w:color w:val="000000"/>
          <w:sz w:val="24"/>
        </w:rPr>
        <w:instrText xml:space="preserve">= 2 \* GB3</w:instrText>
      </w:r>
      <w:r>
        <w:rPr>
          <w:bCs/>
          <w:color w:val="000000"/>
          <w:sz w:val="24"/>
        </w:rPr>
        <w:fldChar w:fldCharType="separate"/>
      </w:r>
      <w:r>
        <w:rPr>
          <w:rFonts w:hint="eastAsia" w:ascii="宋体" w:hAnsi="宋体" w:cs="宋体"/>
          <w:bCs/>
          <w:color w:val="000000"/>
          <w:sz w:val="24"/>
        </w:rPr>
        <w:t>②</w:t>
      </w:r>
      <w:r>
        <w:rPr>
          <w:bCs/>
          <w:color w:val="000000"/>
          <w:sz w:val="24"/>
        </w:rPr>
        <w:fldChar w:fldCharType="end"/>
      </w:r>
      <w:r>
        <w:rPr>
          <w:bCs/>
          <w:color w:val="000000"/>
          <w:sz w:val="24"/>
        </w:rPr>
        <w:t>水处理规模</w:t>
      </w:r>
    </w:p>
    <w:p>
      <w:pPr>
        <w:topLinePunct/>
        <w:spacing w:line="500" w:lineRule="exact"/>
        <w:ind w:firstLine="480" w:firstLineChars="200"/>
        <w:rPr>
          <w:bCs/>
          <w:color w:val="000000"/>
          <w:sz w:val="24"/>
        </w:rPr>
      </w:pPr>
      <w:r>
        <w:rPr>
          <w:bCs/>
          <w:color w:val="000000"/>
          <w:sz w:val="24"/>
        </w:rPr>
        <w:t>本项目夏季废水产生量为</w:t>
      </w:r>
      <w:r>
        <w:rPr>
          <w:rFonts w:hint="eastAsia"/>
          <w:bCs/>
          <w:sz w:val="24"/>
          <w:lang w:eastAsia="zh-CN"/>
        </w:rPr>
        <w:t>23.18</w:t>
      </w:r>
      <w:r>
        <w:rPr>
          <w:bCs/>
          <w:color w:val="000000"/>
          <w:sz w:val="24"/>
        </w:rPr>
        <w:t>m</w:t>
      </w:r>
      <w:r>
        <w:rPr>
          <w:bCs/>
          <w:color w:val="000000"/>
          <w:sz w:val="24"/>
          <w:vertAlign w:val="superscript"/>
        </w:rPr>
        <w:t>3</w:t>
      </w:r>
      <w:r>
        <w:rPr>
          <w:bCs/>
          <w:color w:val="000000"/>
          <w:sz w:val="24"/>
        </w:rPr>
        <w:t>/d，</w:t>
      </w:r>
      <w:r>
        <w:rPr>
          <w:rFonts w:hint="eastAsia"/>
          <w:bCs/>
          <w:color w:val="000000"/>
          <w:sz w:val="24"/>
        </w:rPr>
        <w:t>黑膜</w:t>
      </w:r>
      <w:r>
        <w:rPr>
          <w:bCs/>
          <w:color w:val="000000"/>
          <w:sz w:val="24"/>
        </w:rPr>
        <w:t>沼气池的设计容积为</w:t>
      </w:r>
      <w:r>
        <w:rPr>
          <w:rFonts w:hint="eastAsia"/>
          <w:bCs/>
          <w:color w:val="000000"/>
          <w:sz w:val="24"/>
        </w:rPr>
        <w:t>1200</w:t>
      </w:r>
      <w:r>
        <w:rPr>
          <w:bCs/>
          <w:color w:val="000000"/>
          <w:sz w:val="24"/>
        </w:rPr>
        <w:t>m</w:t>
      </w:r>
      <w:r>
        <w:rPr>
          <w:bCs/>
          <w:color w:val="000000"/>
          <w:sz w:val="24"/>
          <w:vertAlign w:val="superscript"/>
        </w:rPr>
        <w:t>3</w:t>
      </w:r>
      <w:r>
        <w:rPr>
          <w:bCs/>
          <w:color w:val="000000"/>
          <w:sz w:val="24"/>
        </w:rPr>
        <w:t>，发酵温度为常温，水力停留时间为30天。</w:t>
      </w:r>
      <w:r>
        <w:rPr>
          <w:rFonts w:hint="eastAsia"/>
          <w:bCs/>
          <w:color w:val="000000"/>
          <w:sz w:val="24"/>
        </w:rPr>
        <w:t>黑膜</w:t>
      </w:r>
      <w:r>
        <w:rPr>
          <w:bCs/>
          <w:color w:val="000000"/>
          <w:sz w:val="24"/>
        </w:rPr>
        <w:t>沼气池为全封闭结构。满足工艺要求，</w:t>
      </w:r>
      <w:r>
        <w:rPr>
          <w:rFonts w:hint="eastAsia"/>
          <w:bCs/>
          <w:color w:val="000000"/>
          <w:sz w:val="24"/>
        </w:rPr>
        <w:t>黑膜</w:t>
      </w:r>
      <w:r>
        <w:rPr>
          <w:bCs/>
          <w:color w:val="000000"/>
          <w:sz w:val="24"/>
        </w:rPr>
        <w:t>沼气池设施可正常运行。</w:t>
      </w:r>
    </w:p>
    <w:p>
      <w:pPr>
        <w:topLinePunct/>
        <w:adjustRightInd w:val="0"/>
        <w:snapToGrid w:val="0"/>
        <w:spacing w:line="520" w:lineRule="exact"/>
        <w:ind w:firstLine="480" w:firstLineChars="200"/>
        <w:rPr>
          <w:bCs/>
          <w:color w:val="000000"/>
          <w:sz w:val="24"/>
        </w:rPr>
      </w:pPr>
      <w:r>
        <w:rPr>
          <w:bCs/>
          <w:color w:val="000000"/>
          <w:sz w:val="24"/>
        </w:rPr>
        <w:fldChar w:fldCharType="begin"/>
      </w:r>
      <w:r>
        <w:rPr>
          <w:bCs/>
          <w:color w:val="000000"/>
          <w:sz w:val="24"/>
        </w:rPr>
        <w:instrText xml:space="preserve">= 3 \* GB3</w:instrText>
      </w:r>
      <w:r>
        <w:rPr>
          <w:bCs/>
          <w:color w:val="000000"/>
          <w:sz w:val="24"/>
        </w:rPr>
        <w:fldChar w:fldCharType="separate"/>
      </w:r>
      <w:r>
        <w:rPr>
          <w:rFonts w:hint="eastAsia" w:ascii="宋体" w:hAnsi="宋体" w:cs="宋体"/>
          <w:bCs/>
          <w:color w:val="000000"/>
          <w:sz w:val="24"/>
        </w:rPr>
        <w:t>③</w:t>
      </w:r>
      <w:r>
        <w:rPr>
          <w:bCs/>
          <w:color w:val="000000"/>
          <w:sz w:val="24"/>
        </w:rPr>
        <w:fldChar w:fldCharType="end"/>
      </w:r>
      <w:r>
        <w:rPr>
          <w:bCs/>
          <w:color w:val="000000"/>
          <w:sz w:val="24"/>
        </w:rPr>
        <w:t>沼液储存池</w:t>
      </w:r>
    </w:p>
    <w:p>
      <w:pPr>
        <w:topLinePunct/>
        <w:spacing w:line="500" w:lineRule="exact"/>
        <w:ind w:firstLine="480" w:firstLineChars="200"/>
        <w:rPr>
          <w:bCs/>
          <w:color w:val="000000"/>
          <w:sz w:val="24"/>
        </w:rPr>
      </w:pPr>
      <w:r>
        <w:rPr>
          <w:bCs/>
          <w:color w:val="000000"/>
          <w:sz w:val="24"/>
        </w:rPr>
        <w:t>沼液储存池的容积：沼液储存池的容积根据《畜禽养殖污水贮存设施设计要求》（GB/T26624-2011）确定的，总容积应为养殖污水量、降雨量和预留体积之和。结合相关法规、养殖场产污水实际及</w:t>
      </w:r>
      <w:r>
        <w:rPr>
          <w:rFonts w:hint="eastAsia"/>
          <w:bCs/>
          <w:color w:val="000000"/>
          <w:sz w:val="24"/>
        </w:rPr>
        <w:t>林地施肥</w:t>
      </w:r>
      <w:r>
        <w:rPr>
          <w:bCs/>
          <w:color w:val="000000"/>
          <w:sz w:val="24"/>
        </w:rPr>
        <w:t>要求，项目实际沼液储存池设计为能够容纳</w:t>
      </w:r>
      <w:r>
        <w:rPr>
          <w:rFonts w:hint="eastAsia"/>
          <w:bCs/>
          <w:color w:val="000000"/>
          <w:sz w:val="24"/>
        </w:rPr>
        <w:t>120d</w:t>
      </w:r>
      <w:r>
        <w:rPr>
          <w:bCs/>
          <w:color w:val="000000"/>
          <w:sz w:val="24"/>
        </w:rPr>
        <w:t>以上的沼液量。根据《畜禽养殖污水贮存设施设计要求》（GB/T26624-2011）中要求，宜预留0.9m高的空间，预留体积按照设施的实际长和宽以及预留高度进行计算，并且池体高度或深度不能超过6m。工程设一个沼液储存池，沼液储存池占地面积</w:t>
      </w:r>
      <w:r>
        <w:rPr>
          <w:rFonts w:hint="eastAsia"/>
          <w:bCs/>
          <w:color w:val="000000"/>
          <w:sz w:val="24"/>
        </w:rPr>
        <w:t>约1083</w:t>
      </w:r>
      <w:r>
        <w:rPr>
          <w:bCs/>
          <w:sz w:val="24"/>
        </w:rPr>
        <w:t>m</w:t>
      </w:r>
      <w:r>
        <w:rPr>
          <w:bCs/>
          <w:sz w:val="24"/>
          <w:vertAlign w:val="superscript"/>
        </w:rPr>
        <w:t>2</w:t>
      </w:r>
      <w:r>
        <w:rPr>
          <w:bCs/>
          <w:color w:val="000000"/>
          <w:sz w:val="24"/>
        </w:rPr>
        <w:t>，深</w:t>
      </w:r>
      <w:r>
        <w:rPr>
          <w:rFonts w:hint="eastAsia"/>
          <w:bCs/>
          <w:color w:val="000000"/>
          <w:sz w:val="24"/>
        </w:rPr>
        <w:t>6</w:t>
      </w:r>
      <w:r>
        <w:rPr>
          <w:bCs/>
          <w:color w:val="000000"/>
          <w:sz w:val="24"/>
        </w:rPr>
        <w:t>m，则有效池容深度为</w:t>
      </w:r>
      <w:r>
        <w:rPr>
          <w:rFonts w:hint="eastAsia"/>
          <w:bCs/>
          <w:color w:val="000000"/>
          <w:sz w:val="24"/>
        </w:rPr>
        <w:t>5</w:t>
      </w:r>
      <w:r>
        <w:rPr>
          <w:bCs/>
          <w:color w:val="000000"/>
          <w:sz w:val="24"/>
        </w:rPr>
        <w:t>.1m，所建沼液储存池总容积为</w:t>
      </w:r>
      <w:r>
        <w:rPr>
          <w:rFonts w:hint="eastAsia"/>
          <w:bCs/>
          <w:color w:val="000000"/>
          <w:sz w:val="24"/>
        </w:rPr>
        <w:t>6500</w:t>
      </w:r>
      <w:r>
        <w:rPr>
          <w:bCs/>
          <w:color w:val="000000"/>
          <w:sz w:val="24"/>
        </w:rPr>
        <w:t>m</w:t>
      </w:r>
      <w:r>
        <w:rPr>
          <w:bCs/>
          <w:color w:val="000000"/>
          <w:sz w:val="24"/>
          <w:vertAlign w:val="superscript"/>
        </w:rPr>
        <w:t>3</w:t>
      </w:r>
      <w:r>
        <w:rPr>
          <w:bCs/>
          <w:color w:val="000000"/>
          <w:sz w:val="24"/>
        </w:rPr>
        <w:t>，有效容积为</w:t>
      </w:r>
      <w:r>
        <w:rPr>
          <w:rFonts w:hint="eastAsia"/>
          <w:bCs/>
          <w:color w:val="000000"/>
          <w:sz w:val="24"/>
        </w:rPr>
        <w:t>5523.3</w:t>
      </w:r>
      <w:r>
        <w:rPr>
          <w:bCs/>
          <w:color w:val="000000"/>
          <w:sz w:val="24"/>
        </w:rPr>
        <w:t>m</w:t>
      </w:r>
      <w:r>
        <w:rPr>
          <w:bCs/>
          <w:color w:val="000000"/>
          <w:sz w:val="24"/>
          <w:vertAlign w:val="superscript"/>
        </w:rPr>
        <w:t>3</w:t>
      </w:r>
      <w:r>
        <w:rPr>
          <w:bCs/>
          <w:color w:val="000000"/>
          <w:sz w:val="24"/>
        </w:rPr>
        <w:t>。本项目</w:t>
      </w:r>
      <w:r>
        <w:rPr>
          <w:rFonts w:hint="eastAsia"/>
          <w:bCs/>
          <w:color w:val="000000"/>
          <w:sz w:val="24"/>
        </w:rPr>
        <w:t>120天</w:t>
      </w:r>
      <w:r>
        <w:rPr>
          <w:bCs/>
          <w:color w:val="000000"/>
          <w:sz w:val="24"/>
        </w:rPr>
        <w:t>废水量为</w:t>
      </w:r>
      <w:r>
        <w:rPr>
          <w:rFonts w:hint="eastAsia"/>
          <w:bCs/>
          <w:color w:val="000000"/>
          <w:sz w:val="24"/>
        </w:rPr>
        <w:t>3815.28</w:t>
      </w:r>
      <w:r>
        <w:rPr>
          <w:bCs/>
          <w:color w:val="000000"/>
          <w:sz w:val="24"/>
        </w:rPr>
        <w:t>m</w:t>
      </w:r>
      <w:r>
        <w:rPr>
          <w:bCs/>
          <w:color w:val="000000"/>
          <w:sz w:val="24"/>
          <w:vertAlign w:val="superscript"/>
        </w:rPr>
        <w:t>3</w:t>
      </w:r>
      <w:r>
        <w:rPr>
          <w:bCs/>
          <w:color w:val="000000"/>
          <w:sz w:val="24"/>
        </w:rPr>
        <w:t>，项目沼液暂存池可以满足工程</w:t>
      </w:r>
      <w:r>
        <w:rPr>
          <w:rFonts w:hint="eastAsia"/>
          <w:bCs/>
          <w:color w:val="000000"/>
          <w:sz w:val="24"/>
        </w:rPr>
        <w:t>120</w:t>
      </w:r>
      <w:r>
        <w:rPr>
          <w:bCs/>
          <w:color w:val="000000"/>
          <w:sz w:val="24"/>
        </w:rPr>
        <w:t>天的沼液量。</w:t>
      </w:r>
    </w:p>
    <w:p>
      <w:pPr>
        <w:topLinePunct/>
        <w:spacing w:line="500" w:lineRule="exact"/>
        <w:ind w:firstLine="480" w:firstLineChars="200"/>
        <w:jc w:val="left"/>
        <w:rPr>
          <w:bCs/>
          <w:color w:val="000000"/>
          <w:sz w:val="24"/>
        </w:rPr>
      </w:pPr>
      <w:r>
        <w:rPr>
          <w:bCs/>
          <w:color w:val="000000"/>
          <w:sz w:val="24"/>
        </w:rPr>
        <w:t>废水处理工程所需设备及工程建设内容见表</w:t>
      </w:r>
      <w:r>
        <w:rPr>
          <w:rFonts w:hint="eastAsia"/>
          <w:bCs/>
          <w:color w:val="000000"/>
          <w:sz w:val="24"/>
        </w:rPr>
        <w:t>5.2-5</w:t>
      </w:r>
      <w:r>
        <w:rPr>
          <w:bCs/>
          <w:color w:val="000000"/>
          <w:sz w:val="24"/>
        </w:rPr>
        <w:t>。</w:t>
      </w:r>
    </w:p>
    <w:p>
      <w:pPr>
        <w:tabs>
          <w:tab w:val="right" w:leader="dot" w:pos="8647"/>
        </w:tabs>
        <w:spacing w:before="156" w:beforeLines="50" w:after="156" w:afterLines="50"/>
        <w:ind w:firstLine="480" w:firstLineChars="200"/>
        <w:jc w:val="center"/>
        <w:rPr>
          <w:b/>
          <w:bCs/>
          <w:color w:val="000000"/>
          <w:sz w:val="24"/>
        </w:rPr>
      </w:pPr>
      <w:r>
        <w:rPr>
          <w:b/>
          <w:bCs/>
          <w:color w:val="000000"/>
          <w:sz w:val="24"/>
        </w:rPr>
        <w:t>表</w:t>
      </w:r>
      <w:r>
        <w:rPr>
          <w:rFonts w:hint="eastAsia"/>
          <w:b/>
          <w:bCs/>
          <w:color w:val="000000"/>
          <w:sz w:val="24"/>
        </w:rPr>
        <w:t>5.2-5</w:t>
      </w:r>
      <w:r>
        <w:rPr>
          <w:b/>
          <w:bCs/>
          <w:color w:val="000000"/>
          <w:sz w:val="24"/>
        </w:rPr>
        <w:t xml:space="preserve">  废水处理工程主要构筑物设计一览表</w:t>
      </w:r>
    </w:p>
    <w:tbl>
      <w:tblPr>
        <w:tblStyle w:val="17"/>
        <w:tblW w:w="8946"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675"/>
        <w:gridCol w:w="1276"/>
        <w:gridCol w:w="1985"/>
        <w:gridCol w:w="5010"/>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53" w:hRule="atLeast"/>
        </w:trPr>
        <w:tc>
          <w:tcPr>
            <w:tcW w:w="675" w:type="dxa"/>
            <w:noWrap w:val="0"/>
            <w:vAlign w:val="center"/>
          </w:tcPr>
          <w:p>
            <w:pPr>
              <w:topLinePunct/>
              <w:spacing w:line="320" w:lineRule="exact"/>
              <w:jc w:val="center"/>
              <w:rPr>
                <w:bCs/>
                <w:color w:val="000000"/>
                <w:szCs w:val="21"/>
              </w:rPr>
            </w:pPr>
            <w:r>
              <w:rPr>
                <w:bCs/>
                <w:color w:val="000000"/>
                <w:szCs w:val="21"/>
              </w:rPr>
              <w:t>序号</w:t>
            </w:r>
          </w:p>
        </w:tc>
        <w:tc>
          <w:tcPr>
            <w:tcW w:w="1276" w:type="dxa"/>
            <w:noWrap w:val="0"/>
            <w:vAlign w:val="center"/>
          </w:tcPr>
          <w:p>
            <w:pPr>
              <w:topLinePunct/>
              <w:spacing w:line="320" w:lineRule="exact"/>
              <w:jc w:val="center"/>
              <w:rPr>
                <w:bCs/>
                <w:color w:val="000000"/>
                <w:szCs w:val="21"/>
              </w:rPr>
            </w:pPr>
            <w:r>
              <w:rPr>
                <w:bCs/>
                <w:color w:val="000000"/>
                <w:szCs w:val="21"/>
              </w:rPr>
              <w:t>工程内容</w:t>
            </w:r>
          </w:p>
        </w:tc>
        <w:tc>
          <w:tcPr>
            <w:tcW w:w="1985" w:type="dxa"/>
            <w:noWrap w:val="0"/>
            <w:vAlign w:val="center"/>
          </w:tcPr>
          <w:p>
            <w:pPr>
              <w:topLinePunct/>
              <w:spacing w:line="320" w:lineRule="exact"/>
              <w:jc w:val="center"/>
              <w:rPr>
                <w:bCs/>
                <w:color w:val="000000"/>
                <w:szCs w:val="21"/>
              </w:rPr>
            </w:pPr>
            <w:r>
              <w:rPr>
                <w:bCs/>
                <w:color w:val="000000"/>
                <w:szCs w:val="21"/>
              </w:rPr>
              <w:t>设计规模</w:t>
            </w:r>
          </w:p>
        </w:tc>
        <w:tc>
          <w:tcPr>
            <w:tcW w:w="5010" w:type="dxa"/>
            <w:noWrap w:val="0"/>
            <w:vAlign w:val="center"/>
          </w:tcPr>
          <w:p>
            <w:pPr>
              <w:topLinePunct/>
              <w:spacing w:line="320" w:lineRule="exact"/>
              <w:jc w:val="center"/>
              <w:rPr>
                <w:bCs/>
                <w:color w:val="000000"/>
                <w:szCs w:val="21"/>
              </w:rPr>
            </w:pPr>
            <w:r>
              <w:rPr>
                <w:bCs/>
                <w:color w:val="000000"/>
                <w:szCs w:val="21"/>
              </w:rPr>
              <w:t>备注</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675" w:type="dxa"/>
            <w:noWrap w:val="0"/>
            <w:vAlign w:val="center"/>
          </w:tcPr>
          <w:p>
            <w:pPr>
              <w:topLinePunct/>
              <w:spacing w:line="320" w:lineRule="exact"/>
              <w:jc w:val="center"/>
              <w:rPr>
                <w:bCs/>
                <w:color w:val="000000"/>
                <w:szCs w:val="21"/>
              </w:rPr>
            </w:pPr>
            <w:r>
              <w:rPr>
                <w:bCs/>
                <w:color w:val="000000"/>
                <w:szCs w:val="21"/>
              </w:rPr>
              <w:t>1</w:t>
            </w:r>
          </w:p>
        </w:tc>
        <w:tc>
          <w:tcPr>
            <w:tcW w:w="1276" w:type="dxa"/>
            <w:noWrap w:val="0"/>
            <w:vAlign w:val="center"/>
          </w:tcPr>
          <w:p>
            <w:pPr>
              <w:topLinePunct/>
              <w:spacing w:line="320" w:lineRule="exact"/>
              <w:jc w:val="center"/>
              <w:rPr>
                <w:bCs/>
                <w:color w:val="000000"/>
                <w:szCs w:val="21"/>
              </w:rPr>
            </w:pPr>
            <w:r>
              <w:rPr>
                <w:bCs/>
                <w:color w:val="000000"/>
                <w:szCs w:val="21"/>
              </w:rPr>
              <w:t>收集池</w:t>
            </w:r>
          </w:p>
        </w:tc>
        <w:tc>
          <w:tcPr>
            <w:tcW w:w="1985" w:type="dxa"/>
            <w:noWrap w:val="0"/>
            <w:vAlign w:val="center"/>
          </w:tcPr>
          <w:p>
            <w:pPr>
              <w:topLinePunct/>
              <w:spacing w:line="320" w:lineRule="exact"/>
              <w:jc w:val="center"/>
              <w:rPr>
                <w:bCs/>
                <w:color w:val="000000"/>
                <w:szCs w:val="21"/>
              </w:rPr>
            </w:pPr>
            <w:r>
              <w:rPr>
                <w:rFonts w:hint="eastAsia"/>
                <w:bCs/>
                <w:color w:val="000000"/>
                <w:kern w:val="0"/>
                <w:szCs w:val="21"/>
              </w:rPr>
              <w:t>360</w:t>
            </w:r>
            <w:r>
              <w:rPr>
                <w:bCs/>
                <w:color w:val="000000"/>
                <w:kern w:val="0"/>
                <w:szCs w:val="21"/>
              </w:rPr>
              <w:t>m</w:t>
            </w:r>
            <w:r>
              <w:rPr>
                <w:bCs/>
                <w:color w:val="000000"/>
                <w:kern w:val="0"/>
                <w:szCs w:val="21"/>
                <w:vertAlign w:val="superscript"/>
              </w:rPr>
              <w:t>3</w:t>
            </w:r>
          </w:p>
        </w:tc>
        <w:tc>
          <w:tcPr>
            <w:tcW w:w="5010" w:type="dxa"/>
            <w:noWrap w:val="0"/>
            <w:vAlign w:val="center"/>
          </w:tcPr>
          <w:p>
            <w:pPr>
              <w:topLinePunct/>
              <w:spacing w:line="320" w:lineRule="exact"/>
              <w:jc w:val="center"/>
              <w:rPr>
                <w:bCs/>
                <w:color w:val="000000"/>
                <w:szCs w:val="21"/>
              </w:rPr>
            </w:pPr>
            <w:r>
              <w:rPr>
                <w:bCs/>
                <w:color w:val="000000"/>
                <w:szCs w:val="21"/>
              </w:rPr>
              <w:t>混凝土防渗，均衡水质、水量</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675" w:type="dxa"/>
            <w:noWrap w:val="0"/>
            <w:vAlign w:val="center"/>
          </w:tcPr>
          <w:p>
            <w:pPr>
              <w:topLinePunct/>
              <w:spacing w:line="320" w:lineRule="exact"/>
              <w:jc w:val="center"/>
              <w:rPr>
                <w:bCs/>
                <w:color w:val="000000"/>
                <w:szCs w:val="21"/>
              </w:rPr>
            </w:pPr>
            <w:r>
              <w:rPr>
                <w:bCs/>
                <w:color w:val="000000"/>
                <w:szCs w:val="21"/>
              </w:rPr>
              <w:t>2</w:t>
            </w:r>
          </w:p>
        </w:tc>
        <w:tc>
          <w:tcPr>
            <w:tcW w:w="1276" w:type="dxa"/>
            <w:noWrap w:val="0"/>
            <w:vAlign w:val="center"/>
          </w:tcPr>
          <w:p>
            <w:pPr>
              <w:topLinePunct/>
              <w:spacing w:line="320" w:lineRule="exact"/>
              <w:jc w:val="center"/>
              <w:rPr>
                <w:bCs/>
                <w:color w:val="000000"/>
                <w:szCs w:val="21"/>
              </w:rPr>
            </w:pPr>
            <w:r>
              <w:rPr>
                <w:rFonts w:hint="eastAsia"/>
                <w:bCs/>
                <w:color w:val="000000"/>
                <w:szCs w:val="21"/>
              </w:rPr>
              <w:t>黑膜</w:t>
            </w:r>
            <w:r>
              <w:rPr>
                <w:bCs/>
                <w:color w:val="000000"/>
                <w:szCs w:val="21"/>
              </w:rPr>
              <w:t>沼气池</w:t>
            </w:r>
          </w:p>
        </w:tc>
        <w:tc>
          <w:tcPr>
            <w:tcW w:w="1985" w:type="dxa"/>
            <w:noWrap w:val="0"/>
            <w:vAlign w:val="center"/>
          </w:tcPr>
          <w:p>
            <w:pPr>
              <w:topLinePunct/>
              <w:spacing w:line="320" w:lineRule="exact"/>
              <w:jc w:val="center"/>
              <w:rPr>
                <w:bCs/>
                <w:color w:val="000000"/>
                <w:szCs w:val="21"/>
              </w:rPr>
            </w:pPr>
            <w:r>
              <w:rPr>
                <w:rFonts w:hint="eastAsia"/>
                <w:bCs/>
                <w:color w:val="000000"/>
                <w:szCs w:val="21"/>
              </w:rPr>
              <w:t>1200</w:t>
            </w:r>
            <w:r>
              <w:rPr>
                <w:bCs/>
                <w:color w:val="000000"/>
                <w:szCs w:val="21"/>
              </w:rPr>
              <w:t>m</w:t>
            </w:r>
            <w:r>
              <w:rPr>
                <w:bCs/>
                <w:color w:val="000000"/>
                <w:szCs w:val="21"/>
                <w:vertAlign w:val="superscript"/>
              </w:rPr>
              <w:t>3</w:t>
            </w:r>
          </w:p>
        </w:tc>
        <w:tc>
          <w:tcPr>
            <w:tcW w:w="5010" w:type="dxa"/>
            <w:noWrap w:val="0"/>
            <w:vAlign w:val="center"/>
          </w:tcPr>
          <w:p>
            <w:pPr>
              <w:pStyle w:val="5"/>
              <w:jc w:val="center"/>
              <w:rPr>
                <w:bCs/>
                <w:lang w:val="en-US" w:eastAsia="zh-CN"/>
              </w:rPr>
            </w:pPr>
            <w:r>
              <w:rPr>
                <w:bCs/>
                <w:color w:val="000000"/>
                <w:szCs w:val="21"/>
                <w:lang w:val="en-US" w:eastAsia="zh-CN"/>
              </w:rPr>
              <w:t>采用</w:t>
            </w:r>
            <w:r>
              <w:rPr>
                <w:bCs/>
                <w:lang w:val="en-US" w:eastAsia="zh-CN"/>
              </w:rPr>
              <w:t>HDPE膜防渗，顶部覆膜</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c>
          <w:tcPr>
            <w:tcW w:w="675" w:type="dxa"/>
            <w:noWrap w:val="0"/>
            <w:vAlign w:val="center"/>
          </w:tcPr>
          <w:p>
            <w:pPr>
              <w:topLinePunct/>
              <w:spacing w:line="320" w:lineRule="exact"/>
              <w:jc w:val="center"/>
              <w:rPr>
                <w:bCs/>
                <w:color w:val="000000"/>
                <w:szCs w:val="21"/>
              </w:rPr>
            </w:pPr>
            <w:r>
              <w:rPr>
                <w:bCs/>
                <w:color w:val="000000"/>
                <w:szCs w:val="21"/>
              </w:rPr>
              <w:t>3</w:t>
            </w:r>
          </w:p>
        </w:tc>
        <w:tc>
          <w:tcPr>
            <w:tcW w:w="1276" w:type="dxa"/>
            <w:noWrap w:val="0"/>
            <w:vAlign w:val="center"/>
          </w:tcPr>
          <w:p>
            <w:pPr>
              <w:topLinePunct/>
              <w:spacing w:line="320" w:lineRule="exact"/>
              <w:jc w:val="center"/>
              <w:rPr>
                <w:bCs/>
                <w:color w:val="000000"/>
                <w:szCs w:val="21"/>
              </w:rPr>
            </w:pPr>
            <w:r>
              <w:rPr>
                <w:bCs/>
                <w:color w:val="000000"/>
                <w:szCs w:val="21"/>
              </w:rPr>
              <w:t>沼液储存池</w:t>
            </w:r>
          </w:p>
        </w:tc>
        <w:tc>
          <w:tcPr>
            <w:tcW w:w="1985" w:type="dxa"/>
            <w:noWrap w:val="0"/>
            <w:vAlign w:val="center"/>
          </w:tcPr>
          <w:p>
            <w:pPr>
              <w:topLinePunct/>
              <w:spacing w:line="320" w:lineRule="exact"/>
              <w:jc w:val="center"/>
              <w:rPr>
                <w:bCs/>
                <w:color w:val="000000"/>
                <w:szCs w:val="21"/>
              </w:rPr>
            </w:pPr>
            <w:r>
              <w:rPr>
                <w:bCs/>
                <w:color w:val="000000"/>
                <w:kern w:val="0"/>
                <w:szCs w:val="21"/>
              </w:rPr>
              <w:t>总容积</w:t>
            </w:r>
            <w:r>
              <w:rPr>
                <w:rFonts w:hint="eastAsia"/>
                <w:bCs/>
                <w:color w:val="000000"/>
                <w:szCs w:val="21"/>
              </w:rPr>
              <w:t>65</w:t>
            </w:r>
            <w:r>
              <w:rPr>
                <w:bCs/>
                <w:color w:val="000000"/>
                <w:szCs w:val="21"/>
              </w:rPr>
              <w:t>00m</w:t>
            </w:r>
            <w:r>
              <w:rPr>
                <w:bCs/>
                <w:color w:val="000000"/>
                <w:szCs w:val="21"/>
                <w:vertAlign w:val="superscript"/>
              </w:rPr>
              <w:t>3</w:t>
            </w:r>
          </w:p>
        </w:tc>
        <w:tc>
          <w:tcPr>
            <w:tcW w:w="5010" w:type="dxa"/>
            <w:noWrap w:val="0"/>
            <w:vAlign w:val="center"/>
          </w:tcPr>
          <w:p>
            <w:pPr>
              <w:topLinePunct/>
              <w:spacing w:line="320" w:lineRule="exact"/>
              <w:jc w:val="center"/>
              <w:rPr>
                <w:bCs/>
                <w:color w:val="000000"/>
                <w:szCs w:val="21"/>
              </w:rPr>
            </w:pPr>
            <w:r>
              <w:rPr>
                <w:bCs/>
                <w:color w:val="000000"/>
                <w:szCs w:val="21"/>
              </w:rPr>
              <w:t>1.5MMHDPE防渗膜</w:t>
            </w:r>
          </w:p>
        </w:tc>
      </w:tr>
    </w:tbl>
    <w:p>
      <w:pPr>
        <w:numPr>
          <w:ilvl w:val="0"/>
          <w:numId w:val="7"/>
        </w:numPr>
        <w:topLinePunct/>
        <w:spacing w:line="500" w:lineRule="exact"/>
        <w:rPr>
          <w:bCs/>
          <w:color w:val="000000"/>
          <w:sz w:val="24"/>
        </w:rPr>
      </w:pPr>
      <w:r>
        <w:rPr>
          <w:bCs/>
          <w:color w:val="000000"/>
          <w:sz w:val="24"/>
        </w:rPr>
        <w:t>水处理效果的分析</w:t>
      </w:r>
    </w:p>
    <w:p>
      <w:pPr>
        <w:topLinePunct/>
        <w:spacing w:line="500" w:lineRule="exact"/>
        <w:ind w:firstLine="480" w:firstLineChars="200"/>
        <w:rPr>
          <w:bCs/>
          <w:color w:val="000000"/>
          <w:sz w:val="24"/>
        </w:rPr>
      </w:pPr>
      <w:r>
        <w:rPr>
          <w:bCs/>
          <w:color w:val="000000"/>
          <w:sz w:val="24"/>
        </w:rPr>
        <w:t>项目废水处理预测结果见表</w:t>
      </w:r>
      <w:r>
        <w:rPr>
          <w:rFonts w:hint="eastAsia"/>
          <w:bCs/>
          <w:color w:val="000000"/>
          <w:sz w:val="24"/>
        </w:rPr>
        <w:t>5.2-6</w:t>
      </w:r>
      <w:r>
        <w:rPr>
          <w:bCs/>
          <w:color w:val="000000"/>
          <w:sz w:val="24"/>
        </w:rPr>
        <w:t>。</w:t>
      </w:r>
    </w:p>
    <w:p>
      <w:pPr>
        <w:tabs>
          <w:tab w:val="right" w:leader="dot" w:pos="8647"/>
        </w:tabs>
        <w:spacing w:before="156" w:beforeLines="50" w:after="156" w:afterLines="50"/>
        <w:ind w:firstLine="480" w:firstLineChars="200"/>
        <w:jc w:val="center"/>
        <w:rPr>
          <w:b/>
          <w:bCs/>
          <w:color w:val="000000"/>
          <w:sz w:val="24"/>
        </w:rPr>
      </w:pPr>
      <w:r>
        <w:rPr>
          <w:b/>
          <w:bCs/>
          <w:color w:val="000000"/>
          <w:sz w:val="24"/>
        </w:rPr>
        <w:t>表</w:t>
      </w:r>
      <w:r>
        <w:rPr>
          <w:rFonts w:hint="eastAsia"/>
          <w:b/>
          <w:bCs/>
          <w:color w:val="000000"/>
          <w:sz w:val="24"/>
        </w:rPr>
        <w:t>5.2-6</w:t>
      </w:r>
      <w:r>
        <w:rPr>
          <w:b/>
          <w:bCs/>
          <w:color w:val="000000"/>
          <w:sz w:val="24"/>
        </w:rPr>
        <w:t xml:space="preserve">   废水处理效率及预测结果</w:t>
      </w:r>
    </w:p>
    <w:tbl>
      <w:tblPr>
        <w:tblStyle w:val="17"/>
        <w:tblW w:w="8946" w:type="dxa"/>
        <w:tblInd w:w="0"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108" w:type="dxa"/>
          <w:bottom w:w="0" w:type="dxa"/>
          <w:right w:w="108" w:type="dxa"/>
        </w:tblCellMar>
      </w:tblPr>
      <w:tblGrid>
        <w:gridCol w:w="1526"/>
        <w:gridCol w:w="1456"/>
        <w:gridCol w:w="1491"/>
        <w:gridCol w:w="1491"/>
        <w:gridCol w:w="1491"/>
        <w:gridCol w:w="1491"/>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c>
          <w:tcPr>
            <w:tcW w:w="2982" w:type="dxa"/>
            <w:gridSpan w:val="2"/>
            <w:vMerge w:val="restart"/>
            <w:noWrap w:val="0"/>
            <w:vAlign w:val="center"/>
          </w:tcPr>
          <w:p>
            <w:pPr>
              <w:topLinePunct/>
              <w:spacing w:line="320" w:lineRule="exact"/>
              <w:jc w:val="center"/>
              <w:rPr>
                <w:bCs/>
                <w:color w:val="000000"/>
                <w:szCs w:val="21"/>
              </w:rPr>
            </w:pPr>
            <w:r>
              <w:rPr>
                <w:bCs/>
                <w:color w:val="000000"/>
                <w:szCs w:val="21"/>
              </w:rPr>
              <w:t>处理工段</w:t>
            </w:r>
          </w:p>
        </w:tc>
        <w:tc>
          <w:tcPr>
            <w:tcW w:w="5964" w:type="dxa"/>
            <w:gridSpan w:val="4"/>
            <w:noWrap w:val="0"/>
            <w:vAlign w:val="center"/>
          </w:tcPr>
          <w:p>
            <w:pPr>
              <w:topLinePunct/>
              <w:spacing w:line="320" w:lineRule="exact"/>
              <w:jc w:val="center"/>
              <w:rPr>
                <w:bCs/>
                <w:color w:val="000000"/>
                <w:szCs w:val="21"/>
              </w:rPr>
            </w:pPr>
            <w:r>
              <w:rPr>
                <w:bCs/>
                <w:color w:val="000000"/>
                <w:szCs w:val="21"/>
              </w:rPr>
              <w:t>主要污染物浓度（mg/L）</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c>
          <w:tcPr>
            <w:tcW w:w="2982" w:type="dxa"/>
            <w:gridSpan w:val="2"/>
            <w:vMerge w:val="continue"/>
            <w:noWrap w:val="0"/>
            <w:vAlign w:val="center"/>
          </w:tcPr>
          <w:p>
            <w:pPr>
              <w:topLinePunct/>
              <w:spacing w:line="320" w:lineRule="exact"/>
              <w:jc w:val="center"/>
              <w:rPr>
                <w:bCs/>
                <w:color w:val="000000"/>
                <w:szCs w:val="21"/>
              </w:rPr>
            </w:pPr>
          </w:p>
        </w:tc>
        <w:tc>
          <w:tcPr>
            <w:tcW w:w="1491" w:type="dxa"/>
            <w:noWrap w:val="0"/>
            <w:vAlign w:val="center"/>
          </w:tcPr>
          <w:p>
            <w:pPr>
              <w:topLinePunct/>
              <w:spacing w:line="320" w:lineRule="exact"/>
              <w:jc w:val="center"/>
              <w:rPr>
                <w:bCs/>
                <w:color w:val="000000"/>
                <w:szCs w:val="21"/>
              </w:rPr>
            </w:pPr>
            <w:r>
              <w:rPr>
                <w:bCs/>
                <w:color w:val="000000"/>
                <w:szCs w:val="21"/>
              </w:rPr>
              <w:t>COD</w:t>
            </w:r>
          </w:p>
        </w:tc>
        <w:tc>
          <w:tcPr>
            <w:tcW w:w="1491" w:type="dxa"/>
            <w:noWrap w:val="0"/>
            <w:vAlign w:val="center"/>
          </w:tcPr>
          <w:p>
            <w:pPr>
              <w:topLinePunct/>
              <w:spacing w:line="320" w:lineRule="exact"/>
              <w:jc w:val="center"/>
              <w:rPr>
                <w:bCs/>
                <w:color w:val="000000"/>
                <w:szCs w:val="21"/>
              </w:rPr>
            </w:pPr>
            <w:r>
              <w:rPr>
                <w:bCs/>
                <w:color w:val="000000"/>
                <w:szCs w:val="21"/>
              </w:rPr>
              <w:t>BOD</w:t>
            </w:r>
            <w:r>
              <w:rPr>
                <w:bCs/>
                <w:color w:val="000000"/>
                <w:szCs w:val="21"/>
                <w:vertAlign w:val="subscript"/>
              </w:rPr>
              <w:t>5</w:t>
            </w:r>
          </w:p>
        </w:tc>
        <w:tc>
          <w:tcPr>
            <w:tcW w:w="1491" w:type="dxa"/>
            <w:noWrap w:val="0"/>
            <w:vAlign w:val="center"/>
          </w:tcPr>
          <w:p>
            <w:pPr>
              <w:topLinePunct/>
              <w:spacing w:line="320" w:lineRule="exact"/>
              <w:jc w:val="center"/>
              <w:rPr>
                <w:bCs/>
                <w:color w:val="000000"/>
                <w:szCs w:val="21"/>
              </w:rPr>
            </w:pPr>
            <w:r>
              <w:rPr>
                <w:bCs/>
                <w:color w:val="000000"/>
                <w:szCs w:val="21"/>
              </w:rPr>
              <w:t>NH</w:t>
            </w:r>
            <w:r>
              <w:rPr>
                <w:bCs/>
                <w:color w:val="000000"/>
                <w:szCs w:val="21"/>
                <w:vertAlign w:val="subscript"/>
              </w:rPr>
              <w:t>3</w:t>
            </w:r>
            <w:r>
              <w:rPr>
                <w:bCs/>
                <w:color w:val="000000"/>
                <w:szCs w:val="21"/>
              </w:rPr>
              <w:t>-N</w:t>
            </w:r>
          </w:p>
        </w:tc>
        <w:tc>
          <w:tcPr>
            <w:tcW w:w="1491" w:type="dxa"/>
            <w:noWrap w:val="0"/>
            <w:vAlign w:val="center"/>
          </w:tcPr>
          <w:p>
            <w:pPr>
              <w:topLinePunct/>
              <w:spacing w:line="320" w:lineRule="exact"/>
              <w:jc w:val="center"/>
              <w:rPr>
                <w:bCs/>
                <w:color w:val="000000"/>
                <w:szCs w:val="21"/>
              </w:rPr>
            </w:pPr>
            <w:r>
              <w:rPr>
                <w:bCs/>
                <w:color w:val="000000"/>
                <w:szCs w:val="21"/>
              </w:rPr>
              <w:t>SS</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c>
          <w:tcPr>
            <w:tcW w:w="1526" w:type="dxa"/>
            <w:vMerge w:val="restart"/>
            <w:noWrap w:val="0"/>
            <w:vAlign w:val="center"/>
          </w:tcPr>
          <w:p>
            <w:pPr>
              <w:topLinePunct/>
              <w:spacing w:line="320" w:lineRule="exact"/>
              <w:jc w:val="center"/>
              <w:rPr>
                <w:bCs/>
                <w:color w:val="000000"/>
                <w:szCs w:val="21"/>
              </w:rPr>
            </w:pPr>
            <w:r>
              <w:rPr>
                <w:bCs/>
                <w:color w:val="000000"/>
                <w:szCs w:val="21"/>
              </w:rPr>
              <w:t>废水处理系统</w:t>
            </w:r>
          </w:p>
        </w:tc>
        <w:tc>
          <w:tcPr>
            <w:tcW w:w="1456" w:type="dxa"/>
            <w:noWrap w:val="0"/>
            <w:vAlign w:val="center"/>
          </w:tcPr>
          <w:p>
            <w:pPr>
              <w:topLinePunct/>
              <w:spacing w:line="320" w:lineRule="exact"/>
              <w:jc w:val="center"/>
              <w:rPr>
                <w:bCs/>
                <w:color w:val="000000"/>
                <w:szCs w:val="21"/>
              </w:rPr>
            </w:pPr>
            <w:r>
              <w:rPr>
                <w:bCs/>
                <w:color w:val="000000"/>
                <w:szCs w:val="21"/>
              </w:rPr>
              <w:t>进水</w:t>
            </w:r>
          </w:p>
        </w:tc>
        <w:tc>
          <w:tcPr>
            <w:tcW w:w="1491" w:type="dxa"/>
            <w:noWrap w:val="0"/>
            <w:vAlign w:val="center"/>
          </w:tcPr>
          <w:p>
            <w:pPr>
              <w:topLinePunct/>
              <w:spacing w:line="320" w:lineRule="exact"/>
              <w:jc w:val="center"/>
              <w:rPr>
                <w:bCs/>
                <w:color w:val="000000"/>
                <w:szCs w:val="21"/>
              </w:rPr>
            </w:pPr>
            <w:r>
              <w:rPr>
                <w:bCs/>
                <w:color w:val="000000"/>
                <w:szCs w:val="21"/>
              </w:rPr>
              <w:t>15000</w:t>
            </w:r>
          </w:p>
        </w:tc>
        <w:tc>
          <w:tcPr>
            <w:tcW w:w="1491" w:type="dxa"/>
            <w:noWrap w:val="0"/>
            <w:vAlign w:val="center"/>
          </w:tcPr>
          <w:p>
            <w:pPr>
              <w:topLinePunct/>
              <w:spacing w:line="320" w:lineRule="exact"/>
              <w:jc w:val="center"/>
              <w:rPr>
                <w:bCs/>
                <w:color w:val="000000"/>
                <w:szCs w:val="21"/>
              </w:rPr>
            </w:pPr>
            <w:r>
              <w:rPr>
                <w:bCs/>
                <w:color w:val="000000"/>
                <w:szCs w:val="21"/>
              </w:rPr>
              <w:t>8000</w:t>
            </w:r>
          </w:p>
        </w:tc>
        <w:tc>
          <w:tcPr>
            <w:tcW w:w="1491" w:type="dxa"/>
            <w:noWrap w:val="0"/>
            <w:vAlign w:val="center"/>
          </w:tcPr>
          <w:p>
            <w:pPr>
              <w:topLinePunct/>
              <w:spacing w:line="320" w:lineRule="exact"/>
              <w:jc w:val="center"/>
              <w:rPr>
                <w:bCs/>
                <w:color w:val="000000"/>
                <w:szCs w:val="21"/>
              </w:rPr>
            </w:pPr>
            <w:r>
              <w:rPr>
                <w:bCs/>
                <w:color w:val="000000"/>
                <w:szCs w:val="21"/>
              </w:rPr>
              <w:t>1200</w:t>
            </w:r>
          </w:p>
        </w:tc>
        <w:tc>
          <w:tcPr>
            <w:tcW w:w="1491" w:type="dxa"/>
            <w:noWrap w:val="0"/>
            <w:vAlign w:val="center"/>
          </w:tcPr>
          <w:p>
            <w:pPr>
              <w:topLinePunct/>
              <w:spacing w:line="320" w:lineRule="exact"/>
              <w:jc w:val="center"/>
              <w:rPr>
                <w:bCs/>
                <w:color w:val="000000"/>
                <w:szCs w:val="21"/>
              </w:rPr>
            </w:pPr>
            <w:r>
              <w:rPr>
                <w:bCs/>
                <w:color w:val="000000"/>
                <w:szCs w:val="21"/>
              </w:rPr>
              <w:t>16000</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c>
          <w:tcPr>
            <w:tcW w:w="1526" w:type="dxa"/>
            <w:vMerge w:val="continue"/>
            <w:noWrap w:val="0"/>
            <w:vAlign w:val="center"/>
          </w:tcPr>
          <w:p>
            <w:pPr>
              <w:topLinePunct/>
              <w:spacing w:line="320" w:lineRule="exact"/>
              <w:jc w:val="center"/>
              <w:rPr>
                <w:bCs/>
                <w:color w:val="000000"/>
                <w:szCs w:val="21"/>
              </w:rPr>
            </w:pPr>
          </w:p>
        </w:tc>
        <w:tc>
          <w:tcPr>
            <w:tcW w:w="1456" w:type="dxa"/>
            <w:noWrap w:val="0"/>
            <w:vAlign w:val="center"/>
          </w:tcPr>
          <w:p>
            <w:pPr>
              <w:topLinePunct/>
              <w:spacing w:line="320" w:lineRule="exact"/>
              <w:jc w:val="center"/>
              <w:rPr>
                <w:bCs/>
                <w:color w:val="000000"/>
                <w:szCs w:val="21"/>
              </w:rPr>
            </w:pPr>
            <w:r>
              <w:rPr>
                <w:bCs/>
                <w:color w:val="000000"/>
                <w:szCs w:val="21"/>
              </w:rPr>
              <w:t>去除率</w:t>
            </w:r>
          </w:p>
        </w:tc>
        <w:tc>
          <w:tcPr>
            <w:tcW w:w="1491" w:type="dxa"/>
            <w:noWrap w:val="0"/>
            <w:vAlign w:val="center"/>
          </w:tcPr>
          <w:p>
            <w:pPr>
              <w:topLinePunct/>
              <w:spacing w:line="320" w:lineRule="exact"/>
              <w:jc w:val="center"/>
              <w:rPr>
                <w:bCs/>
                <w:color w:val="000000"/>
                <w:szCs w:val="21"/>
              </w:rPr>
            </w:pPr>
            <w:r>
              <w:rPr>
                <w:bCs/>
                <w:color w:val="000000"/>
                <w:szCs w:val="21"/>
              </w:rPr>
              <w:t>80%</w:t>
            </w:r>
          </w:p>
        </w:tc>
        <w:tc>
          <w:tcPr>
            <w:tcW w:w="1491" w:type="dxa"/>
            <w:noWrap w:val="0"/>
            <w:vAlign w:val="center"/>
          </w:tcPr>
          <w:p>
            <w:pPr>
              <w:topLinePunct/>
              <w:spacing w:line="320" w:lineRule="exact"/>
              <w:jc w:val="center"/>
              <w:rPr>
                <w:bCs/>
                <w:color w:val="000000"/>
                <w:szCs w:val="21"/>
              </w:rPr>
            </w:pPr>
            <w:r>
              <w:rPr>
                <w:bCs/>
                <w:color w:val="000000"/>
                <w:szCs w:val="21"/>
              </w:rPr>
              <w:t>82.5%</w:t>
            </w:r>
          </w:p>
        </w:tc>
        <w:tc>
          <w:tcPr>
            <w:tcW w:w="1491" w:type="dxa"/>
            <w:noWrap w:val="0"/>
            <w:vAlign w:val="center"/>
          </w:tcPr>
          <w:p>
            <w:pPr>
              <w:topLinePunct/>
              <w:spacing w:line="320" w:lineRule="exact"/>
              <w:jc w:val="center"/>
              <w:rPr>
                <w:bCs/>
                <w:color w:val="000000"/>
                <w:szCs w:val="21"/>
              </w:rPr>
            </w:pPr>
            <w:r>
              <w:rPr>
                <w:bCs/>
                <w:color w:val="000000"/>
                <w:szCs w:val="21"/>
              </w:rPr>
              <w:t>25%</w:t>
            </w:r>
          </w:p>
        </w:tc>
        <w:tc>
          <w:tcPr>
            <w:tcW w:w="1491" w:type="dxa"/>
            <w:noWrap w:val="0"/>
            <w:vAlign w:val="center"/>
          </w:tcPr>
          <w:p>
            <w:pPr>
              <w:topLinePunct/>
              <w:spacing w:line="320" w:lineRule="exact"/>
              <w:jc w:val="center"/>
              <w:rPr>
                <w:bCs/>
                <w:color w:val="000000"/>
                <w:szCs w:val="21"/>
              </w:rPr>
            </w:pPr>
            <w:r>
              <w:rPr>
                <w:bCs/>
                <w:color w:val="000000"/>
                <w:szCs w:val="21"/>
              </w:rPr>
              <w:t>87.5%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CellMar>
            <w:top w:w="0" w:type="dxa"/>
            <w:left w:w="108" w:type="dxa"/>
            <w:bottom w:w="0" w:type="dxa"/>
            <w:right w:w="108" w:type="dxa"/>
          </w:tblCellMar>
        </w:tblPrEx>
        <w:tc>
          <w:tcPr>
            <w:tcW w:w="1526" w:type="dxa"/>
            <w:vMerge w:val="continue"/>
            <w:noWrap w:val="0"/>
            <w:vAlign w:val="center"/>
          </w:tcPr>
          <w:p>
            <w:pPr>
              <w:topLinePunct/>
              <w:spacing w:line="320" w:lineRule="exact"/>
              <w:jc w:val="center"/>
              <w:rPr>
                <w:bCs/>
                <w:color w:val="000000"/>
                <w:szCs w:val="21"/>
              </w:rPr>
            </w:pPr>
          </w:p>
        </w:tc>
        <w:tc>
          <w:tcPr>
            <w:tcW w:w="1456" w:type="dxa"/>
            <w:noWrap w:val="0"/>
            <w:vAlign w:val="center"/>
          </w:tcPr>
          <w:p>
            <w:pPr>
              <w:topLinePunct/>
              <w:spacing w:line="320" w:lineRule="exact"/>
              <w:jc w:val="center"/>
              <w:rPr>
                <w:bCs/>
                <w:color w:val="000000"/>
                <w:szCs w:val="21"/>
              </w:rPr>
            </w:pPr>
            <w:r>
              <w:rPr>
                <w:bCs/>
                <w:color w:val="000000"/>
                <w:szCs w:val="21"/>
              </w:rPr>
              <w:t>出水</w:t>
            </w:r>
          </w:p>
        </w:tc>
        <w:tc>
          <w:tcPr>
            <w:tcW w:w="1491" w:type="dxa"/>
            <w:noWrap w:val="0"/>
            <w:vAlign w:val="center"/>
          </w:tcPr>
          <w:p>
            <w:pPr>
              <w:topLinePunct/>
              <w:spacing w:line="320" w:lineRule="exact"/>
              <w:jc w:val="center"/>
              <w:rPr>
                <w:bCs/>
                <w:color w:val="000000"/>
                <w:szCs w:val="21"/>
              </w:rPr>
            </w:pPr>
            <w:r>
              <w:rPr>
                <w:bCs/>
                <w:color w:val="000000"/>
                <w:szCs w:val="21"/>
              </w:rPr>
              <w:t>3000</w:t>
            </w:r>
          </w:p>
        </w:tc>
        <w:tc>
          <w:tcPr>
            <w:tcW w:w="1491" w:type="dxa"/>
            <w:noWrap w:val="0"/>
            <w:vAlign w:val="center"/>
          </w:tcPr>
          <w:p>
            <w:pPr>
              <w:topLinePunct/>
              <w:spacing w:line="320" w:lineRule="exact"/>
              <w:jc w:val="center"/>
              <w:rPr>
                <w:bCs/>
                <w:color w:val="000000"/>
                <w:szCs w:val="21"/>
              </w:rPr>
            </w:pPr>
            <w:r>
              <w:rPr>
                <w:bCs/>
                <w:color w:val="000000"/>
                <w:szCs w:val="21"/>
              </w:rPr>
              <w:t>1400</w:t>
            </w:r>
          </w:p>
        </w:tc>
        <w:tc>
          <w:tcPr>
            <w:tcW w:w="1491" w:type="dxa"/>
            <w:noWrap w:val="0"/>
            <w:vAlign w:val="center"/>
          </w:tcPr>
          <w:p>
            <w:pPr>
              <w:topLinePunct/>
              <w:spacing w:line="320" w:lineRule="exact"/>
              <w:jc w:val="center"/>
              <w:rPr>
                <w:bCs/>
                <w:color w:val="000000"/>
                <w:szCs w:val="21"/>
              </w:rPr>
            </w:pPr>
            <w:r>
              <w:rPr>
                <w:bCs/>
                <w:color w:val="000000"/>
                <w:szCs w:val="21"/>
              </w:rPr>
              <w:t>900</w:t>
            </w:r>
          </w:p>
        </w:tc>
        <w:tc>
          <w:tcPr>
            <w:tcW w:w="1491" w:type="dxa"/>
            <w:noWrap w:val="0"/>
            <w:vAlign w:val="center"/>
          </w:tcPr>
          <w:p>
            <w:pPr>
              <w:topLinePunct/>
              <w:spacing w:line="320" w:lineRule="exact"/>
              <w:jc w:val="center"/>
              <w:rPr>
                <w:bCs/>
                <w:color w:val="000000"/>
                <w:szCs w:val="21"/>
              </w:rPr>
            </w:pPr>
            <w:r>
              <w:rPr>
                <w:bCs/>
                <w:color w:val="000000"/>
                <w:szCs w:val="21"/>
              </w:rPr>
              <w:t>2000</w:t>
            </w:r>
          </w:p>
        </w:tc>
      </w:tr>
    </w:tbl>
    <w:p>
      <w:pPr>
        <w:topLinePunct/>
        <w:spacing w:line="500" w:lineRule="exact"/>
        <w:ind w:firstLine="480" w:firstLineChars="200"/>
        <w:rPr>
          <w:bCs/>
          <w:color w:val="000000"/>
          <w:sz w:val="24"/>
        </w:rPr>
      </w:pPr>
      <w:r>
        <w:rPr>
          <w:bCs/>
          <w:color w:val="000000"/>
          <w:sz w:val="24"/>
        </w:rPr>
        <w:t>由表</w:t>
      </w:r>
      <w:r>
        <w:rPr>
          <w:rFonts w:hint="eastAsia"/>
          <w:bCs/>
          <w:color w:val="000000"/>
          <w:sz w:val="24"/>
        </w:rPr>
        <w:t>5.2-6</w:t>
      </w:r>
      <w:r>
        <w:rPr>
          <w:bCs/>
          <w:color w:val="000000"/>
          <w:sz w:val="24"/>
        </w:rPr>
        <w:t>知，养殖区综合废水经污水处置工程处理后，COD、BOD</w:t>
      </w:r>
      <w:r>
        <w:rPr>
          <w:bCs/>
          <w:color w:val="000000"/>
          <w:sz w:val="24"/>
          <w:vertAlign w:val="subscript"/>
        </w:rPr>
        <w:t>5</w:t>
      </w:r>
      <w:r>
        <w:rPr>
          <w:bCs/>
          <w:color w:val="000000"/>
          <w:sz w:val="24"/>
        </w:rPr>
        <w:t>、氨氮和SS的去除率分别达到84%、81.5%、22%和87%以上，产生的沼液经处理后进入沼液储存池暂存。</w:t>
      </w:r>
    </w:p>
    <w:p>
      <w:pPr>
        <w:topLinePunct/>
        <w:spacing w:line="500" w:lineRule="exact"/>
        <w:ind w:left="480"/>
        <w:rPr>
          <w:bCs/>
          <w:color w:val="000000"/>
          <w:sz w:val="24"/>
        </w:rPr>
      </w:pPr>
      <w:r>
        <w:rPr>
          <w:rFonts w:hint="eastAsia"/>
          <w:bCs/>
          <w:color w:val="000000"/>
          <w:sz w:val="24"/>
        </w:rPr>
        <w:t>②</w:t>
      </w:r>
      <w:r>
        <w:rPr>
          <w:bCs/>
          <w:color w:val="000000"/>
          <w:sz w:val="24"/>
        </w:rPr>
        <w:t>水处理措施经济可行性分析</w:t>
      </w:r>
    </w:p>
    <w:p>
      <w:pPr>
        <w:topLinePunct/>
        <w:spacing w:line="500" w:lineRule="exact"/>
        <w:ind w:firstLine="480" w:firstLineChars="200"/>
        <w:rPr>
          <w:bCs/>
          <w:color w:val="000000"/>
          <w:szCs w:val="21"/>
        </w:rPr>
      </w:pPr>
      <w:r>
        <w:rPr>
          <w:bCs/>
          <w:color w:val="000000"/>
          <w:sz w:val="24"/>
        </w:rPr>
        <w:t>环保设施运行费用主要包括：电费，环保人员工资及设备折旧、维护费用。全场污水处理设施运行费用见表</w:t>
      </w:r>
      <w:r>
        <w:rPr>
          <w:rFonts w:hint="eastAsia"/>
          <w:bCs/>
          <w:color w:val="000000"/>
          <w:sz w:val="24"/>
        </w:rPr>
        <w:t>5.2-7</w:t>
      </w:r>
      <w:r>
        <w:rPr>
          <w:bCs/>
          <w:color w:val="000000"/>
          <w:sz w:val="24"/>
        </w:rPr>
        <w:t>。</w:t>
      </w:r>
    </w:p>
    <w:p>
      <w:pPr>
        <w:tabs>
          <w:tab w:val="right" w:leader="dot" w:pos="8647"/>
        </w:tabs>
        <w:spacing w:before="156" w:beforeLines="50" w:after="156" w:afterLines="50"/>
        <w:ind w:firstLine="480" w:firstLineChars="200"/>
        <w:jc w:val="center"/>
        <w:rPr>
          <w:b/>
          <w:bCs/>
          <w:color w:val="000000"/>
          <w:sz w:val="24"/>
        </w:rPr>
      </w:pPr>
      <w:r>
        <w:rPr>
          <w:b/>
          <w:bCs/>
          <w:color w:val="000000"/>
          <w:sz w:val="24"/>
        </w:rPr>
        <w:t>表</w:t>
      </w:r>
      <w:r>
        <w:rPr>
          <w:rFonts w:hint="eastAsia"/>
          <w:b/>
          <w:bCs/>
          <w:color w:val="000000"/>
          <w:sz w:val="24"/>
        </w:rPr>
        <w:t>5.2-7</w:t>
      </w:r>
      <w:r>
        <w:rPr>
          <w:b/>
          <w:bCs/>
          <w:color w:val="000000"/>
          <w:sz w:val="24"/>
        </w:rPr>
        <w:t xml:space="preserve">  全场污水处理设施运行费用一览表</w:t>
      </w:r>
    </w:p>
    <w:tbl>
      <w:tblPr>
        <w:tblStyle w:val="17"/>
        <w:tblW w:w="894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43"/>
        <w:gridCol w:w="2101"/>
        <w:gridCol w:w="2551"/>
        <w:gridCol w:w="34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3" w:type="dxa"/>
            <w:noWrap w:val="0"/>
            <w:vAlign w:val="center"/>
          </w:tcPr>
          <w:p>
            <w:pPr>
              <w:topLinePunct/>
              <w:spacing w:line="360" w:lineRule="exact"/>
              <w:jc w:val="center"/>
              <w:rPr>
                <w:bCs/>
                <w:color w:val="000000"/>
                <w:szCs w:val="21"/>
              </w:rPr>
            </w:pPr>
            <w:r>
              <w:rPr>
                <w:bCs/>
                <w:color w:val="000000"/>
                <w:kern w:val="0"/>
                <w:szCs w:val="21"/>
              </w:rPr>
              <w:t>序号</w:t>
            </w:r>
          </w:p>
        </w:tc>
        <w:tc>
          <w:tcPr>
            <w:tcW w:w="2101" w:type="dxa"/>
            <w:noWrap w:val="0"/>
            <w:vAlign w:val="center"/>
          </w:tcPr>
          <w:p>
            <w:pPr>
              <w:topLinePunct/>
              <w:spacing w:line="360" w:lineRule="exact"/>
              <w:jc w:val="center"/>
              <w:rPr>
                <w:bCs/>
                <w:color w:val="000000"/>
                <w:szCs w:val="21"/>
              </w:rPr>
            </w:pPr>
            <w:r>
              <w:rPr>
                <w:bCs/>
                <w:color w:val="000000"/>
                <w:kern w:val="0"/>
                <w:szCs w:val="21"/>
              </w:rPr>
              <w:t>费用名称</w:t>
            </w:r>
          </w:p>
        </w:tc>
        <w:tc>
          <w:tcPr>
            <w:tcW w:w="2551" w:type="dxa"/>
            <w:noWrap w:val="0"/>
            <w:vAlign w:val="center"/>
          </w:tcPr>
          <w:p>
            <w:pPr>
              <w:topLinePunct/>
              <w:spacing w:line="360" w:lineRule="exact"/>
              <w:jc w:val="center"/>
              <w:rPr>
                <w:bCs/>
                <w:color w:val="000000"/>
                <w:kern w:val="0"/>
                <w:szCs w:val="21"/>
              </w:rPr>
            </w:pPr>
            <w:r>
              <w:rPr>
                <w:bCs/>
                <w:color w:val="000000"/>
                <w:kern w:val="0"/>
                <w:szCs w:val="21"/>
              </w:rPr>
              <w:t>费用金额（万元/年）</w:t>
            </w:r>
          </w:p>
        </w:tc>
        <w:tc>
          <w:tcPr>
            <w:tcW w:w="3451" w:type="dxa"/>
            <w:noWrap w:val="0"/>
            <w:vAlign w:val="center"/>
          </w:tcPr>
          <w:p>
            <w:pPr>
              <w:topLinePunct/>
              <w:spacing w:line="360" w:lineRule="exact"/>
              <w:jc w:val="center"/>
              <w:rPr>
                <w:bCs/>
                <w:color w:val="000000"/>
                <w:szCs w:val="21"/>
              </w:rPr>
            </w:pPr>
            <w:r>
              <w:rPr>
                <w:bCs/>
                <w:color w:val="000000"/>
                <w:kern w:val="0"/>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3" w:type="dxa"/>
            <w:noWrap w:val="0"/>
            <w:vAlign w:val="center"/>
          </w:tcPr>
          <w:p>
            <w:pPr>
              <w:topLinePunct/>
              <w:spacing w:line="360" w:lineRule="exact"/>
              <w:jc w:val="center"/>
              <w:rPr>
                <w:bCs/>
                <w:color w:val="000000"/>
                <w:szCs w:val="21"/>
              </w:rPr>
            </w:pPr>
            <w:r>
              <w:rPr>
                <w:bCs/>
                <w:color w:val="000000"/>
                <w:kern w:val="0"/>
                <w:szCs w:val="21"/>
              </w:rPr>
              <w:t>1</w:t>
            </w:r>
          </w:p>
        </w:tc>
        <w:tc>
          <w:tcPr>
            <w:tcW w:w="2101" w:type="dxa"/>
            <w:noWrap w:val="0"/>
            <w:vAlign w:val="center"/>
          </w:tcPr>
          <w:p>
            <w:pPr>
              <w:topLinePunct/>
              <w:spacing w:line="360" w:lineRule="exact"/>
              <w:jc w:val="center"/>
              <w:rPr>
                <w:bCs/>
                <w:color w:val="000000"/>
                <w:szCs w:val="21"/>
              </w:rPr>
            </w:pPr>
            <w:r>
              <w:rPr>
                <w:bCs/>
                <w:color w:val="000000"/>
                <w:kern w:val="0"/>
                <w:szCs w:val="21"/>
              </w:rPr>
              <w:t>电费</w:t>
            </w:r>
          </w:p>
        </w:tc>
        <w:tc>
          <w:tcPr>
            <w:tcW w:w="2551" w:type="dxa"/>
            <w:noWrap w:val="0"/>
            <w:vAlign w:val="center"/>
          </w:tcPr>
          <w:p>
            <w:pPr>
              <w:topLinePunct/>
              <w:spacing w:line="360" w:lineRule="exact"/>
              <w:jc w:val="center"/>
              <w:rPr>
                <w:bCs/>
                <w:color w:val="000000"/>
                <w:szCs w:val="21"/>
              </w:rPr>
            </w:pPr>
            <w:r>
              <w:rPr>
                <w:rFonts w:hint="eastAsia"/>
                <w:bCs/>
                <w:color w:val="000000"/>
                <w:szCs w:val="21"/>
              </w:rPr>
              <w:t>3</w:t>
            </w:r>
          </w:p>
        </w:tc>
        <w:tc>
          <w:tcPr>
            <w:tcW w:w="3451" w:type="dxa"/>
            <w:noWrap w:val="0"/>
            <w:vAlign w:val="center"/>
          </w:tcPr>
          <w:p>
            <w:pPr>
              <w:topLinePunct/>
              <w:spacing w:line="360" w:lineRule="exact"/>
              <w:jc w:val="center"/>
              <w:rPr>
                <w:bCs/>
                <w:color w:val="000000"/>
                <w:szCs w:val="21"/>
              </w:rPr>
            </w:pPr>
            <w:r>
              <w:rPr>
                <w:rFonts w:hint="eastAsia"/>
                <w:bCs/>
                <w:color w:val="000000"/>
                <w:szCs w:val="21"/>
              </w:rPr>
              <w:t>50</w:t>
            </w:r>
            <w:r>
              <w:rPr>
                <w:bCs/>
                <w:color w:val="000000"/>
                <w:szCs w:val="21"/>
              </w:rPr>
              <w:t>万kwh/年，单价0.6元/Kwh</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3" w:type="dxa"/>
            <w:noWrap w:val="0"/>
            <w:vAlign w:val="center"/>
          </w:tcPr>
          <w:p>
            <w:pPr>
              <w:topLinePunct/>
              <w:spacing w:line="360" w:lineRule="exact"/>
              <w:jc w:val="center"/>
              <w:rPr>
                <w:bCs/>
                <w:color w:val="000000"/>
                <w:kern w:val="0"/>
                <w:szCs w:val="21"/>
              </w:rPr>
            </w:pPr>
            <w:r>
              <w:rPr>
                <w:bCs/>
                <w:color w:val="000000"/>
                <w:kern w:val="0"/>
                <w:szCs w:val="21"/>
              </w:rPr>
              <w:t>2</w:t>
            </w:r>
          </w:p>
        </w:tc>
        <w:tc>
          <w:tcPr>
            <w:tcW w:w="2101" w:type="dxa"/>
            <w:noWrap w:val="0"/>
            <w:vAlign w:val="center"/>
          </w:tcPr>
          <w:p>
            <w:pPr>
              <w:topLinePunct/>
              <w:spacing w:line="360" w:lineRule="exact"/>
              <w:jc w:val="center"/>
              <w:rPr>
                <w:bCs/>
                <w:color w:val="000000"/>
                <w:kern w:val="0"/>
                <w:szCs w:val="21"/>
              </w:rPr>
            </w:pPr>
            <w:r>
              <w:rPr>
                <w:bCs/>
                <w:color w:val="000000"/>
                <w:kern w:val="0"/>
                <w:szCs w:val="21"/>
              </w:rPr>
              <w:t>工人工资</w:t>
            </w:r>
          </w:p>
        </w:tc>
        <w:tc>
          <w:tcPr>
            <w:tcW w:w="2551" w:type="dxa"/>
            <w:noWrap w:val="0"/>
            <w:vAlign w:val="center"/>
          </w:tcPr>
          <w:p>
            <w:pPr>
              <w:topLinePunct/>
              <w:spacing w:line="360" w:lineRule="exact"/>
              <w:jc w:val="center"/>
              <w:rPr>
                <w:bCs/>
                <w:color w:val="000000"/>
                <w:szCs w:val="21"/>
              </w:rPr>
            </w:pPr>
            <w:r>
              <w:rPr>
                <w:bCs/>
                <w:color w:val="000000"/>
                <w:szCs w:val="21"/>
              </w:rPr>
              <w:t>6</w:t>
            </w:r>
          </w:p>
        </w:tc>
        <w:tc>
          <w:tcPr>
            <w:tcW w:w="3451" w:type="dxa"/>
            <w:noWrap w:val="0"/>
            <w:vAlign w:val="center"/>
          </w:tcPr>
          <w:p>
            <w:pPr>
              <w:topLinePunct/>
              <w:spacing w:line="360" w:lineRule="exact"/>
              <w:jc w:val="center"/>
              <w:rPr>
                <w:bCs/>
                <w:color w:val="000000"/>
                <w:kern w:val="0"/>
                <w:szCs w:val="21"/>
              </w:rPr>
            </w:pPr>
            <w:r>
              <w:rPr>
                <w:bCs/>
                <w:color w:val="000000"/>
                <w:kern w:val="0"/>
                <w:szCs w:val="21"/>
              </w:rPr>
              <w:t>2人，</w:t>
            </w:r>
            <w:r>
              <w:rPr>
                <w:bCs/>
                <w:color w:val="000000"/>
                <w:szCs w:val="21"/>
              </w:rPr>
              <w:t>人员工资3万元/人·年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3" w:type="dxa"/>
            <w:noWrap w:val="0"/>
            <w:vAlign w:val="center"/>
          </w:tcPr>
          <w:p>
            <w:pPr>
              <w:topLinePunct/>
              <w:spacing w:line="360" w:lineRule="exact"/>
              <w:jc w:val="center"/>
              <w:rPr>
                <w:bCs/>
                <w:color w:val="000000"/>
                <w:kern w:val="0"/>
                <w:szCs w:val="21"/>
              </w:rPr>
            </w:pPr>
            <w:r>
              <w:rPr>
                <w:bCs/>
                <w:color w:val="000000"/>
                <w:kern w:val="0"/>
                <w:szCs w:val="21"/>
              </w:rPr>
              <w:t>3</w:t>
            </w:r>
          </w:p>
        </w:tc>
        <w:tc>
          <w:tcPr>
            <w:tcW w:w="2101" w:type="dxa"/>
            <w:noWrap w:val="0"/>
            <w:vAlign w:val="center"/>
          </w:tcPr>
          <w:p>
            <w:pPr>
              <w:topLinePunct/>
              <w:spacing w:line="360" w:lineRule="exact"/>
              <w:jc w:val="center"/>
              <w:rPr>
                <w:bCs/>
                <w:color w:val="000000"/>
                <w:kern w:val="0"/>
                <w:szCs w:val="21"/>
              </w:rPr>
            </w:pPr>
            <w:r>
              <w:rPr>
                <w:bCs/>
                <w:color w:val="000000"/>
                <w:kern w:val="0"/>
                <w:szCs w:val="21"/>
              </w:rPr>
              <w:t>设备折旧、维护</w:t>
            </w:r>
          </w:p>
        </w:tc>
        <w:tc>
          <w:tcPr>
            <w:tcW w:w="2551" w:type="dxa"/>
            <w:noWrap w:val="0"/>
            <w:vAlign w:val="center"/>
          </w:tcPr>
          <w:p>
            <w:pPr>
              <w:topLinePunct/>
              <w:spacing w:line="360" w:lineRule="exact"/>
              <w:jc w:val="center"/>
              <w:rPr>
                <w:bCs/>
                <w:color w:val="000000"/>
                <w:szCs w:val="21"/>
              </w:rPr>
            </w:pPr>
            <w:r>
              <w:rPr>
                <w:bCs/>
                <w:color w:val="000000"/>
                <w:szCs w:val="21"/>
              </w:rPr>
              <w:t>2</w:t>
            </w:r>
          </w:p>
        </w:tc>
        <w:tc>
          <w:tcPr>
            <w:tcW w:w="3451" w:type="dxa"/>
            <w:noWrap w:val="0"/>
            <w:vAlign w:val="center"/>
          </w:tcPr>
          <w:p>
            <w:pPr>
              <w:topLinePunct/>
              <w:spacing w:line="360" w:lineRule="exact"/>
              <w:jc w:val="center"/>
              <w:rPr>
                <w:bCs/>
                <w:color w:val="000000"/>
                <w:szCs w:val="21"/>
              </w:rPr>
            </w:pPr>
            <w:r>
              <w:rPr>
                <w:bCs/>
                <w:color w:val="000000"/>
                <w:szCs w:val="21"/>
              </w:rPr>
              <w:t>总投资30万元，按20年折旧期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843" w:type="dxa"/>
            <w:noWrap w:val="0"/>
            <w:vAlign w:val="center"/>
          </w:tcPr>
          <w:p>
            <w:pPr>
              <w:topLinePunct/>
              <w:spacing w:line="360" w:lineRule="exact"/>
              <w:jc w:val="center"/>
              <w:rPr>
                <w:bCs/>
                <w:color w:val="000000"/>
                <w:szCs w:val="21"/>
              </w:rPr>
            </w:pPr>
            <w:r>
              <w:rPr>
                <w:bCs/>
                <w:color w:val="000000"/>
                <w:szCs w:val="21"/>
              </w:rPr>
              <w:t>4</w:t>
            </w:r>
          </w:p>
        </w:tc>
        <w:tc>
          <w:tcPr>
            <w:tcW w:w="2101" w:type="dxa"/>
            <w:noWrap w:val="0"/>
            <w:vAlign w:val="center"/>
          </w:tcPr>
          <w:p>
            <w:pPr>
              <w:topLinePunct/>
              <w:spacing w:line="360" w:lineRule="exact"/>
              <w:jc w:val="center"/>
              <w:rPr>
                <w:bCs/>
                <w:color w:val="000000"/>
                <w:szCs w:val="21"/>
              </w:rPr>
            </w:pPr>
            <w:r>
              <w:rPr>
                <w:bCs/>
                <w:color w:val="000000"/>
                <w:kern w:val="0"/>
                <w:szCs w:val="21"/>
              </w:rPr>
              <w:t>合计</w:t>
            </w:r>
          </w:p>
        </w:tc>
        <w:tc>
          <w:tcPr>
            <w:tcW w:w="2551" w:type="dxa"/>
            <w:noWrap w:val="0"/>
            <w:vAlign w:val="center"/>
          </w:tcPr>
          <w:p>
            <w:pPr>
              <w:topLinePunct/>
              <w:spacing w:line="360" w:lineRule="exact"/>
              <w:jc w:val="center"/>
              <w:rPr>
                <w:bCs/>
                <w:color w:val="000000"/>
                <w:szCs w:val="21"/>
              </w:rPr>
            </w:pPr>
            <w:r>
              <w:rPr>
                <w:bCs/>
                <w:color w:val="000000"/>
                <w:szCs w:val="21"/>
              </w:rPr>
              <w:t>11</w:t>
            </w:r>
          </w:p>
        </w:tc>
        <w:tc>
          <w:tcPr>
            <w:tcW w:w="3451" w:type="dxa"/>
            <w:noWrap w:val="0"/>
            <w:vAlign w:val="center"/>
          </w:tcPr>
          <w:p>
            <w:pPr>
              <w:topLinePunct/>
              <w:spacing w:line="360" w:lineRule="exact"/>
              <w:jc w:val="center"/>
              <w:rPr>
                <w:bCs/>
                <w:color w:val="000000"/>
                <w:szCs w:val="21"/>
              </w:rPr>
            </w:pPr>
            <w:r>
              <w:rPr>
                <w:bCs/>
                <w:color w:val="000000"/>
                <w:szCs w:val="21"/>
              </w:rPr>
              <w:t>/</w:t>
            </w:r>
          </w:p>
        </w:tc>
      </w:tr>
    </w:tbl>
    <w:p>
      <w:pPr>
        <w:spacing w:line="500" w:lineRule="exact"/>
        <w:rPr>
          <w:b/>
          <w:kern w:val="0"/>
          <w:sz w:val="24"/>
          <w:lang w:bidi="ar"/>
        </w:rPr>
      </w:pPr>
      <w:r>
        <w:rPr>
          <w:rFonts w:hint="eastAsia"/>
          <w:b/>
          <w:kern w:val="0"/>
          <w:sz w:val="24"/>
          <w:lang w:bidi="ar"/>
        </w:rPr>
        <w:t>5</w:t>
      </w:r>
      <w:r>
        <w:rPr>
          <w:b/>
          <w:kern w:val="0"/>
          <w:sz w:val="24"/>
          <w:lang w:bidi="ar"/>
        </w:rPr>
        <w:t>.2.1.4沼气综合利用可行性分析</w:t>
      </w:r>
    </w:p>
    <w:p>
      <w:pPr>
        <w:spacing w:line="360" w:lineRule="auto"/>
        <w:ind w:firstLine="360" w:firstLineChars="150"/>
        <w:jc w:val="left"/>
        <w:rPr>
          <w:bCs/>
          <w:kern w:val="0"/>
          <w:sz w:val="24"/>
        </w:rPr>
      </w:pPr>
      <w:r>
        <w:rPr>
          <w:bCs/>
          <w:color w:val="000000"/>
          <w:sz w:val="24"/>
        </w:rPr>
        <w:t>根据《规模化畜禽养殖场沼气工程设计规范》中的数据，沼气产生量按照去除1kgCOD产生沼气0.25m</w:t>
      </w:r>
      <w:r>
        <w:rPr>
          <w:bCs/>
          <w:color w:val="000000"/>
          <w:sz w:val="24"/>
          <w:vertAlign w:val="superscript"/>
        </w:rPr>
        <w:t>3</w:t>
      </w:r>
      <w:r>
        <w:rPr>
          <w:bCs/>
          <w:color w:val="000000"/>
          <w:sz w:val="24"/>
        </w:rPr>
        <w:t>进行计算。沼气产生量</w:t>
      </w:r>
      <w:r>
        <w:rPr>
          <w:rFonts w:hint="eastAsia"/>
          <w:sz w:val="24"/>
          <w:lang w:eastAsia="zh-CN"/>
        </w:rPr>
        <w:t>29456.25</w:t>
      </w:r>
      <w:r>
        <w:rPr>
          <w:bCs/>
          <w:color w:val="000000"/>
          <w:sz w:val="24"/>
        </w:rPr>
        <w:t>m</w:t>
      </w:r>
      <w:r>
        <w:rPr>
          <w:bCs/>
          <w:color w:val="000000"/>
          <w:sz w:val="24"/>
          <w:vertAlign w:val="superscript"/>
        </w:rPr>
        <w:t>3</w:t>
      </w:r>
      <w:r>
        <w:rPr>
          <w:bCs/>
          <w:color w:val="000000"/>
          <w:sz w:val="24"/>
        </w:rPr>
        <w:t>/a</w:t>
      </w:r>
      <w:r>
        <w:rPr>
          <w:rFonts w:hint="eastAsia"/>
          <w:bCs/>
          <w:color w:val="000000"/>
          <w:sz w:val="24"/>
        </w:rPr>
        <w:t>，</w:t>
      </w:r>
      <w:r>
        <w:rPr>
          <w:sz w:val="24"/>
        </w:rPr>
        <w:t>优先用于食堂灶台，</w:t>
      </w:r>
      <w:r>
        <w:rPr>
          <w:rFonts w:hint="eastAsia"/>
          <w:sz w:val="24"/>
        </w:rPr>
        <w:t>剩余部分</w:t>
      </w:r>
      <w:r>
        <w:rPr>
          <w:rFonts w:hint="eastAsia"/>
          <w:bCs/>
          <w:color w:val="000000"/>
          <w:sz w:val="24"/>
        </w:rPr>
        <w:t>火炬燃烧器燃烧排放</w:t>
      </w:r>
      <w:r>
        <w:rPr>
          <w:bCs/>
          <w:sz w:val="24"/>
        </w:rPr>
        <w:t>。</w:t>
      </w:r>
    </w:p>
    <w:p>
      <w:pPr>
        <w:spacing w:line="500" w:lineRule="exact"/>
        <w:rPr>
          <w:b/>
          <w:kern w:val="0"/>
          <w:sz w:val="24"/>
          <w:lang w:bidi="ar"/>
        </w:rPr>
      </w:pPr>
      <w:r>
        <w:rPr>
          <w:rFonts w:hint="eastAsia"/>
          <w:b/>
          <w:kern w:val="0"/>
          <w:sz w:val="24"/>
          <w:lang w:bidi="ar"/>
        </w:rPr>
        <w:t>5</w:t>
      </w:r>
      <w:r>
        <w:rPr>
          <w:b/>
          <w:kern w:val="0"/>
          <w:sz w:val="24"/>
          <w:lang w:bidi="ar"/>
        </w:rPr>
        <w:t>.2.1.5沼液综合利用措施可行性分析</w:t>
      </w:r>
    </w:p>
    <w:p>
      <w:pPr>
        <w:topLinePunct/>
        <w:spacing w:line="520" w:lineRule="exact"/>
        <w:ind w:firstLine="480" w:firstLineChars="200"/>
        <w:rPr>
          <w:bCs/>
          <w:color w:val="000000"/>
          <w:sz w:val="24"/>
        </w:rPr>
      </w:pPr>
      <w:r>
        <w:rPr>
          <w:bCs/>
          <w:color w:val="000000"/>
          <w:sz w:val="24"/>
        </w:rPr>
        <w:t>本次评价从沼液营养成分、土地消纳能力以及现实操作性等方面来分析沼液农肥利用系统的可行性。</w:t>
      </w:r>
    </w:p>
    <w:p>
      <w:pPr>
        <w:topLinePunct/>
        <w:spacing w:line="520" w:lineRule="exact"/>
        <w:ind w:firstLine="480" w:firstLineChars="200"/>
        <w:rPr>
          <w:bCs/>
          <w:color w:val="000000"/>
          <w:sz w:val="24"/>
        </w:rPr>
      </w:pPr>
      <w:r>
        <w:rPr>
          <w:bCs/>
          <w:color w:val="000000"/>
          <w:sz w:val="24"/>
        </w:rPr>
        <w:t>（1）沼液营养成分</w:t>
      </w:r>
    </w:p>
    <w:p>
      <w:pPr>
        <w:topLinePunct/>
        <w:spacing w:line="520" w:lineRule="exact"/>
        <w:ind w:firstLine="480" w:firstLineChars="200"/>
        <w:rPr>
          <w:bCs/>
          <w:color w:val="000000"/>
          <w:sz w:val="24"/>
        </w:rPr>
      </w:pPr>
      <w:r>
        <w:rPr>
          <w:bCs/>
          <w:color w:val="000000"/>
          <w:sz w:val="24"/>
        </w:rPr>
        <w:t>根据国内外大量实验研究及实际运用表明，沼液尤其是养殖废水处理后的沼液，不仅含有作物所需求丰富的N、P、K等大量元素，还含有硼、铜、铁、锰、钙、锌等中微量元素，以及大量的有机质、多种氨基酸和维生素等。施用沼液，不仅能显著改良土壤、增加作物产量、确保农作物生长所需要的良好微生态系统，还有利于增强其抗冻、抗旱、抗虫能力。因此沼液是一种非常理想的肥料。</w:t>
      </w:r>
    </w:p>
    <w:p>
      <w:pPr>
        <w:topLinePunct/>
        <w:spacing w:line="520" w:lineRule="exact"/>
        <w:ind w:firstLine="480" w:firstLineChars="200"/>
        <w:rPr>
          <w:bCs/>
          <w:color w:val="000000"/>
          <w:sz w:val="24"/>
        </w:rPr>
      </w:pPr>
      <w:r>
        <w:rPr>
          <w:bCs/>
          <w:color w:val="000000"/>
          <w:sz w:val="24"/>
        </w:rPr>
        <w:t>项目沼液做农田肥料综合利用，环评的重点从沼液营养成分、土地消纳能力以及现实操作性等方面来分析沼液农肥利用系统的可行性。</w:t>
      </w:r>
    </w:p>
    <w:p>
      <w:pPr>
        <w:topLinePunct/>
        <w:spacing w:line="520" w:lineRule="exact"/>
        <w:ind w:firstLine="480" w:firstLineChars="200"/>
        <w:rPr>
          <w:bCs/>
          <w:color w:val="000000"/>
          <w:sz w:val="24"/>
        </w:rPr>
      </w:pPr>
      <w:r>
        <w:rPr>
          <w:bCs/>
          <w:color w:val="000000"/>
          <w:sz w:val="24"/>
        </w:rPr>
        <w:t>（2）土地沼液消纳能力</w:t>
      </w:r>
    </w:p>
    <w:p>
      <w:pPr>
        <w:topLinePunct/>
        <w:spacing w:line="520" w:lineRule="exact"/>
        <w:ind w:firstLine="480" w:firstLineChars="200"/>
        <w:rPr>
          <w:bCs/>
          <w:color w:val="000000"/>
          <w:sz w:val="24"/>
        </w:rPr>
      </w:pPr>
      <w:r>
        <w:rPr>
          <w:rFonts w:hint="eastAsia"/>
          <w:bCs/>
          <w:color w:val="000000"/>
          <w:sz w:val="24"/>
        </w:rPr>
        <w:t>①消纳区域当前土壤养分水平</w:t>
      </w:r>
    </w:p>
    <w:p>
      <w:pPr>
        <w:topLinePunct/>
        <w:spacing w:line="520" w:lineRule="exact"/>
        <w:ind w:firstLine="480" w:firstLineChars="200"/>
        <w:rPr>
          <w:bCs/>
          <w:color w:val="000000"/>
          <w:sz w:val="24"/>
        </w:rPr>
      </w:pPr>
      <w:r>
        <w:rPr>
          <w:bCs/>
          <w:color w:val="000000"/>
          <w:sz w:val="24"/>
        </w:rPr>
        <w:t>多年来，</w:t>
      </w:r>
      <w:r>
        <w:rPr>
          <w:rFonts w:hint="eastAsia"/>
          <w:bCs/>
          <w:color w:val="000000"/>
          <w:sz w:val="24"/>
        </w:rPr>
        <w:t>正阳县</w:t>
      </w:r>
      <w:r>
        <w:rPr>
          <w:bCs/>
          <w:color w:val="000000"/>
          <w:sz w:val="24"/>
        </w:rPr>
        <w:t>耕作种植为一年两熟，夏季收获以小麦为主、秋季收获以玉米为主，因此农田消纳主要以小麦-玉米为主。根据近几年测土、试验研究结果，</w:t>
      </w:r>
      <w:r>
        <w:rPr>
          <w:rFonts w:hint="eastAsia"/>
          <w:bCs/>
          <w:color w:val="000000"/>
          <w:sz w:val="24"/>
        </w:rPr>
        <w:t>正阳县</w:t>
      </w:r>
      <w:r>
        <w:rPr>
          <w:bCs/>
          <w:color w:val="000000"/>
          <w:sz w:val="24"/>
        </w:rPr>
        <w:t>土壤碱解氮含量为57.6mg/kg，土壤贮氮量较低，应注重氮素的补给。</w:t>
      </w:r>
      <w:r>
        <w:rPr>
          <w:rFonts w:hint="eastAsia"/>
          <w:bCs/>
          <w:color w:val="000000"/>
          <w:sz w:val="24"/>
        </w:rPr>
        <w:t>土壤氮养分水平为Ⅲ类水平。</w:t>
      </w:r>
    </w:p>
    <w:p>
      <w:pPr>
        <w:topLinePunct/>
        <w:spacing w:line="520" w:lineRule="exact"/>
        <w:ind w:firstLine="480" w:firstLineChars="200"/>
        <w:rPr>
          <w:bCs/>
          <w:color w:val="000000"/>
          <w:sz w:val="24"/>
        </w:rPr>
      </w:pPr>
      <w:r>
        <w:rPr>
          <w:rFonts w:hint="eastAsia"/>
          <w:bCs/>
          <w:color w:val="000000"/>
          <w:sz w:val="24"/>
        </w:rPr>
        <w:t>②本项目沼液氮素含量</w:t>
      </w:r>
    </w:p>
    <w:p>
      <w:pPr>
        <w:topLinePunct/>
        <w:spacing w:line="520" w:lineRule="exact"/>
        <w:ind w:firstLine="480" w:firstLineChars="200"/>
        <w:rPr>
          <w:bCs/>
          <w:color w:val="000000"/>
          <w:sz w:val="24"/>
        </w:rPr>
      </w:pPr>
      <w:r>
        <w:rPr>
          <w:bCs/>
          <w:color w:val="000000"/>
          <w:sz w:val="24"/>
        </w:rPr>
        <w:t>根据2018年1月15日农业部办公厅印发的《畜禽粪污土地承载力测算技术指南》中畜禽规模养殖场粪污消纳配套土地面积的测算方法，本指南适用于区域畜禽粪污土地承载力和畜禽规模养殖场粪污消纳配套土地面积的测算。规模养殖场配套土地面积等于规模养殖场粪肥养分供给量（对外销售部分不计算在内）除以单位土地粪肥养分需求量。根据项目区土地的种植规律，每年10月份种植小麦，6月份收割后种植玉米，即每年种植两季，一季小麦、一季玉米。</w:t>
      </w:r>
    </w:p>
    <w:p>
      <w:pPr>
        <w:topLinePunct/>
        <w:spacing w:line="520" w:lineRule="exact"/>
        <w:ind w:firstLine="480" w:firstLineChars="200"/>
        <w:rPr>
          <w:bCs/>
          <w:color w:val="000000"/>
          <w:sz w:val="24"/>
        </w:rPr>
      </w:pPr>
      <w:r>
        <w:rPr>
          <w:bCs/>
          <w:color w:val="000000"/>
          <w:sz w:val="24"/>
        </w:rPr>
        <w:t>粪肥养分供给量：</w:t>
      </w:r>
    </w:p>
    <w:p>
      <w:pPr>
        <w:topLinePunct/>
        <w:spacing w:line="520" w:lineRule="exact"/>
        <w:ind w:firstLine="480" w:firstLineChars="200"/>
        <w:rPr>
          <w:bCs/>
          <w:color w:val="000000"/>
          <w:sz w:val="24"/>
        </w:rPr>
      </w:pPr>
      <w:r>
        <w:rPr>
          <w:bCs/>
          <w:color w:val="000000"/>
          <w:sz w:val="24"/>
        </w:rPr>
        <w:t>粪肥养分供给量=</w:t>
      </w:r>
      <w:r>
        <w:rPr>
          <w:bCs/>
          <w:color w:val="000000"/>
          <w:sz w:val="24"/>
        </w:rPr>
        <w:object>
          <v:shape id="_x0000_i1028" o:spt="75" type="#_x0000_t75" style="height:13.95pt;width:22pt;" o:ole="t" filled="f" o:preferrelative="t" stroked="f" coordsize="21600,21600">
            <v:path/>
            <v:fill on="f" alignshape="1" focussize="0,0"/>
            <v:stroke on="f"/>
            <v:imagedata r:id="rId54" o:title=""/>
            <o:lock v:ext="edit" aspectratio="t"/>
            <w10:wrap type="none"/>
            <w10:anchorlock/>
          </v:shape>
          <o:OLEObject Type="Embed" ProgID="Equation.3" ShapeID="_x0000_i1028" DrawAspect="Content" ObjectID="_1468075728" r:id="rId53">
            <o:LockedField>false</o:LockedField>
          </o:OLEObject>
        </w:object>
      </w:r>
      <w:r>
        <w:rPr>
          <w:bCs/>
          <w:color w:val="000000"/>
          <w:sz w:val="24"/>
        </w:rPr>
        <w:t>各种畜禽存栏量×各种畜禽氮（磷）排泄量×养分留）</w:t>
      </w:r>
    </w:p>
    <w:p>
      <w:pPr>
        <w:topLinePunct/>
        <w:spacing w:line="520" w:lineRule="exact"/>
        <w:ind w:firstLine="480" w:firstLineChars="200"/>
        <w:rPr>
          <w:bCs/>
          <w:color w:val="000000"/>
          <w:sz w:val="24"/>
        </w:rPr>
      </w:pPr>
      <w:r>
        <w:rPr>
          <w:bCs/>
          <w:color w:val="000000"/>
          <w:sz w:val="24"/>
        </w:rPr>
        <w:t>本项目1头猪当量氮排泄量：根据《畜禽粪污土地承载力测算技术指南》， 1头猪当量的氮排泄量为11kg/a，且按存栏量折算，生猪、奶牛、肉牛固体粪便中氮素占氮排泄总量的50%；由于本项目产生的固体粪便堆肥后制有机肥基料外售，污水经盖泄湖沼气池厌氧发酵处理后施于农田，因此本项目</w:t>
      </w:r>
      <w:r>
        <w:rPr>
          <w:rFonts w:hint="eastAsia"/>
          <w:bCs/>
          <w:color w:val="000000"/>
          <w:sz w:val="24"/>
        </w:rPr>
        <w:t>废</w:t>
      </w:r>
      <w:r>
        <w:rPr>
          <w:bCs/>
          <w:color w:val="000000"/>
          <w:sz w:val="24"/>
        </w:rPr>
        <w:t xml:space="preserve">水中1头猪当量的氮排泄量为5.5 kg/a；  </w:t>
      </w:r>
    </w:p>
    <w:p>
      <w:pPr>
        <w:topLinePunct/>
        <w:spacing w:line="520" w:lineRule="exact"/>
        <w:ind w:firstLine="480" w:firstLineChars="200"/>
        <w:rPr>
          <w:bCs/>
          <w:color w:val="000000"/>
          <w:sz w:val="24"/>
        </w:rPr>
      </w:pPr>
      <w:r>
        <w:rPr>
          <w:bCs/>
          <w:color w:val="000000"/>
          <w:sz w:val="24"/>
        </w:rPr>
        <w:t>养分留：固体粪便堆肥、污水氧化塘贮存或厌氧发酵后农田利用为主的，粪污收集处理过程中氮留存率推荐值62%；</w:t>
      </w:r>
    </w:p>
    <w:p>
      <w:pPr>
        <w:topLinePunct/>
        <w:spacing w:line="520" w:lineRule="exact"/>
        <w:ind w:firstLine="480" w:firstLineChars="200"/>
        <w:rPr>
          <w:bCs/>
          <w:color w:val="000000"/>
          <w:sz w:val="24"/>
        </w:rPr>
      </w:pPr>
      <w:r>
        <w:rPr>
          <w:bCs/>
          <w:color w:val="000000"/>
          <w:sz w:val="24"/>
        </w:rPr>
        <w:t>本项目猪只存栏量：</w:t>
      </w:r>
      <w:r>
        <w:rPr>
          <w:rFonts w:hint="eastAsia"/>
          <w:bCs/>
          <w:color w:val="000000"/>
          <w:sz w:val="24"/>
        </w:rPr>
        <w:t>5200</w:t>
      </w:r>
      <w:r>
        <w:rPr>
          <w:bCs/>
          <w:color w:val="000000"/>
          <w:sz w:val="24"/>
        </w:rPr>
        <w:t>头，因此本项目全年粪肥供给量为</w:t>
      </w:r>
      <w:r>
        <w:rPr>
          <w:rFonts w:hint="eastAsia"/>
          <w:bCs/>
          <w:color w:val="000000"/>
          <w:sz w:val="24"/>
        </w:rPr>
        <w:t>17732</w:t>
      </w:r>
      <w:r>
        <w:rPr>
          <w:bCs/>
          <w:color w:val="000000"/>
          <w:sz w:val="24"/>
        </w:rPr>
        <w:t>kg/a。</w:t>
      </w:r>
    </w:p>
    <w:p>
      <w:pPr>
        <w:topLinePunct/>
        <w:spacing w:line="520" w:lineRule="exact"/>
        <w:ind w:firstLine="480" w:firstLineChars="200"/>
        <w:rPr>
          <w:bCs/>
          <w:color w:val="000000"/>
          <w:sz w:val="24"/>
        </w:rPr>
      </w:pPr>
      <w:r>
        <w:rPr>
          <w:bCs/>
          <w:color w:val="000000"/>
          <w:sz w:val="24"/>
        </w:rPr>
        <w:t>单位土地粪肥养分需求量=（单位土地养分需求量×施肥供给养分占比×粪肥占施）/粪肥当季利用率）</w:t>
      </w:r>
    </w:p>
    <w:p>
      <w:pPr>
        <w:topLinePunct/>
        <w:spacing w:line="520" w:lineRule="exact"/>
        <w:ind w:firstLine="480" w:firstLineChars="200"/>
        <w:rPr>
          <w:bCs/>
          <w:color w:val="000000"/>
          <w:sz w:val="24"/>
        </w:rPr>
      </w:pPr>
      <w:r>
        <w:rPr>
          <w:bCs/>
          <w:color w:val="000000"/>
          <w:sz w:val="24"/>
        </w:rPr>
        <w:t>单位土地养分需求量：根据《畜禽粪污土地承载力测算技术指南》，单位土地养分需求量为规模养殖场单位面积配套土地种植的各类植物在目标产量下的氮（磷）养分需求量之和；由本指南中的表3-1并结合项目区近年来农作物产量情况，确定项目配套土地小麦和玉米的产量分别为500 kg/亩、600 kg/亩；由本指南中的表1每100 kg产量的小麦和玉米需要吸收氮量分别为3.0 kg、2.3kg；配套土地种植小麦和玉米的单位土地养分需求量分别为15.0 kg/亩、13.8kg/亩；</w:t>
      </w:r>
    </w:p>
    <w:p>
      <w:pPr>
        <w:topLinePunct/>
        <w:spacing w:line="520" w:lineRule="exact"/>
        <w:ind w:firstLine="480" w:firstLineChars="200"/>
        <w:rPr>
          <w:bCs/>
          <w:color w:val="000000"/>
          <w:sz w:val="24"/>
        </w:rPr>
      </w:pPr>
      <w:r>
        <w:rPr>
          <w:bCs/>
          <w:color w:val="000000"/>
          <w:sz w:val="24"/>
        </w:rPr>
        <w:t>施肥供给养分占比：土壤养分水平为Ⅱ类土壤，结合《畜禽粪污土地承载力测算技术指南》中表2，本次施肥供给占比取45%；</w:t>
      </w:r>
    </w:p>
    <w:p>
      <w:pPr>
        <w:topLinePunct/>
        <w:spacing w:line="520" w:lineRule="exact"/>
        <w:ind w:firstLine="480" w:firstLineChars="200"/>
        <w:rPr>
          <w:bCs/>
          <w:color w:val="000000"/>
          <w:sz w:val="24"/>
        </w:rPr>
      </w:pPr>
      <w:r>
        <w:rPr>
          <w:bCs/>
          <w:color w:val="000000"/>
          <w:sz w:val="24"/>
        </w:rPr>
        <w:t>粪肥占施肥比例：100%（配套消纳地将沼液作为底肥和基肥使用，不再使用其他肥料）；</w:t>
      </w:r>
    </w:p>
    <w:p>
      <w:pPr>
        <w:topLinePunct/>
        <w:spacing w:line="520" w:lineRule="exact"/>
        <w:ind w:firstLine="480" w:firstLineChars="200"/>
        <w:rPr>
          <w:bCs/>
          <w:color w:val="000000"/>
          <w:sz w:val="24"/>
        </w:rPr>
      </w:pPr>
      <w:r>
        <w:rPr>
          <w:bCs/>
          <w:color w:val="000000"/>
          <w:sz w:val="24"/>
        </w:rPr>
        <w:t>粪肥当季利用率：25%（粪肥中氮素当季利用率推荐值为25%—30%，具体根据当地实际情况确定，本项目取25%）</w:t>
      </w:r>
    </w:p>
    <w:p>
      <w:pPr>
        <w:topLinePunct/>
        <w:spacing w:line="520" w:lineRule="exact"/>
        <w:ind w:firstLine="480" w:firstLineChars="200"/>
        <w:rPr>
          <w:bCs/>
          <w:color w:val="000000"/>
          <w:sz w:val="24"/>
        </w:rPr>
      </w:pPr>
      <w:r>
        <w:rPr>
          <w:bCs/>
          <w:color w:val="000000"/>
          <w:sz w:val="24"/>
        </w:rPr>
        <w:t>项目区土地种植小麦时单位土地粪肥养分需求量为27.0kg/亩、项目区土地种植玉米时单位土地粪肥养分需求量为24.84kg/亩；则项目区单位土地全年粪肥养分需求量为51.84kg/亩；因此本项目配套消纳地面积约为</w:t>
      </w:r>
      <w:r>
        <w:rPr>
          <w:rFonts w:hint="eastAsia"/>
          <w:bCs/>
          <w:color w:val="000000"/>
          <w:sz w:val="24"/>
        </w:rPr>
        <w:t>342</w:t>
      </w:r>
      <w:r>
        <w:rPr>
          <w:bCs/>
          <w:color w:val="000000"/>
          <w:sz w:val="24"/>
        </w:rPr>
        <w:t>亩。</w:t>
      </w:r>
    </w:p>
    <w:p>
      <w:pPr>
        <w:topLinePunct/>
        <w:spacing w:line="520" w:lineRule="exact"/>
        <w:ind w:firstLine="480" w:firstLineChars="200"/>
        <w:rPr>
          <w:bCs/>
          <w:color w:val="000000"/>
          <w:sz w:val="24"/>
        </w:rPr>
      </w:pPr>
      <w:r>
        <w:rPr>
          <w:bCs/>
          <w:color w:val="000000"/>
          <w:sz w:val="24"/>
        </w:rPr>
        <w:t>另外，</w:t>
      </w:r>
      <w:r>
        <w:rPr>
          <w:rFonts w:hint="eastAsia"/>
          <w:bCs/>
          <w:color w:val="000000"/>
          <w:sz w:val="24"/>
        </w:rPr>
        <w:t>本项目所处为河南省南部正阳县旱作农业区，常年以小麦—玉米轮作为主，根据农业部办公厅文件农办农【</w:t>
      </w:r>
      <w:r>
        <w:rPr>
          <w:bCs/>
          <w:color w:val="000000"/>
          <w:sz w:val="24"/>
        </w:rPr>
        <w:t>2013】45号——农业部办公厅关于印发《小麦、玉米、水稻三大粮食作物区域大配方与施肥建议（2013）》的通知，比对小麦及玉米的施肥分区，项目区属于Ⅱ-2华北南部夏玉米区（包括江苏及安徽两省的淮河以北地区、河南省南部），Ⅳ长江中下游冬麦区（包括湖北、湖南、江西、浙江和上海五省（市）全部，河南省南部，安徽省和江苏两省的淮河以南地区）。对于华北南部夏玉米区，对照基追结合施肥方案，产量水平在600kg/亩以上，配方肥推</w:t>
      </w:r>
      <w:r>
        <w:rPr>
          <w:rFonts w:hint="eastAsia"/>
          <w:bCs/>
          <w:color w:val="000000"/>
          <w:sz w:val="24"/>
        </w:rPr>
        <w:t>荐用量</w:t>
      </w:r>
      <w:r>
        <w:rPr>
          <w:bCs/>
          <w:color w:val="000000"/>
          <w:sz w:val="24"/>
        </w:rPr>
        <w:t>40-47kg/亩，大喇叭口期追施尿素17-20kg/亩，折合氮肥施用量为23.94kg/亩（折合沼液量为22.25m</w:t>
      </w:r>
      <w:r>
        <w:rPr>
          <w:bCs/>
          <w:color w:val="000000"/>
          <w:sz w:val="24"/>
          <w:vertAlign w:val="superscript"/>
        </w:rPr>
        <w:t>3</w:t>
      </w:r>
      <w:r>
        <w:rPr>
          <w:bCs/>
          <w:color w:val="000000"/>
          <w:sz w:val="24"/>
        </w:rPr>
        <w:t>）；对于长江中下游冬麦区，对照中低浓度配方肥方案，产量水平400-550kg/亩，配方肥推荐用量45-62kg/亩，起身期到拔节期结合灌水追施尿素12-17kg/亩，折合氮肥施用量为23.60kg/亩（折合沼液量为21.93m</w:t>
      </w:r>
      <w:r>
        <w:rPr>
          <w:bCs/>
          <w:color w:val="000000"/>
          <w:sz w:val="24"/>
          <w:vertAlign w:val="superscript"/>
        </w:rPr>
        <w:t>3</w:t>
      </w:r>
      <w:r>
        <w:rPr>
          <w:bCs/>
          <w:color w:val="000000"/>
          <w:sz w:val="24"/>
        </w:rPr>
        <w:t>）。因此每亩地每年所需沼液总量为44.18m</w:t>
      </w:r>
      <w:r>
        <w:rPr>
          <w:bCs/>
          <w:color w:val="000000"/>
          <w:sz w:val="24"/>
          <w:vertAlign w:val="superscript"/>
        </w:rPr>
        <w:t>3</w:t>
      </w:r>
      <w:r>
        <w:rPr>
          <w:bCs/>
          <w:color w:val="000000"/>
          <w:sz w:val="24"/>
        </w:rPr>
        <w:t>。</w:t>
      </w:r>
    </w:p>
    <w:p>
      <w:pPr>
        <w:topLinePunct/>
        <w:spacing w:line="520" w:lineRule="exact"/>
        <w:ind w:firstLine="480" w:firstLineChars="200"/>
        <w:rPr>
          <w:b/>
          <w:bCs/>
          <w:color w:val="000000"/>
          <w:sz w:val="24"/>
          <w:u w:val="single"/>
        </w:rPr>
      </w:pPr>
      <w:r>
        <w:rPr>
          <w:bCs/>
          <w:color w:val="000000"/>
          <w:sz w:val="24"/>
        </w:rPr>
        <w:t>本项目沼液产生量为</w:t>
      </w:r>
      <w:r>
        <w:rPr>
          <w:rFonts w:hint="eastAsia"/>
          <w:bCs/>
          <w:color w:val="000000"/>
          <w:sz w:val="24"/>
        </w:rPr>
        <w:t>8506.358</w:t>
      </w:r>
      <w:r>
        <w:rPr>
          <w:bCs/>
          <w:color w:val="000000"/>
          <w:sz w:val="24"/>
        </w:rPr>
        <w:t>m</w:t>
      </w:r>
      <w:r>
        <w:rPr>
          <w:bCs/>
          <w:color w:val="000000"/>
          <w:sz w:val="24"/>
          <w:vertAlign w:val="superscript"/>
        </w:rPr>
        <w:t>3</w:t>
      </w:r>
      <w:r>
        <w:rPr>
          <w:bCs/>
          <w:color w:val="000000"/>
          <w:sz w:val="24"/>
        </w:rPr>
        <w:t>/a，以此推算，沼液消纳面积不得低于</w:t>
      </w:r>
      <w:r>
        <w:rPr>
          <w:rFonts w:hint="eastAsia"/>
          <w:bCs/>
          <w:color w:val="000000"/>
          <w:sz w:val="24"/>
        </w:rPr>
        <w:t>193</w:t>
      </w:r>
      <w:r>
        <w:rPr>
          <w:bCs/>
          <w:color w:val="000000"/>
          <w:sz w:val="24"/>
        </w:rPr>
        <w:t>亩，评价要求配套农田有一定的轮作面积，则本项目消纳面积不得低于</w:t>
      </w:r>
      <w:r>
        <w:rPr>
          <w:rFonts w:hint="eastAsia"/>
          <w:bCs/>
          <w:color w:val="000000"/>
          <w:sz w:val="24"/>
        </w:rPr>
        <w:t>290</w:t>
      </w:r>
      <w:r>
        <w:rPr>
          <w:bCs/>
          <w:color w:val="000000"/>
          <w:sz w:val="24"/>
        </w:rPr>
        <w:t>亩。</w:t>
      </w:r>
    </w:p>
    <w:p>
      <w:pPr>
        <w:topLinePunct/>
        <w:spacing w:line="520" w:lineRule="exact"/>
        <w:ind w:firstLine="480" w:firstLineChars="200"/>
        <w:rPr>
          <w:rFonts w:hint="eastAsia"/>
          <w:bCs/>
          <w:color w:val="000000"/>
          <w:sz w:val="24"/>
        </w:rPr>
      </w:pPr>
      <w:r>
        <w:rPr>
          <w:bCs/>
          <w:color w:val="000000"/>
          <w:sz w:val="24"/>
        </w:rPr>
        <w:t>根据以上计算方法得出沼液消纳地面积，本评价取最大值</w:t>
      </w:r>
      <w:r>
        <w:rPr>
          <w:rFonts w:hint="eastAsia"/>
          <w:bCs/>
          <w:color w:val="000000"/>
          <w:sz w:val="24"/>
        </w:rPr>
        <w:t>342</w:t>
      </w:r>
      <w:r>
        <w:rPr>
          <w:bCs/>
          <w:color w:val="000000"/>
          <w:sz w:val="24"/>
        </w:rPr>
        <w:t>亩。本项目</w:t>
      </w:r>
      <w:r>
        <w:rPr>
          <w:rFonts w:hint="eastAsia"/>
          <w:bCs/>
          <w:color w:val="000000"/>
          <w:sz w:val="24"/>
        </w:rPr>
        <w:t>周边农田不低于1000</w:t>
      </w:r>
      <w:r>
        <w:rPr>
          <w:bCs/>
          <w:color w:val="000000"/>
          <w:sz w:val="24"/>
        </w:rPr>
        <w:t>亩，大于计算得出的</w:t>
      </w:r>
      <w:r>
        <w:rPr>
          <w:rFonts w:hint="eastAsia"/>
          <w:bCs/>
          <w:color w:val="000000"/>
          <w:sz w:val="24"/>
        </w:rPr>
        <w:t>342</w:t>
      </w:r>
      <w:r>
        <w:rPr>
          <w:bCs/>
          <w:color w:val="000000"/>
          <w:sz w:val="24"/>
        </w:rPr>
        <w:t>亩，因此本项目沼液消纳地可以消纳项目产生的全部沼液</w:t>
      </w:r>
    </w:p>
    <w:p>
      <w:pPr>
        <w:topLinePunct/>
        <w:spacing w:line="520" w:lineRule="exact"/>
        <w:ind w:firstLine="480" w:firstLineChars="200"/>
        <w:rPr>
          <w:bCs/>
          <w:color w:val="000000"/>
          <w:sz w:val="24"/>
        </w:rPr>
      </w:pPr>
      <w:r>
        <w:rPr>
          <w:rFonts w:hint="eastAsia"/>
          <w:bCs/>
          <w:color w:val="000000"/>
          <w:sz w:val="24"/>
        </w:rPr>
        <w:t>类比同类</w:t>
      </w:r>
      <w:r>
        <w:rPr>
          <w:bCs/>
          <w:color w:val="000000"/>
          <w:sz w:val="24"/>
        </w:rPr>
        <w:t xml:space="preserve">项目的沼液重金属含量检测数据（检测因子包括铜、锌、铬、镉、砷、汞、铅），其中铜的含量为1.87mg/L，其他因子均未检出。沼液属于液态有机肥，经查阅，目前国家尚未出台液态有机肥标准，因此本项目将参考《有机肥料》（NY525-2012）表2有机肥中重金属限量指标，经对照，本项目沼液中重金属含量能够满足标准要求。 </w:t>
      </w:r>
    </w:p>
    <w:p>
      <w:pPr>
        <w:topLinePunct/>
        <w:spacing w:line="520" w:lineRule="exact"/>
        <w:ind w:firstLine="480" w:firstLineChars="200"/>
        <w:rPr>
          <w:bCs/>
          <w:color w:val="000000"/>
          <w:sz w:val="24"/>
        </w:rPr>
      </w:pPr>
      <w:r>
        <w:rPr>
          <w:bCs/>
          <w:color w:val="000000"/>
          <w:sz w:val="24"/>
        </w:rPr>
        <w:t>本次评价对沼液</w:t>
      </w:r>
      <w:r>
        <w:rPr>
          <w:rFonts w:hint="eastAsia"/>
          <w:bCs/>
          <w:color w:val="000000"/>
          <w:sz w:val="24"/>
        </w:rPr>
        <w:t>消纳</w:t>
      </w:r>
      <w:r>
        <w:rPr>
          <w:bCs/>
          <w:color w:val="000000"/>
          <w:sz w:val="24"/>
        </w:rPr>
        <w:t>区域定期进行观测，场外</w:t>
      </w:r>
      <w:r>
        <w:rPr>
          <w:rFonts w:hint="eastAsia"/>
          <w:bCs/>
          <w:color w:val="000000"/>
          <w:sz w:val="24"/>
        </w:rPr>
        <w:t>消纳区</w:t>
      </w:r>
      <w:r>
        <w:rPr>
          <w:bCs/>
          <w:color w:val="000000"/>
          <w:sz w:val="24"/>
        </w:rPr>
        <w:t>设置地下水观测井，建议在配套</w:t>
      </w:r>
      <w:r>
        <w:rPr>
          <w:rFonts w:hint="eastAsia"/>
          <w:bCs/>
          <w:color w:val="000000"/>
          <w:sz w:val="24"/>
        </w:rPr>
        <w:t>消纳地东</w:t>
      </w:r>
      <w:r>
        <w:rPr>
          <w:bCs/>
          <w:color w:val="000000"/>
          <w:sz w:val="24"/>
        </w:rPr>
        <w:t>侧和</w:t>
      </w:r>
      <w:r>
        <w:rPr>
          <w:rFonts w:hint="eastAsia"/>
          <w:bCs/>
          <w:color w:val="000000"/>
          <w:sz w:val="24"/>
        </w:rPr>
        <w:t>南</w:t>
      </w:r>
      <w:r>
        <w:rPr>
          <w:bCs/>
          <w:color w:val="000000"/>
          <w:sz w:val="24"/>
        </w:rPr>
        <w:t>侧方位各设置1口地下水观测井，观察沼液长期施肥对地下水的累积性影响。</w:t>
      </w:r>
    </w:p>
    <w:p>
      <w:pPr>
        <w:topLinePunct/>
        <w:spacing w:line="520" w:lineRule="exact"/>
        <w:ind w:firstLine="480" w:firstLineChars="200"/>
        <w:rPr>
          <w:bCs/>
          <w:color w:val="000000"/>
          <w:sz w:val="24"/>
        </w:rPr>
      </w:pPr>
      <w:r>
        <w:rPr>
          <w:bCs/>
          <w:color w:val="000000"/>
          <w:sz w:val="24"/>
        </w:rPr>
        <w:t>（3）沼液利用的现实操作性</w:t>
      </w:r>
    </w:p>
    <w:p>
      <w:pPr>
        <w:topLinePunct/>
        <w:spacing w:line="520" w:lineRule="exact"/>
        <w:ind w:firstLine="480" w:firstLineChars="200"/>
        <w:rPr>
          <w:bCs/>
          <w:color w:val="000000"/>
          <w:sz w:val="24"/>
        </w:rPr>
      </w:pPr>
      <w:r>
        <w:rPr>
          <w:rFonts w:hint="eastAsia"/>
          <w:bCs/>
          <w:color w:val="000000"/>
          <w:sz w:val="24"/>
        </w:rPr>
        <w:t>①</w:t>
      </w:r>
      <w:r>
        <w:rPr>
          <w:bCs/>
          <w:color w:val="000000"/>
          <w:sz w:val="24"/>
        </w:rPr>
        <w:t>消纳区土壤类型及作物种植情况</w:t>
      </w:r>
    </w:p>
    <w:p>
      <w:pPr>
        <w:topLinePunct/>
        <w:spacing w:line="520" w:lineRule="exact"/>
        <w:ind w:firstLine="480" w:firstLineChars="200"/>
        <w:rPr>
          <w:bCs/>
          <w:color w:val="000000"/>
          <w:sz w:val="24"/>
        </w:rPr>
      </w:pPr>
      <w:r>
        <w:rPr>
          <w:bCs/>
          <w:color w:val="000000"/>
          <w:sz w:val="24"/>
        </w:rPr>
        <w:t>目前本项目沼液消纳区农作物以小麦、玉米为主，主要使用化肥增加土壤肥力，化肥容易引起土壤酸度变化。过磷酸钙、硫酸铵、氯化铵等都属生物酸性肥料，即植物吸收肥料中的养分离子后，土壤中氢离子增多，易造成土壤酸化，长期大量施用化肥，尤其在连续施用单一品种化肥时，在短期内即可出现这种情况。土壤酸化后会导致有毒物质的释放，或使有毒物质毒性增强，对生物体产生不良影响，土壤酸化还能溶解土壤中的一些营养物质，在降雨和灌溉的作用下，向下渗透补给地下水，使得营养成分流失，造成土壤贫瘠化，影响作物的生长。有害物质对土壤产生污染，制造化肥的矿物原料及化工原料中，含有多种重金属放射性物质和其他有害成分，它们随施肥进入农田土壤造成污染。</w:t>
      </w:r>
    </w:p>
    <w:p>
      <w:pPr>
        <w:topLinePunct/>
        <w:spacing w:line="520" w:lineRule="exact"/>
        <w:ind w:firstLine="480" w:firstLineChars="200"/>
        <w:rPr>
          <w:bCs/>
          <w:color w:val="000000"/>
          <w:sz w:val="24"/>
        </w:rPr>
      </w:pPr>
      <w:r>
        <w:rPr>
          <w:bCs/>
          <w:color w:val="000000"/>
          <w:sz w:val="24"/>
        </w:rPr>
        <w:t>随着我国人民生活水平的提高和消费理念的转变，以及环境污染和资源浪费问题的日益严峻，有利于人们健康的无污染、安全、优质营养的绿色食品已成为时尚，越来越受到人们的青睐。</w:t>
      </w:r>
    </w:p>
    <w:p>
      <w:pPr>
        <w:topLinePunct/>
        <w:spacing w:line="520" w:lineRule="exact"/>
        <w:ind w:firstLine="480" w:firstLineChars="200"/>
        <w:rPr>
          <w:bCs/>
          <w:color w:val="000000"/>
          <w:sz w:val="24"/>
        </w:rPr>
      </w:pPr>
      <w:r>
        <w:rPr>
          <w:bCs/>
          <w:color w:val="000000"/>
          <w:sz w:val="24"/>
        </w:rPr>
        <w:t>本项目建成运行后，沼液消纳区的农作物将使用沼液施肥，这些农作物需要大量的养分，沼液能提供充足的养分。沼液中的有机质、腐殖质可以明显的改善土壤理化性质，提髙肥力，提高地力，可以使农业用地变成有持续发展的良性循环的金土地。沼液含有大量丰富的营养成分，是农作物的无公害长效肥料，施用后能增产增收改善土壤结构，克服了我国化肥的施用量急剧增加，导致农田土壤产生质变，有机质含量降低，导致土壤板结，肥力下降等现象。</w:t>
      </w:r>
    </w:p>
    <w:p>
      <w:pPr>
        <w:topLinePunct/>
        <w:spacing w:line="520" w:lineRule="exact"/>
        <w:ind w:firstLine="480" w:firstLineChars="200"/>
        <w:rPr>
          <w:bCs/>
          <w:color w:val="000000"/>
          <w:sz w:val="24"/>
        </w:rPr>
      </w:pPr>
      <w:r>
        <w:rPr>
          <w:rFonts w:hint="eastAsia" w:ascii="宋体" w:hAnsi="宋体" w:cs="宋体"/>
          <w:bCs/>
          <w:color w:val="000000"/>
          <w:sz w:val="24"/>
        </w:rPr>
        <w:t>②</w:t>
      </w:r>
      <w:r>
        <w:rPr>
          <w:bCs/>
          <w:color w:val="000000"/>
          <w:sz w:val="24"/>
        </w:rPr>
        <w:t>沼液使用方式、过程控制及配水</w:t>
      </w:r>
    </w:p>
    <w:p>
      <w:pPr>
        <w:topLinePunct/>
        <w:spacing w:line="520" w:lineRule="exact"/>
        <w:ind w:firstLine="480" w:firstLineChars="200"/>
        <w:rPr>
          <w:bCs/>
          <w:color w:val="000000"/>
          <w:sz w:val="24"/>
        </w:rPr>
      </w:pPr>
      <w:r>
        <w:rPr>
          <w:bCs/>
          <w:color w:val="000000"/>
          <w:sz w:val="24"/>
        </w:rPr>
        <w:t>根据当地的种植规律及施肥规律，对于小麦和玉米均为施基肥一次、追肥一次，其中小麦在返青期或拔节期进行追肥，玉米在大喇叭口期进行追肥，因此本评价建议沼液储存池的储存时间按180天计。</w:t>
      </w:r>
    </w:p>
    <w:p>
      <w:pPr>
        <w:topLinePunct/>
        <w:spacing w:line="520" w:lineRule="exact"/>
        <w:ind w:firstLine="480" w:firstLineChars="200"/>
        <w:rPr>
          <w:bCs/>
          <w:color w:val="000000"/>
          <w:sz w:val="24"/>
        </w:rPr>
      </w:pPr>
      <w:r>
        <w:rPr>
          <w:bCs/>
          <w:color w:val="000000"/>
          <w:sz w:val="24"/>
        </w:rPr>
        <w:t>结合当地群众施肥规律，本评价提出沼液施肥方式为每年两次基肥、两次追肥，分别为小麦在播种前施用一次基肥，拔节期进行一次追肥；玉米在播种前施用一次基肥，大喇叭口期进行一次追肥。</w:t>
      </w:r>
    </w:p>
    <w:p>
      <w:pPr>
        <w:topLinePunct/>
        <w:spacing w:line="520" w:lineRule="exact"/>
        <w:ind w:firstLine="480" w:firstLineChars="200"/>
        <w:rPr>
          <w:bCs/>
          <w:color w:val="000000"/>
          <w:sz w:val="24"/>
        </w:rPr>
      </w:pPr>
      <w:r>
        <w:rPr>
          <w:bCs/>
          <w:color w:val="000000"/>
          <w:sz w:val="24"/>
        </w:rPr>
        <w:t>沼液通过管网输送至田间，施用到农田。沼液输送管线，做好防腐工作，定期进行检修，一旦发现滴漏，沼液排入沼液储存池，待维护完毕后方可输送；</w:t>
      </w:r>
    </w:p>
    <w:p>
      <w:pPr>
        <w:topLinePunct/>
        <w:spacing w:line="520" w:lineRule="exact"/>
        <w:ind w:firstLine="480" w:firstLineChars="200"/>
        <w:rPr>
          <w:bCs/>
          <w:color w:val="000000"/>
          <w:sz w:val="24"/>
        </w:rPr>
      </w:pPr>
      <w:r>
        <w:rPr>
          <w:bCs/>
          <w:color w:val="000000"/>
          <w:sz w:val="24"/>
        </w:rPr>
        <w:t>施肥区根据地形进行单元划分，分单元进行开沟施肥，支管阀门间隔50～80m，防止农田施肥不匀引起的地下水污染问题，采用喷灌的施肥方式。</w:t>
      </w:r>
    </w:p>
    <w:p>
      <w:pPr>
        <w:topLinePunct/>
        <w:spacing w:line="520" w:lineRule="exact"/>
        <w:ind w:firstLine="480" w:firstLineChars="200"/>
        <w:rPr>
          <w:bCs/>
          <w:color w:val="000000"/>
          <w:sz w:val="24"/>
        </w:rPr>
      </w:pPr>
      <w:r>
        <w:rPr>
          <w:bCs/>
          <w:color w:val="000000"/>
          <w:sz w:val="24"/>
        </w:rPr>
        <w:t>严格根据评价要求，控制施肥量，严禁突击施肥，在非施肥季节及雨季，沼液由沼液储存池暂存。</w:t>
      </w:r>
    </w:p>
    <w:p>
      <w:pPr>
        <w:topLinePunct/>
        <w:spacing w:line="520" w:lineRule="exact"/>
        <w:ind w:firstLine="480" w:firstLineChars="200"/>
        <w:rPr>
          <w:bCs/>
          <w:color w:val="000000"/>
          <w:sz w:val="24"/>
        </w:rPr>
      </w:pPr>
      <w:r>
        <w:rPr>
          <w:bCs/>
          <w:color w:val="000000"/>
          <w:sz w:val="24"/>
        </w:rPr>
        <w:t>（4）沼液利用工程的管理要求</w:t>
      </w:r>
    </w:p>
    <w:p>
      <w:pPr>
        <w:topLinePunct/>
        <w:spacing w:line="520" w:lineRule="exact"/>
        <w:ind w:firstLine="480" w:firstLineChars="200"/>
        <w:rPr>
          <w:bCs/>
          <w:color w:val="000000"/>
          <w:sz w:val="24"/>
        </w:rPr>
      </w:pPr>
      <w:r>
        <w:rPr>
          <w:rFonts w:hint="eastAsia"/>
          <w:bCs/>
          <w:color w:val="000000"/>
          <w:sz w:val="24"/>
        </w:rPr>
        <w:t>①</w:t>
      </w:r>
      <w:r>
        <w:rPr>
          <w:bCs/>
          <w:color w:val="000000"/>
          <w:sz w:val="24"/>
        </w:rPr>
        <w:t xml:space="preserve"> 基本要求</w:t>
      </w:r>
    </w:p>
    <w:p>
      <w:pPr>
        <w:topLinePunct/>
        <w:spacing w:line="520" w:lineRule="exact"/>
        <w:ind w:firstLine="480" w:firstLineChars="200"/>
        <w:rPr>
          <w:bCs/>
          <w:color w:val="000000"/>
          <w:sz w:val="24"/>
        </w:rPr>
      </w:pPr>
      <w:r>
        <w:rPr>
          <w:bCs/>
          <w:color w:val="000000"/>
          <w:sz w:val="24"/>
        </w:rPr>
        <w:t>企业必须确定或建立相应的管理机构，安排专人管理，落实足够的运行管理经费，制定切实可行的管理规章和工程维修养护制度，并对管理人员进行技术培训和岗位考核。同时做到对沼液利用工程进行经常性的维护、季节性的整修和临时性的抢修以及系统运行效果和有害重金属的监测与处理。</w:t>
      </w:r>
    </w:p>
    <w:p>
      <w:pPr>
        <w:topLinePunct/>
        <w:spacing w:line="520" w:lineRule="exact"/>
        <w:ind w:firstLine="480" w:firstLineChars="200"/>
        <w:rPr>
          <w:bCs/>
          <w:color w:val="000000"/>
          <w:sz w:val="24"/>
        </w:rPr>
      </w:pPr>
      <w:r>
        <w:rPr>
          <w:rFonts w:hint="eastAsia"/>
          <w:bCs/>
          <w:color w:val="000000"/>
          <w:sz w:val="24"/>
        </w:rPr>
        <w:t>②</w:t>
      </w:r>
      <w:r>
        <w:rPr>
          <w:bCs/>
          <w:color w:val="000000"/>
          <w:sz w:val="24"/>
        </w:rPr>
        <w:t xml:space="preserve"> 管道养护</w:t>
      </w:r>
    </w:p>
    <w:p>
      <w:pPr>
        <w:topLinePunct/>
        <w:spacing w:line="520" w:lineRule="exact"/>
        <w:ind w:firstLine="480" w:firstLineChars="200"/>
        <w:rPr>
          <w:bCs/>
          <w:color w:val="000000"/>
          <w:sz w:val="24"/>
        </w:rPr>
      </w:pPr>
      <w:r>
        <w:rPr>
          <w:bCs/>
          <w:color w:val="000000"/>
          <w:sz w:val="24"/>
        </w:rPr>
        <w:t>要经常对管道进行巡查维护，发现管道漏水、爆裂及时修补，发现沼液出水明显减少，要及时监测、疏通污物收集装置，确保沼液输送通畅和设施完好、运行正常。</w:t>
      </w:r>
    </w:p>
    <w:p>
      <w:pPr>
        <w:topLinePunct/>
        <w:spacing w:line="520" w:lineRule="exact"/>
        <w:ind w:firstLine="480" w:firstLineChars="200"/>
        <w:rPr>
          <w:bCs/>
          <w:color w:val="000000"/>
          <w:sz w:val="24"/>
        </w:rPr>
      </w:pPr>
      <w:r>
        <w:rPr>
          <w:rFonts w:hint="eastAsia"/>
          <w:bCs/>
          <w:color w:val="000000"/>
          <w:sz w:val="24"/>
        </w:rPr>
        <w:t>③</w:t>
      </w:r>
      <w:r>
        <w:rPr>
          <w:bCs/>
          <w:color w:val="000000"/>
          <w:sz w:val="24"/>
        </w:rPr>
        <w:t>设施维修保养</w:t>
      </w:r>
    </w:p>
    <w:p>
      <w:pPr>
        <w:topLinePunct/>
        <w:spacing w:line="520" w:lineRule="exact"/>
        <w:ind w:firstLine="480" w:firstLineChars="200"/>
        <w:rPr>
          <w:bCs/>
          <w:color w:val="000000"/>
          <w:sz w:val="24"/>
        </w:rPr>
      </w:pPr>
      <w:r>
        <w:rPr>
          <w:bCs/>
          <w:color w:val="000000"/>
          <w:sz w:val="24"/>
        </w:rPr>
        <w:t>建立处理、储液、暂存池等主要建筑结构和管网、机电设备的检修制度或维修养护办法，确保各类设施设备完整，做到无损、无漏、无裂，闸门启闭灵活。安装的沼液泵、动力设备与电气设备应每年全面检修一次，确保安全运行。及时清除泵站前池、污物收集装置、暂存池中的各种杂质淤泥。</w:t>
      </w:r>
    </w:p>
    <w:p>
      <w:pPr>
        <w:pStyle w:val="2"/>
        <w:spacing w:before="0" w:after="0" w:line="520" w:lineRule="exact"/>
        <w:rPr>
          <w:rFonts w:eastAsia="黑体"/>
          <w:b w:val="0"/>
          <w:sz w:val="24"/>
          <w:szCs w:val="24"/>
        </w:rPr>
      </w:pPr>
      <w:r>
        <w:rPr>
          <w:rFonts w:eastAsia="黑体"/>
          <w:b w:val="0"/>
          <w:sz w:val="24"/>
          <w:szCs w:val="24"/>
        </w:rPr>
        <w:t>5.2.2</w:t>
      </w:r>
      <w:r>
        <w:rPr>
          <w:rFonts w:hint="eastAsia" w:eastAsia="黑体"/>
          <w:b w:val="0"/>
          <w:sz w:val="24"/>
          <w:szCs w:val="24"/>
        </w:rPr>
        <w:t>地下水</w:t>
      </w:r>
      <w:r>
        <w:rPr>
          <w:rFonts w:eastAsia="黑体"/>
          <w:b w:val="0"/>
          <w:sz w:val="24"/>
          <w:szCs w:val="24"/>
        </w:rPr>
        <w:t>污染防治措施分析</w:t>
      </w:r>
    </w:p>
    <w:p>
      <w:pPr>
        <w:topLinePunct/>
        <w:spacing w:line="520" w:lineRule="exact"/>
        <w:ind w:firstLine="480" w:firstLineChars="200"/>
        <w:rPr>
          <w:color w:val="000000"/>
          <w:sz w:val="24"/>
        </w:rPr>
      </w:pPr>
      <w:r>
        <w:rPr>
          <w:color w:val="000000"/>
          <w:sz w:val="24"/>
        </w:rPr>
        <w:t>项目产生的废水主要废养殖废水和员工生活污水，经管道收集后自流至污水处理系统统一处理，其中养殖废水为高浓度有机废水，经厌氧反应处理后用于附近</w:t>
      </w:r>
      <w:r>
        <w:rPr>
          <w:rFonts w:hint="eastAsia"/>
          <w:color w:val="000000"/>
          <w:sz w:val="24"/>
        </w:rPr>
        <w:t>林地</w:t>
      </w:r>
      <w:r>
        <w:rPr>
          <w:color w:val="000000"/>
          <w:sz w:val="24"/>
        </w:rPr>
        <w:t>施肥，雨季及非施肥期暂存在场区沼液池中，本次评价主要从以下方面分析运营期废水对地下水水质的影响。</w:t>
      </w:r>
    </w:p>
    <w:p>
      <w:pPr>
        <w:topLinePunct/>
        <w:spacing w:line="520" w:lineRule="exact"/>
        <w:ind w:firstLine="480" w:firstLineChars="200"/>
        <w:rPr>
          <w:color w:val="000000"/>
          <w:sz w:val="24"/>
        </w:rPr>
      </w:pPr>
      <w:r>
        <w:rPr>
          <w:color w:val="000000"/>
          <w:sz w:val="24"/>
        </w:rPr>
        <w:t>（1）地下水污染途径及防治措施分析</w:t>
      </w:r>
    </w:p>
    <w:p>
      <w:pPr>
        <w:topLinePunct/>
        <w:spacing w:line="520" w:lineRule="exact"/>
        <w:ind w:firstLine="480" w:firstLineChars="200"/>
        <w:rPr>
          <w:color w:val="000000"/>
          <w:sz w:val="24"/>
        </w:rPr>
      </w:pPr>
      <w:r>
        <w:rPr>
          <w:color w:val="000000"/>
          <w:sz w:val="24"/>
        </w:rPr>
        <w:t>污染物从污染源进入地下水所经过路径称为地下水污染途径，地下水污染途径是多种多样的。本项目营运期环境影响因素主要为生活污水、养殖废水、猪粪和沼渣。以上污染因素如不加以管理，污水处理池及储存池存在下渗污染地下水的隐患；猪粪、沼渣乱堆乱放，可能转入环境空气或地表水体，并通过下渗影响到地下水环境。</w:t>
      </w:r>
    </w:p>
    <w:p>
      <w:pPr>
        <w:topLinePunct/>
        <w:spacing w:line="520" w:lineRule="exact"/>
        <w:ind w:firstLine="480" w:firstLineChars="200"/>
        <w:rPr>
          <w:color w:val="000000"/>
          <w:sz w:val="24"/>
        </w:rPr>
      </w:pPr>
      <w:r>
        <w:rPr>
          <w:color w:val="000000"/>
          <w:sz w:val="24"/>
        </w:rPr>
        <w:t>根据《畜禽养殖业污染防治技术规范》（HJ/T81－2001）规定：</w:t>
      </w:r>
    </w:p>
    <w:p>
      <w:pPr>
        <w:topLinePunct/>
        <w:spacing w:line="520" w:lineRule="exact"/>
        <w:ind w:firstLine="480" w:firstLineChars="200"/>
        <w:rPr>
          <w:color w:val="000000"/>
          <w:sz w:val="24"/>
        </w:rPr>
      </w:pPr>
      <w:r>
        <w:rPr>
          <w:color w:val="000000"/>
          <w:sz w:val="24"/>
        </w:rPr>
        <w:t>1、养殖场的排水系统应实行雨水和污水收集输送系统分离，在场区内外设置的污水收集输送系统，不得采取明沟布设。</w:t>
      </w:r>
    </w:p>
    <w:p>
      <w:pPr>
        <w:widowControl/>
        <w:topLinePunct/>
        <w:spacing w:line="520" w:lineRule="exact"/>
        <w:ind w:firstLine="480" w:firstLineChars="200"/>
        <w:rPr>
          <w:color w:val="000000"/>
          <w:sz w:val="24"/>
        </w:rPr>
      </w:pPr>
      <w:r>
        <w:rPr>
          <w:color w:val="000000"/>
          <w:sz w:val="24"/>
        </w:rPr>
        <w:t>2、贮存设施应采取有效的防渗处理工艺，防止畜禽粪便污染地下水。</w:t>
      </w:r>
    </w:p>
    <w:p>
      <w:pPr>
        <w:widowControl/>
        <w:topLinePunct/>
        <w:spacing w:line="520" w:lineRule="exact"/>
        <w:ind w:firstLine="480" w:firstLineChars="200"/>
        <w:rPr>
          <w:color w:val="000000"/>
          <w:sz w:val="24"/>
        </w:rPr>
      </w:pPr>
      <w:r>
        <w:rPr>
          <w:color w:val="000000"/>
          <w:sz w:val="24"/>
        </w:rPr>
        <w:t>3、贮存设施应采取设置顶盖等防止降雨(水)进入的措施。</w:t>
      </w:r>
    </w:p>
    <w:p>
      <w:pPr>
        <w:topLinePunct/>
        <w:spacing w:line="520" w:lineRule="exact"/>
        <w:ind w:firstLine="480" w:firstLineChars="200"/>
        <w:rPr>
          <w:color w:val="000000"/>
          <w:sz w:val="24"/>
        </w:rPr>
      </w:pPr>
      <w:r>
        <w:rPr>
          <w:color w:val="000000"/>
          <w:sz w:val="24"/>
        </w:rPr>
        <w:t>因此，企业必须建设雨、污分流管网，雨水管网建设时，可设置为明沟，沟深约20～30cm即可。排污沟应采取暗沟形式，同时应具备防止淤积以利于定期清理的条件，排污沟应采取硬化措施。</w:t>
      </w:r>
    </w:p>
    <w:p>
      <w:pPr>
        <w:topLinePunct/>
        <w:spacing w:line="520" w:lineRule="exact"/>
        <w:ind w:firstLine="480" w:firstLineChars="200"/>
        <w:rPr>
          <w:color w:val="000000"/>
          <w:sz w:val="24"/>
        </w:rPr>
      </w:pPr>
      <w:r>
        <w:rPr>
          <w:color w:val="000000"/>
          <w:sz w:val="24"/>
        </w:rPr>
        <w:t>项目地下水污染防治措施详见表</w:t>
      </w:r>
      <w:r>
        <w:rPr>
          <w:rFonts w:hint="eastAsia"/>
          <w:color w:val="000000"/>
          <w:sz w:val="24"/>
        </w:rPr>
        <w:t>5.2-8</w:t>
      </w:r>
      <w:r>
        <w:rPr>
          <w:color w:val="000000"/>
          <w:sz w:val="24"/>
        </w:rPr>
        <w:t>。</w:t>
      </w:r>
    </w:p>
    <w:p>
      <w:pPr>
        <w:spacing w:after="93" w:afterLines="30" w:line="500" w:lineRule="exact"/>
        <w:jc w:val="center"/>
        <w:rPr>
          <w:b/>
          <w:kern w:val="0"/>
          <w:sz w:val="24"/>
          <w:lang w:bidi="ar"/>
        </w:rPr>
      </w:pPr>
      <w:r>
        <w:rPr>
          <w:b/>
          <w:kern w:val="0"/>
          <w:sz w:val="24"/>
          <w:lang w:bidi="ar"/>
        </w:rPr>
        <w:t>表</w:t>
      </w:r>
      <w:r>
        <w:rPr>
          <w:rFonts w:hint="eastAsia"/>
          <w:b/>
          <w:kern w:val="0"/>
          <w:sz w:val="24"/>
          <w:lang w:bidi="ar"/>
        </w:rPr>
        <w:t>5.2-8</w:t>
      </w:r>
      <w:r>
        <w:rPr>
          <w:b/>
          <w:kern w:val="0"/>
          <w:sz w:val="24"/>
          <w:lang w:bidi="ar"/>
        </w:rPr>
        <w:t xml:space="preserve">   项目地下水污染防治措施一览表</w:t>
      </w:r>
    </w:p>
    <w:tbl>
      <w:tblPr>
        <w:tblStyle w:val="17"/>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10"/>
        <w:gridCol w:w="1004"/>
        <w:gridCol w:w="5023"/>
        <w:gridCol w:w="222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1" w:type="pct"/>
            <w:noWrap w:val="0"/>
            <w:tcMar>
              <w:left w:w="0" w:type="dxa"/>
              <w:right w:w="0" w:type="dxa"/>
            </w:tcMar>
            <w:vAlign w:val="center"/>
          </w:tcPr>
          <w:p>
            <w:pPr>
              <w:topLinePunct/>
              <w:adjustRightInd w:val="0"/>
              <w:snapToGrid w:val="0"/>
              <w:spacing w:line="320" w:lineRule="atLeast"/>
              <w:jc w:val="center"/>
              <w:rPr>
                <w:b/>
                <w:color w:val="000000"/>
                <w:szCs w:val="21"/>
              </w:rPr>
            </w:pPr>
            <w:r>
              <w:rPr>
                <w:b/>
                <w:color w:val="000000"/>
                <w:szCs w:val="21"/>
              </w:rPr>
              <w:t>序号</w:t>
            </w:r>
          </w:p>
        </w:tc>
        <w:tc>
          <w:tcPr>
            <w:tcW w:w="573" w:type="pct"/>
            <w:noWrap w:val="0"/>
            <w:tcMar>
              <w:left w:w="0" w:type="dxa"/>
              <w:right w:w="0" w:type="dxa"/>
            </w:tcMar>
            <w:vAlign w:val="center"/>
          </w:tcPr>
          <w:p>
            <w:pPr>
              <w:topLinePunct/>
              <w:adjustRightInd w:val="0"/>
              <w:snapToGrid w:val="0"/>
              <w:spacing w:line="320" w:lineRule="atLeast"/>
              <w:jc w:val="center"/>
              <w:rPr>
                <w:b/>
                <w:color w:val="000000"/>
                <w:szCs w:val="21"/>
              </w:rPr>
            </w:pPr>
            <w:r>
              <w:rPr>
                <w:b/>
                <w:color w:val="000000"/>
                <w:szCs w:val="21"/>
              </w:rPr>
              <w:t>项目</w:t>
            </w:r>
          </w:p>
        </w:tc>
        <w:tc>
          <w:tcPr>
            <w:tcW w:w="2867" w:type="pct"/>
            <w:noWrap w:val="0"/>
            <w:tcMar>
              <w:left w:w="0" w:type="dxa"/>
              <w:right w:w="0" w:type="dxa"/>
            </w:tcMar>
            <w:vAlign w:val="center"/>
          </w:tcPr>
          <w:p>
            <w:pPr>
              <w:topLinePunct/>
              <w:adjustRightInd w:val="0"/>
              <w:snapToGrid w:val="0"/>
              <w:spacing w:line="320" w:lineRule="atLeast"/>
              <w:jc w:val="center"/>
              <w:rPr>
                <w:b/>
                <w:color w:val="000000"/>
                <w:szCs w:val="21"/>
              </w:rPr>
            </w:pPr>
            <w:r>
              <w:rPr>
                <w:b/>
                <w:color w:val="000000"/>
                <w:szCs w:val="21"/>
              </w:rPr>
              <w:t>保护措施</w:t>
            </w:r>
          </w:p>
        </w:tc>
        <w:tc>
          <w:tcPr>
            <w:tcW w:w="1269" w:type="pct"/>
            <w:noWrap w:val="0"/>
            <w:tcMar>
              <w:left w:w="0" w:type="dxa"/>
              <w:right w:w="0" w:type="dxa"/>
            </w:tcMar>
            <w:vAlign w:val="center"/>
          </w:tcPr>
          <w:p>
            <w:pPr>
              <w:topLinePunct/>
              <w:adjustRightInd w:val="0"/>
              <w:snapToGrid w:val="0"/>
              <w:spacing w:line="320" w:lineRule="atLeast"/>
              <w:jc w:val="center"/>
              <w:rPr>
                <w:b/>
                <w:color w:val="000000"/>
                <w:szCs w:val="21"/>
              </w:rPr>
            </w:pPr>
            <w:r>
              <w:rPr>
                <w:b/>
                <w:color w:val="000000"/>
                <w:szCs w:val="21"/>
              </w:rPr>
              <w:t>达到效果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291" w:type="pct"/>
            <w:noWrap w:val="0"/>
            <w:tcMar>
              <w:left w:w="0" w:type="dxa"/>
              <w:right w:w="0" w:type="dxa"/>
            </w:tcMar>
            <w:vAlign w:val="center"/>
          </w:tcPr>
          <w:p>
            <w:pPr>
              <w:topLinePunct/>
              <w:adjustRightInd w:val="0"/>
              <w:snapToGrid w:val="0"/>
              <w:spacing w:line="320" w:lineRule="atLeast"/>
              <w:jc w:val="center"/>
              <w:rPr>
                <w:color w:val="000000"/>
                <w:szCs w:val="21"/>
              </w:rPr>
            </w:pPr>
            <w:r>
              <w:rPr>
                <w:color w:val="000000"/>
                <w:szCs w:val="21"/>
              </w:rPr>
              <w:t>1</w:t>
            </w:r>
          </w:p>
        </w:tc>
        <w:tc>
          <w:tcPr>
            <w:tcW w:w="573" w:type="pct"/>
            <w:noWrap w:val="0"/>
            <w:tcMar>
              <w:left w:w="0" w:type="dxa"/>
              <w:right w:w="0" w:type="dxa"/>
            </w:tcMar>
            <w:vAlign w:val="center"/>
          </w:tcPr>
          <w:p>
            <w:pPr>
              <w:topLinePunct/>
              <w:adjustRightInd w:val="0"/>
              <w:snapToGrid w:val="0"/>
              <w:spacing w:line="320" w:lineRule="atLeast"/>
              <w:jc w:val="center"/>
              <w:rPr>
                <w:color w:val="000000"/>
                <w:szCs w:val="21"/>
              </w:rPr>
            </w:pPr>
            <w:r>
              <w:rPr>
                <w:color w:val="000000"/>
                <w:szCs w:val="21"/>
              </w:rPr>
              <w:t>沼液储存池</w:t>
            </w:r>
          </w:p>
        </w:tc>
        <w:tc>
          <w:tcPr>
            <w:tcW w:w="2867" w:type="pct"/>
            <w:noWrap w:val="0"/>
            <w:tcMar>
              <w:left w:w="0" w:type="dxa"/>
              <w:right w:w="0" w:type="dxa"/>
            </w:tcMar>
            <w:vAlign w:val="center"/>
          </w:tcPr>
          <w:p>
            <w:pPr>
              <w:topLinePunct/>
              <w:adjustRightInd w:val="0"/>
              <w:snapToGrid w:val="0"/>
              <w:spacing w:line="320" w:lineRule="atLeast"/>
              <w:jc w:val="center"/>
              <w:rPr>
                <w:color w:val="000000"/>
                <w:szCs w:val="21"/>
              </w:rPr>
            </w:pPr>
            <w:r>
              <w:rPr>
                <w:color w:val="000000"/>
                <w:szCs w:val="21"/>
              </w:rPr>
              <w:t>沼液储存池为满足农闲期沼液产生量，容积不小于</w:t>
            </w:r>
            <w:r>
              <w:rPr>
                <w:rFonts w:hint="eastAsia"/>
                <w:color w:val="000000"/>
                <w:szCs w:val="21"/>
              </w:rPr>
              <w:t>166天</w:t>
            </w:r>
            <w:r>
              <w:rPr>
                <w:color w:val="000000"/>
                <w:szCs w:val="21"/>
              </w:rPr>
              <w:t>的全场废水产生量，并</w:t>
            </w:r>
            <w:r>
              <w:rPr>
                <w:color w:val="000000"/>
              </w:rPr>
              <w:t>采用</w:t>
            </w:r>
            <w:r>
              <w:rPr>
                <w:color w:val="000000"/>
                <w:szCs w:val="21"/>
              </w:rPr>
              <w:t>HDPE膜+素土夯实</w:t>
            </w:r>
            <w:r>
              <w:rPr>
                <w:color w:val="000000"/>
              </w:rPr>
              <w:t>防渗</w:t>
            </w:r>
            <w:r>
              <w:rPr>
                <w:color w:val="000000"/>
                <w:szCs w:val="21"/>
              </w:rPr>
              <w:t>处理措施，合理控制施肥频次和施肥量，尽量避开雨天施肥</w:t>
            </w:r>
          </w:p>
        </w:tc>
        <w:tc>
          <w:tcPr>
            <w:tcW w:w="1269" w:type="pct"/>
            <w:vMerge w:val="restart"/>
            <w:noWrap w:val="0"/>
            <w:tcMar>
              <w:left w:w="0" w:type="dxa"/>
              <w:right w:w="0" w:type="dxa"/>
            </w:tcMar>
            <w:vAlign w:val="center"/>
          </w:tcPr>
          <w:p>
            <w:pPr>
              <w:topLinePunct/>
              <w:adjustRightInd w:val="0"/>
              <w:snapToGrid w:val="0"/>
              <w:spacing w:line="320" w:lineRule="atLeast"/>
              <w:jc w:val="center"/>
              <w:rPr>
                <w:color w:val="000000"/>
                <w:szCs w:val="21"/>
              </w:rPr>
            </w:pPr>
            <w:r>
              <w:rPr>
                <w:color w:val="000000"/>
                <w:szCs w:val="21"/>
              </w:rPr>
              <w:t>各反应池及储存池均符合《规模化畜禽养殖场沼气工程设计规范》（NY/T1222）和《混凝土结构设计规范》（GB50010）的要求，具备“防渗、防雨、防溢”的三防措施；畜禽粪便的贮存相关要求，应具备防渗、防风、防雨的“三防”措施，雨污分流</w:t>
            </w:r>
          </w:p>
          <w:p>
            <w:pPr>
              <w:topLinePunct/>
              <w:adjustRightInd w:val="0"/>
              <w:snapToGrid w:val="0"/>
              <w:spacing w:line="320" w:lineRule="atLeast"/>
              <w:jc w:val="center"/>
              <w:rPr>
                <w:color w:val="000000"/>
                <w:szCs w:val="21"/>
              </w:rPr>
            </w:pPr>
            <w:r>
              <w:rPr>
                <w:color w:val="000000"/>
                <w:szCs w:val="21"/>
              </w:rPr>
              <w:t>满足《畜禽养殖业污染防治技术规范》（HJ/T81-2001）要求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291" w:type="pct"/>
            <w:noWrap w:val="0"/>
            <w:tcMar>
              <w:left w:w="0" w:type="dxa"/>
              <w:right w:w="0" w:type="dxa"/>
            </w:tcMar>
            <w:vAlign w:val="center"/>
          </w:tcPr>
          <w:p>
            <w:pPr>
              <w:topLinePunct/>
              <w:spacing w:line="240" w:lineRule="atLeast"/>
              <w:jc w:val="center"/>
              <w:rPr>
                <w:color w:val="000000"/>
                <w:szCs w:val="21"/>
              </w:rPr>
            </w:pPr>
            <w:r>
              <w:rPr>
                <w:color w:val="000000"/>
                <w:szCs w:val="21"/>
              </w:rPr>
              <w:t>2</w:t>
            </w:r>
          </w:p>
        </w:tc>
        <w:tc>
          <w:tcPr>
            <w:tcW w:w="573" w:type="pct"/>
            <w:noWrap w:val="0"/>
            <w:tcMar>
              <w:left w:w="0" w:type="dxa"/>
              <w:right w:w="0" w:type="dxa"/>
            </w:tcMar>
            <w:vAlign w:val="center"/>
          </w:tcPr>
          <w:p>
            <w:pPr>
              <w:topLinePunct/>
              <w:spacing w:line="240" w:lineRule="atLeast"/>
              <w:jc w:val="center"/>
              <w:rPr>
                <w:color w:val="000000"/>
                <w:szCs w:val="21"/>
              </w:rPr>
            </w:pPr>
            <w:r>
              <w:rPr>
                <w:color w:val="000000"/>
                <w:szCs w:val="21"/>
              </w:rPr>
              <w:t>养殖区</w:t>
            </w:r>
          </w:p>
        </w:tc>
        <w:tc>
          <w:tcPr>
            <w:tcW w:w="2867" w:type="pct"/>
            <w:noWrap w:val="0"/>
            <w:tcMar>
              <w:left w:w="0" w:type="dxa"/>
              <w:right w:w="0" w:type="dxa"/>
            </w:tcMar>
            <w:vAlign w:val="center"/>
          </w:tcPr>
          <w:p>
            <w:pPr>
              <w:topLinePunct/>
              <w:spacing w:line="240" w:lineRule="atLeast"/>
              <w:jc w:val="center"/>
              <w:rPr>
                <w:color w:val="000000"/>
                <w:szCs w:val="21"/>
              </w:rPr>
            </w:pPr>
            <w:r>
              <w:rPr>
                <w:color w:val="000000"/>
              </w:rPr>
              <w:t>养殖区猪舍底部采用</w:t>
            </w:r>
            <w:r>
              <w:rPr>
                <w:color w:val="000000"/>
                <w:szCs w:val="21"/>
              </w:rPr>
              <w:t>混凝土</w:t>
            </w:r>
            <w:r>
              <w:rPr>
                <w:color w:val="000000"/>
              </w:rPr>
              <w:t>防渗</w:t>
            </w:r>
          </w:p>
        </w:tc>
        <w:tc>
          <w:tcPr>
            <w:tcW w:w="1269" w:type="pct"/>
            <w:vMerge w:val="continue"/>
            <w:noWrap w:val="0"/>
            <w:tcMar>
              <w:left w:w="0" w:type="dxa"/>
              <w:right w:w="0" w:type="dxa"/>
            </w:tcMar>
            <w:vAlign w:val="center"/>
          </w:tcPr>
          <w:p>
            <w:pPr>
              <w:topLinePunct/>
              <w:adjustRightInd w:val="0"/>
              <w:snapToGrid w:val="0"/>
              <w:spacing w:line="320" w:lineRule="atLeast"/>
              <w:jc w:val="center"/>
              <w:rPr>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291" w:type="pct"/>
            <w:noWrap w:val="0"/>
            <w:tcMar>
              <w:left w:w="0" w:type="dxa"/>
              <w:right w:w="0" w:type="dxa"/>
            </w:tcMar>
            <w:vAlign w:val="center"/>
          </w:tcPr>
          <w:p>
            <w:pPr>
              <w:topLinePunct/>
              <w:adjustRightInd w:val="0"/>
              <w:snapToGrid w:val="0"/>
              <w:spacing w:line="320" w:lineRule="atLeast"/>
              <w:jc w:val="center"/>
              <w:rPr>
                <w:color w:val="000000"/>
                <w:szCs w:val="21"/>
              </w:rPr>
            </w:pPr>
            <w:r>
              <w:rPr>
                <w:color w:val="000000"/>
                <w:szCs w:val="21"/>
              </w:rPr>
              <w:t>3</w:t>
            </w:r>
          </w:p>
        </w:tc>
        <w:tc>
          <w:tcPr>
            <w:tcW w:w="573" w:type="pct"/>
            <w:noWrap w:val="0"/>
            <w:tcMar>
              <w:left w:w="0" w:type="dxa"/>
              <w:right w:w="0" w:type="dxa"/>
            </w:tcMar>
            <w:vAlign w:val="center"/>
          </w:tcPr>
          <w:p>
            <w:pPr>
              <w:topLinePunct/>
              <w:adjustRightInd w:val="0"/>
              <w:snapToGrid w:val="0"/>
              <w:spacing w:line="320" w:lineRule="atLeast"/>
              <w:jc w:val="center"/>
              <w:rPr>
                <w:color w:val="000000"/>
                <w:szCs w:val="21"/>
              </w:rPr>
            </w:pPr>
            <w:r>
              <w:rPr>
                <w:color w:val="000000"/>
                <w:szCs w:val="21"/>
              </w:rPr>
              <w:t>污水处理系统</w:t>
            </w:r>
          </w:p>
        </w:tc>
        <w:tc>
          <w:tcPr>
            <w:tcW w:w="2867" w:type="pct"/>
            <w:noWrap w:val="0"/>
            <w:tcMar>
              <w:left w:w="0" w:type="dxa"/>
              <w:right w:w="0" w:type="dxa"/>
            </w:tcMar>
            <w:vAlign w:val="center"/>
          </w:tcPr>
          <w:p>
            <w:pPr>
              <w:topLinePunct/>
              <w:adjustRightInd w:val="0"/>
              <w:snapToGrid w:val="0"/>
              <w:spacing w:line="320" w:lineRule="atLeast"/>
              <w:jc w:val="center"/>
              <w:rPr>
                <w:color w:val="000000"/>
                <w:szCs w:val="21"/>
              </w:rPr>
            </w:pPr>
            <w:r>
              <w:rPr>
                <w:color w:val="000000"/>
                <w:szCs w:val="21"/>
              </w:rPr>
              <w:t>收集池采用混凝土防渗措施，评价要求严格做好防渗措施</w:t>
            </w:r>
          </w:p>
        </w:tc>
        <w:tc>
          <w:tcPr>
            <w:tcW w:w="1269" w:type="pct"/>
            <w:vMerge w:val="continue"/>
            <w:noWrap w:val="0"/>
            <w:tcMar>
              <w:left w:w="0" w:type="dxa"/>
              <w:right w:w="0" w:type="dxa"/>
            </w:tcMar>
            <w:vAlign w:val="center"/>
          </w:tcPr>
          <w:p>
            <w:pPr>
              <w:topLinePunct/>
              <w:adjustRightInd w:val="0"/>
              <w:snapToGrid w:val="0"/>
              <w:spacing w:line="320" w:lineRule="atLeast"/>
              <w:jc w:val="center"/>
              <w:rPr>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48" w:hRule="atLeast"/>
          <w:jc w:val="center"/>
        </w:trPr>
        <w:tc>
          <w:tcPr>
            <w:tcW w:w="291" w:type="pct"/>
            <w:noWrap w:val="0"/>
            <w:tcMar>
              <w:left w:w="0" w:type="dxa"/>
              <w:right w:w="0" w:type="dxa"/>
            </w:tcMar>
            <w:vAlign w:val="center"/>
          </w:tcPr>
          <w:p>
            <w:pPr>
              <w:topLinePunct/>
              <w:adjustRightInd w:val="0"/>
              <w:snapToGrid w:val="0"/>
              <w:spacing w:line="320" w:lineRule="atLeast"/>
              <w:jc w:val="center"/>
              <w:rPr>
                <w:color w:val="000000"/>
                <w:szCs w:val="21"/>
              </w:rPr>
            </w:pPr>
            <w:r>
              <w:rPr>
                <w:color w:val="000000"/>
                <w:szCs w:val="21"/>
              </w:rPr>
              <w:t>4</w:t>
            </w:r>
          </w:p>
        </w:tc>
        <w:tc>
          <w:tcPr>
            <w:tcW w:w="573" w:type="pct"/>
            <w:noWrap w:val="0"/>
            <w:tcMar>
              <w:left w:w="0" w:type="dxa"/>
              <w:right w:w="0" w:type="dxa"/>
            </w:tcMar>
            <w:vAlign w:val="center"/>
          </w:tcPr>
          <w:p>
            <w:pPr>
              <w:topLinePunct/>
              <w:adjustRightInd w:val="0"/>
              <w:snapToGrid w:val="0"/>
              <w:spacing w:line="320" w:lineRule="atLeast"/>
              <w:jc w:val="center"/>
              <w:rPr>
                <w:color w:val="000000"/>
                <w:szCs w:val="21"/>
              </w:rPr>
            </w:pPr>
            <w:r>
              <w:rPr>
                <w:color w:val="000000"/>
                <w:szCs w:val="21"/>
              </w:rPr>
              <w:t>固粪处置区</w:t>
            </w:r>
          </w:p>
        </w:tc>
        <w:tc>
          <w:tcPr>
            <w:tcW w:w="2867" w:type="pct"/>
            <w:noWrap w:val="0"/>
            <w:tcMar>
              <w:left w:w="0" w:type="dxa"/>
              <w:right w:w="0" w:type="dxa"/>
            </w:tcMar>
            <w:vAlign w:val="center"/>
          </w:tcPr>
          <w:p>
            <w:pPr>
              <w:topLinePunct/>
              <w:adjustRightInd w:val="0"/>
              <w:snapToGrid w:val="0"/>
              <w:spacing w:line="320" w:lineRule="atLeast"/>
              <w:jc w:val="center"/>
              <w:rPr>
                <w:color w:val="000000"/>
                <w:szCs w:val="21"/>
              </w:rPr>
            </w:pPr>
            <w:r>
              <w:rPr>
                <w:color w:val="000000"/>
                <w:szCs w:val="21"/>
              </w:rPr>
              <w:t>地面进行混凝土防渗，加盖顶棚，</w:t>
            </w:r>
            <w:r>
              <w:rPr>
                <w:rFonts w:hint="eastAsia"/>
                <w:color w:val="000000"/>
                <w:szCs w:val="21"/>
              </w:rPr>
              <w:t>四</w:t>
            </w:r>
            <w:r>
              <w:rPr>
                <w:color w:val="000000"/>
                <w:szCs w:val="21"/>
              </w:rPr>
              <w:t>周设置围挡，防止雨水进入造成下溢流污染</w:t>
            </w:r>
          </w:p>
        </w:tc>
        <w:tc>
          <w:tcPr>
            <w:tcW w:w="1269" w:type="pct"/>
            <w:vMerge w:val="continue"/>
            <w:noWrap w:val="0"/>
            <w:tcMar>
              <w:left w:w="0" w:type="dxa"/>
              <w:right w:w="0" w:type="dxa"/>
            </w:tcMar>
            <w:vAlign w:val="center"/>
          </w:tcPr>
          <w:p>
            <w:pPr>
              <w:topLinePunct/>
              <w:adjustRightInd w:val="0"/>
              <w:snapToGrid w:val="0"/>
              <w:spacing w:line="320" w:lineRule="atLeast"/>
              <w:jc w:val="center"/>
              <w:rPr>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4" w:hRule="atLeast"/>
          <w:jc w:val="center"/>
        </w:trPr>
        <w:tc>
          <w:tcPr>
            <w:tcW w:w="291" w:type="pct"/>
            <w:noWrap w:val="0"/>
            <w:tcMar>
              <w:left w:w="0" w:type="dxa"/>
              <w:right w:w="0" w:type="dxa"/>
            </w:tcMar>
            <w:vAlign w:val="center"/>
          </w:tcPr>
          <w:p>
            <w:pPr>
              <w:topLinePunct/>
              <w:adjustRightInd w:val="0"/>
              <w:snapToGrid w:val="0"/>
              <w:spacing w:line="320" w:lineRule="atLeast"/>
              <w:jc w:val="center"/>
              <w:rPr>
                <w:color w:val="000000"/>
                <w:szCs w:val="21"/>
              </w:rPr>
            </w:pPr>
            <w:r>
              <w:rPr>
                <w:color w:val="000000"/>
                <w:szCs w:val="21"/>
              </w:rPr>
              <w:t>5</w:t>
            </w:r>
          </w:p>
        </w:tc>
        <w:tc>
          <w:tcPr>
            <w:tcW w:w="573" w:type="pct"/>
            <w:noWrap w:val="0"/>
            <w:tcMar>
              <w:left w:w="0" w:type="dxa"/>
              <w:right w:w="0" w:type="dxa"/>
            </w:tcMar>
            <w:vAlign w:val="center"/>
          </w:tcPr>
          <w:p>
            <w:pPr>
              <w:topLinePunct/>
              <w:adjustRightInd w:val="0"/>
              <w:snapToGrid w:val="0"/>
              <w:spacing w:line="320" w:lineRule="atLeast"/>
              <w:jc w:val="center"/>
              <w:rPr>
                <w:color w:val="000000"/>
                <w:szCs w:val="21"/>
              </w:rPr>
            </w:pPr>
            <w:r>
              <w:rPr>
                <w:color w:val="000000"/>
                <w:szCs w:val="21"/>
              </w:rPr>
              <w:t>排污沟</w:t>
            </w:r>
          </w:p>
        </w:tc>
        <w:tc>
          <w:tcPr>
            <w:tcW w:w="2867" w:type="pct"/>
            <w:noWrap w:val="0"/>
            <w:tcMar>
              <w:left w:w="0" w:type="dxa"/>
              <w:right w:w="0" w:type="dxa"/>
            </w:tcMar>
            <w:vAlign w:val="center"/>
          </w:tcPr>
          <w:p>
            <w:pPr>
              <w:topLinePunct/>
              <w:adjustRightInd w:val="0"/>
              <w:snapToGrid w:val="0"/>
              <w:spacing w:line="320" w:lineRule="atLeast"/>
              <w:jc w:val="center"/>
              <w:rPr>
                <w:color w:val="000000"/>
                <w:szCs w:val="21"/>
              </w:rPr>
            </w:pPr>
            <w:r>
              <w:rPr>
                <w:color w:val="000000"/>
                <w:szCs w:val="21"/>
              </w:rPr>
              <w:t>采取暗沟形式，具备防止淤集以利于定期清理的条件，排污沟应采取硬化措施</w:t>
            </w:r>
          </w:p>
        </w:tc>
        <w:tc>
          <w:tcPr>
            <w:tcW w:w="1269" w:type="pct"/>
            <w:vMerge w:val="continue"/>
            <w:noWrap w:val="0"/>
            <w:tcMar>
              <w:left w:w="0" w:type="dxa"/>
              <w:right w:w="0" w:type="dxa"/>
            </w:tcMar>
            <w:vAlign w:val="center"/>
          </w:tcPr>
          <w:p>
            <w:pPr>
              <w:topLinePunct/>
              <w:adjustRightInd w:val="0"/>
              <w:snapToGrid w:val="0"/>
              <w:spacing w:line="320" w:lineRule="atLeast"/>
              <w:jc w:val="center"/>
              <w:rPr>
                <w:color w:val="000000"/>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1" w:type="pct"/>
            <w:noWrap w:val="0"/>
            <w:tcMar>
              <w:left w:w="0" w:type="dxa"/>
              <w:right w:w="0" w:type="dxa"/>
            </w:tcMar>
            <w:vAlign w:val="center"/>
          </w:tcPr>
          <w:p>
            <w:pPr>
              <w:topLinePunct/>
              <w:adjustRightInd w:val="0"/>
              <w:snapToGrid w:val="0"/>
              <w:spacing w:line="320" w:lineRule="atLeast"/>
              <w:jc w:val="center"/>
              <w:rPr>
                <w:color w:val="000000"/>
                <w:szCs w:val="21"/>
              </w:rPr>
            </w:pPr>
            <w:r>
              <w:rPr>
                <w:color w:val="000000"/>
                <w:szCs w:val="21"/>
              </w:rPr>
              <w:t>6</w:t>
            </w:r>
          </w:p>
        </w:tc>
        <w:tc>
          <w:tcPr>
            <w:tcW w:w="573" w:type="pct"/>
            <w:noWrap w:val="0"/>
            <w:tcMar>
              <w:left w:w="0" w:type="dxa"/>
              <w:right w:w="0" w:type="dxa"/>
            </w:tcMar>
            <w:vAlign w:val="center"/>
          </w:tcPr>
          <w:p>
            <w:pPr>
              <w:topLinePunct/>
              <w:adjustRightInd w:val="0"/>
              <w:snapToGrid w:val="0"/>
              <w:spacing w:line="320" w:lineRule="atLeast"/>
              <w:jc w:val="center"/>
              <w:rPr>
                <w:color w:val="000000"/>
                <w:szCs w:val="21"/>
              </w:rPr>
            </w:pPr>
            <w:r>
              <w:rPr>
                <w:color w:val="000000"/>
                <w:szCs w:val="21"/>
              </w:rPr>
              <w:t>场区雨、污管网</w:t>
            </w:r>
          </w:p>
        </w:tc>
        <w:tc>
          <w:tcPr>
            <w:tcW w:w="2867" w:type="pct"/>
            <w:noWrap w:val="0"/>
            <w:tcMar>
              <w:left w:w="0" w:type="dxa"/>
              <w:right w:w="0" w:type="dxa"/>
            </w:tcMar>
            <w:vAlign w:val="center"/>
          </w:tcPr>
          <w:p>
            <w:pPr>
              <w:topLinePunct/>
              <w:adjustRightInd w:val="0"/>
              <w:snapToGrid w:val="0"/>
              <w:spacing w:line="320" w:lineRule="atLeast"/>
              <w:jc w:val="center"/>
              <w:rPr>
                <w:color w:val="000000"/>
                <w:szCs w:val="21"/>
              </w:rPr>
            </w:pPr>
            <w:r>
              <w:rPr>
                <w:color w:val="000000"/>
                <w:szCs w:val="21"/>
              </w:rPr>
              <w:t>雨污分流、按照畜禽养殖业污染防治技术规范要求进行建设</w:t>
            </w:r>
          </w:p>
        </w:tc>
        <w:tc>
          <w:tcPr>
            <w:tcW w:w="1269" w:type="pct"/>
            <w:vMerge w:val="continue"/>
            <w:noWrap w:val="0"/>
            <w:tcMar>
              <w:left w:w="0" w:type="dxa"/>
              <w:right w:w="0" w:type="dxa"/>
            </w:tcMar>
            <w:vAlign w:val="center"/>
          </w:tcPr>
          <w:p>
            <w:pPr>
              <w:topLinePunct/>
              <w:adjustRightInd w:val="0"/>
              <w:snapToGrid w:val="0"/>
              <w:spacing w:line="320" w:lineRule="atLeast"/>
              <w:jc w:val="center"/>
              <w:rPr>
                <w:color w:val="000000"/>
                <w:szCs w:val="21"/>
              </w:rPr>
            </w:pPr>
          </w:p>
        </w:tc>
      </w:tr>
    </w:tbl>
    <w:p>
      <w:pPr>
        <w:topLinePunct/>
        <w:spacing w:line="500" w:lineRule="exact"/>
        <w:ind w:firstLine="480" w:firstLineChars="200"/>
        <w:rPr>
          <w:color w:val="000000"/>
          <w:sz w:val="24"/>
        </w:rPr>
      </w:pPr>
      <w:r>
        <w:rPr>
          <w:color w:val="000000"/>
          <w:sz w:val="24"/>
        </w:rPr>
        <w:t>（2）分区防渗措施</w:t>
      </w:r>
    </w:p>
    <w:p>
      <w:pPr>
        <w:topLinePunct/>
        <w:adjustRightInd w:val="0"/>
        <w:spacing w:line="520" w:lineRule="exact"/>
        <w:ind w:firstLine="480" w:firstLineChars="200"/>
        <w:rPr>
          <w:color w:val="000000"/>
          <w:sz w:val="24"/>
        </w:rPr>
      </w:pPr>
      <w:r>
        <w:rPr>
          <w:color w:val="000000"/>
          <w:sz w:val="24"/>
        </w:rPr>
        <w:t>项目防渗工程污染防治分区情况如下表。</w:t>
      </w:r>
    </w:p>
    <w:p>
      <w:pPr>
        <w:spacing w:after="93" w:afterLines="30" w:line="500" w:lineRule="exact"/>
        <w:jc w:val="center"/>
        <w:rPr>
          <w:b/>
          <w:kern w:val="0"/>
          <w:sz w:val="24"/>
          <w:lang w:bidi="ar"/>
        </w:rPr>
      </w:pPr>
      <w:r>
        <w:rPr>
          <w:b/>
          <w:kern w:val="0"/>
          <w:sz w:val="24"/>
          <w:lang w:bidi="ar"/>
        </w:rPr>
        <w:t>表</w:t>
      </w:r>
      <w:r>
        <w:rPr>
          <w:rFonts w:hint="eastAsia"/>
          <w:b/>
          <w:kern w:val="0"/>
          <w:sz w:val="24"/>
          <w:lang w:bidi="ar"/>
        </w:rPr>
        <w:t>5.2-9</w:t>
      </w:r>
      <w:r>
        <w:rPr>
          <w:b/>
          <w:kern w:val="0"/>
          <w:sz w:val="24"/>
          <w:lang w:bidi="ar"/>
        </w:rPr>
        <w:t xml:space="preserve">  项目防渗工程污染防治分区</w:t>
      </w:r>
    </w:p>
    <w:tbl>
      <w:tblPr>
        <w:tblStyle w:val="1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98"/>
        <w:gridCol w:w="1797"/>
        <w:gridCol w:w="2443"/>
        <w:gridCol w:w="1868"/>
        <w:gridCol w:w="194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noWrap w:val="0"/>
            <w:vAlign w:val="center"/>
          </w:tcPr>
          <w:p>
            <w:pPr>
              <w:topLinePunct/>
              <w:spacing w:line="240" w:lineRule="exact"/>
              <w:jc w:val="center"/>
              <w:rPr>
                <w:b/>
                <w:color w:val="000000"/>
                <w:szCs w:val="21"/>
              </w:rPr>
            </w:pPr>
            <w:r>
              <w:rPr>
                <w:b/>
                <w:color w:val="000000"/>
                <w:szCs w:val="21"/>
              </w:rPr>
              <w:t>序号</w:t>
            </w:r>
          </w:p>
        </w:tc>
        <w:tc>
          <w:tcPr>
            <w:tcW w:w="1004" w:type="pct"/>
            <w:noWrap w:val="0"/>
            <w:vAlign w:val="center"/>
          </w:tcPr>
          <w:p>
            <w:pPr>
              <w:topLinePunct/>
              <w:spacing w:line="240" w:lineRule="exact"/>
              <w:jc w:val="center"/>
              <w:rPr>
                <w:b/>
                <w:color w:val="000000"/>
                <w:szCs w:val="21"/>
              </w:rPr>
            </w:pPr>
            <w:r>
              <w:rPr>
                <w:b/>
                <w:color w:val="000000"/>
                <w:szCs w:val="21"/>
              </w:rPr>
              <w:t>名称</w:t>
            </w:r>
          </w:p>
        </w:tc>
        <w:tc>
          <w:tcPr>
            <w:tcW w:w="1365" w:type="pct"/>
            <w:noWrap w:val="0"/>
            <w:vAlign w:val="center"/>
          </w:tcPr>
          <w:p>
            <w:pPr>
              <w:topLinePunct/>
              <w:spacing w:line="240" w:lineRule="exact"/>
              <w:jc w:val="center"/>
              <w:rPr>
                <w:b/>
                <w:color w:val="000000"/>
                <w:szCs w:val="21"/>
              </w:rPr>
            </w:pPr>
            <w:r>
              <w:rPr>
                <w:b/>
                <w:color w:val="000000"/>
                <w:szCs w:val="21"/>
              </w:rPr>
              <w:t>防渗区域及部位</w:t>
            </w:r>
          </w:p>
        </w:tc>
        <w:tc>
          <w:tcPr>
            <w:tcW w:w="1044" w:type="pct"/>
            <w:noWrap w:val="0"/>
            <w:vAlign w:val="center"/>
          </w:tcPr>
          <w:p>
            <w:pPr>
              <w:topLinePunct/>
              <w:spacing w:line="240" w:lineRule="exact"/>
              <w:jc w:val="center"/>
              <w:rPr>
                <w:b/>
                <w:color w:val="000000"/>
                <w:szCs w:val="21"/>
              </w:rPr>
            </w:pPr>
            <w:r>
              <w:rPr>
                <w:b/>
                <w:color w:val="000000"/>
                <w:szCs w:val="21"/>
              </w:rPr>
              <w:t>防渗分区等级</w:t>
            </w:r>
          </w:p>
        </w:tc>
        <w:tc>
          <w:tcPr>
            <w:tcW w:w="1084" w:type="pct"/>
            <w:noWrap w:val="0"/>
            <w:vAlign w:val="center"/>
          </w:tcPr>
          <w:p>
            <w:pPr>
              <w:topLinePunct/>
              <w:spacing w:line="240" w:lineRule="exact"/>
              <w:jc w:val="center"/>
              <w:rPr>
                <w:b/>
                <w:color w:val="000000"/>
                <w:szCs w:val="21"/>
              </w:rPr>
            </w:pPr>
            <w:r>
              <w:rPr>
                <w:b/>
                <w:color w:val="000000"/>
                <w:szCs w:val="21"/>
              </w:rPr>
              <w:t>图中颜色区域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noWrap w:val="0"/>
            <w:vAlign w:val="center"/>
          </w:tcPr>
          <w:p>
            <w:pPr>
              <w:topLinePunct/>
              <w:spacing w:line="240" w:lineRule="exact"/>
              <w:jc w:val="center"/>
              <w:rPr>
                <w:color w:val="000000"/>
                <w:szCs w:val="21"/>
              </w:rPr>
            </w:pPr>
            <w:r>
              <w:rPr>
                <w:color w:val="000000"/>
                <w:szCs w:val="21"/>
              </w:rPr>
              <w:t>1</w:t>
            </w:r>
          </w:p>
        </w:tc>
        <w:tc>
          <w:tcPr>
            <w:tcW w:w="1004" w:type="pct"/>
            <w:noWrap w:val="0"/>
            <w:vAlign w:val="center"/>
          </w:tcPr>
          <w:p>
            <w:pPr>
              <w:topLinePunct/>
              <w:spacing w:line="240" w:lineRule="exact"/>
              <w:jc w:val="center"/>
              <w:rPr>
                <w:color w:val="000000"/>
                <w:szCs w:val="21"/>
              </w:rPr>
            </w:pPr>
            <w:r>
              <w:rPr>
                <w:color w:val="000000"/>
                <w:szCs w:val="21"/>
              </w:rPr>
              <w:t>养殖区</w:t>
            </w:r>
          </w:p>
        </w:tc>
        <w:tc>
          <w:tcPr>
            <w:tcW w:w="1365" w:type="pct"/>
            <w:noWrap w:val="0"/>
            <w:vAlign w:val="center"/>
          </w:tcPr>
          <w:p>
            <w:pPr>
              <w:topLinePunct/>
              <w:spacing w:line="240" w:lineRule="exact"/>
              <w:jc w:val="center"/>
              <w:rPr>
                <w:color w:val="000000"/>
                <w:szCs w:val="21"/>
              </w:rPr>
            </w:pPr>
            <w:r>
              <w:rPr>
                <w:color w:val="000000"/>
                <w:szCs w:val="21"/>
              </w:rPr>
              <w:t>粪沟、尿道</w:t>
            </w:r>
          </w:p>
        </w:tc>
        <w:tc>
          <w:tcPr>
            <w:tcW w:w="1044" w:type="pct"/>
            <w:noWrap w:val="0"/>
            <w:vAlign w:val="center"/>
          </w:tcPr>
          <w:p>
            <w:pPr>
              <w:topLinePunct/>
              <w:spacing w:line="240" w:lineRule="exact"/>
              <w:jc w:val="center"/>
              <w:rPr>
                <w:color w:val="000000"/>
                <w:szCs w:val="21"/>
              </w:rPr>
            </w:pPr>
            <w:r>
              <w:rPr>
                <w:color w:val="000000"/>
                <w:szCs w:val="21"/>
              </w:rPr>
              <w:t>重点</w:t>
            </w:r>
          </w:p>
        </w:tc>
        <w:tc>
          <w:tcPr>
            <w:tcW w:w="1084" w:type="pct"/>
            <w:noWrap w:val="0"/>
            <w:vAlign w:val="top"/>
          </w:tcPr>
          <w:p>
            <w:pPr>
              <w:topLinePunct/>
              <w:spacing w:line="240" w:lineRule="exact"/>
              <w:jc w:val="center"/>
              <w:rPr>
                <w:color w:val="000000"/>
                <w:szCs w:val="21"/>
              </w:rPr>
            </w:pPr>
            <w:r>
              <w:rPr>
                <w:color w:val="000000"/>
                <w:szCs w:val="21"/>
              </w:rPr>
              <mc:AlternateContent>
                <mc:Choice Requires="wps">
                  <w:drawing>
                    <wp:anchor distT="0" distB="0" distL="114300" distR="114300" simplePos="0" relativeHeight="251751424" behindDoc="0" locked="0" layoutInCell="1" allowOverlap="1">
                      <wp:simplePos x="0" y="0"/>
                      <wp:positionH relativeFrom="column">
                        <wp:posOffset>412750</wp:posOffset>
                      </wp:positionH>
                      <wp:positionV relativeFrom="paragraph">
                        <wp:posOffset>66040</wp:posOffset>
                      </wp:positionV>
                      <wp:extent cx="266700" cy="104775"/>
                      <wp:effectExtent l="9525" t="9525" r="9525" b="19050"/>
                      <wp:wrapNone/>
                      <wp:docPr id="462" name="矩形 1496"/>
                      <wp:cNvGraphicFramePr/>
                      <a:graphic xmlns:a="http://schemas.openxmlformats.org/drawingml/2006/main">
                        <a:graphicData uri="http://schemas.microsoft.com/office/word/2010/wordprocessingShape">
                          <wps:wsp>
                            <wps:cNvSpPr/>
                            <wps:spPr>
                              <a:xfrm>
                                <a:off x="0" y="0"/>
                                <a:ext cx="266700" cy="104775"/>
                              </a:xfrm>
                              <a:prstGeom prst="rect">
                                <a:avLst/>
                              </a:prstGeom>
                              <a:noFill/>
                              <a:ln w="19050" cap="flat" cmpd="sng">
                                <a:solidFill>
                                  <a:srgbClr val="FF0000"/>
                                </a:solidFill>
                                <a:prstDash val="solid"/>
                                <a:miter/>
                                <a:headEnd type="none" w="med" len="med"/>
                                <a:tailEnd type="none" w="med" len="med"/>
                              </a:ln>
                              <a:effectLst/>
                            </wps:spPr>
                            <wps:bodyPr upright="1"/>
                          </wps:wsp>
                        </a:graphicData>
                      </a:graphic>
                    </wp:anchor>
                  </w:drawing>
                </mc:Choice>
                <mc:Fallback>
                  <w:pict>
                    <v:rect id="矩形 1496" o:spid="_x0000_s1026" o:spt="1" style="position:absolute;left:0pt;margin-left:32.5pt;margin-top:5.2pt;height:8.25pt;width:21pt;z-index:251751424;mso-width-relative:page;mso-height-relative:page;" filled="f" stroked="t" coordsize="21600,21600" o:gfxdata="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MLtDftYAAAAIAQAADwAAAAAAAAABACAAAAAiAAAAZHJzL2Rvd25y&#10;ZXYueG1sUEsBAhQAFAAAAAgAh07iQJsZpHIAAgAACAQAAA4AAAAAAAAAAQAgAAAAJQEAAGRycy9l&#10;Mm9Eb2MueG1sUEsFBgAAAAAGAAYAWQEAAJcFAAAAAA==&#10;">
                      <v:fill on="f" focussize="0,0"/>
                      <v:stroke weight="1.5pt" color="#FF0000" joinstyle="miter"/>
                      <v:imagedata o:title=""/>
                      <o:lock v:ext="edit" aspectratio="f"/>
                    </v:rect>
                  </w:pict>
                </mc:Fallback>
              </mc:AlternateConten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noWrap w:val="0"/>
            <w:vAlign w:val="center"/>
          </w:tcPr>
          <w:p>
            <w:pPr>
              <w:topLinePunct/>
              <w:spacing w:line="240" w:lineRule="exact"/>
              <w:jc w:val="center"/>
              <w:rPr>
                <w:color w:val="000000"/>
                <w:szCs w:val="21"/>
              </w:rPr>
            </w:pPr>
            <w:r>
              <w:rPr>
                <w:color w:val="000000"/>
                <w:szCs w:val="21"/>
              </w:rPr>
              <w:t>2</w:t>
            </w:r>
          </w:p>
        </w:tc>
        <w:tc>
          <w:tcPr>
            <w:tcW w:w="1004" w:type="pct"/>
            <w:noWrap w:val="0"/>
            <w:vAlign w:val="center"/>
          </w:tcPr>
          <w:p>
            <w:pPr>
              <w:topLinePunct/>
              <w:spacing w:line="240" w:lineRule="exact"/>
              <w:jc w:val="center"/>
              <w:rPr>
                <w:color w:val="000000"/>
                <w:szCs w:val="21"/>
              </w:rPr>
            </w:pPr>
            <w:r>
              <w:rPr>
                <w:color w:val="000000"/>
                <w:szCs w:val="21"/>
              </w:rPr>
              <w:t>固粪处置区</w:t>
            </w:r>
          </w:p>
        </w:tc>
        <w:tc>
          <w:tcPr>
            <w:tcW w:w="1365" w:type="pct"/>
            <w:noWrap w:val="0"/>
            <w:vAlign w:val="center"/>
          </w:tcPr>
          <w:p>
            <w:pPr>
              <w:topLinePunct/>
              <w:spacing w:line="240" w:lineRule="exact"/>
              <w:jc w:val="center"/>
              <w:rPr>
                <w:color w:val="000000"/>
                <w:szCs w:val="21"/>
              </w:rPr>
            </w:pPr>
            <w:r>
              <w:rPr>
                <w:color w:val="000000"/>
                <w:szCs w:val="21"/>
              </w:rPr>
              <w:t>固粪处置区地面</w:t>
            </w:r>
          </w:p>
        </w:tc>
        <w:tc>
          <w:tcPr>
            <w:tcW w:w="1044" w:type="pct"/>
            <w:noWrap w:val="0"/>
            <w:vAlign w:val="center"/>
          </w:tcPr>
          <w:p>
            <w:pPr>
              <w:topLinePunct/>
              <w:spacing w:line="240" w:lineRule="exact"/>
              <w:jc w:val="center"/>
              <w:rPr>
                <w:color w:val="000000"/>
                <w:szCs w:val="21"/>
              </w:rPr>
            </w:pPr>
            <w:r>
              <w:rPr>
                <w:color w:val="000000"/>
                <w:szCs w:val="21"/>
              </w:rPr>
              <w:t>重点</w:t>
            </w:r>
          </w:p>
        </w:tc>
        <w:tc>
          <w:tcPr>
            <w:tcW w:w="1084" w:type="pct"/>
            <w:noWrap w:val="0"/>
            <w:vAlign w:val="top"/>
          </w:tcPr>
          <w:p>
            <w:pPr>
              <w:topLinePunct/>
              <w:spacing w:line="240" w:lineRule="exact"/>
              <w:jc w:val="center"/>
              <w:rPr>
                <w:color w:val="000000"/>
                <w:szCs w:val="21"/>
              </w:rPr>
            </w:pPr>
            <w:r>
              <w:rPr>
                <w:color w:val="000000"/>
                <w:szCs w:val="21"/>
              </w:rPr>
              <mc:AlternateContent>
                <mc:Choice Requires="wps">
                  <w:drawing>
                    <wp:anchor distT="0" distB="0" distL="114300" distR="114300" simplePos="0" relativeHeight="251752448" behindDoc="0" locked="0" layoutInCell="1" allowOverlap="1">
                      <wp:simplePos x="0" y="0"/>
                      <wp:positionH relativeFrom="column">
                        <wp:posOffset>412750</wp:posOffset>
                      </wp:positionH>
                      <wp:positionV relativeFrom="paragraph">
                        <wp:posOffset>48895</wp:posOffset>
                      </wp:positionV>
                      <wp:extent cx="266700" cy="104775"/>
                      <wp:effectExtent l="9525" t="9525" r="9525" b="19050"/>
                      <wp:wrapNone/>
                      <wp:docPr id="463" name="矩形 1497"/>
                      <wp:cNvGraphicFramePr/>
                      <a:graphic xmlns:a="http://schemas.openxmlformats.org/drawingml/2006/main">
                        <a:graphicData uri="http://schemas.microsoft.com/office/word/2010/wordprocessingShape">
                          <wps:wsp>
                            <wps:cNvSpPr/>
                            <wps:spPr>
                              <a:xfrm>
                                <a:off x="0" y="0"/>
                                <a:ext cx="266700" cy="104775"/>
                              </a:xfrm>
                              <a:prstGeom prst="rect">
                                <a:avLst/>
                              </a:prstGeom>
                              <a:noFill/>
                              <a:ln w="19050" cap="flat" cmpd="sng">
                                <a:solidFill>
                                  <a:srgbClr val="FF0000"/>
                                </a:solidFill>
                                <a:prstDash val="solid"/>
                                <a:miter/>
                                <a:headEnd type="none" w="med" len="med"/>
                                <a:tailEnd type="none" w="med" len="med"/>
                              </a:ln>
                              <a:effectLst/>
                            </wps:spPr>
                            <wps:bodyPr upright="1"/>
                          </wps:wsp>
                        </a:graphicData>
                      </a:graphic>
                    </wp:anchor>
                  </w:drawing>
                </mc:Choice>
                <mc:Fallback>
                  <w:pict>
                    <v:rect id="矩形 1497" o:spid="_x0000_s1026" o:spt="1" style="position:absolute;left:0pt;margin-left:32.5pt;margin-top:3.85pt;height:8.25pt;width:21pt;z-index:251752448;mso-width-relative:page;mso-height-relative:page;" filled="f" stroked="t" coordsize="21600,21600" o:gfxdata="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rrK1K1QAAAAcBAAAPAAAAAAAAAAEAIAAAACIAAABkcnMvZG93bnJl&#10;di54bWxQSwECFAAUAAAACACHTuJA1HCASAACAAAIBAAADgAAAAAAAAABACAAAAAkAQAAZHJzL2Uy&#10;b0RvYy54bWxQSwUGAAAAAAYABgBZAQAAlgUAAAAA&#10;">
                      <v:fill on="f" focussize="0,0"/>
                      <v:stroke weight="1.5pt" color="#FF0000" joinstyle="miter"/>
                      <v:imagedata o:title=""/>
                      <o:lock v:ext="edit" aspectratio="f"/>
                    </v:rect>
                  </w:pict>
                </mc:Fallback>
              </mc:AlternateConten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noWrap w:val="0"/>
            <w:vAlign w:val="center"/>
          </w:tcPr>
          <w:p>
            <w:pPr>
              <w:topLinePunct/>
              <w:spacing w:line="240" w:lineRule="exact"/>
              <w:jc w:val="center"/>
              <w:rPr>
                <w:color w:val="000000"/>
                <w:szCs w:val="21"/>
              </w:rPr>
            </w:pPr>
            <w:r>
              <w:rPr>
                <w:color w:val="000000"/>
                <w:szCs w:val="21"/>
              </w:rPr>
              <w:t>3</w:t>
            </w:r>
          </w:p>
        </w:tc>
        <w:tc>
          <w:tcPr>
            <w:tcW w:w="1004" w:type="pct"/>
            <w:noWrap w:val="0"/>
            <w:vAlign w:val="center"/>
          </w:tcPr>
          <w:p>
            <w:pPr>
              <w:topLinePunct/>
              <w:spacing w:line="240" w:lineRule="exact"/>
              <w:jc w:val="center"/>
              <w:rPr>
                <w:color w:val="000000"/>
                <w:szCs w:val="21"/>
              </w:rPr>
            </w:pPr>
            <w:r>
              <w:rPr>
                <w:color w:val="000000"/>
                <w:szCs w:val="21"/>
              </w:rPr>
              <w:t>污水处理区</w:t>
            </w:r>
          </w:p>
        </w:tc>
        <w:tc>
          <w:tcPr>
            <w:tcW w:w="1365" w:type="pct"/>
            <w:noWrap w:val="0"/>
            <w:vAlign w:val="center"/>
          </w:tcPr>
          <w:p>
            <w:pPr>
              <w:topLinePunct/>
              <w:spacing w:line="240" w:lineRule="exact"/>
              <w:jc w:val="center"/>
              <w:rPr>
                <w:color w:val="000000"/>
                <w:szCs w:val="21"/>
              </w:rPr>
            </w:pPr>
            <w:r>
              <w:rPr>
                <w:color w:val="000000"/>
                <w:szCs w:val="21"/>
              </w:rPr>
              <w:t>池底、池壁</w:t>
            </w:r>
          </w:p>
        </w:tc>
        <w:tc>
          <w:tcPr>
            <w:tcW w:w="1044" w:type="pct"/>
            <w:noWrap w:val="0"/>
            <w:vAlign w:val="center"/>
          </w:tcPr>
          <w:p>
            <w:pPr>
              <w:topLinePunct/>
              <w:spacing w:line="240" w:lineRule="exact"/>
              <w:jc w:val="center"/>
              <w:rPr>
                <w:color w:val="000000"/>
                <w:szCs w:val="21"/>
              </w:rPr>
            </w:pPr>
            <w:r>
              <w:rPr>
                <w:color w:val="000000"/>
                <w:szCs w:val="21"/>
              </w:rPr>
              <w:t>重点</w:t>
            </w:r>
          </w:p>
        </w:tc>
        <w:tc>
          <w:tcPr>
            <w:tcW w:w="1084" w:type="pct"/>
            <w:noWrap w:val="0"/>
            <w:vAlign w:val="top"/>
          </w:tcPr>
          <w:p>
            <w:pPr>
              <w:topLinePunct/>
              <w:spacing w:line="240" w:lineRule="exact"/>
              <w:jc w:val="center"/>
              <w:rPr>
                <w:color w:val="000000"/>
                <w:szCs w:val="21"/>
              </w:rPr>
            </w:pPr>
            <w:r>
              <w:rPr>
                <w:color w:val="000000"/>
                <w:szCs w:val="21"/>
              </w:rPr>
              <mc:AlternateContent>
                <mc:Choice Requires="wps">
                  <w:drawing>
                    <wp:anchor distT="0" distB="0" distL="114300" distR="114300" simplePos="0" relativeHeight="251753472" behindDoc="0" locked="0" layoutInCell="1" allowOverlap="1">
                      <wp:simplePos x="0" y="0"/>
                      <wp:positionH relativeFrom="column">
                        <wp:posOffset>422275</wp:posOffset>
                      </wp:positionH>
                      <wp:positionV relativeFrom="paragraph">
                        <wp:posOffset>39370</wp:posOffset>
                      </wp:positionV>
                      <wp:extent cx="266700" cy="104775"/>
                      <wp:effectExtent l="9525" t="9525" r="9525" b="19050"/>
                      <wp:wrapNone/>
                      <wp:docPr id="464" name="矩形 1498"/>
                      <wp:cNvGraphicFramePr/>
                      <a:graphic xmlns:a="http://schemas.openxmlformats.org/drawingml/2006/main">
                        <a:graphicData uri="http://schemas.microsoft.com/office/word/2010/wordprocessingShape">
                          <wps:wsp>
                            <wps:cNvSpPr/>
                            <wps:spPr>
                              <a:xfrm>
                                <a:off x="0" y="0"/>
                                <a:ext cx="266700" cy="104775"/>
                              </a:xfrm>
                              <a:prstGeom prst="rect">
                                <a:avLst/>
                              </a:prstGeom>
                              <a:noFill/>
                              <a:ln w="19050" cap="flat" cmpd="sng">
                                <a:solidFill>
                                  <a:srgbClr val="FF0000"/>
                                </a:solidFill>
                                <a:prstDash val="solid"/>
                                <a:miter/>
                                <a:headEnd type="none" w="med" len="med"/>
                                <a:tailEnd type="none" w="med" len="med"/>
                              </a:ln>
                              <a:effectLst/>
                            </wps:spPr>
                            <wps:bodyPr upright="1"/>
                          </wps:wsp>
                        </a:graphicData>
                      </a:graphic>
                    </wp:anchor>
                  </w:drawing>
                </mc:Choice>
                <mc:Fallback>
                  <w:pict>
                    <v:rect id="矩形 1498" o:spid="_x0000_s1026" o:spt="1" style="position:absolute;left:0pt;margin-left:33.25pt;margin-top:3.1pt;height:8.25pt;width:21pt;z-index:251753472;mso-width-relative:page;mso-height-relative:page;" filled="f" stroked="t" coordsize="21600,21600" o:gfxdata="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WL+ol1AAAAAcBAAAPAAAAAAAAAAEAIAAAACIAAABkcnMvZG93bnJl&#10;di54bWxQSwECFAAUAAAACACHTuJAi/TQQAECAAAIBAAADgAAAAAAAAABACAAAAAjAQAAZHJzL2Uy&#10;b0RvYy54bWxQSwUGAAAAAAYABgBZAQAAlgUAAAAA&#10;">
                      <v:fill on="f" focussize="0,0"/>
                      <v:stroke weight="1.5pt" color="#FF0000" joinstyle="miter"/>
                      <v:imagedata o:title=""/>
                      <o:lock v:ext="edit" aspectratio="f"/>
                    </v:rect>
                  </w:pict>
                </mc:Fallback>
              </mc:AlternateConten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noWrap w:val="0"/>
            <w:vAlign w:val="center"/>
          </w:tcPr>
          <w:p>
            <w:pPr>
              <w:topLinePunct/>
              <w:spacing w:line="240" w:lineRule="exact"/>
              <w:jc w:val="center"/>
              <w:rPr>
                <w:color w:val="000000"/>
                <w:szCs w:val="21"/>
              </w:rPr>
            </w:pPr>
            <w:r>
              <w:rPr>
                <w:color w:val="000000"/>
                <w:szCs w:val="21"/>
              </w:rPr>
              <w:t>4</w:t>
            </w:r>
          </w:p>
        </w:tc>
        <w:tc>
          <w:tcPr>
            <w:tcW w:w="1004" w:type="pct"/>
            <w:noWrap w:val="0"/>
            <w:vAlign w:val="center"/>
          </w:tcPr>
          <w:p>
            <w:pPr>
              <w:topLinePunct/>
              <w:spacing w:line="240" w:lineRule="exact"/>
              <w:jc w:val="center"/>
              <w:rPr>
                <w:color w:val="000000"/>
                <w:szCs w:val="21"/>
              </w:rPr>
            </w:pPr>
            <w:r>
              <w:rPr>
                <w:color w:val="000000"/>
                <w:szCs w:val="21"/>
              </w:rPr>
              <w:t>沼液储存池</w:t>
            </w:r>
          </w:p>
        </w:tc>
        <w:tc>
          <w:tcPr>
            <w:tcW w:w="1365" w:type="pct"/>
            <w:noWrap w:val="0"/>
            <w:vAlign w:val="center"/>
          </w:tcPr>
          <w:p>
            <w:pPr>
              <w:topLinePunct/>
              <w:spacing w:line="240" w:lineRule="exact"/>
              <w:jc w:val="center"/>
              <w:rPr>
                <w:color w:val="000000"/>
                <w:szCs w:val="21"/>
              </w:rPr>
            </w:pPr>
            <w:r>
              <w:rPr>
                <w:color w:val="000000"/>
                <w:szCs w:val="21"/>
              </w:rPr>
              <w:t>池底、池壁</w:t>
            </w:r>
          </w:p>
        </w:tc>
        <w:tc>
          <w:tcPr>
            <w:tcW w:w="1044" w:type="pct"/>
            <w:noWrap w:val="0"/>
            <w:vAlign w:val="center"/>
          </w:tcPr>
          <w:p>
            <w:pPr>
              <w:topLinePunct/>
              <w:spacing w:line="240" w:lineRule="exact"/>
              <w:jc w:val="center"/>
              <w:rPr>
                <w:color w:val="000000"/>
                <w:szCs w:val="21"/>
              </w:rPr>
            </w:pPr>
            <w:r>
              <w:rPr>
                <w:color w:val="000000"/>
                <w:szCs w:val="21"/>
              </w:rPr>
              <w:t>重点</w:t>
            </w:r>
          </w:p>
        </w:tc>
        <w:tc>
          <w:tcPr>
            <w:tcW w:w="1084" w:type="pct"/>
            <w:noWrap w:val="0"/>
            <w:vAlign w:val="top"/>
          </w:tcPr>
          <w:p>
            <w:pPr>
              <w:topLinePunct/>
              <w:spacing w:line="240" w:lineRule="exact"/>
              <w:jc w:val="center"/>
              <w:rPr>
                <w:color w:val="000000"/>
                <w:szCs w:val="21"/>
              </w:rPr>
            </w:pPr>
            <w:r>
              <w:rPr>
                <w:color w:val="000000"/>
                <w:szCs w:val="21"/>
              </w:rPr>
              <mc:AlternateContent>
                <mc:Choice Requires="wps">
                  <w:drawing>
                    <wp:anchor distT="0" distB="0" distL="114300" distR="114300" simplePos="0" relativeHeight="251754496" behindDoc="0" locked="0" layoutInCell="1" allowOverlap="1">
                      <wp:simplePos x="0" y="0"/>
                      <wp:positionH relativeFrom="column">
                        <wp:posOffset>412750</wp:posOffset>
                      </wp:positionH>
                      <wp:positionV relativeFrom="paragraph">
                        <wp:posOffset>50800</wp:posOffset>
                      </wp:positionV>
                      <wp:extent cx="266700" cy="104775"/>
                      <wp:effectExtent l="9525" t="9525" r="9525" b="19050"/>
                      <wp:wrapNone/>
                      <wp:docPr id="465" name="矩形 1499"/>
                      <wp:cNvGraphicFramePr/>
                      <a:graphic xmlns:a="http://schemas.openxmlformats.org/drawingml/2006/main">
                        <a:graphicData uri="http://schemas.microsoft.com/office/word/2010/wordprocessingShape">
                          <wps:wsp>
                            <wps:cNvSpPr/>
                            <wps:spPr>
                              <a:xfrm>
                                <a:off x="0" y="0"/>
                                <a:ext cx="266700" cy="104775"/>
                              </a:xfrm>
                              <a:prstGeom prst="rect">
                                <a:avLst/>
                              </a:prstGeom>
                              <a:noFill/>
                              <a:ln w="19050" cap="flat" cmpd="sng">
                                <a:solidFill>
                                  <a:srgbClr val="FF0000"/>
                                </a:solidFill>
                                <a:prstDash val="solid"/>
                                <a:miter/>
                                <a:headEnd type="none" w="med" len="med"/>
                                <a:tailEnd type="none" w="med" len="med"/>
                              </a:ln>
                              <a:effectLst/>
                            </wps:spPr>
                            <wps:bodyPr upright="1"/>
                          </wps:wsp>
                        </a:graphicData>
                      </a:graphic>
                    </wp:anchor>
                  </w:drawing>
                </mc:Choice>
                <mc:Fallback>
                  <w:pict>
                    <v:rect id="矩形 1499" o:spid="_x0000_s1026" o:spt="1" style="position:absolute;left:0pt;margin-left:32.5pt;margin-top:4pt;height:8.25pt;width:21pt;z-index:251754496;mso-width-relative:page;mso-height-relative:page;" filled="f" stroked="t" coordsize="21600,21600" o:gfxdata="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owLe01gAAAAcBAAAPAAAAAAAAAAEAIAAAACIAAABkcnMvZG93bnJl&#10;di54bWxQSwECFAAUAAAACACHTuJAxJ30ev8BAAAIBAAADgAAAAAAAAABACAAAAAlAQAAZHJzL2Uy&#10;b0RvYy54bWxQSwUGAAAAAAYABgBZAQAAlgUAAAAA&#10;">
                      <v:fill on="f" focussize="0,0"/>
                      <v:stroke weight="1.5pt" color="#FF0000" joinstyle="miter"/>
                      <v:imagedata o:title=""/>
                      <o:lock v:ext="edit" aspectratio="f"/>
                    </v:rect>
                  </w:pict>
                </mc:Fallback>
              </mc:AlternateConten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2" w:type="pct"/>
            <w:noWrap w:val="0"/>
            <w:vAlign w:val="center"/>
          </w:tcPr>
          <w:p>
            <w:pPr>
              <w:topLinePunct/>
              <w:spacing w:line="240" w:lineRule="exact"/>
              <w:jc w:val="center"/>
              <w:rPr>
                <w:color w:val="000000"/>
                <w:szCs w:val="21"/>
              </w:rPr>
            </w:pPr>
            <w:r>
              <w:rPr>
                <w:color w:val="000000"/>
                <w:szCs w:val="21"/>
              </w:rPr>
              <w:t>5</w:t>
            </w:r>
          </w:p>
        </w:tc>
        <w:tc>
          <w:tcPr>
            <w:tcW w:w="1004" w:type="pct"/>
            <w:noWrap w:val="0"/>
            <w:vAlign w:val="center"/>
          </w:tcPr>
          <w:p>
            <w:pPr>
              <w:topLinePunct/>
              <w:spacing w:line="240" w:lineRule="exact"/>
              <w:jc w:val="center"/>
              <w:rPr>
                <w:color w:val="000000"/>
                <w:szCs w:val="21"/>
              </w:rPr>
            </w:pPr>
            <w:r>
              <w:rPr>
                <w:color w:val="000000"/>
                <w:szCs w:val="21"/>
              </w:rPr>
              <w:t>其他区域</w:t>
            </w:r>
          </w:p>
        </w:tc>
        <w:tc>
          <w:tcPr>
            <w:tcW w:w="1365" w:type="pct"/>
            <w:noWrap w:val="0"/>
            <w:vAlign w:val="center"/>
          </w:tcPr>
          <w:p>
            <w:pPr>
              <w:topLinePunct/>
              <w:spacing w:line="240" w:lineRule="exact"/>
              <w:jc w:val="center"/>
              <w:rPr>
                <w:color w:val="000000"/>
                <w:szCs w:val="21"/>
              </w:rPr>
            </w:pPr>
            <w:r>
              <w:rPr>
                <w:color w:val="000000"/>
                <w:szCs w:val="21"/>
              </w:rPr>
              <w:t>地面</w:t>
            </w:r>
          </w:p>
        </w:tc>
        <w:tc>
          <w:tcPr>
            <w:tcW w:w="1044" w:type="pct"/>
            <w:noWrap w:val="0"/>
            <w:vAlign w:val="center"/>
          </w:tcPr>
          <w:p>
            <w:pPr>
              <w:topLinePunct/>
              <w:spacing w:line="240" w:lineRule="exact"/>
              <w:jc w:val="center"/>
              <w:rPr>
                <w:color w:val="000000"/>
                <w:szCs w:val="21"/>
              </w:rPr>
            </w:pPr>
            <w:r>
              <w:rPr>
                <w:color w:val="000000"/>
                <w:szCs w:val="21"/>
              </w:rPr>
              <w:t>一般</w:t>
            </w:r>
          </w:p>
        </w:tc>
        <w:tc>
          <w:tcPr>
            <w:tcW w:w="1084" w:type="pct"/>
            <w:noWrap w:val="0"/>
            <w:vAlign w:val="center"/>
          </w:tcPr>
          <w:p>
            <w:pPr>
              <w:topLinePunct/>
              <w:spacing w:line="240" w:lineRule="exact"/>
              <w:jc w:val="center"/>
              <w:rPr>
                <w:color w:val="000000"/>
                <w:szCs w:val="21"/>
              </w:rPr>
            </w:pPr>
            <w:r>
              <w:rPr>
                <w:color w:val="000000"/>
                <w:szCs w:val="21"/>
              </w:rPr>
              <mc:AlternateContent>
                <mc:Choice Requires="wps">
                  <w:drawing>
                    <wp:anchor distT="0" distB="0" distL="114300" distR="114300" simplePos="0" relativeHeight="251755520" behindDoc="0" locked="0" layoutInCell="1" allowOverlap="1">
                      <wp:simplePos x="0" y="0"/>
                      <wp:positionH relativeFrom="column">
                        <wp:posOffset>414020</wp:posOffset>
                      </wp:positionH>
                      <wp:positionV relativeFrom="paragraph">
                        <wp:posOffset>29210</wp:posOffset>
                      </wp:positionV>
                      <wp:extent cx="266700" cy="104775"/>
                      <wp:effectExtent l="9525" t="9525" r="9525" b="19050"/>
                      <wp:wrapNone/>
                      <wp:docPr id="466" name="矩形 1500"/>
                      <wp:cNvGraphicFramePr/>
                      <a:graphic xmlns:a="http://schemas.openxmlformats.org/drawingml/2006/main">
                        <a:graphicData uri="http://schemas.microsoft.com/office/word/2010/wordprocessingShape">
                          <wps:wsp>
                            <wps:cNvSpPr/>
                            <wps:spPr>
                              <a:xfrm>
                                <a:off x="0" y="0"/>
                                <a:ext cx="266700" cy="104775"/>
                              </a:xfrm>
                              <a:prstGeom prst="rect">
                                <a:avLst/>
                              </a:prstGeom>
                              <a:noFill/>
                              <a:ln w="19050" cap="flat" cmpd="sng">
                                <a:solidFill>
                                  <a:srgbClr val="00B050"/>
                                </a:solidFill>
                                <a:prstDash val="solid"/>
                                <a:miter/>
                                <a:headEnd type="none" w="med" len="med"/>
                                <a:tailEnd type="none" w="med" len="med"/>
                              </a:ln>
                              <a:effectLst/>
                            </wps:spPr>
                            <wps:bodyPr upright="1"/>
                          </wps:wsp>
                        </a:graphicData>
                      </a:graphic>
                    </wp:anchor>
                  </w:drawing>
                </mc:Choice>
                <mc:Fallback>
                  <w:pict>
                    <v:rect id="矩形 1500" o:spid="_x0000_s1026" o:spt="1" style="position:absolute;left:0pt;margin-left:32.6pt;margin-top:2.3pt;height:8.25pt;width:21pt;z-index:251755520;mso-width-relative:page;mso-height-relative:page;" filled="f" stroked="t" coordsize="21600,21600" o:gfxdata="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GhW5+XTAAAABwEAAA8AAAAAAAAAAQAgAAAAIgAAAGRycy9kb3ducmV2Lnht&#10;bFBLAQIUABQAAAAIAIdO4kBgyrGX/gEAAAgEAAAOAAAAAAAAAAEAIAAAACIBAABkcnMvZTJvRG9j&#10;LnhtbFBLBQYAAAAABgAGAFkBAACSBQAAAAA=&#10;">
                      <v:fill on="f" focussize="0,0"/>
                      <v:stroke weight="1.5pt" color="#00B050" joinstyle="miter"/>
                      <v:imagedata o:title=""/>
                      <o:lock v:ext="edit" aspectratio="f"/>
                    </v:rect>
                  </w:pict>
                </mc:Fallback>
              </mc:AlternateContent>
            </w:r>
          </w:p>
        </w:tc>
      </w:tr>
    </w:tbl>
    <w:p>
      <w:pPr>
        <w:topLinePunct/>
        <w:spacing w:line="500" w:lineRule="exact"/>
        <w:ind w:firstLine="480" w:firstLineChars="200"/>
        <w:rPr>
          <w:color w:val="000000"/>
          <w:sz w:val="24"/>
        </w:rPr>
      </w:pPr>
      <w:r>
        <w:rPr>
          <w:color w:val="000000"/>
          <w:sz w:val="24"/>
        </w:rPr>
        <w:t>养殖区（猪舍底部）、固粪处置区、污水处理区、沼液储存区重点防渗，养殖区（猪舍底部）、收集池采用混凝土防渗，渗透系数能够达到4.19×10</w:t>
      </w:r>
      <w:r>
        <w:rPr>
          <w:color w:val="000000"/>
          <w:sz w:val="24"/>
          <w:vertAlign w:val="superscript"/>
        </w:rPr>
        <w:t>-9</w:t>
      </w:r>
      <w:r>
        <w:rPr>
          <w:color w:val="000000"/>
          <w:sz w:val="24"/>
        </w:rPr>
        <w:t>cm/s；沼液储存池采用HDPE膜+素土夯实防渗，HDPE膜抗渗能力比较强，渗透系数能够达到1.0×10</w:t>
      </w:r>
      <w:r>
        <w:rPr>
          <w:color w:val="000000"/>
          <w:sz w:val="24"/>
          <w:vertAlign w:val="superscript"/>
        </w:rPr>
        <w:t>-10</w:t>
      </w:r>
      <w:r>
        <w:rPr>
          <w:color w:val="000000"/>
          <w:sz w:val="24"/>
        </w:rPr>
        <w:t>cm/s；场区道路采用水泥防渗。</w:t>
      </w:r>
    </w:p>
    <w:p>
      <w:pPr>
        <w:topLinePunct/>
        <w:spacing w:line="500" w:lineRule="exact"/>
        <w:ind w:firstLine="480" w:firstLineChars="200"/>
        <w:rPr>
          <w:bCs/>
          <w:color w:val="000000"/>
          <w:sz w:val="24"/>
        </w:rPr>
      </w:pPr>
      <w:r>
        <w:rPr>
          <w:color w:val="000000"/>
          <w:sz w:val="24"/>
        </w:rPr>
        <w:t>（3）</w:t>
      </w:r>
      <w:r>
        <w:rPr>
          <w:bCs/>
          <w:color w:val="000000"/>
          <w:sz w:val="24"/>
        </w:rPr>
        <w:t>预防地下水污染物的要求及环境管理建议</w:t>
      </w:r>
    </w:p>
    <w:p>
      <w:pPr>
        <w:topLinePunct/>
        <w:spacing w:line="500" w:lineRule="exact"/>
        <w:ind w:firstLine="200"/>
        <w:rPr>
          <w:color w:val="000000"/>
          <w:sz w:val="24"/>
        </w:rPr>
      </w:pPr>
      <w:r>
        <w:rPr>
          <w:color w:val="000000"/>
          <w:sz w:val="24"/>
        </w:rPr>
        <w:t>项目在施工阶段，应充分做好排污管道的防渗处理，杜绝污水渗漏，确保污水收集处理系统衔接良好，严格用水管理，防止污水“跑、冒、滴、漏”现象的发生，这样可以保证项目区内产生的全部废水汇集到污水处理站集中处理，可以很大程度的消除污染物排放对周边地区地下水环境的影响。运营期环境建议严格按照以下要求进行管理：</w:t>
      </w:r>
    </w:p>
    <w:p>
      <w:pPr>
        <w:topLinePunct/>
        <w:spacing w:line="500" w:lineRule="exact"/>
        <w:ind w:firstLine="480" w:firstLineChars="200"/>
        <w:rPr>
          <w:color w:val="000000"/>
          <w:sz w:val="24"/>
        </w:rPr>
      </w:pPr>
      <w:r>
        <w:rPr>
          <w:rFonts w:hint="eastAsia" w:ascii="宋体" w:hAnsi="宋体" w:cs="宋体"/>
          <w:color w:val="000000"/>
          <w:sz w:val="24"/>
        </w:rPr>
        <w:t>①</w:t>
      </w:r>
      <w:r>
        <w:rPr>
          <w:color w:val="000000"/>
          <w:sz w:val="24"/>
        </w:rPr>
        <w:t>《畜禽养殖业污染防治技术规范》（HJ/T81－2001）规定，养殖场的排水系统应实施雨水和污水收集输送系统分离，在场区内设置的污水收集输送系统，不得采用明沟布设。</w:t>
      </w:r>
    </w:p>
    <w:p>
      <w:pPr>
        <w:topLinePunct/>
        <w:spacing w:line="500" w:lineRule="exact"/>
        <w:ind w:firstLine="480" w:firstLineChars="200"/>
        <w:rPr>
          <w:color w:val="000000"/>
          <w:sz w:val="24"/>
        </w:rPr>
      </w:pPr>
      <w:r>
        <w:rPr>
          <w:rFonts w:hint="eastAsia" w:ascii="宋体" w:hAnsi="宋体" w:cs="宋体"/>
          <w:color w:val="000000"/>
          <w:sz w:val="24"/>
        </w:rPr>
        <w:t>②</w:t>
      </w:r>
      <w:r>
        <w:rPr>
          <w:color w:val="000000"/>
          <w:sz w:val="24"/>
        </w:rPr>
        <w:t>废水、猪粪贮存设施应采取有效的防渗处理工艺，防止废水、粪便淋滤液污染地下水。</w:t>
      </w:r>
    </w:p>
    <w:p>
      <w:pPr>
        <w:topLinePunct/>
        <w:spacing w:line="500" w:lineRule="exact"/>
        <w:ind w:firstLine="480" w:firstLineChars="200"/>
        <w:rPr>
          <w:color w:val="000000"/>
          <w:sz w:val="24"/>
        </w:rPr>
      </w:pPr>
      <w:r>
        <w:rPr>
          <w:color w:val="000000"/>
          <w:sz w:val="24"/>
        </w:rPr>
        <w:t>沼液储存池池壁在清场夯压的基础上采用铺设HDPE膜+素土夯实进行防渗，底部设置排气沟，最底部排气沟中放置排水管，并设置导流渠，以防止污染地下水，同时各废水输送管道应做到防泄露、跑冒等；</w:t>
      </w:r>
    </w:p>
    <w:p>
      <w:pPr>
        <w:topLinePunct/>
        <w:spacing w:line="500" w:lineRule="exact"/>
        <w:ind w:firstLine="480" w:firstLineChars="200"/>
        <w:rPr>
          <w:color w:val="000000"/>
          <w:sz w:val="24"/>
        </w:rPr>
      </w:pPr>
      <w:r>
        <w:rPr>
          <w:color w:val="000000"/>
          <w:sz w:val="24"/>
        </w:rPr>
        <w:t>根据《畜禽养殖业污染源总量减排技术指导意见（试行）》（豫环文（2012）99号文）中的相关要求，固粪处置区应采取有效的防雨、防渗漏、防溢流措施。堆放场宜为15～20厘米水泥地面、坡度2%以上；三周砌筑1米高的砖墙；其上搭建雨棚，防止降雨(水)的进入；固粪处置区内还应设渗滤水收集沟，并与污水收集系统相连。与畜禽舍之间保持200~300米的距离，若因场地或地形因素达不到此要求，可在畜禽舍与粪便堆放场之间建设隔离墙，并适当绿化。防止污水渗漏对地下水造成污染。因此，本项目固粪处置区“三防”措施应严格按照以上要求执行。</w:t>
      </w:r>
    </w:p>
    <w:p>
      <w:pPr>
        <w:topLinePunct/>
        <w:spacing w:line="500" w:lineRule="exact"/>
        <w:ind w:firstLine="480" w:firstLineChars="200"/>
        <w:rPr>
          <w:color w:val="000000"/>
          <w:sz w:val="24"/>
        </w:rPr>
      </w:pPr>
      <w:r>
        <w:rPr>
          <w:rFonts w:hint="eastAsia" w:ascii="宋体" w:hAnsi="宋体" w:cs="宋体"/>
          <w:color w:val="000000"/>
          <w:sz w:val="24"/>
        </w:rPr>
        <w:t>③</w:t>
      </w:r>
      <w:r>
        <w:rPr>
          <w:color w:val="000000"/>
          <w:sz w:val="24"/>
        </w:rPr>
        <w:t>做好收集池、</w:t>
      </w:r>
      <w:r>
        <w:rPr>
          <w:rFonts w:hint="eastAsia"/>
          <w:color w:val="000000"/>
          <w:sz w:val="24"/>
        </w:rPr>
        <w:t>黑膜</w:t>
      </w:r>
      <w:r>
        <w:rPr>
          <w:color w:val="000000"/>
          <w:sz w:val="24"/>
        </w:rPr>
        <w:t>沼气池、排水沟、沼液储存池等的防渗工作，应充分考虑农间作期间影响和雨季影响，能够保证有足够的容量以容纳养殖场产生的废水。养殖场污水处理系统的各个池子应按期清淤，各池建设时应高出地面至少20cm以上，以保证大雨时雨水不进入、污水不外溢。</w:t>
      </w:r>
    </w:p>
    <w:p>
      <w:pPr>
        <w:topLinePunct/>
        <w:spacing w:line="500" w:lineRule="exact"/>
        <w:ind w:firstLine="480" w:firstLineChars="200"/>
        <w:rPr>
          <w:color w:val="000000"/>
          <w:sz w:val="24"/>
        </w:rPr>
      </w:pPr>
      <w:r>
        <w:rPr>
          <w:color w:val="000000"/>
          <w:sz w:val="24"/>
        </w:rPr>
        <w:fldChar w:fldCharType="begin"/>
      </w:r>
      <w:r>
        <w:rPr>
          <w:color w:val="000000"/>
          <w:sz w:val="24"/>
        </w:rPr>
        <w:instrText xml:space="preserve">= 4 \* GB3</w:instrText>
      </w:r>
      <w:r>
        <w:rPr>
          <w:color w:val="000000"/>
          <w:sz w:val="24"/>
        </w:rPr>
        <w:fldChar w:fldCharType="separate"/>
      </w:r>
      <w:r>
        <w:rPr>
          <w:rFonts w:hint="eastAsia" w:ascii="宋体" w:hAnsi="宋体" w:cs="宋体"/>
          <w:color w:val="000000"/>
          <w:sz w:val="24"/>
        </w:rPr>
        <w:t>④</w:t>
      </w:r>
      <w:r>
        <w:rPr>
          <w:color w:val="000000"/>
          <w:sz w:val="24"/>
        </w:rPr>
        <w:fldChar w:fldCharType="end"/>
      </w:r>
      <w:r>
        <w:rPr>
          <w:color w:val="000000"/>
          <w:sz w:val="24"/>
        </w:rPr>
        <w:t>肥水适当施用，由企业结合天气状况、当地土地消纳能力、当地农田施肥规律等定时定量合理施肥，防止过度施肥而影响地下水环境。并且，防止在雨天进行施肥，以避免肥水随雨水垂直径流进入地下水体，造成污染。</w:t>
      </w:r>
    </w:p>
    <w:p>
      <w:pPr>
        <w:topLinePunct/>
        <w:spacing w:line="500" w:lineRule="exact"/>
        <w:ind w:firstLine="480" w:firstLineChars="200"/>
        <w:rPr>
          <w:color w:val="000000"/>
          <w:sz w:val="24"/>
        </w:rPr>
      </w:pPr>
      <w:r>
        <w:rPr>
          <w:color w:val="000000"/>
          <w:sz w:val="24"/>
        </w:rPr>
        <w:t>（4）管理措施</w:t>
      </w:r>
    </w:p>
    <w:p>
      <w:pPr>
        <w:topLinePunct/>
        <w:spacing w:line="500" w:lineRule="exact"/>
        <w:ind w:firstLine="480" w:firstLineChars="200"/>
        <w:rPr>
          <w:color w:val="000000"/>
          <w:sz w:val="24"/>
        </w:rPr>
      </w:pPr>
      <w:r>
        <w:rPr>
          <w:color w:val="000000"/>
          <w:sz w:val="24"/>
        </w:rPr>
        <w:t>成立事故处理组织，一旦发生废水事故排放，应立即组织人力、物力和财力加紧对设备进行维修，同时对废水进行回收、拦截，以防止污染地下水；</w:t>
      </w:r>
    </w:p>
    <w:p>
      <w:pPr>
        <w:topLinePunct/>
        <w:spacing w:line="500" w:lineRule="exact"/>
        <w:ind w:firstLine="480" w:firstLineChars="200"/>
        <w:rPr>
          <w:color w:val="000000"/>
          <w:sz w:val="24"/>
        </w:rPr>
      </w:pPr>
      <w:r>
        <w:rPr>
          <w:color w:val="000000"/>
          <w:sz w:val="24"/>
        </w:rPr>
        <w:t>综上分析，建设项目场区地下水敏感性差，污染物排放简单，在落实好防渗、防污措施后，本项目污染物能得到有效处理，对地下水水质影响较小，项目的建设不会产生其他环境地质问题，因此对地下水环境质量影响较小。</w:t>
      </w:r>
    </w:p>
    <w:p>
      <w:pPr>
        <w:pStyle w:val="2"/>
        <w:spacing w:before="0" w:after="0" w:line="520" w:lineRule="exact"/>
        <w:rPr>
          <w:rFonts w:eastAsia="黑体"/>
          <w:b w:val="0"/>
          <w:sz w:val="24"/>
          <w:szCs w:val="24"/>
        </w:rPr>
      </w:pPr>
      <w:r>
        <w:rPr>
          <w:rFonts w:eastAsia="黑体"/>
          <w:b w:val="0"/>
          <w:sz w:val="24"/>
          <w:szCs w:val="24"/>
        </w:rPr>
        <w:t>5.2.3</w:t>
      </w:r>
      <w:r>
        <w:rPr>
          <w:rFonts w:hint="eastAsia" w:eastAsia="黑体"/>
          <w:b w:val="0"/>
          <w:sz w:val="24"/>
          <w:szCs w:val="24"/>
        </w:rPr>
        <w:t>废气处理及综合利用措施分析</w:t>
      </w:r>
    </w:p>
    <w:p>
      <w:pPr>
        <w:spacing w:line="500" w:lineRule="exact"/>
        <w:rPr>
          <w:b/>
          <w:sz w:val="24"/>
        </w:rPr>
      </w:pPr>
      <w:r>
        <w:rPr>
          <w:b/>
          <w:kern w:val="0"/>
          <w:sz w:val="24"/>
          <w:lang w:bidi="ar"/>
        </w:rPr>
        <w:t>5.2.3.1</w:t>
      </w:r>
      <w:r>
        <w:rPr>
          <w:rFonts w:hint="eastAsia"/>
          <w:b/>
          <w:kern w:val="0"/>
          <w:sz w:val="24"/>
          <w:lang w:bidi="ar"/>
        </w:rPr>
        <w:t>恶臭</w:t>
      </w:r>
    </w:p>
    <w:p>
      <w:pPr>
        <w:spacing w:line="500" w:lineRule="exact"/>
        <w:ind w:firstLine="480" w:firstLineChars="200"/>
        <w:rPr>
          <w:sz w:val="24"/>
        </w:rPr>
      </w:pPr>
      <w:r>
        <w:rPr>
          <w:kern w:val="0"/>
          <w:sz w:val="24"/>
          <w:lang w:bidi="ar"/>
        </w:rPr>
        <w:t>（1）恶臭产生的场所</w:t>
      </w:r>
    </w:p>
    <w:p>
      <w:pPr>
        <w:spacing w:line="500" w:lineRule="exact"/>
        <w:ind w:firstLine="480" w:firstLineChars="200"/>
        <w:rPr>
          <w:sz w:val="24"/>
        </w:rPr>
      </w:pPr>
      <w:r>
        <w:rPr>
          <w:kern w:val="0"/>
          <w:sz w:val="24"/>
          <w:lang w:bidi="ar"/>
        </w:rPr>
        <w:t>恶臭在养殖场和粪污处理场等处均可产生。影响畜禽场恶臭产生的的主要原因是清粪方式、管理水平、粪便和污水处理程度，同时也与场址选择、场地规划和布局、畜舍设计、畜舍通风等有关。</w:t>
      </w:r>
    </w:p>
    <w:p>
      <w:pPr>
        <w:spacing w:line="500" w:lineRule="exact"/>
        <w:ind w:firstLine="480" w:firstLineChars="200"/>
        <w:rPr>
          <w:sz w:val="24"/>
        </w:rPr>
      </w:pPr>
      <w:r>
        <w:rPr>
          <w:kern w:val="0"/>
          <w:sz w:val="24"/>
          <w:lang w:bidi="ar"/>
        </w:rPr>
        <w:t>恶臭的成分十分复杂，因家畜的种类、清粪方式、日粮组成、空气湿度、粪便和污水处理等不同而异，有机成分是硫醇类、胺类、吲哚、挥发性有机酸、酚类、醛类、酮类、醇类以及含氮杂环化合物等，无机成分主要是NH</w:t>
      </w:r>
      <w:r>
        <w:rPr>
          <w:kern w:val="0"/>
          <w:sz w:val="24"/>
          <w:vertAlign w:val="subscript"/>
          <w:lang w:bidi="ar"/>
        </w:rPr>
        <w:t>3</w:t>
      </w:r>
      <w:r>
        <w:rPr>
          <w:kern w:val="0"/>
          <w:sz w:val="24"/>
          <w:lang w:bidi="ar"/>
        </w:rPr>
        <w:t>和H</w:t>
      </w:r>
      <w:r>
        <w:rPr>
          <w:kern w:val="0"/>
          <w:sz w:val="24"/>
          <w:vertAlign w:val="subscript"/>
          <w:lang w:bidi="ar"/>
        </w:rPr>
        <w:t>2</w:t>
      </w:r>
      <w:r>
        <w:rPr>
          <w:kern w:val="0"/>
          <w:sz w:val="24"/>
          <w:lang w:bidi="ar"/>
        </w:rPr>
        <w:t>S。</w:t>
      </w:r>
    </w:p>
    <w:p>
      <w:pPr>
        <w:spacing w:line="500" w:lineRule="exact"/>
        <w:ind w:firstLine="480" w:firstLineChars="200"/>
        <w:rPr>
          <w:sz w:val="24"/>
        </w:rPr>
      </w:pPr>
      <w:r>
        <w:rPr>
          <w:kern w:val="0"/>
          <w:sz w:val="24"/>
          <w:lang w:bidi="ar"/>
        </w:rPr>
        <w:t>（2）恶臭污染防治措施</w:t>
      </w:r>
    </w:p>
    <w:p>
      <w:pPr>
        <w:spacing w:line="500" w:lineRule="exact"/>
        <w:ind w:firstLine="480" w:firstLineChars="200"/>
        <w:rPr>
          <w:sz w:val="24"/>
        </w:rPr>
      </w:pPr>
      <w:r>
        <w:rPr>
          <w:kern w:val="0"/>
          <w:sz w:val="24"/>
          <w:lang w:bidi="ar"/>
        </w:rPr>
        <w:t>由于猪舍的恶臭污染源很分散，集中处理困难，最有效的控制方法是预防为主，在恶臭产生的源头就地处理。根据《畜禽养殖业污染治理工程技术规范》（HJ 497－2009）及《畜禽养殖业污染防治技术规范》（HJ/T81－2001）相关要求，结合本项目生产实际，本评价主要提出如下措施减降恶臭污染物的产生：</w:t>
      </w:r>
    </w:p>
    <w:p>
      <w:pPr>
        <w:spacing w:line="500" w:lineRule="exact"/>
        <w:ind w:firstLine="480" w:firstLineChars="200"/>
        <w:rPr>
          <w:rFonts w:ascii="宋体" w:hAnsi="宋体"/>
          <w:sz w:val="24"/>
        </w:rPr>
      </w:pPr>
      <w:r>
        <w:rPr>
          <w:rFonts w:ascii="宋体" w:hAnsi="宋体"/>
          <w:kern w:val="0"/>
          <w:sz w:val="24"/>
          <w:lang w:bidi="ar"/>
        </w:rPr>
        <w:t>① 源头控制</w:t>
      </w:r>
    </w:p>
    <w:p>
      <w:pPr>
        <w:spacing w:line="500" w:lineRule="exact"/>
        <w:ind w:firstLine="480" w:firstLineChars="200"/>
        <w:rPr>
          <w:sz w:val="24"/>
        </w:rPr>
      </w:pPr>
      <w:r>
        <w:rPr>
          <w:kern w:val="0"/>
          <w:sz w:val="24"/>
          <w:lang w:bidi="ar"/>
        </w:rPr>
        <w:t>通过控制饲养密度，并加强舍内通风，及时清理猪舍，猪粪、污泥等应及时加工或外运，尽量减少其在场内的堆存时间和堆存量；搞好场区环境卫生，采用节水型饮水器，猪舍及时冲洗；</w:t>
      </w:r>
    </w:p>
    <w:p>
      <w:pPr>
        <w:spacing w:line="500" w:lineRule="exact"/>
        <w:ind w:firstLine="480" w:firstLineChars="200"/>
        <w:rPr>
          <w:rFonts w:hint="eastAsia"/>
          <w:sz w:val="24"/>
        </w:rPr>
      </w:pPr>
      <w:r>
        <w:rPr>
          <w:kern w:val="0"/>
          <w:sz w:val="24"/>
          <w:lang w:bidi="ar"/>
        </w:rPr>
        <w:t>温度高、湿度大时恶臭气体浓度高，猪粪在1～2周后发酵较快，粪便暴露面积大的发酵率高。猪舍使用漏缝地板，保证粪便冷却，并尽快从猪舍内清粪，在猪舍内加强通风，采用节水型饮水器，加速粪便干燥，可减少猪粪污染；</w:t>
      </w:r>
    </w:p>
    <w:p>
      <w:pPr>
        <w:spacing w:line="500" w:lineRule="exact"/>
        <w:ind w:firstLine="480" w:firstLineChars="200"/>
        <w:rPr>
          <w:sz w:val="24"/>
        </w:rPr>
      </w:pPr>
      <w:r>
        <w:rPr>
          <w:rFonts w:hint="eastAsia" w:ascii="宋体" w:hAnsi="宋体" w:cs="宋体"/>
          <w:kern w:val="0"/>
          <w:sz w:val="24"/>
          <w:lang w:bidi="ar"/>
        </w:rPr>
        <w:t>②</w:t>
      </w:r>
      <w:r>
        <w:rPr>
          <w:kern w:val="0"/>
          <w:sz w:val="24"/>
          <w:lang w:bidi="ar"/>
        </w:rPr>
        <w:t xml:space="preserve"> 过程整治</w:t>
      </w:r>
    </w:p>
    <w:p>
      <w:pPr>
        <w:spacing w:line="500" w:lineRule="exact"/>
        <w:ind w:firstLine="480" w:firstLineChars="200"/>
        <w:rPr>
          <w:bCs/>
          <w:sz w:val="24"/>
        </w:rPr>
      </w:pPr>
      <w:r>
        <w:rPr>
          <w:rFonts w:hAnsi="宋体"/>
          <w:sz w:val="24"/>
        </w:rPr>
        <w:t>猪场采用</w:t>
      </w:r>
      <w:r>
        <w:rPr>
          <w:sz w:val="24"/>
        </w:rPr>
        <w:t>“</w:t>
      </w:r>
      <w:r>
        <w:rPr>
          <w:rFonts w:hint="eastAsia" w:hAnsi="宋体"/>
          <w:sz w:val="24"/>
        </w:rPr>
        <w:t>干清粪</w:t>
      </w:r>
      <w:r>
        <w:rPr>
          <w:sz w:val="24"/>
        </w:rPr>
        <w:t>”</w:t>
      </w:r>
      <w:r>
        <w:rPr>
          <w:rFonts w:hAnsi="宋体"/>
          <w:sz w:val="24"/>
        </w:rPr>
        <w:t>工艺，项目采用</w:t>
      </w:r>
      <w:r>
        <w:rPr>
          <w:rFonts w:hAnsi="宋体"/>
          <w:bCs/>
          <w:sz w:val="24"/>
        </w:rPr>
        <w:t>墙体集热板、猪舍内热交换</w:t>
      </w:r>
      <w:r>
        <w:rPr>
          <w:rFonts w:hint="eastAsia" w:hAnsi="宋体"/>
          <w:bCs/>
          <w:sz w:val="24"/>
        </w:rPr>
        <w:t>系统</w:t>
      </w:r>
      <w:r>
        <w:rPr>
          <w:rFonts w:hAnsi="宋体"/>
          <w:bCs/>
          <w:sz w:val="24"/>
        </w:rPr>
        <w:t>和水帘风机相结合的方式进行猪舍内部温度控制。</w:t>
      </w:r>
      <w:r>
        <w:rPr>
          <w:rFonts w:hAnsi="宋体"/>
          <w:sz w:val="24"/>
        </w:rPr>
        <w:t>降低舍内有害气体浓度，产生的粪渣等固废及时运至贮存或处理场所，以减少污染。</w:t>
      </w:r>
    </w:p>
    <w:p>
      <w:pPr>
        <w:spacing w:line="500" w:lineRule="exact"/>
        <w:ind w:firstLine="480" w:firstLineChars="200"/>
        <w:rPr>
          <w:rFonts w:hint="eastAsia"/>
          <w:sz w:val="24"/>
        </w:rPr>
      </w:pPr>
      <w:r>
        <w:rPr>
          <w:kern w:val="0"/>
          <w:sz w:val="24"/>
          <w:lang w:bidi="ar"/>
        </w:rPr>
        <w:t>加强养殖场生产管理，并对工作人员强化知识培训，提高饲养人员操作技能</w:t>
      </w:r>
      <w:r>
        <w:rPr>
          <w:rFonts w:hint="eastAsia"/>
          <w:kern w:val="0"/>
          <w:sz w:val="24"/>
          <w:lang w:bidi="ar"/>
        </w:rPr>
        <w:t>。</w:t>
      </w:r>
    </w:p>
    <w:p>
      <w:pPr>
        <w:spacing w:line="500" w:lineRule="exact"/>
        <w:ind w:firstLine="480" w:firstLineChars="200"/>
        <w:rPr>
          <w:sz w:val="24"/>
        </w:rPr>
      </w:pPr>
      <w:r>
        <w:rPr>
          <w:kern w:val="0"/>
          <w:sz w:val="24"/>
          <w:lang w:bidi="ar"/>
        </w:rPr>
        <w:t>场区布置按功能区进行相应划分，各构筑物之间设绿化隔离带，宜种植具有吸附恶臭功能的绿色植物，利用绿色植物的吸收作用，以减少恶臭气体的逸散，减轻恶臭等对周围环境的影响。</w:t>
      </w:r>
    </w:p>
    <w:p>
      <w:pPr>
        <w:spacing w:line="500" w:lineRule="exact"/>
        <w:ind w:firstLine="480" w:firstLineChars="200"/>
        <w:rPr>
          <w:rFonts w:ascii="宋体" w:hAnsi="宋体"/>
          <w:sz w:val="24"/>
        </w:rPr>
      </w:pPr>
      <w:r>
        <w:rPr>
          <w:rFonts w:ascii="宋体" w:hAnsi="宋体"/>
          <w:kern w:val="0"/>
          <w:sz w:val="24"/>
          <w:lang w:bidi="ar"/>
        </w:rPr>
        <w:t>③ 终端处理</w:t>
      </w:r>
    </w:p>
    <w:p>
      <w:pPr>
        <w:spacing w:line="500" w:lineRule="exact"/>
        <w:ind w:firstLine="480" w:firstLineChars="200"/>
        <w:rPr>
          <w:sz w:val="24"/>
        </w:rPr>
      </w:pPr>
      <w:r>
        <w:rPr>
          <w:kern w:val="0"/>
          <w:sz w:val="24"/>
          <w:lang w:bidi="ar"/>
        </w:rPr>
        <w:t>产生的恶臭用多种化学和生物产品来控制恶臭。评价建议夏季高温天气在沼气工程附近喷洒除臭剂进行处理，多用强氧化剂和杀菌剂等消除微生物产生的臭味或化学氧化臭味物质。</w:t>
      </w:r>
    </w:p>
    <w:p>
      <w:pPr>
        <w:spacing w:line="500" w:lineRule="exact"/>
        <w:ind w:firstLine="480" w:firstLineChars="200"/>
        <w:rPr>
          <w:rFonts w:hint="eastAsia"/>
          <w:kern w:val="0"/>
          <w:sz w:val="24"/>
          <w:lang w:bidi="ar"/>
        </w:rPr>
      </w:pPr>
      <w:r>
        <w:rPr>
          <w:kern w:val="0"/>
          <w:sz w:val="24"/>
          <w:lang w:bidi="ar"/>
        </w:rPr>
        <w:t>本项目采用植物型除臭剂，该除臭剂主要由丝兰、银杏叶、茶多酚、葡萄籽、樟科植物、桉叶油、松油等多种植物提取物精制而成，适用于各种恶臭环境的异味处理，如垃圾填埋场、垃圾转运站、垃圾堆肥厂、垃圾焚烧厂、污水处理中心、粪便处理中心、养猪养鸡场、工业废水处理及渔业加工中心等。除臭剂中的活性基(-CHO)具有很高的活性，利用它的活性同挥发性含S(如硫化氢、硫醇、疏基化合物)、含N(如氨、有机胺) 等易挥发物质反应，产生新的低气味且无毒的新物质，不能参与活性基(-CHO)反应的一些挥发性物质则采用气味补偿办法解决，这种补偿也不是筒单的气味掩盖作用，而是利用植物提取液中的活性成分与不能和活性基(-CHO)反应的成分进行再次作用，使其失去原来的气味，藉此实现对挥发性恶臭物质的有效削减和消除。</w:t>
      </w:r>
    </w:p>
    <w:p>
      <w:pPr>
        <w:spacing w:line="500" w:lineRule="exact"/>
        <w:ind w:firstLine="480" w:firstLineChars="200"/>
        <w:rPr>
          <w:sz w:val="24"/>
          <w:vertAlign w:val="subscript"/>
        </w:rPr>
      </w:pPr>
      <w:r>
        <w:rPr>
          <w:kern w:val="0"/>
          <w:sz w:val="24"/>
          <w:lang w:bidi="ar"/>
        </w:rPr>
        <w:t>采用上述措施治理后，可有效减轻项目恶臭污染影响，评价预测场界排放臭气浓度能够满足《畜禽养殖业污染物排放标准》（GB18596－2001）中表7要求，在场界外500m范围内不得新建学校、医院、居民区等环境敏感点。</w:t>
      </w:r>
    </w:p>
    <w:p>
      <w:pPr>
        <w:spacing w:after="93" w:afterLines="30" w:line="500" w:lineRule="exact"/>
        <w:jc w:val="center"/>
        <w:rPr>
          <w:b/>
          <w:kern w:val="0"/>
          <w:sz w:val="24"/>
          <w:lang w:bidi="ar"/>
        </w:rPr>
      </w:pPr>
      <w:r>
        <w:rPr>
          <w:b/>
          <w:kern w:val="0"/>
          <w:sz w:val="24"/>
          <w:lang w:bidi="ar"/>
        </w:rPr>
        <w:t>表5.2-10    项目废气污染防治措施一览表</w:t>
      </w:r>
    </w:p>
    <w:tbl>
      <w:tblPr>
        <w:tblStyle w:val="17"/>
        <w:tblW w:w="0" w:type="auto"/>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76"/>
        <w:gridCol w:w="1515"/>
        <w:gridCol w:w="2695"/>
        <w:gridCol w:w="2977"/>
        <w:gridCol w:w="118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576" w:type="dxa"/>
            <w:noWrap w:val="0"/>
            <w:vAlign w:val="center"/>
          </w:tcPr>
          <w:p>
            <w:pPr>
              <w:adjustRightInd w:val="0"/>
              <w:snapToGrid w:val="0"/>
              <w:jc w:val="center"/>
              <w:rPr>
                <w:bCs/>
                <w:szCs w:val="21"/>
              </w:rPr>
            </w:pPr>
            <w:r>
              <w:rPr>
                <w:bCs/>
                <w:szCs w:val="21"/>
              </w:rPr>
              <w:t>序号</w:t>
            </w:r>
          </w:p>
        </w:tc>
        <w:tc>
          <w:tcPr>
            <w:tcW w:w="1515" w:type="dxa"/>
            <w:noWrap w:val="0"/>
            <w:vAlign w:val="center"/>
          </w:tcPr>
          <w:p>
            <w:pPr>
              <w:adjustRightInd w:val="0"/>
              <w:snapToGrid w:val="0"/>
              <w:jc w:val="center"/>
              <w:rPr>
                <w:bCs/>
                <w:szCs w:val="21"/>
              </w:rPr>
            </w:pPr>
            <w:r>
              <w:rPr>
                <w:bCs/>
                <w:szCs w:val="21"/>
              </w:rPr>
              <w:t>排放源</w:t>
            </w:r>
          </w:p>
        </w:tc>
        <w:tc>
          <w:tcPr>
            <w:tcW w:w="2695" w:type="dxa"/>
            <w:noWrap w:val="0"/>
            <w:vAlign w:val="center"/>
          </w:tcPr>
          <w:p>
            <w:pPr>
              <w:adjustRightInd w:val="0"/>
              <w:snapToGrid w:val="0"/>
              <w:jc w:val="center"/>
              <w:rPr>
                <w:bCs/>
                <w:szCs w:val="21"/>
              </w:rPr>
            </w:pPr>
            <w:r>
              <w:rPr>
                <w:bCs/>
                <w:szCs w:val="21"/>
              </w:rPr>
              <w:t>防治措施</w:t>
            </w:r>
          </w:p>
        </w:tc>
        <w:tc>
          <w:tcPr>
            <w:tcW w:w="2977" w:type="dxa"/>
            <w:noWrap w:val="0"/>
            <w:vAlign w:val="center"/>
          </w:tcPr>
          <w:p>
            <w:pPr>
              <w:adjustRightInd w:val="0"/>
              <w:snapToGrid w:val="0"/>
              <w:jc w:val="center"/>
              <w:rPr>
                <w:bCs/>
                <w:szCs w:val="21"/>
              </w:rPr>
            </w:pPr>
            <w:r>
              <w:rPr>
                <w:bCs/>
                <w:szCs w:val="21"/>
              </w:rPr>
              <w:t>实施方案</w:t>
            </w:r>
          </w:p>
        </w:tc>
        <w:tc>
          <w:tcPr>
            <w:tcW w:w="1183" w:type="dxa"/>
            <w:noWrap w:val="0"/>
            <w:vAlign w:val="center"/>
          </w:tcPr>
          <w:p>
            <w:pPr>
              <w:adjustRightInd w:val="0"/>
              <w:snapToGrid w:val="0"/>
              <w:jc w:val="center"/>
              <w:rPr>
                <w:bCs/>
                <w:szCs w:val="21"/>
              </w:rPr>
            </w:pPr>
            <w:r>
              <w:rPr>
                <w:bCs/>
                <w:szCs w:val="21"/>
              </w:rPr>
              <w:t>治理目标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6" w:type="dxa"/>
            <w:noWrap w:val="0"/>
            <w:vAlign w:val="center"/>
          </w:tcPr>
          <w:p>
            <w:pPr>
              <w:adjustRightInd w:val="0"/>
              <w:snapToGrid w:val="0"/>
              <w:jc w:val="center"/>
              <w:rPr>
                <w:bCs/>
                <w:szCs w:val="21"/>
              </w:rPr>
            </w:pPr>
            <w:r>
              <w:rPr>
                <w:bCs/>
                <w:szCs w:val="21"/>
              </w:rPr>
              <w:t>1</w:t>
            </w:r>
          </w:p>
        </w:tc>
        <w:tc>
          <w:tcPr>
            <w:tcW w:w="1515" w:type="dxa"/>
            <w:noWrap w:val="0"/>
            <w:vAlign w:val="center"/>
          </w:tcPr>
          <w:p>
            <w:pPr>
              <w:adjustRightInd w:val="0"/>
              <w:snapToGrid w:val="0"/>
              <w:jc w:val="center"/>
              <w:rPr>
                <w:bCs/>
                <w:szCs w:val="21"/>
              </w:rPr>
            </w:pPr>
            <w:r>
              <w:rPr>
                <w:bCs/>
                <w:szCs w:val="21"/>
              </w:rPr>
              <w:t>猪舍</w:t>
            </w:r>
          </w:p>
        </w:tc>
        <w:tc>
          <w:tcPr>
            <w:tcW w:w="2695" w:type="dxa"/>
            <w:noWrap w:val="0"/>
            <w:vAlign w:val="center"/>
          </w:tcPr>
          <w:p>
            <w:pPr>
              <w:adjustRightInd w:val="0"/>
              <w:snapToGrid w:val="0"/>
              <w:jc w:val="center"/>
              <w:rPr>
                <w:bCs/>
                <w:szCs w:val="21"/>
              </w:rPr>
            </w:pPr>
            <w:r>
              <w:rPr>
                <w:kern w:val="0"/>
                <w:szCs w:val="21"/>
                <w:lang w:bidi="ar"/>
              </w:rPr>
              <w:t>控制密度；</w:t>
            </w:r>
            <w:r>
              <w:rPr>
                <w:rFonts w:hint="eastAsia"/>
                <w:kern w:val="0"/>
                <w:szCs w:val="21"/>
                <w:lang w:bidi="ar"/>
              </w:rPr>
              <w:t>周边</w:t>
            </w:r>
            <w:r>
              <w:rPr>
                <w:kern w:val="0"/>
                <w:szCs w:val="21"/>
                <w:lang w:bidi="ar"/>
              </w:rPr>
              <w:t>喷洒除臭剂，</w:t>
            </w:r>
            <w:r>
              <w:rPr>
                <w:rFonts w:hint="eastAsia"/>
                <w:kern w:val="0"/>
                <w:szCs w:val="21"/>
                <w:lang w:bidi="ar"/>
              </w:rPr>
              <w:t>周边加</w:t>
            </w:r>
            <w:r>
              <w:rPr>
                <w:kern w:val="0"/>
                <w:szCs w:val="21"/>
                <w:lang w:bidi="ar"/>
              </w:rPr>
              <w:t>强绿化</w:t>
            </w:r>
          </w:p>
        </w:tc>
        <w:tc>
          <w:tcPr>
            <w:tcW w:w="2977" w:type="dxa"/>
            <w:noWrap w:val="0"/>
            <w:vAlign w:val="center"/>
          </w:tcPr>
          <w:p>
            <w:pPr>
              <w:adjustRightInd w:val="0"/>
              <w:snapToGrid w:val="0"/>
              <w:jc w:val="center"/>
              <w:rPr>
                <w:bCs/>
                <w:szCs w:val="21"/>
              </w:rPr>
            </w:pPr>
            <w:r>
              <w:rPr>
                <w:bCs/>
                <w:szCs w:val="21"/>
              </w:rPr>
              <w:t>猪转栏时利用高压水枪彻底冲圈消毒</w:t>
            </w:r>
          </w:p>
        </w:tc>
        <w:tc>
          <w:tcPr>
            <w:tcW w:w="1183" w:type="dxa"/>
            <w:vMerge w:val="restart"/>
            <w:noWrap w:val="0"/>
            <w:vAlign w:val="center"/>
          </w:tcPr>
          <w:p>
            <w:pPr>
              <w:adjustRightInd w:val="0"/>
              <w:snapToGrid w:val="0"/>
              <w:jc w:val="center"/>
              <w:rPr>
                <w:bCs/>
                <w:szCs w:val="21"/>
              </w:rPr>
            </w:pPr>
            <w:r>
              <w:rPr>
                <w:bCs/>
                <w:szCs w:val="21"/>
              </w:rPr>
              <w:t>满足《恶臭污染物排放标准》</w:t>
            </w:r>
            <w:r>
              <w:rPr>
                <w:bCs/>
              </w:rPr>
              <w:t>（GB14554-93）</w:t>
            </w:r>
            <w:r>
              <w:rPr>
                <w:bCs/>
                <w:szCs w:val="21"/>
              </w:rPr>
              <w:t>表1中二级标准要求。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6" w:type="dxa"/>
            <w:noWrap w:val="0"/>
            <w:vAlign w:val="center"/>
          </w:tcPr>
          <w:p>
            <w:pPr>
              <w:adjustRightInd w:val="0"/>
              <w:snapToGrid w:val="0"/>
              <w:jc w:val="center"/>
              <w:rPr>
                <w:bCs/>
                <w:szCs w:val="21"/>
              </w:rPr>
            </w:pPr>
            <w:r>
              <w:rPr>
                <w:bCs/>
                <w:szCs w:val="21"/>
              </w:rPr>
              <w:t>2</w:t>
            </w:r>
          </w:p>
        </w:tc>
        <w:tc>
          <w:tcPr>
            <w:tcW w:w="1515" w:type="dxa"/>
            <w:noWrap w:val="0"/>
            <w:vAlign w:val="center"/>
          </w:tcPr>
          <w:p>
            <w:pPr>
              <w:adjustRightInd w:val="0"/>
              <w:snapToGrid w:val="0"/>
              <w:jc w:val="center"/>
              <w:rPr>
                <w:bCs/>
                <w:szCs w:val="21"/>
              </w:rPr>
            </w:pPr>
            <w:r>
              <w:rPr>
                <w:bCs/>
                <w:szCs w:val="21"/>
              </w:rPr>
              <w:t>堆肥区</w:t>
            </w:r>
          </w:p>
        </w:tc>
        <w:tc>
          <w:tcPr>
            <w:tcW w:w="2695" w:type="dxa"/>
            <w:noWrap w:val="0"/>
            <w:vAlign w:val="center"/>
          </w:tcPr>
          <w:p>
            <w:pPr>
              <w:adjustRightInd w:val="0"/>
              <w:snapToGrid w:val="0"/>
              <w:jc w:val="center"/>
              <w:rPr>
                <w:bCs/>
              </w:rPr>
            </w:pPr>
            <w:r>
              <w:rPr>
                <w:bCs/>
                <w:szCs w:val="21"/>
              </w:rPr>
              <w:t>设置顶棚，</w:t>
            </w:r>
            <w:r>
              <w:rPr>
                <w:kern w:val="0"/>
                <w:szCs w:val="21"/>
                <w:lang w:bidi="ar"/>
              </w:rPr>
              <w:t>周边喷洒除臭剂， 加强绿化</w:t>
            </w:r>
          </w:p>
        </w:tc>
        <w:tc>
          <w:tcPr>
            <w:tcW w:w="2977" w:type="dxa"/>
            <w:noWrap w:val="0"/>
            <w:vAlign w:val="center"/>
          </w:tcPr>
          <w:p>
            <w:pPr>
              <w:adjustRightInd w:val="0"/>
              <w:snapToGrid w:val="0"/>
              <w:jc w:val="center"/>
              <w:rPr>
                <w:bCs/>
                <w:szCs w:val="21"/>
              </w:rPr>
            </w:pPr>
            <w:r>
              <w:rPr>
                <w:bCs/>
                <w:szCs w:val="21"/>
              </w:rPr>
              <w:t>设置顶棚，</w:t>
            </w:r>
            <w:r>
              <w:rPr>
                <w:kern w:val="0"/>
                <w:szCs w:val="21"/>
                <w:lang w:bidi="ar"/>
              </w:rPr>
              <w:t>周边喷洒除臭剂， 加强绿化</w:t>
            </w:r>
          </w:p>
        </w:tc>
        <w:tc>
          <w:tcPr>
            <w:tcW w:w="1183" w:type="dxa"/>
            <w:vMerge w:val="continue"/>
            <w:noWrap w:val="0"/>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6" w:type="dxa"/>
            <w:noWrap w:val="0"/>
            <w:vAlign w:val="center"/>
          </w:tcPr>
          <w:p>
            <w:pPr>
              <w:adjustRightInd w:val="0"/>
              <w:snapToGrid w:val="0"/>
              <w:jc w:val="center"/>
              <w:rPr>
                <w:bCs/>
                <w:szCs w:val="21"/>
              </w:rPr>
            </w:pPr>
            <w:r>
              <w:rPr>
                <w:bCs/>
                <w:szCs w:val="21"/>
              </w:rPr>
              <w:t>3</w:t>
            </w:r>
          </w:p>
        </w:tc>
        <w:tc>
          <w:tcPr>
            <w:tcW w:w="1515" w:type="dxa"/>
            <w:noWrap w:val="0"/>
            <w:vAlign w:val="center"/>
          </w:tcPr>
          <w:p>
            <w:pPr>
              <w:adjustRightInd w:val="0"/>
              <w:snapToGrid w:val="0"/>
              <w:jc w:val="center"/>
              <w:rPr>
                <w:bCs/>
                <w:szCs w:val="21"/>
              </w:rPr>
            </w:pPr>
            <w:r>
              <w:rPr>
                <w:bCs/>
                <w:szCs w:val="21"/>
              </w:rPr>
              <w:t>污水处理系统</w:t>
            </w:r>
          </w:p>
        </w:tc>
        <w:tc>
          <w:tcPr>
            <w:tcW w:w="2695" w:type="dxa"/>
            <w:noWrap w:val="0"/>
            <w:vAlign w:val="center"/>
          </w:tcPr>
          <w:p>
            <w:pPr>
              <w:jc w:val="center"/>
              <w:rPr>
                <w:bCs/>
              </w:rPr>
            </w:pPr>
            <w:r>
              <w:rPr>
                <w:bCs/>
                <w:szCs w:val="21"/>
              </w:rPr>
              <w:t>加强管理，</w:t>
            </w:r>
            <w:r>
              <w:rPr>
                <w:bCs/>
              </w:rPr>
              <w:t>喷洒除臭剂，周边绿化</w:t>
            </w:r>
          </w:p>
        </w:tc>
        <w:tc>
          <w:tcPr>
            <w:tcW w:w="2977" w:type="dxa"/>
            <w:noWrap w:val="0"/>
            <w:vAlign w:val="center"/>
          </w:tcPr>
          <w:p>
            <w:pPr>
              <w:adjustRightInd w:val="0"/>
              <w:snapToGrid w:val="0"/>
              <w:jc w:val="center"/>
              <w:rPr>
                <w:bCs/>
                <w:szCs w:val="21"/>
              </w:rPr>
            </w:pPr>
            <w:r>
              <w:rPr>
                <w:bCs/>
                <w:szCs w:val="21"/>
              </w:rPr>
              <w:t>对操作人员强化培训，并配合喷洒除臭剂，喷洒频率为：污水</w:t>
            </w:r>
            <w:r>
              <w:rPr>
                <w:rFonts w:hint="eastAsia"/>
                <w:bCs/>
                <w:szCs w:val="21"/>
              </w:rPr>
              <w:t>前处理</w:t>
            </w:r>
            <w:r>
              <w:rPr>
                <w:bCs/>
                <w:szCs w:val="21"/>
              </w:rPr>
              <w:t>系统连续喷洒3天每天喷洒一次，之后每隔5天喷洒一次</w:t>
            </w:r>
          </w:p>
        </w:tc>
        <w:tc>
          <w:tcPr>
            <w:tcW w:w="1183" w:type="dxa"/>
            <w:vMerge w:val="continue"/>
            <w:noWrap w:val="0"/>
            <w:vAlign w:val="center"/>
          </w:tcPr>
          <w:p>
            <w:pPr>
              <w:adjustRightInd w:val="0"/>
              <w:snapToGrid w:val="0"/>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6" w:type="dxa"/>
            <w:noWrap w:val="0"/>
            <w:vAlign w:val="center"/>
          </w:tcPr>
          <w:p>
            <w:pPr>
              <w:adjustRightInd w:val="0"/>
              <w:snapToGrid w:val="0"/>
              <w:jc w:val="center"/>
              <w:rPr>
                <w:bCs/>
                <w:szCs w:val="21"/>
              </w:rPr>
            </w:pPr>
            <w:r>
              <w:rPr>
                <w:bCs/>
                <w:szCs w:val="21"/>
              </w:rPr>
              <w:t>4</w:t>
            </w:r>
          </w:p>
        </w:tc>
        <w:tc>
          <w:tcPr>
            <w:tcW w:w="1515" w:type="dxa"/>
            <w:noWrap w:val="0"/>
            <w:vAlign w:val="center"/>
          </w:tcPr>
          <w:p>
            <w:pPr>
              <w:adjustRightInd w:val="0"/>
              <w:snapToGrid w:val="0"/>
              <w:jc w:val="center"/>
              <w:rPr>
                <w:bCs/>
                <w:szCs w:val="21"/>
              </w:rPr>
            </w:pPr>
            <w:r>
              <w:rPr>
                <w:bCs/>
                <w:szCs w:val="21"/>
              </w:rPr>
              <w:t>沼液储存池</w:t>
            </w:r>
          </w:p>
        </w:tc>
        <w:tc>
          <w:tcPr>
            <w:tcW w:w="2695" w:type="dxa"/>
            <w:noWrap w:val="0"/>
            <w:vAlign w:val="center"/>
          </w:tcPr>
          <w:p>
            <w:pPr>
              <w:jc w:val="center"/>
              <w:rPr>
                <w:bCs/>
              </w:rPr>
            </w:pPr>
            <w:r>
              <w:rPr>
                <w:bCs/>
              </w:rPr>
              <w:t>四周设置绿化</w:t>
            </w:r>
          </w:p>
        </w:tc>
        <w:tc>
          <w:tcPr>
            <w:tcW w:w="2977" w:type="dxa"/>
            <w:noWrap w:val="0"/>
            <w:vAlign w:val="center"/>
          </w:tcPr>
          <w:p>
            <w:pPr>
              <w:adjustRightInd w:val="0"/>
              <w:snapToGrid w:val="0"/>
              <w:jc w:val="center"/>
              <w:rPr>
                <w:bCs/>
                <w:szCs w:val="21"/>
              </w:rPr>
            </w:pPr>
            <w:r>
              <w:rPr>
                <w:bCs/>
                <w:szCs w:val="21"/>
              </w:rPr>
              <w:t>四周设置绿化，主要种植草木、灌木、乔木等间隔立体绿化</w:t>
            </w:r>
          </w:p>
        </w:tc>
        <w:tc>
          <w:tcPr>
            <w:tcW w:w="1183" w:type="dxa"/>
            <w:vMerge w:val="continue"/>
            <w:noWrap w:val="0"/>
            <w:vAlign w:val="center"/>
          </w:tcPr>
          <w:p>
            <w:pPr>
              <w:adjustRightInd w:val="0"/>
              <w:snapToGrid w:val="0"/>
              <w:jc w:val="center"/>
              <w:rPr>
                <w:bCs/>
                <w:szCs w:val="21"/>
              </w:rPr>
            </w:pPr>
          </w:p>
        </w:tc>
      </w:tr>
    </w:tbl>
    <w:p>
      <w:pPr>
        <w:snapToGrid w:val="0"/>
        <w:spacing w:line="520" w:lineRule="exact"/>
        <w:ind w:firstLine="480" w:firstLineChars="200"/>
        <w:rPr>
          <w:sz w:val="24"/>
        </w:rPr>
      </w:pPr>
      <w:r>
        <w:rPr>
          <w:sz w:val="24"/>
        </w:rPr>
        <w:t>采用上述措施治理后，可有效减轻项目恶臭污染影响，评价预测场界排放臭气浓度能够满足《畜禽养殖业污染物排放标准》（GB18596－2001）中表7要求，并在场界外设置100m卫生防护距离，</w:t>
      </w:r>
      <w:r>
        <w:rPr>
          <w:kern w:val="0"/>
          <w:sz w:val="24"/>
          <w:lang w:bidi="ar"/>
        </w:rPr>
        <w:t>卫生防护距离内无敏感点存在，根据《畜禽养殖技术规范》防护距离需要500m，最终设置防护距离为500m，</w:t>
      </w:r>
      <w:r>
        <w:rPr>
          <w:sz w:val="24"/>
        </w:rPr>
        <w:t>在防护距离内不得新建学校、医院、居民区等环境敏感点。</w:t>
      </w:r>
    </w:p>
    <w:p>
      <w:pPr>
        <w:snapToGrid w:val="0"/>
        <w:spacing w:line="520" w:lineRule="exact"/>
        <w:ind w:firstLine="480" w:firstLineChars="200"/>
        <w:rPr>
          <w:sz w:val="24"/>
        </w:rPr>
      </w:pPr>
      <w:r>
        <w:rPr>
          <w:sz w:val="24"/>
        </w:rPr>
        <w:t>因此采用喷洒除臭剂、设置绿化的方式可有效去除恶臭，达到减降目的。</w:t>
      </w:r>
    </w:p>
    <w:p>
      <w:pPr>
        <w:spacing w:line="500" w:lineRule="exact"/>
        <w:ind w:firstLine="480" w:firstLineChars="200"/>
        <w:rPr>
          <w:rFonts w:hint="eastAsia" w:hAnsi="宋体"/>
          <w:sz w:val="24"/>
        </w:rPr>
      </w:pPr>
      <w:r>
        <w:rPr>
          <w:kern w:val="0"/>
          <w:sz w:val="24"/>
          <w:lang w:bidi="ar"/>
        </w:rPr>
        <w:t>（</w:t>
      </w:r>
      <w:r>
        <w:rPr>
          <w:rFonts w:hint="eastAsia"/>
          <w:kern w:val="0"/>
          <w:sz w:val="24"/>
          <w:lang w:bidi="ar"/>
        </w:rPr>
        <w:t>3</w:t>
      </w:r>
      <w:r>
        <w:rPr>
          <w:kern w:val="0"/>
          <w:sz w:val="24"/>
          <w:lang w:bidi="ar"/>
        </w:rPr>
        <w:t>）</w:t>
      </w:r>
      <w:r>
        <w:rPr>
          <w:rFonts w:hint="eastAsia"/>
          <w:kern w:val="0"/>
          <w:sz w:val="24"/>
          <w:lang w:bidi="ar"/>
        </w:rPr>
        <w:t>除臭工程措施的可行性分析</w:t>
      </w:r>
    </w:p>
    <w:p>
      <w:pPr>
        <w:snapToGrid w:val="0"/>
        <w:spacing w:line="520" w:lineRule="exact"/>
        <w:ind w:firstLine="480" w:firstLineChars="200"/>
        <w:rPr>
          <w:rFonts w:hint="eastAsia" w:hAnsi="宋体"/>
          <w:sz w:val="24"/>
        </w:rPr>
      </w:pPr>
      <w:r>
        <w:rPr>
          <w:rFonts w:hint="eastAsia"/>
          <w:sz w:val="24"/>
        </w:rPr>
        <w:t>本项目除臭工程污染防治措施与《畜禽养殖业污染治理工程技术规范》</w:t>
      </w:r>
      <w:r>
        <w:rPr>
          <w:rFonts w:hAnsi="宋体"/>
          <w:sz w:val="24"/>
        </w:rPr>
        <w:t>（</w:t>
      </w:r>
      <w:r>
        <w:rPr>
          <w:sz w:val="24"/>
        </w:rPr>
        <w:t>HT497-2009</w:t>
      </w:r>
      <w:r>
        <w:rPr>
          <w:rFonts w:hAnsi="宋体"/>
          <w:sz w:val="24"/>
        </w:rPr>
        <w:t>）</w:t>
      </w:r>
      <w:r>
        <w:rPr>
          <w:rFonts w:hint="eastAsia" w:hAnsi="宋体"/>
          <w:sz w:val="24"/>
        </w:rPr>
        <w:t>的相符性见下表。</w:t>
      </w:r>
    </w:p>
    <w:p>
      <w:pPr>
        <w:spacing w:after="93" w:afterLines="30" w:line="500" w:lineRule="exact"/>
        <w:jc w:val="center"/>
        <w:rPr>
          <w:b/>
          <w:kern w:val="0"/>
          <w:sz w:val="24"/>
          <w:lang w:bidi="ar"/>
        </w:rPr>
      </w:pPr>
      <w:r>
        <w:rPr>
          <w:b/>
          <w:kern w:val="0"/>
          <w:sz w:val="24"/>
          <w:lang w:bidi="ar"/>
        </w:rPr>
        <w:t>表5.2-11    项目</w:t>
      </w:r>
      <w:r>
        <w:rPr>
          <w:rFonts w:hint="eastAsia"/>
          <w:b/>
          <w:kern w:val="0"/>
          <w:sz w:val="24"/>
          <w:lang w:bidi="ar"/>
        </w:rPr>
        <w:t>恶臭工程</w:t>
      </w:r>
      <w:r>
        <w:rPr>
          <w:b/>
          <w:kern w:val="0"/>
          <w:sz w:val="24"/>
          <w:lang w:bidi="ar"/>
        </w:rPr>
        <w:t>污染防治措施一览表</w:t>
      </w:r>
    </w:p>
    <w:tbl>
      <w:tblPr>
        <w:tblStyle w:val="17"/>
        <w:tblW w:w="9321"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76"/>
        <w:gridCol w:w="1515"/>
        <w:gridCol w:w="2977"/>
        <w:gridCol w:w="2977"/>
        <w:gridCol w:w="127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576" w:type="dxa"/>
            <w:noWrap w:val="0"/>
            <w:vAlign w:val="center"/>
          </w:tcPr>
          <w:p>
            <w:pPr>
              <w:adjustRightInd w:val="0"/>
              <w:snapToGrid w:val="0"/>
              <w:jc w:val="center"/>
              <w:rPr>
                <w:bCs/>
                <w:szCs w:val="21"/>
              </w:rPr>
            </w:pPr>
            <w:r>
              <w:rPr>
                <w:bCs/>
                <w:szCs w:val="21"/>
              </w:rPr>
              <w:t>序号</w:t>
            </w:r>
          </w:p>
        </w:tc>
        <w:tc>
          <w:tcPr>
            <w:tcW w:w="1515" w:type="dxa"/>
            <w:noWrap w:val="0"/>
            <w:vAlign w:val="center"/>
          </w:tcPr>
          <w:p>
            <w:pPr>
              <w:adjustRightInd w:val="0"/>
              <w:snapToGrid w:val="0"/>
              <w:jc w:val="center"/>
              <w:rPr>
                <w:bCs/>
                <w:szCs w:val="21"/>
              </w:rPr>
            </w:pPr>
            <w:r>
              <w:rPr>
                <w:bCs/>
                <w:szCs w:val="21"/>
              </w:rPr>
              <w:t>排放源</w:t>
            </w:r>
          </w:p>
        </w:tc>
        <w:tc>
          <w:tcPr>
            <w:tcW w:w="2977" w:type="dxa"/>
            <w:noWrap w:val="0"/>
            <w:vAlign w:val="center"/>
          </w:tcPr>
          <w:p>
            <w:pPr>
              <w:adjustRightInd w:val="0"/>
              <w:snapToGrid w:val="0"/>
              <w:jc w:val="center"/>
              <w:rPr>
                <w:rFonts w:hint="eastAsia"/>
                <w:bCs/>
                <w:szCs w:val="21"/>
              </w:rPr>
            </w:pPr>
            <w:r>
              <w:rPr>
                <w:rFonts w:hint="eastAsia"/>
                <w:bCs/>
                <w:szCs w:val="21"/>
              </w:rPr>
              <w:t>《畜禽养殖业污染治理工程技术规范》（HT497-2009）</w:t>
            </w:r>
          </w:p>
          <w:p>
            <w:pPr>
              <w:adjustRightInd w:val="0"/>
              <w:snapToGrid w:val="0"/>
              <w:jc w:val="center"/>
              <w:rPr>
                <w:bCs/>
                <w:szCs w:val="21"/>
              </w:rPr>
            </w:pPr>
            <w:r>
              <w:rPr>
                <w:rFonts w:hint="eastAsia"/>
                <w:bCs/>
                <w:szCs w:val="21"/>
              </w:rPr>
              <w:t>恶臭控制要求</w:t>
            </w:r>
          </w:p>
        </w:tc>
        <w:tc>
          <w:tcPr>
            <w:tcW w:w="2977" w:type="dxa"/>
            <w:noWrap w:val="0"/>
            <w:vAlign w:val="center"/>
          </w:tcPr>
          <w:p>
            <w:pPr>
              <w:adjustRightInd w:val="0"/>
              <w:snapToGrid w:val="0"/>
              <w:jc w:val="center"/>
              <w:rPr>
                <w:rFonts w:hint="eastAsia"/>
                <w:bCs/>
                <w:szCs w:val="21"/>
              </w:rPr>
            </w:pPr>
            <w:r>
              <w:rPr>
                <w:rFonts w:hint="eastAsia"/>
                <w:bCs/>
                <w:szCs w:val="21"/>
              </w:rPr>
              <w:t>本项目恶臭工程</w:t>
            </w:r>
          </w:p>
          <w:p>
            <w:pPr>
              <w:adjustRightInd w:val="0"/>
              <w:snapToGrid w:val="0"/>
              <w:jc w:val="center"/>
              <w:rPr>
                <w:bCs/>
                <w:szCs w:val="21"/>
              </w:rPr>
            </w:pPr>
            <w:r>
              <w:rPr>
                <w:rFonts w:hint="eastAsia"/>
                <w:bCs/>
                <w:szCs w:val="21"/>
              </w:rPr>
              <w:t>污染</w:t>
            </w:r>
            <w:r>
              <w:rPr>
                <w:bCs/>
                <w:szCs w:val="21"/>
              </w:rPr>
              <w:t>防治措施</w:t>
            </w:r>
          </w:p>
        </w:tc>
        <w:tc>
          <w:tcPr>
            <w:tcW w:w="1276" w:type="dxa"/>
            <w:noWrap w:val="0"/>
            <w:vAlign w:val="center"/>
          </w:tcPr>
          <w:p>
            <w:pPr>
              <w:adjustRightInd w:val="0"/>
              <w:snapToGrid w:val="0"/>
              <w:jc w:val="center"/>
              <w:rPr>
                <w:rFonts w:hint="eastAsia"/>
                <w:bCs/>
                <w:szCs w:val="21"/>
              </w:rPr>
            </w:pPr>
            <w:r>
              <w:rPr>
                <w:rFonts w:hint="eastAsia"/>
                <w:bCs/>
                <w:szCs w:val="21"/>
              </w:rPr>
              <w:t>相符性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6" w:type="dxa"/>
            <w:noWrap w:val="0"/>
            <w:vAlign w:val="center"/>
          </w:tcPr>
          <w:p>
            <w:pPr>
              <w:adjustRightInd w:val="0"/>
              <w:snapToGrid w:val="0"/>
              <w:jc w:val="center"/>
              <w:rPr>
                <w:bCs/>
                <w:szCs w:val="21"/>
              </w:rPr>
            </w:pPr>
            <w:r>
              <w:rPr>
                <w:bCs/>
                <w:szCs w:val="21"/>
              </w:rPr>
              <w:t>1</w:t>
            </w:r>
          </w:p>
        </w:tc>
        <w:tc>
          <w:tcPr>
            <w:tcW w:w="1515" w:type="dxa"/>
            <w:noWrap w:val="0"/>
            <w:vAlign w:val="center"/>
          </w:tcPr>
          <w:p>
            <w:pPr>
              <w:adjustRightInd w:val="0"/>
              <w:snapToGrid w:val="0"/>
              <w:jc w:val="center"/>
              <w:rPr>
                <w:bCs/>
                <w:szCs w:val="21"/>
              </w:rPr>
            </w:pPr>
            <w:r>
              <w:rPr>
                <w:rFonts w:hint="eastAsia"/>
                <w:bCs/>
                <w:szCs w:val="21"/>
              </w:rPr>
              <w:t>养殖场区</w:t>
            </w:r>
          </w:p>
        </w:tc>
        <w:tc>
          <w:tcPr>
            <w:tcW w:w="2977" w:type="dxa"/>
            <w:noWrap w:val="0"/>
            <w:vAlign w:val="center"/>
          </w:tcPr>
          <w:p>
            <w:pPr>
              <w:adjustRightInd w:val="0"/>
              <w:snapToGrid w:val="0"/>
              <w:jc w:val="center"/>
              <w:rPr>
                <w:rFonts w:hint="eastAsia"/>
                <w:bCs/>
                <w:szCs w:val="21"/>
              </w:rPr>
            </w:pPr>
            <w:r>
              <w:rPr>
                <w:rFonts w:hint="eastAsia"/>
                <w:bCs/>
                <w:szCs w:val="21"/>
              </w:rPr>
              <w:t>1、应通过控制饲养密度、加强舍内通风、采用节水型饮水器、及时清粪、绿化等措施抑制或减少臭气的产生；</w:t>
            </w:r>
          </w:p>
          <w:p>
            <w:pPr>
              <w:adjustRightInd w:val="0"/>
              <w:snapToGrid w:val="0"/>
              <w:jc w:val="center"/>
              <w:rPr>
                <w:bCs/>
                <w:szCs w:val="21"/>
              </w:rPr>
            </w:pPr>
            <w:r>
              <w:rPr>
                <w:rFonts w:hint="eastAsia"/>
                <w:bCs/>
                <w:szCs w:val="21"/>
              </w:rPr>
              <w:t>2、恶臭污染物的排放浓度应符合GB18596-2001的规定。</w:t>
            </w:r>
          </w:p>
        </w:tc>
        <w:tc>
          <w:tcPr>
            <w:tcW w:w="2977" w:type="dxa"/>
            <w:noWrap w:val="0"/>
            <w:vAlign w:val="center"/>
          </w:tcPr>
          <w:p>
            <w:pPr>
              <w:adjustRightInd w:val="0"/>
              <w:snapToGrid w:val="0"/>
              <w:jc w:val="center"/>
              <w:rPr>
                <w:rFonts w:hint="eastAsia"/>
                <w:kern w:val="0"/>
                <w:szCs w:val="21"/>
                <w:lang w:bidi="ar"/>
              </w:rPr>
            </w:pPr>
            <w:r>
              <w:rPr>
                <w:rFonts w:hint="eastAsia"/>
                <w:kern w:val="0"/>
                <w:szCs w:val="21"/>
                <w:lang w:bidi="ar"/>
              </w:rPr>
              <w:t>1、</w:t>
            </w:r>
            <w:r>
              <w:rPr>
                <w:kern w:val="0"/>
                <w:szCs w:val="21"/>
                <w:lang w:bidi="ar"/>
              </w:rPr>
              <w:t>控制</w:t>
            </w:r>
            <w:r>
              <w:rPr>
                <w:rFonts w:hint="eastAsia"/>
                <w:kern w:val="0"/>
                <w:szCs w:val="21"/>
                <w:lang w:bidi="ar"/>
              </w:rPr>
              <w:t>饲养</w:t>
            </w:r>
            <w:r>
              <w:rPr>
                <w:kern w:val="0"/>
                <w:szCs w:val="21"/>
                <w:lang w:bidi="ar"/>
              </w:rPr>
              <w:t>密度；</w:t>
            </w:r>
            <w:r>
              <w:rPr>
                <w:rFonts w:hint="eastAsia"/>
                <w:bCs/>
                <w:szCs w:val="21"/>
              </w:rPr>
              <w:t>采用节水型饮水器、采用漏缝板做到及时清粪、</w:t>
            </w:r>
            <w:r>
              <w:rPr>
                <w:rFonts w:hint="eastAsia"/>
                <w:kern w:val="0"/>
                <w:szCs w:val="21"/>
                <w:lang w:bidi="ar"/>
              </w:rPr>
              <w:t>周边</w:t>
            </w:r>
            <w:r>
              <w:rPr>
                <w:kern w:val="0"/>
                <w:szCs w:val="21"/>
                <w:lang w:bidi="ar"/>
              </w:rPr>
              <w:t>喷洒除臭剂，</w:t>
            </w:r>
            <w:r>
              <w:rPr>
                <w:rFonts w:hint="eastAsia"/>
                <w:kern w:val="0"/>
                <w:szCs w:val="21"/>
                <w:lang w:bidi="ar"/>
              </w:rPr>
              <w:t>周边加</w:t>
            </w:r>
            <w:r>
              <w:rPr>
                <w:kern w:val="0"/>
                <w:szCs w:val="21"/>
                <w:lang w:bidi="ar"/>
              </w:rPr>
              <w:t>强绿化</w:t>
            </w:r>
            <w:r>
              <w:rPr>
                <w:rFonts w:hint="eastAsia"/>
                <w:kern w:val="0"/>
                <w:szCs w:val="21"/>
                <w:lang w:bidi="ar"/>
              </w:rPr>
              <w:t>；</w:t>
            </w:r>
          </w:p>
          <w:p>
            <w:pPr>
              <w:adjustRightInd w:val="0"/>
              <w:snapToGrid w:val="0"/>
              <w:jc w:val="center"/>
              <w:rPr>
                <w:bCs/>
                <w:szCs w:val="21"/>
              </w:rPr>
            </w:pPr>
            <w:r>
              <w:rPr>
                <w:rFonts w:hint="eastAsia"/>
                <w:bCs/>
                <w:szCs w:val="21"/>
              </w:rPr>
              <w:t>2、恶臭污染物的排放浓度满足《畜禽养殖业污染物排放标准》（GB18596-2001）的要求。</w:t>
            </w:r>
          </w:p>
        </w:tc>
        <w:tc>
          <w:tcPr>
            <w:tcW w:w="1276" w:type="dxa"/>
            <w:noWrap w:val="0"/>
            <w:vAlign w:val="center"/>
          </w:tcPr>
          <w:p>
            <w:pPr>
              <w:adjustRightInd w:val="0"/>
              <w:snapToGrid w:val="0"/>
              <w:jc w:val="center"/>
              <w:rPr>
                <w:rFonts w:hint="eastAsia"/>
                <w:kern w:val="0"/>
                <w:szCs w:val="21"/>
                <w:lang w:bidi="ar"/>
              </w:rPr>
            </w:pPr>
            <w:r>
              <w:rPr>
                <w:rFonts w:hint="eastAsia"/>
                <w:bCs/>
                <w:szCs w:val="21"/>
              </w:rPr>
              <w:t>符合要求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14" w:hRule="atLeast"/>
          <w:jc w:val="center"/>
        </w:trPr>
        <w:tc>
          <w:tcPr>
            <w:tcW w:w="576" w:type="dxa"/>
            <w:noWrap w:val="0"/>
            <w:vAlign w:val="center"/>
          </w:tcPr>
          <w:p>
            <w:pPr>
              <w:adjustRightInd w:val="0"/>
              <w:snapToGrid w:val="0"/>
              <w:jc w:val="center"/>
              <w:rPr>
                <w:bCs/>
                <w:szCs w:val="21"/>
              </w:rPr>
            </w:pPr>
            <w:r>
              <w:rPr>
                <w:bCs/>
                <w:szCs w:val="21"/>
              </w:rPr>
              <w:t>2</w:t>
            </w:r>
          </w:p>
        </w:tc>
        <w:tc>
          <w:tcPr>
            <w:tcW w:w="1515" w:type="dxa"/>
            <w:noWrap w:val="0"/>
            <w:vAlign w:val="center"/>
          </w:tcPr>
          <w:p>
            <w:pPr>
              <w:adjustRightInd w:val="0"/>
              <w:snapToGrid w:val="0"/>
              <w:jc w:val="center"/>
              <w:rPr>
                <w:rFonts w:hint="eastAsia"/>
                <w:bCs/>
                <w:szCs w:val="21"/>
              </w:rPr>
            </w:pPr>
            <w:r>
              <w:rPr>
                <w:bCs/>
                <w:szCs w:val="21"/>
              </w:rPr>
              <w:t>堆肥区</w:t>
            </w:r>
          </w:p>
        </w:tc>
        <w:tc>
          <w:tcPr>
            <w:tcW w:w="2977" w:type="dxa"/>
            <w:vMerge w:val="restart"/>
            <w:noWrap w:val="0"/>
            <w:vAlign w:val="center"/>
          </w:tcPr>
          <w:p>
            <w:pPr>
              <w:adjustRightInd w:val="0"/>
              <w:snapToGrid w:val="0"/>
              <w:jc w:val="center"/>
              <w:rPr>
                <w:rFonts w:hint="eastAsia"/>
                <w:bCs/>
                <w:szCs w:val="21"/>
              </w:rPr>
            </w:pPr>
            <w:r>
              <w:rPr>
                <w:rFonts w:hint="eastAsia"/>
                <w:bCs/>
                <w:szCs w:val="21"/>
              </w:rPr>
              <w:t>1、粪污处理各工艺单元宜设计为密闭形式，减少恶臭对周围环境的污染；</w:t>
            </w:r>
          </w:p>
          <w:p>
            <w:pPr>
              <w:adjustRightInd w:val="0"/>
              <w:snapToGrid w:val="0"/>
              <w:jc w:val="center"/>
              <w:rPr>
                <w:rFonts w:hint="eastAsia"/>
                <w:bCs/>
                <w:szCs w:val="21"/>
              </w:rPr>
            </w:pPr>
            <w:r>
              <w:rPr>
                <w:rFonts w:hint="eastAsia"/>
                <w:bCs/>
                <w:szCs w:val="21"/>
              </w:rPr>
              <w:t>2、密闭化的粪污处理厂（站）宜建恶臭集中处理设施，各工艺过程中产生的臭气集中处理后排放，排气筒高度不得低于15m；</w:t>
            </w:r>
          </w:p>
          <w:p>
            <w:pPr>
              <w:adjustRightInd w:val="0"/>
              <w:snapToGrid w:val="0"/>
              <w:jc w:val="center"/>
              <w:rPr>
                <w:bCs/>
                <w:szCs w:val="21"/>
              </w:rPr>
            </w:pPr>
            <w:r>
              <w:rPr>
                <w:rFonts w:hint="eastAsia"/>
                <w:bCs/>
                <w:szCs w:val="21"/>
              </w:rPr>
              <w:t>3、在集中式粪污处理厂的卸粪接口及固液分离设备等位置宜喷淋生化除臭剂；</w:t>
            </w:r>
          </w:p>
        </w:tc>
        <w:tc>
          <w:tcPr>
            <w:tcW w:w="2977" w:type="dxa"/>
            <w:noWrap w:val="0"/>
            <w:vAlign w:val="center"/>
          </w:tcPr>
          <w:p>
            <w:pPr>
              <w:adjustRightInd w:val="0"/>
              <w:snapToGrid w:val="0"/>
              <w:jc w:val="center"/>
              <w:rPr>
                <w:bCs/>
              </w:rPr>
            </w:pPr>
            <w:r>
              <w:rPr>
                <w:bCs/>
                <w:szCs w:val="21"/>
              </w:rPr>
              <w:t>设置顶棚，</w:t>
            </w:r>
            <w:r>
              <w:rPr>
                <w:rFonts w:hint="eastAsia"/>
                <w:bCs/>
                <w:szCs w:val="21"/>
              </w:rPr>
              <w:t>四面</w:t>
            </w:r>
            <w:r>
              <w:rPr>
                <w:bCs/>
                <w:szCs w:val="21"/>
              </w:rPr>
              <w:t>设置围墙</w:t>
            </w:r>
            <w:r>
              <w:rPr>
                <w:rFonts w:hint="eastAsia"/>
                <w:bCs/>
                <w:szCs w:val="21"/>
              </w:rPr>
              <w:t>，</w:t>
            </w:r>
            <w:r>
              <w:rPr>
                <w:bCs/>
                <w:szCs w:val="21"/>
              </w:rPr>
              <w:t>一面供运输车辆出入</w:t>
            </w:r>
            <w:r>
              <w:rPr>
                <w:rFonts w:hint="eastAsia"/>
                <w:bCs/>
                <w:szCs w:val="21"/>
              </w:rPr>
              <w:t>，</w:t>
            </w:r>
            <w:r>
              <w:rPr>
                <w:kern w:val="0"/>
                <w:szCs w:val="21"/>
                <w:lang w:bidi="ar"/>
              </w:rPr>
              <w:t>周边喷洒除臭剂，加强绿化</w:t>
            </w:r>
          </w:p>
        </w:tc>
        <w:tc>
          <w:tcPr>
            <w:tcW w:w="1276" w:type="dxa"/>
            <w:noWrap w:val="0"/>
            <w:vAlign w:val="center"/>
          </w:tcPr>
          <w:p>
            <w:pPr>
              <w:adjustRightInd w:val="0"/>
              <w:snapToGrid w:val="0"/>
              <w:jc w:val="center"/>
              <w:rPr>
                <w:bCs/>
                <w:szCs w:val="21"/>
              </w:rPr>
            </w:pPr>
            <w:r>
              <w:rPr>
                <w:rFonts w:hint="eastAsia"/>
                <w:bCs/>
                <w:szCs w:val="21"/>
              </w:rPr>
              <w:t>符合要求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76" w:type="dxa"/>
            <w:noWrap w:val="0"/>
            <w:vAlign w:val="center"/>
          </w:tcPr>
          <w:p>
            <w:pPr>
              <w:adjustRightInd w:val="0"/>
              <w:snapToGrid w:val="0"/>
              <w:jc w:val="center"/>
              <w:rPr>
                <w:bCs/>
                <w:szCs w:val="21"/>
              </w:rPr>
            </w:pPr>
            <w:r>
              <w:rPr>
                <w:bCs/>
                <w:szCs w:val="21"/>
              </w:rPr>
              <w:t>3</w:t>
            </w:r>
          </w:p>
        </w:tc>
        <w:tc>
          <w:tcPr>
            <w:tcW w:w="1515" w:type="dxa"/>
            <w:noWrap w:val="0"/>
            <w:vAlign w:val="center"/>
          </w:tcPr>
          <w:p>
            <w:pPr>
              <w:adjustRightInd w:val="0"/>
              <w:snapToGrid w:val="0"/>
              <w:jc w:val="center"/>
              <w:rPr>
                <w:bCs/>
                <w:szCs w:val="21"/>
              </w:rPr>
            </w:pPr>
            <w:r>
              <w:rPr>
                <w:bCs/>
                <w:szCs w:val="21"/>
              </w:rPr>
              <w:t>污水处理系统</w:t>
            </w:r>
          </w:p>
        </w:tc>
        <w:tc>
          <w:tcPr>
            <w:tcW w:w="2977" w:type="dxa"/>
            <w:vMerge w:val="continue"/>
            <w:noWrap w:val="0"/>
            <w:vAlign w:val="center"/>
          </w:tcPr>
          <w:p>
            <w:pPr>
              <w:adjustRightInd w:val="0"/>
              <w:snapToGrid w:val="0"/>
              <w:jc w:val="center"/>
              <w:rPr>
                <w:bCs/>
                <w:szCs w:val="21"/>
              </w:rPr>
            </w:pPr>
          </w:p>
        </w:tc>
        <w:tc>
          <w:tcPr>
            <w:tcW w:w="2977" w:type="dxa"/>
            <w:noWrap w:val="0"/>
            <w:vAlign w:val="center"/>
          </w:tcPr>
          <w:p>
            <w:pPr>
              <w:jc w:val="center"/>
              <w:rPr>
                <w:bCs/>
              </w:rPr>
            </w:pPr>
            <w:r>
              <w:rPr>
                <w:bCs/>
                <w:szCs w:val="21"/>
              </w:rPr>
              <w:t>加强管理，</w:t>
            </w:r>
            <w:r>
              <w:rPr>
                <w:rFonts w:hint="eastAsia"/>
                <w:bCs/>
                <w:szCs w:val="21"/>
              </w:rPr>
              <w:t>在固液分离设备等位置</w:t>
            </w:r>
            <w:r>
              <w:rPr>
                <w:bCs/>
              </w:rPr>
              <w:t>喷洒</w:t>
            </w:r>
            <w:r>
              <w:rPr>
                <w:rFonts w:hint="eastAsia"/>
                <w:bCs/>
              </w:rPr>
              <w:t>生物</w:t>
            </w:r>
            <w:r>
              <w:rPr>
                <w:bCs/>
              </w:rPr>
              <w:t>除臭剂，周边绿化</w:t>
            </w:r>
          </w:p>
        </w:tc>
        <w:tc>
          <w:tcPr>
            <w:tcW w:w="1276" w:type="dxa"/>
            <w:noWrap w:val="0"/>
            <w:vAlign w:val="center"/>
          </w:tcPr>
          <w:p>
            <w:pPr>
              <w:jc w:val="center"/>
              <w:rPr>
                <w:bCs/>
                <w:szCs w:val="21"/>
              </w:rPr>
            </w:pPr>
            <w:r>
              <w:rPr>
                <w:rFonts w:hint="eastAsia"/>
                <w:bCs/>
                <w:szCs w:val="21"/>
              </w:rPr>
              <w:t>符合要求</w:t>
            </w:r>
          </w:p>
        </w:tc>
      </w:tr>
    </w:tbl>
    <w:p>
      <w:pPr>
        <w:snapToGrid w:val="0"/>
        <w:spacing w:line="520" w:lineRule="exact"/>
        <w:ind w:firstLine="480" w:firstLineChars="200"/>
        <w:rPr>
          <w:rFonts w:hint="eastAsia" w:hAnsi="宋体"/>
          <w:sz w:val="24"/>
        </w:rPr>
      </w:pPr>
      <w:r>
        <w:rPr>
          <w:rFonts w:hint="eastAsia"/>
          <w:sz w:val="24"/>
        </w:rPr>
        <w:t>根据《畜禽养殖业污染治理工程技术规范》</w:t>
      </w:r>
      <w:r>
        <w:rPr>
          <w:rFonts w:hAnsi="宋体"/>
          <w:sz w:val="24"/>
        </w:rPr>
        <w:t>（</w:t>
      </w:r>
      <w:r>
        <w:rPr>
          <w:sz w:val="24"/>
        </w:rPr>
        <w:t>HT497-2009</w:t>
      </w:r>
      <w:r>
        <w:rPr>
          <w:rFonts w:hAnsi="宋体"/>
          <w:sz w:val="24"/>
        </w:rPr>
        <w:t>）</w:t>
      </w:r>
      <w:r>
        <w:rPr>
          <w:rFonts w:hint="eastAsia" w:hAnsi="宋体"/>
          <w:sz w:val="24"/>
        </w:rPr>
        <w:t>的要求，对恶臭控制还可采取：</w:t>
      </w:r>
    </w:p>
    <w:p>
      <w:pPr>
        <w:snapToGrid w:val="0"/>
        <w:spacing w:line="520" w:lineRule="exact"/>
        <w:ind w:firstLine="480" w:firstLineChars="200"/>
        <w:rPr>
          <w:rFonts w:hint="eastAsia"/>
          <w:sz w:val="24"/>
        </w:rPr>
      </w:pPr>
      <w:r>
        <w:rPr>
          <w:rFonts w:hint="eastAsia" w:hAnsi="宋体"/>
          <w:sz w:val="24"/>
        </w:rPr>
        <w:t>1、</w:t>
      </w:r>
      <w:r>
        <w:rPr>
          <w:rFonts w:hint="eastAsia"/>
          <w:sz w:val="24"/>
        </w:rPr>
        <w:t>物理除臭，可采用向粪便或舍内投（铺）放吸附剂减少臭气的散发，宜采用的吸附剂有沸石，锯末、膨润土以及秸秆、泥炭等含纤维素和木质素较多的材料。</w:t>
      </w:r>
    </w:p>
    <w:p>
      <w:pPr>
        <w:snapToGrid w:val="0"/>
        <w:spacing w:line="520" w:lineRule="exact"/>
        <w:ind w:firstLine="480" w:firstLineChars="200"/>
        <w:rPr>
          <w:rFonts w:hint="eastAsia"/>
          <w:sz w:val="24"/>
        </w:rPr>
      </w:pPr>
      <w:r>
        <w:rPr>
          <w:rFonts w:hint="eastAsia"/>
          <w:sz w:val="24"/>
        </w:rPr>
        <w:t>2、化学除臭，可向养殖场区和粪污处理厂（站）投加或喷洒化学除臭剂消除或减少臭气的产生。</w:t>
      </w:r>
    </w:p>
    <w:p>
      <w:pPr>
        <w:snapToGrid w:val="0"/>
        <w:spacing w:line="520" w:lineRule="exact"/>
        <w:ind w:firstLine="480" w:firstLineChars="200"/>
        <w:rPr>
          <w:rFonts w:hint="eastAsia"/>
          <w:sz w:val="24"/>
        </w:rPr>
      </w:pPr>
      <w:r>
        <w:rPr>
          <w:rFonts w:hint="eastAsia"/>
          <w:sz w:val="24"/>
        </w:rPr>
        <w:t>3、生物除臭，宜采用的生物除臭措施有生物过滤法和生物洗涤法等。</w:t>
      </w:r>
    </w:p>
    <w:p>
      <w:pPr>
        <w:snapToGrid w:val="0"/>
        <w:spacing w:line="520" w:lineRule="exact"/>
        <w:ind w:firstLine="480" w:firstLineChars="200"/>
        <w:rPr>
          <w:rFonts w:hint="eastAsia" w:hAnsi="宋体"/>
          <w:b/>
          <w:sz w:val="24"/>
          <w:u w:val="single"/>
        </w:rPr>
      </w:pPr>
      <w:r>
        <w:rPr>
          <w:rFonts w:hint="eastAsia" w:hAnsi="宋体"/>
          <w:sz w:val="24"/>
        </w:rPr>
        <w:t>本项目通过日常向</w:t>
      </w:r>
      <w:r>
        <w:rPr>
          <w:rFonts w:hint="eastAsia"/>
          <w:sz w:val="24"/>
        </w:rPr>
        <w:t>养殖场区和粪污处理站（包括堆肥区和污水处理系统）喷洒植物型除臭剂；夏季高温天气，建议在沼气工程附近多用强氧化剂和杀菌剂等消除微生物产生的臭味或化学氧化臭味物质，满足《畜禽养殖业污染治理工程技术规范》</w:t>
      </w:r>
      <w:r>
        <w:rPr>
          <w:rFonts w:hAnsi="宋体"/>
          <w:sz w:val="24"/>
        </w:rPr>
        <w:t>（</w:t>
      </w:r>
      <w:r>
        <w:rPr>
          <w:sz w:val="24"/>
        </w:rPr>
        <w:t>HT497-2009</w:t>
      </w:r>
      <w:r>
        <w:rPr>
          <w:rFonts w:hAnsi="宋体"/>
          <w:sz w:val="24"/>
        </w:rPr>
        <w:t>）</w:t>
      </w:r>
      <w:r>
        <w:rPr>
          <w:rFonts w:hint="eastAsia" w:hAnsi="宋体"/>
          <w:sz w:val="24"/>
        </w:rPr>
        <w:t>的要求</w:t>
      </w:r>
      <w:r>
        <w:rPr>
          <w:rFonts w:hint="eastAsia"/>
          <w:sz w:val="24"/>
        </w:rPr>
        <w:t>。</w:t>
      </w:r>
    </w:p>
    <w:p>
      <w:pPr>
        <w:spacing w:line="520" w:lineRule="exact"/>
        <w:rPr>
          <w:b/>
          <w:sz w:val="24"/>
        </w:rPr>
      </w:pPr>
      <w:r>
        <w:rPr>
          <w:b/>
          <w:bCs/>
          <w:sz w:val="24"/>
        </w:rPr>
        <w:t>5.2.3.2</w:t>
      </w:r>
      <w:r>
        <w:rPr>
          <w:b/>
          <w:sz w:val="24"/>
        </w:rPr>
        <w:t>沼气</w:t>
      </w:r>
      <w:r>
        <w:rPr>
          <w:rFonts w:hint="eastAsia"/>
          <w:b/>
          <w:sz w:val="24"/>
        </w:rPr>
        <w:t>燃烧</w:t>
      </w:r>
      <w:r>
        <w:rPr>
          <w:b/>
          <w:sz w:val="24"/>
        </w:rPr>
        <w:t>废气</w:t>
      </w:r>
    </w:p>
    <w:p>
      <w:pPr>
        <w:widowControl/>
        <w:spacing w:line="520" w:lineRule="exact"/>
        <w:ind w:firstLine="480" w:firstLineChars="200"/>
        <w:rPr>
          <w:color w:val="000000"/>
          <w:sz w:val="24"/>
        </w:rPr>
      </w:pPr>
      <w:r>
        <w:rPr>
          <w:rFonts w:hAnsi="宋体"/>
          <w:sz w:val="24"/>
        </w:rPr>
        <w:t>项目沼气</w:t>
      </w:r>
      <w:r>
        <w:rPr>
          <w:rFonts w:hint="eastAsia" w:hAnsi="宋体"/>
          <w:sz w:val="24"/>
        </w:rPr>
        <w:t>火炬燃烧</w:t>
      </w:r>
      <w:r>
        <w:rPr>
          <w:rFonts w:hAnsi="宋体"/>
          <w:sz w:val="24"/>
        </w:rPr>
        <w:t>年排放废气量为</w:t>
      </w:r>
      <w:r>
        <w:rPr>
          <w:rFonts w:hint="eastAsia"/>
          <w:sz w:val="24"/>
        </w:rPr>
        <w:t>443339.6</w:t>
      </w:r>
      <w:r>
        <w:rPr>
          <w:sz w:val="24"/>
        </w:rPr>
        <w:t>m</w:t>
      </w:r>
      <w:r>
        <w:rPr>
          <w:sz w:val="24"/>
          <w:vertAlign w:val="superscript"/>
        </w:rPr>
        <w:t>3</w:t>
      </w:r>
      <w:r>
        <w:rPr>
          <w:sz w:val="24"/>
        </w:rPr>
        <w:t>/a</w:t>
      </w:r>
      <w:r>
        <w:rPr>
          <w:rFonts w:hAnsi="宋体"/>
          <w:sz w:val="24"/>
        </w:rPr>
        <w:t>，脱硫后的沼气燃烧废气中</w:t>
      </w:r>
      <w:r>
        <w:rPr>
          <w:sz w:val="24"/>
        </w:rPr>
        <w:t>SO</w:t>
      </w:r>
      <w:r>
        <w:rPr>
          <w:sz w:val="24"/>
          <w:vertAlign w:val="subscript"/>
        </w:rPr>
        <w:t>2</w:t>
      </w:r>
      <w:r>
        <w:rPr>
          <w:rFonts w:hAnsi="宋体"/>
          <w:sz w:val="24"/>
        </w:rPr>
        <w:t>排放量</w:t>
      </w:r>
      <w:r>
        <w:rPr>
          <w:rFonts w:hint="eastAsia"/>
          <w:sz w:val="24"/>
          <w:lang w:eastAsia="zh-CN"/>
        </w:rPr>
        <w:t>0.00089</w:t>
      </w:r>
      <w:r>
        <w:rPr>
          <w:sz w:val="24"/>
        </w:rPr>
        <w:t>t/a</w:t>
      </w:r>
      <w:r>
        <w:rPr>
          <w:rFonts w:hAnsi="宋体"/>
          <w:sz w:val="24"/>
        </w:rPr>
        <w:t>、</w:t>
      </w:r>
      <w:r>
        <w:rPr>
          <w:rFonts w:hint="eastAsia" w:hAnsi="宋体"/>
          <w:sz w:val="24"/>
        </w:rPr>
        <w:t>排放速率0.000</w:t>
      </w:r>
      <w:r>
        <w:rPr>
          <w:rFonts w:hint="eastAsia" w:hAnsi="宋体"/>
          <w:sz w:val="24"/>
          <w:lang w:val="en-US" w:eastAsia="zh-CN"/>
        </w:rPr>
        <w:t>6</w:t>
      </w:r>
      <w:r>
        <w:rPr>
          <w:rFonts w:hint="eastAsia" w:hAnsi="宋体"/>
          <w:sz w:val="24"/>
        </w:rPr>
        <w:t>kg/h，</w:t>
      </w:r>
      <w:r>
        <w:rPr>
          <w:rFonts w:hAnsi="宋体"/>
          <w:sz w:val="24"/>
        </w:rPr>
        <w:t>排放浓度为</w:t>
      </w:r>
      <w:r>
        <w:rPr>
          <w:rFonts w:hint="eastAsia"/>
          <w:sz w:val="24"/>
          <w:lang w:val="en-US" w:eastAsia="zh-CN"/>
        </w:rPr>
        <w:t>1.92</w:t>
      </w:r>
      <w:r>
        <w:rPr>
          <w:sz w:val="24"/>
        </w:rPr>
        <w:t>mg/m</w:t>
      </w:r>
      <w:r>
        <w:rPr>
          <w:sz w:val="24"/>
          <w:vertAlign w:val="superscript"/>
        </w:rPr>
        <w:t>3</w:t>
      </w:r>
      <w:r>
        <w:rPr>
          <w:rFonts w:hAnsi="宋体"/>
          <w:sz w:val="24"/>
        </w:rPr>
        <w:t>，</w:t>
      </w:r>
      <w:r>
        <w:rPr>
          <w:iCs/>
          <w:sz w:val="24"/>
        </w:rPr>
        <w:t>NO</w:t>
      </w:r>
      <w:r>
        <w:rPr>
          <w:iCs/>
          <w:sz w:val="24"/>
          <w:vertAlign w:val="subscript"/>
        </w:rPr>
        <w:t>X</w:t>
      </w:r>
      <w:r>
        <w:rPr>
          <w:rFonts w:hAnsi="宋体"/>
          <w:iCs/>
          <w:sz w:val="24"/>
        </w:rPr>
        <w:t>排放量为</w:t>
      </w:r>
      <w:r>
        <w:rPr>
          <w:rFonts w:hint="eastAsia"/>
          <w:iCs/>
          <w:sz w:val="24"/>
          <w:lang w:eastAsia="zh-CN"/>
        </w:rPr>
        <w:t>0.029</w:t>
      </w:r>
      <w:r>
        <w:rPr>
          <w:iCs/>
          <w:sz w:val="24"/>
        </w:rPr>
        <w:t>t/a</w:t>
      </w:r>
      <w:r>
        <w:rPr>
          <w:rFonts w:hAnsi="宋体"/>
          <w:iCs/>
          <w:sz w:val="24"/>
        </w:rPr>
        <w:t>，</w:t>
      </w:r>
      <w:r>
        <w:rPr>
          <w:rFonts w:hint="eastAsia" w:hAnsi="宋体"/>
          <w:iCs/>
          <w:sz w:val="24"/>
        </w:rPr>
        <w:t>排放速率0.0</w:t>
      </w:r>
      <w:r>
        <w:rPr>
          <w:rFonts w:hint="eastAsia" w:hAnsi="宋体"/>
          <w:iCs/>
          <w:sz w:val="24"/>
          <w:lang w:val="en-US" w:eastAsia="zh-CN"/>
        </w:rPr>
        <w:t>16</w:t>
      </w:r>
      <w:r>
        <w:rPr>
          <w:rFonts w:hint="eastAsia" w:hAnsi="宋体"/>
          <w:sz w:val="24"/>
        </w:rPr>
        <w:t>kg/h</w:t>
      </w:r>
      <w:r>
        <w:rPr>
          <w:rFonts w:hint="eastAsia" w:hAnsi="宋体"/>
          <w:iCs/>
          <w:sz w:val="24"/>
        </w:rPr>
        <w:t>，</w:t>
      </w:r>
      <w:r>
        <w:rPr>
          <w:rFonts w:hAnsi="宋体"/>
          <w:iCs/>
          <w:sz w:val="24"/>
        </w:rPr>
        <w:t>排放浓度为</w:t>
      </w:r>
      <w:r>
        <w:rPr>
          <w:rFonts w:hint="eastAsia"/>
          <w:sz w:val="24"/>
          <w:lang w:val="en-US" w:eastAsia="zh-CN"/>
        </w:rPr>
        <w:t>65.37</w:t>
      </w:r>
      <w:r>
        <w:rPr>
          <w:sz w:val="24"/>
        </w:rPr>
        <w:t>mg/m</w:t>
      </w:r>
      <w:r>
        <w:rPr>
          <w:sz w:val="24"/>
          <w:vertAlign w:val="superscript"/>
        </w:rPr>
        <w:t>3</w:t>
      </w:r>
      <w:r>
        <w:rPr>
          <w:rFonts w:hAnsi="宋体"/>
          <w:sz w:val="24"/>
        </w:rPr>
        <w:t>。</w:t>
      </w:r>
      <w:r>
        <w:rPr>
          <w:rFonts w:hAnsi="宋体"/>
          <w:iCs/>
          <w:sz w:val="24"/>
        </w:rPr>
        <w:t>排放烟气</w:t>
      </w:r>
      <w:r>
        <w:rPr>
          <w:rFonts w:hAnsi="宋体"/>
          <w:sz w:val="24"/>
        </w:rPr>
        <w:t>经风机引出后由</w:t>
      </w:r>
      <w:r>
        <w:rPr>
          <w:sz w:val="24"/>
        </w:rPr>
        <w:t>8m</w:t>
      </w:r>
      <w:r>
        <w:rPr>
          <w:rFonts w:hAnsi="宋体"/>
          <w:sz w:val="24"/>
        </w:rPr>
        <w:t>高烟囱排放，满足《大气污染物</w:t>
      </w:r>
      <w:r>
        <w:rPr>
          <w:rFonts w:hint="eastAsia" w:hAnsi="宋体"/>
          <w:sz w:val="24"/>
        </w:rPr>
        <w:t>综合</w:t>
      </w:r>
      <w:r>
        <w:rPr>
          <w:rFonts w:hAnsi="宋体"/>
          <w:sz w:val="24"/>
        </w:rPr>
        <w:t>排放标准》（</w:t>
      </w:r>
      <w:r>
        <w:rPr>
          <w:sz w:val="24"/>
        </w:rPr>
        <w:t>GB16297-1996</w:t>
      </w:r>
      <w:r>
        <w:rPr>
          <w:rFonts w:hAnsi="宋体"/>
          <w:sz w:val="24"/>
        </w:rPr>
        <w:t>）表</w:t>
      </w:r>
      <w:r>
        <w:rPr>
          <w:sz w:val="24"/>
        </w:rPr>
        <w:t>2</w:t>
      </w:r>
      <w:r>
        <w:rPr>
          <w:rFonts w:hAnsi="宋体"/>
          <w:sz w:val="24"/>
        </w:rPr>
        <w:t>标准</w:t>
      </w:r>
      <w:r>
        <w:rPr>
          <w:rFonts w:hint="eastAsia" w:hAnsi="宋体"/>
          <w:sz w:val="24"/>
        </w:rPr>
        <w:t>中</w:t>
      </w:r>
      <w:r>
        <w:rPr>
          <w:rFonts w:hAnsi="宋体"/>
          <w:sz w:val="24"/>
        </w:rPr>
        <w:t>严格</w:t>
      </w:r>
      <w:r>
        <w:rPr>
          <w:rFonts w:hint="eastAsia" w:hAnsi="宋体"/>
          <w:sz w:val="24"/>
        </w:rPr>
        <w:t>50</w:t>
      </w:r>
      <w:r>
        <w:rPr>
          <w:rFonts w:hAnsi="宋体"/>
          <w:sz w:val="24"/>
        </w:rPr>
        <w:t>%要求（</w:t>
      </w:r>
      <w:r>
        <w:rPr>
          <w:sz w:val="24"/>
        </w:rPr>
        <w:t>SO</w:t>
      </w:r>
      <w:r>
        <w:rPr>
          <w:sz w:val="24"/>
          <w:vertAlign w:val="subscript"/>
        </w:rPr>
        <w:t>2</w:t>
      </w:r>
      <w:r>
        <w:rPr>
          <w:sz w:val="24"/>
        </w:rPr>
        <w:t>≤</w:t>
      </w:r>
      <w:r>
        <w:rPr>
          <w:rFonts w:hint="eastAsia"/>
          <w:sz w:val="24"/>
        </w:rPr>
        <w:t>0.853</w:t>
      </w:r>
      <w:r>
        <w:rPr>
          <w:rFonts w:hint="eastAsia" w:hAnsi="宋体"/>
          <w:sz w:val="24"/>
        </w:rPr>
        <w:t>kg/h</w:t>
      </w:r>
      <w:r>
        <w:rPr>
          <w:rFonts w:hint="eastAsia"/>
          <w:sz w:val="24"/>
        </w:rPr>
        <w:t>，</w:t>
      </w:r>
      <w:r>
        <w:rPr>
          <w:iCs/>
          <w:sz w:val="24"/>
        </w:rPr>
        <w:t>NO</w:t>
      </w:r>
      <w:r>
        <w:rPr>
          <w:iCs/>
          <w:sz w:val="24"/>
          <w:vertAlign w:val="subscript"/>
        </w:rPr>
        <w:t>X</w:t>
      </w:r>
      <w:r>
        <w:rPr>
          <w:sz w:val="24"/>
        </w:rPr>
        <w:t>≤</w:t>
      </w:r>
      <w:r>
        <w:rPr>
          <w:rFonts w:hint="eastAsia"/>
          <w:sz w:val="24"/>
        </w:rPr>
        <w:t>0.259</w:t>
      </w:r>
      <w:r>
        <w:rPr>
          <w:rFonts w:hint="eastAsia" w:hAnsi="宋体"/>
          <w:sz w:val="24"/>
        </w:rPr>
        <w:t>kg/h</w:t>
      </w:r>
      <w:r>
        <w:rPr>
          <w:rFonts w:hAnsi="宋体"/>
          <w:sz w:val="24"/>
        </w:rPr>
        <w:t>）</w:t>
      </w:r>
      <w:r>
        <w:rPr>
          <w:color w:val="000000"/>
          <w:sz w:val="24"/>
        </w:rPr>
        <w:t>。</w:t>
      </w:r>
    </w:p>
    <w:p>
      <w:pPr>
        <w:spacing w:line="500" w:lineRule="exact"/>
        <w:rPr>
          <w:b/>
          <w:sz w:val="24"/>
        </w:rPr>
      </w:pPr>
      <w:r>
        <w:rPr>
          <w:b/>
          <w:kern w:val="0"/>
          <w:sz w:val="24"/>
          <w:lang w:bidi="ar"/>
        </w:rPr>
        <w:t>5.2.3.3食堂油烟防治措施可行性论证</w:t>
      </w:r>
    </w:p>
    <w:p>
      <w:pPr>
        <w:spacing w:line="520" w:lineRule="exact"/>
        <w:ind w:firstLine="480" w:firstLineChars="200"/>
        <w:rPr>
          <w:sz w:val="24"/>
        </w:rPr>
      </w:pPr>
      <w:r>
        <w:rPr>
          <w:kern w:val="0"/>
          <w:sz w:val="24"/>
          <w:lang w:bidi="ar"/>
        </w:rPr>
        <w:t>项目饮食油烟采用安装符合国家有关要求的油烟净化系统（集气罩+油烟净化器），处理后餐厅油烟年排放量为0.00</w:t>
      </w:r>
      <w:r>
        <w:rPr>
          <w:rFonts w:hint="eastAsia"/>
          <w:kern w:val="0"/>
          <w:sz w:val="24"/>
          <w:lang w:bidi="ar"/>
        </w:rPr>
        <w:t>03</w:t>
      </w:r>
      <w:r>
        <w:rPr>
          <w:kern w:val="0"/>
          <w:sz w:val="24"/>
          <w:lang w:bidi="ar"/>
        </w:rPr>
        <w:t>t/a，排放浓度为</w:t>
      </w:r>
      <w:r>
        <w:rPr>
          <w:rFonts w:hint="eastAsia"/>
          <w:kern w:val="0"/>
          <w:sz w:val="24"/>
          <w:lang w:bidi="ar"/>
        </w:rPr>
        <w:t>0.19</w:t>
      </w:r>
      <w:r>
        <w:rPr>
          <w:kern w:val="0"/>
          <w:sz w:val="24"/>
          <w:lang w:bidi="ar"/>
        </w:rPr>
        <w:t>mg/m</w:t>
      </w:r>
      <w:r>
        <w:rPr>
          <w:kern w:val="0"/>
          <w:sz w:val="24"/>
          <w:vertAlign w:val="superscript"/>
          <w:lang w:bidi="ar"/>
        </w:rPr>
        <w:t>3</w:t>
      </w:r>
      <w:r>
        <w:rPr>
          <w:kern w:val="0"/>
          <w:sz w:val="24"/>
          <w:lang w:bidi="ar"/>
        </w:rPr>
        <w:t>，</w:t>
      </w:r>
      <w:r>
        <w:rPr>
          <w:rFonts w:hint="eastAsia"/>
          <w:kern w:val="0"/>
          <w:sz w:val="24"/>
          <w:lang w:bidi="ar"/>
        </w:rPr>
        <w:t>能够满足《餐饮业油烟污染物排放标准》</w:t>
      </w:r>
      <w:r>
        <w:rPr>
          <w:kern w:val="0"/>
          <w:sz w:val="24"/>
          <w:lang w:bidi="ar"/>
        </w:rPr>
        <w:t>(DB41/1604—2018)</w:t>
      </w:r>
      <w:r>
        <w:rPr>
          <w:rFonts w:hint="eastAsia"/>
          <w:kern w:val="0"/>
          <w:sz w:val="24"/>
          <w:lang w:bidi="ar"/>
        </w:rPr>
        <w:t>规定限值油烟</w:t>
      </w:r>
      <w:r>
        <w:rPr>
          <w:kern w:val="0"/>
          <w:sz w:val="24"/>
          <w:lang w:bidi="ar"/>
        </w:rPr>
        <w:t>1.5mg/m</w:t>
      </w:r>
      <w:r>
        <w:rPr>
          <w:kern w:val="0"/>
          <w:sz w:val="24"/>
          <w:vertAlign w:val="superscript"/>
          <w:lang w:bidi="ar"/>
        </w:rPr>
        <w:t>3</w:t>
      </w:r>
      <w:r>
        <w:rPr>
          <w:rFonts w:hint="eastAsia"/>
          <w:kern w:val="0"/>
          <w:sz w:val="24"/>
          <w:lang w:bidi="ar"/>
        </w:rPr>
        <w:t>要求</w:t>
      </w:r>
      <w:r>
        <w:rPr>
          <w:kern w:val="0"/>
          <w:sz w:val="24"/>
          <w:lang w:bidi="ar"/>
        </w:rPr>
        <w:t>。</w:t>
      </w:r>
    </w:p>
    <w:p>
      <w:pPr>
        <w:autoSpaceDE w:val="0"/>
        <w:autoSpaceDN w:val="0"/>
        <w:adjustRightInd w:val="0"/>
        <w:spacing w:line="520" w:lineRule="exact"/>
        <w:ind w:firstLine="480" w:firstLineChars="200"/>
        <w:jc w:val="left"/>
        <w:rPr>
          <w:sz w:val="24"/>
        </w:rPr>
      </w:pPr>
      <w:r>
        <w:rPr>
          <w:kern w:val="0"/>
          <w:sz w:val="24"/>
          <w:lang w:bidi="ar"/>
        </w:rPr>
        <w:t>饮食业排放的大气污染物主要为气溶胶，其中含有食用油及食品在高温下的</w:t>
      </w:r>
    </w:p>
    <w:p>
      <w:pPr>
        <w:autoSpaceDE w:val="0"/>
        <w:autoSpaceDN w:val="0"/>
        <w:adjustRightInd w:val="0"/>
        <w:spacing w:line="520" w:lineRule="exact"/>
        <w:jc w:val="left"/>
        <w:rPr>
          <w:sz w:val="24"/>
        </w:rPr>
      </w:pPr>
      <w:r>
        <w:rPr>
          <w:kern w:val="0"/>
          <w:sz w:val="24"/>
          <w:lang w:bidi="ar"/>
        </w:rPr>
        <w:t>挥发物，以及由食用油及食品的氧化、裂解、水解而形成的醛类、酮类、链烷类、</w:t>
      </w:r>
    </w:p>
    <w:p>
      <w:pPr>
        <w:autoSpaceDE w:val="0"/>
        <w:autoSpaceDN w:val="0"/>
        <w:adjustRightInd w:val="0"/>
        <w:spacing w:line="520" w:lineRule="exact"/>
        <w:jc w:val="left"/>
        <w:rPr>
          <w:sz w:val="24"/>
        </w:rPr>
      </w:pPr>
      <w:r>
        <w:rPr>
          <w:kern w:val="0"/>
          <w:sz w:val="24"/>
          <w:lang w:bidi="ar"/>
        </w:rPr>
        <w:t>链烯类、多环芳烃等，成份较为复杂。</w:t>
      </w:r>
    </w:p>
    <w:p>
      <w:pPr>
        <w:autoSpaceDE w:val="0"/>
        <w:autoSpaceDN w:val="0"/>
        <w:adjustRightInd w:val="0"/>
        <w:spacing w:line="520" w:lineRule="exact"/>
        <w:ind w:firstLine="480" w:firstLineChars="200"/>
        <w:jc w:val="left"/>
        <w:rPr>
          <w:sz w:val="24"/>
        </w:rPr>
      </w:pPr>
      <w:r>
        <w:rPr>
          <w:kern w:val="0"/>
          <w:sz w:val="24"/>
          <w:lang w:bidi="ar"/>
        </w:rPr>
        <w:t>油烟净化机采用静电、荷电和滤网的联合作用来净化废气中的油烟，含油物</w:t>
      </w:r>
    </w:p>
    <w:p>
      <w:pPr>
        <w:autoSpaceDE w:val="0"/>
        <w:autoSpaceDN w:val="0"/>
        <w:adjustRightInd w:val="0"/>
        <w:spacing w:line="520" w:lineRule="exact"/>
        <w:jc w:val="left"/>
        <w:rPr>
          <w:sz w:val="24"/>
        </w:rPr>
      </w:pPr>
      <w:r>
        <w:rPr>
          <w:kern w:val="0"/>
          <w:sz w:val="24"/>
          <w:lang w:bidi="ar"/>
        </w:rPr>
        <w:t>的气体经过金属滤网时，较大颗粒的油滴被滤网阻挡、粘附、透过率网的较小颗</w:t>
      </w:r>
    </w:p>
    <w:p>
      <w:pPr>
        <w:autoSpaceDE w:val="0"/>
        <w:autoSpaceDN w:val="0"/>
        <w:adjustRightInd w:val="0"/>
        <w:spacing w:line="520" w:lineRule="exact"/>
        <w:jc w:val="left"/>
        <w:rPr>
          <w:sz w:val="24"/>
        </w:rPr>
      </w:pPr>
      <w:r>
        <w:rPr>
          <w:kern w:val="0"/>
          <w:sz w:val="24"/>
          <w:lang w:bidi="ar"/>
        </w:rPr>
        <w:t>粒的油滴随气体进入除油电场，在高压电场的作用下，使微小颗粒的油雾荷电，在电场力的作用下向油滤网运动，并在滤网上积聚成较大的油滴，受地心引力作用，油滴流下，经排油道排出。目前，我国各大中型城市均已对饮食行业外排油烟进行净化治理。市场上油烟净化设施种类亦较多，且效果较好。</w:t>
      </w:r>
    </w:p>
    <w:p>
      <w:pPr>
        <w:autoSpaceDE w:val="0"/>
        <w:autoSpaceDN w:val="0"/>
        <w:adjustRightInd w:val="0"/>
        <w:spacing w:line="520" w:lineRule="exact"/>
        <w:ind w:firstLine="480" w:firstLineChars="200"/>
        <w:jc w:val="left"/>
        <w:rPr>
          <w:sz w:val="24"/>
        </w:rPr>
      </w:pPr>
      <w:r>
        <w:rPr>
          <w:kern w:val="0"/>
          <w:sz w:val="24"/>
          <w:lang w:bidi="ar"/>
        </w:rPr>
        <w:t>本项目食堂安装经过国家主管部门认证的油烟净化设施，能满足有关环境保护标准的限值要求，所采取的措施可行。</w:t>
      </w:r>
    </w:p>
    <w:p>
      <w:pPr>
        <w:pStyle w:val="2"/>
        <w:spacing w:before="0" w:after="0" w:line="520" w:lineRule="exact"/>
        <w:rPr>
          <w:rFonts w:hint="eastAsia" w:eastAsia="黑体"/>
          <w:b w:val="0"/>
          <w:sz w:val="24"/>
          <w:szCs w:val="24"/>
        </w:rPr>
      </w:pPr>
      <w:r>
        <w:rPr>
          <w:rFonts w:eastAsia="黑体"/>
          <w:b w:val="0"/>
          <w:sz w:val="24"/>
          <w:szCs w:val="24"/>
        </w:rPr>
        <w:t>5.2.</w:t>
      </w:r>
      <w:bookmarkStart w:id="440" w:name="_Toc1789"/>
      <w:bookmarkEnd w:id="440"/>
      <w:bookmarkStart w:id="441" w:name="_Toc15468"/>
      <w:bookmarkEnd w:id="441"/>
      <w:r>
        <w:rPr>
          <w:rFonts w:eastAsia="黑体"/>
          <w:b w:val="0"/>
          <w:sz w:val="24"/>
          <w:szCs w:val="24"/>
        </w:rPr>
        <w:t>4</w:t>
      </w:r>
      <w:r>
        <w:rPr>
          <w:rFonts w:hint="eastAsia" w:eastAsia="黑体"/>
          <w:b w:val="0"/>
          <w:sz w:val="24"/>
          <w:szCs w:val="24"/>
        </w:rPr>
        <w:t>噪声</w:t>
      </w:r>
      <w:r>
        <w:rPr>
          <w:rFonts w:eastAsia="黑体"/>
          <w:b w:val="0"/>
          <w:sz w:val="24"/>
          <w:szCs w:val="24"/>
        </w:rPr>
        <w:t>处理及综合利用措施分析</w:t>
      </w:r>
    </w:p>
    <w:p>
      <w:pPr>
        <w:tabs>
          <w:tab w:val="right" w:leader="dot" w:pos="8647"/>
        </w:tabs>
        <w:spacing w:line="520" w:lineRule="exact"/>
        <w:ind w:firstLine="480" w:firstLineChars="200"/>
        <w:rPr>
          <w:bCs/>
          <w:color w:val="000000"/>
          <w:sz w:val="24"/>
        </w:rPr>
      </w:pPr>
      <w:r>
        <w:rPr>
          <w:bCs/>
          <w:color w:val="000000"/>
          <w:sz w:val="24"/>
        </w:rPr>
        <w:t>本工程噪声主要为猪叫声、猪舍降温配套负压风机、粪污处理设施等设备运行时产生的噪声，根据类比调查，其源强为70～85dB(A)。</w:t>
      </w:r>
    </w:p>
    <w:p>
      <w:pPr>
        <w:spacing w:line="520" w:lineRule="exact"/>
        <w:ind w:firstLine="480" w:firstLineChars="200"/>
        <w:rPr>
          <w:bCs/>
          <w:color w:val="000000"/>
          <w:sz w:val="24"/>
        </w:rPr>
      </w:pPr>
      <w:r>
        <w:rPr>
          <w:color w:val="000000"/>
          <w:sz w:val="24"/>
        </w:rPr>
        <w:t>工程采取以下措施来进行：</w:t>
      </w:r>
    </w:p>
    <w:p>
      <w:pPr>
        <w:spacing w:line="520" w:lineRule="exact"/>
        <w:ind w:firstLine="480" w:firstLineChars="200"/>
        <w:rPr>
          <w:color w:val="000000"/>
          <w:sz w:val="24"/>
        </w:rPr>
      </w:pPr>
      <w:r>
        <w:rPr>
          <w:color w:val="000000"/>
          <w:sz w:val="24"/>
        </w:rPr>
        <w:t>（1）企业在设备选型上，应选择低噪声风机、空压机、水泵设备，以防止项目运营期间产生的噪声源叠加，对区域环境产生较大影响。</w:t>
      </w:r>
    </w:p>
    <w:p>
      <w:pPr>
        <w:spacing w:line="520" w:lineRule="exact"/>
        <w:ind w:firstLine="480" w:firstLineChars="200"/>
        <w:rPr>
          <w:color w:val="000000"/>
          <w:sz w:val="24"/>
        </w:rPr>
      </w:pPr>
      <w:r>
        <w:rPr>
          <w:color w:val="000000"/>
          <w:sz w:val="24"/>
        </w:rPr>
        <w:t>（2）对风机、水泵设备安装减振垫进行设备基础减振处理，根据噪声衰减规律分析：</w:t>
      </w:r>
      <w:r>
        <w:rPr>
          <w:bCs/>
          <w:color w:val="000000"/>
          <w:sz w:val="24"/>
        </w:rPr>
        <w:t>经基础减振（减轻振动及不固定配件摆动噪声）及隔声措施噪声衰减可以达到15～25dB(A)</w:t>
      </w:r>
      <w:r>
        <w:rPr>
          <w:color w:val="000000"/>
          <w:sz w:val="24"/>
        </w:rPr>
        <w:t>。</w:t>
      </w:r>
    </w:p>
    <w:p>
      <w:pPr>
        <w:spacing w:line="520" w:lineRule="exact"/>
        <w:ind w:firstLine="480" w:firstLineChars="200"/>
        <w:rPr>
          <w:color w:val="000000"/>
          <w:sz w:val="24"/>
        </w:rPr>
      </w:pPr>
      <w:r>
        <w:rPr>
          <w:color w:val="000000"/>
          <w:sz w:val="24"/>
        </w:rPr>
        <w:t>（3）在场区周围及场内加强绿化，充分利用建筑的边角空隙土地及不规则土地进行绿化；场区绿化应结合场区与猪舍之间的隔离、遮荫及防风需要进行。可根据当地实际种植能美化环境、净化空气的树种和花草，不宜种植有毒、有刺、飞絮的植物，其噪声源强可衰减约5dB(A)。</w:t>
      </w:r>
    </w:p>
    <w:p>
      <w:pPr>
        <w:spacing w:line="520" w:lineRule="exact"/>
        <w:ind w:firstLine="480" w:firstLineChars="200"/>
        <w:rPr>
          <w:color w:val="000000"/>
          <w:sz w:val="24"/>
        </w:rPr>
      </w:pPr>
      <w:r>
        <w:rPr>
          <w:color w:val="000000"/>
          <w:sz w:val="24"/>
        </w:rPr>
        <w:t>（4）评价要求噪声源强较高的设备，尽量往场区内部布置，因距离的原因实现噪声衰减。</w:t>
      </w:r>
    </w:p>
    <w:p>
      <w:pPr>
        <w:topLinePunct/>
        <w:spacing w:line="520" w:lineRule="exact"/>
        <w:ind w:firstLine="480" w:firstLineChars="200"/>
        <w:rPr>
          <w:color w:val="000000"/>
          <w:sz w:val="24"/>
        </w:rPr>
      </w:pPr>
      <w:r>
        <w:rPr>
          <w:color w:val="000000"/>
          <w:sz w:val="24"/>
        </w:rPr>
        <w:t>经采取以上措施，噪声可衰减约15~25dB(A)，再经一定距离衰减后，预测厂界噪声满足《工业企业厂界环境噪声排放标准》（GB12348－2008）2类标准的要求。</w:t>
      </w:r>
    </w:p>
    <w:p>
      <w:pPr>
        <w:pStyle w:val="2"/>
        <w:spacing w:before="0" w:after="0" w:line="520" w:lineRule="exact"/>
        <w:rPr>
          <w:rFonts w:eastAsia="黑体"/>
          <w:b w:val="0"/>
          <w:sz w:val="24"/>
          <w:szCs w:val="24"/>
        </w:rPr>
      </w:pPr>
      <w:r>
        <w:rPr>
          <w:rFonts w:eastAsia="黑体"/>
          <w:b w:val="0"/>
          <w:sz w:val="24"/>
          <w:szCs w:val="24"/>
        </w:rPr>
        <w:t>5.2.5 固体废物处置措施分析</w:t>
      </w:r>
    </w:p>
    <w:p>
      <w:pPr>
        <w:tabs>
          <w:tab w:val="left" w:leader="middleDot" w:pos="8399"/>
        </w:tabs>
        <w:spacing w:line="520" w:lineRule="exact"/>
        <w:rPr>
          <w:b/>
          <w:bCs/>
          <w:kern w:val="0"/>
          <w:sz w:val="24"/>
        </w:rPr>
      </w:pPr>
      <w:r>
        <w:rPr>
          <w:b/>
          <w:bCs/>
          <w:kern w:val="0"/>
          <w:sz w:val="24"/>
        </w:rPr>
        <w:t>5.2.5.1固体废物处置措施</w:t>
      </w:r>
    </w:p>
    <w:p>
      <w:pPr>
        <w:spacing w:line="520" w:lineRule="exact"/>
        <w:ind w:firstLine="480" w:firstLineChars="200"/>
        <w:rPr>
          <w:sz w:val="24"/>
        </w:rPr>
      </w:pPr>
      <w:r>
        <w:rPr>
          <w:sz w:val="24"/>
        </w:rPr>
        <w:t>本项目产生的固体废物主要包括疾病防疫产生的医疗废物、养殖过程产生的少量病死猪尸、猪粪固形物、厌氧发酵后的沼渣、废脱硫剂及职工生活垃圾等。</w:t>
      </w:r>
    </w:p>
    <w:p>
      <w:pPr>
        <w:spacing w:line="520" w:lineRule="exact"/>
        <w:ind w:firstLine="480" w:firstLineChars="200"/>
        <w:rPr>
          <w:sz w:val="24"/>
        </w:rPr>
      </w:pPr>
      <w:r>
        <w:rPr>
          <w:sz w:val="24"/>
        </w:rPr>
        <w:t>项目猪粪和沼渣用于制成有机肥</w:t>
      </w:r>
      <w:r>
        <w:rPr>
          <w:rFonts w:hint="eastAsia"/>
          <w:sz w:val="24"/>
        </w:rPr>
        <w:t>基料</w:t>
      </w:r>
      <w:r>
        <w:rPr>
          <w:sz w:val="24"/>
        </w:rPr>
        <w:t>，</w:t>
      </w:r>
      <w:r>
        <w:rPr>
          <w:bCs/>
          <w:sz w:val="24"/>
        </w:rPr>
        <w:t>猪粪便堆肥处理生产的有机肥中砷、镉、铅、汞等重金属均能满足《有机肥料》（NY525-2011）表2有机肥中重金属限量指标的要求。</w:t>
      </w:r>
      <w:r>
        <w:rPr>
          <w:sz w:val="24"/>
        </w:rPr>
        <w:t>固废污染产生及防治措施见表5.2-12。</w:t>
      </w:r>
    </w:p>
    <w:p>
      <w:pPr>
        <w:spacing w:after="93" w:afterLines="30" w:line="520" w:lineRule="exact"/>
        <w:jc w:val="center"/>
        <w:rPr>
          <w:rFonts w:hint="eastAsia"/>
          <w:b/>
          <w:sz w:val="24"/>
        </w:rPr>
      </w:pPr>
      <w:r>
        <w:rPr>
          <w:b/>
          <w:sz w:val="24"/>
        </w:rPr>
        <w:t>表5.2-12   固体废物产排情况及处置措施一览表</w:t>
      </w:r>
    </w:p>
    <w:tbl>
      <w:tblPr>
        <w:tblStyle w:val="17"/>
        <w:tblW w:w="894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27"/>
        <w:gridCol w:w="1351"/>
        <w:gridCol w:w="1241"/>
        <w:gridCol w:w="1214"/>
        <w:gridCol w:w="1145"/>
        <w:gridCol w:w="2673"/>
        <w:gridCol w:w="79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527" w:type="dxa"/>
            <w:noWrap w:val="0"/>
            <w:tcMar>
              <w:top w:w="0" w:type="dxa"/>
              <w:left w:w="28" w:type="dxa"/>
              <w:bottom w:w="0" w:type="dxa"/>
              <w:right w:w="28" w:type="dxa"/>
            </w:tcMar>
            <w:vAlign w:val="center"/>
          </w:tcPr>
          <w:p>
            <w:pPr>
              <w:jc w:val="center"/>
              <w:rPr>
                <w:b/>
                <w:bCs/>
                <w:szCs w:val="21"/>
              </w:rPr>
            </w:pPr>
            <w:r>
              <w:rPr>
                <w:b/>
                <w:bCs/>
                <w:szCs w:val="21"/>
              </w:rPr>
              <w:t>序号</w:t>
            </w:r>
          </w:p>
        </w:tc>
        <w:tc>
          <w:tcPr>
            <w:tcW w:w="1351" w:type="dxa"/>
            <w:noWrap w:val="0"/>
            <w:tcMar>
              <w:top w:w="0" w:type="dxa"/>
              <w:left w:w="28" w:type="dxa"/>
              <w:bottom w:w="0" w:type="dxa"/>
              <w:right w:w="28" w:type="dxa"/>
            </w:tcMar>
            <w:vAlign w:val="center"/>
          </w:tcPr>
          <w:p>
            <w:pPr>
              <w:jc w:val="center"/>
              <w:rPr>
                <w:b/>
                <w:bCs/>
                <w:szCs w:val="21"/>
              </w:rPr>
            </w:pPr>
            <w:r>
              <w:rPr>
                <w:b/>
                <w:bCs/>
                <w:szCs w:val="21"/>
              </w:rPr>
              <w:t>产生环节</w:t>
            </w:r>
          </w:p>
        </w:tc>
        <w:tc>
          <w:tcPr>
            <w:tcW w:w="1241" w:type="dxa"/>
            <w:noWrap w:val="0"/>
            <w:tcMar>
              <w:top w:w="0" w:type="dxa"/>
              <w:left w:w="28" w:type="dxa"/>
              <w:bottom w:w="0" w:type="dxa"/>
              <w:right w:w="28" w:type="dxa"/>
            </w:tcMar>
            <w:vAlign w:val="center"/>
          </w:tcPr>
          <w:p>
            <w:pPr>
              <w:jc w:val="center"/>
              <w:rPr>
                <w:b/>
                <w:bCs/>
                <w:szCs w:val="21"/>
              </w:rPr>
            </w:pPr>
            <w:r>
              <w:rPr>
                <w:b/>
                <w:bCs/>
                <w:szCs w:val="21"/>
              </w:rPr>
              <w:t>名称</w:t>
            </w:r>
          </w:p>
        </w:tc>
        <w:tc>
          <w:tcPr>
            <w:tcW w:w="1214" w:type="dxa"/>
            <w:noWrap w:val="0"/>
            <w:tcMar>
              <w:top w:w="0" w:type="dxa"/>
              <w:left w:w="28" w:type="dxa"/>
              <w:bottom w:w="0" w:type="dxa"/>
              <w:right w:w="28" w:type="dxa"/>
            </w:tcMar>
            <w:vAlign w:val="center"/>
          </w:tcPr>
          <w:p>
            <w:pPr>
              <w:jc w:val="center"/>
              <w:rPr>
                <w:b/>
                <w:bCs/>
                <w:szCs w:val="21"/>
              </w:rPr>
            </w:pPr>
            <w:r>
              <w:rPr>
                <w:b/>
                <w:bCs/>
                <w:szCs w:val="21"/>
              </w:rPr>
              <w:t>固废性质</w:t>
            </w:r>
          </w:p>
        </w:tc>
        <w:tc>
          <w:tcPr>
            <w:tcW w:w="1145" w:type="dxa"/>
            <w:tcBorders>
              <w:bottom w:val="single" w:color="auto" w:sz="4" w:space="0"/>
            </w:tcBorders>
            <w:noWrap w:val="0"/>
            <w:tcMar>
              <w:top w:w="0" w:type="dxa"/>
              <w:left w:w="28" w:type="dxa"/>
              <w:bottom w:w="0" w:type="dxa"/>
              <w:right w:w="28" w:type="dxa"/>
            </w:tcMar>
            <w:vAlign w:val="center"/>
          </w:tcPr>
          <w:p>
            <w:pPr>
              <w:jc w:val="center"/>
              <w:rPr>
                <w:b/>
                <w:bCs/>
                <w:szCs w:val="21"/>
              </w:rPr>
            </w:pPr>
            <w:r>
              <w:rPr>
                <w:b/>
                <w:bCs/>
                <w:szCs w:val="21"/>
              </w:rPr>
              <w:t>产生量（t/a）</w:t>
            </w:r>
          </w:p>
        </w:tc>
        <w:tc>
          <w:tcPr>
            <w:tcW w:w="2673" w:type="dxa"/>
            <w:tcBorders>
              <w:bottom w:val="single" w:color="auto" w:sz="4" w:space="0"/>
            </w:tcBorders>
            <w:noWrap w:val="0"/>
            <w:tcMar>
              <w:top w:w="0" w:type="dxa"/>
              <w:left w:w="28" w:type="dxa"/>
              <w:bottom w:w="0" w:type="dxa"/>
              <w:right w:w="28" w:type="dxa"/>
            </w:tcMar>
            <w:vAlign w:val="center"/>
          </w:tcPr>
          <w:p>
            <w:pPr>
              <w:jc w:val="center"/>
              <w:rPr>
                <w:b/>
                <w:bCs/>
                <w:szCs w:val="21"/>
              </w:rPr>
            </w:pPr>
            <w:r>
              <w:rPr>
                <w:b/>
                <w:bCs/>
                <w:szCs w:val="21"/>
              </w:rPr>
              <w:t>处置措施</w:t>
            </w:r>
          </w:p>
        </w:tc>
        <w:tc>
          <w:tcPr>
            <w:tcW w:w="795" w:type="dxa"/>
            <w:tcBorders>
              <w:bottom w:val="single" w:color="auto" w:sz="4" w:space="0"/>
            </w:tcBorders>
            <w:noWrap w:val="0"/>
            <w:tcMar>
              <w:top w:w="0" w:type="dxa"/>
              <w:left w:w="28" w:type="dxa"/>
              <w:bottom w:w="0" w:type="dxa"/>
              <w:right w:w="28" w:type="dxa"/>
            </w:tcMar>
            <w:vAlign w:val="center"/>
          </w:tcPr>
          <w:p>
            <w:pPr>
              <w:jc w:val="center"/>
              <w:rPr>
                <w:b/>
                <w:bCs/>
                <w:szCs w:val="21"/>
              </w:rPr>
            </w:pPr>
            <w:r>
              <w:rPr>
                <w:b/>
                <w:bCs/>
                <w:szCs w:val="21"/>
              </w:rPr>
              <w:t>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7" w:type="dxa"/>
            <w:vMerge w:val="restart"/>
            <w:noWrap w:val="0"/>
            <w:tcMar>
              <w:top w:w="0" w:type="dxa"/>
              <w:left w:w="28" w:type="dxa"/>
              <w:bottom w:w="0" w:type="dxa"/>
              <w:right w:w="28" w:type="dxa"/>
            </w:tcMar>
            <w:vAlign w:val="center"/>
          </w:tcPr>
          <w:p>
            <w:pPr>
              <w:jc w:val="center"/>
              <w:rPr>
                <w:bCs/>
                <w:szCs w:val="21"/>
              </w:rPr>
            </w:pPr>
            <w:r>
              <w:rPr>
                <w:bCs/>
                <w:szCs w:val="21"/>
              </w:rPr>
              <w:t>1</w:t>
            </w:r>
          </w:p>
        </w:tc>
        <w:tc>
          <w:tcPr>
            <w:tcW w:w="1351" w:type="dxa"/>
            <w:noWrap w:val="0"/>
            <w:tcMar>
              <w:top w:w="0" w:type="dxa"/>
              <w:left w:w="28" w:type="dxa"/>
              <w:bottom w:w="0" w:type="dxa"/>
              <w:right w:w="28" w:type="dxa"/>
            </w:tcMar>
            <w:vAlign w:val="center"/>
          </w:tcPr>
          <w:p>
            <w:pPr>
              <w:jc w:val="center"/>
              <w:rPr>
                <w:rFonts w:hint="eastAsia"/>
                <w:bCs/>
                <w:szCs w:val="21"/>
              </w:rPr>
            </w:pPr>
            <w:r>
              <w:rPr>
                <w:rFonts w:hint="eastAsia"/>
                <w:bCs/>
                <w:szCs w:val="21"/>
              </w:rPr>
              <w:t>猪舍</w:t>
            </w:r>
          </w:p>
        </w:tc>
        <w:tc>
          <w:tcPr>
            <w:tcW w:w="1241" w:type="dxa"/>
            <w:noWrap w:val="0"/>
            <w:tcMar>
              <w:top w:w="0" w:type="dxa"/>
              <w:left w:w="28" w:type="dxa"/>
              <w:bottom w:w="0" w:type="dxa"/>
              <w:right w:w="28" w:type="dxa"/>
            </w:tcMar>
            <w:vAlign w:val="center"/>
          </w:tcPr>
          <w:p>
            <w:pPr>
              <w:jc w:val="center"/>
              <w:rPr>
                <w:bCs/>
                <w:szCs w:val="21"/>
              </w:rPr>
            </w:pPr>
            <w:r>
              <w:rPr>
                <w:szCs w:val="21"/>
              </w:rPr>
              <w:t>猪粪固形物</w:t>
            </w:r>
          </w:p>
        </w:tc>
        <w:tc>
          <w:tcPr>
            <w:tcW w:w="1214" w:type="dxa"/>
            <w:noWrap w:val="0"/>
            <w:tcMar>
              <w:top w:w="0" w:type="dxa"/>
              <w:left w:w="28" w:type="dxa"/>
              <w:bottom w:w="0" w:type="dxa"/>
              <w:right w:w="28" w:type="dxa"/>
            </w:tcMar>
            <w:vAlign w:val="center"/>
          </w:tcPr>
          <w:p>
            <w:pPr>
              <w:jc w:val="center"/>
              <w:rPr>
                <w:bCs/>
                <w:szCs w:val="21"/>
              </w:rPr>
            </w:pPr>
            <w:r>
              <w:rPr>
                <w:szCs w:val="21"/>
              </w:rPr>
              <w:t>一般固废</w:t>
            </w:r>
          </w:p>
        </w:tc>
        <w:tc>
          <w:tcPr>
            <w:tcW w:w="1145" w:type="dxa"/>
            <w:noWrap w:val="0"/>
            <w:tcMar>
              <w:top w:w="0" w:type="dxa"/>
              <w:left w:w="28" w:type="dxa"/>
              <w:bottom w:w="0" w:type="dxa"/>
              <w:right w:w="28" w:type="dxa"/>
            </w:tcMar>
            <w:vAlign w:val="center"/>
          </w:tcPr>
          <w:p>
            <w:pPr>
              <w:jc w:val="center"/>
              <w:rPr>
                <w:rFonts w:hint="eastAsia" w:eastAsia="宋体"/>
                <w:bCs/>
                <w:szCs w:val="21"/>
                <w:lang w:eastAsia="zh-CN"/>
              </w:rPr>
            </w:pPr>
            <w:r>
              <w:rPr>
                <w:rFonts w:hint="eastAsia"/>
                <w:bCs/>
                <w:szCs w:val="21"/>
                <w:lang w:eastAsia="zh-CN"/>
              </w:rPr>
              <w:t>1549.863</w:t>
            </w:r>
          </w:p>
        </w:tc>
        <w:tc>
          <w:tcPr>
            <w:tcW w:w="2673" w:type="dxa"/>
            <w:noWrap w:val="0"/>
            <w:tcMar>
              <w:top w:w="0" w:type="dxa"/>
              <w:left w:w="28" w:type="dxa"/>
              <w:bottom w:w="0" w:type="dxa"/>
              <w:right w:w="28" w:type="dxa"/>
            </w:tcMar>
            <w:vAlign w:val="center"/>
          </w:tcPr>
          <w:p>
            <w:pPr>
              <w:jc w:val="center"/>
              <w:rPr>
                <w:rFonts w:hint="eastAsia"/>
                <w:bCs/>
                <w:szCs w:val="21"/>
              </w:rPr>
            </w:pPr>
            <w:r>
              <w:rPr>
                <w:rFonts w:hint="eastAsia"/>
                <w:bCs/>
                <w:szCs w:val="21"/>
              </w:rPr>
              <w:t>固液分离后生产有机肥基料</w:t>
            </w:r>
          </w:p>
        </w:tc>
        <w:tc>
          <w:tcPr>
            <w:tcW w:w="795" w:type="dxa"/>
            <w:noWrap w:val="0"/>
            <w:tcMar>
              <w:top w:w="0" w:type="dxa"/>
              <w:left w:w="28" w:type="dxa"/>
              <w:bottom w:w="0" w:type="dxa"/>
              <w:right w:w="28" w:type="dxa"/>
            </w:tcMar>
            <w:vAlign w:val="center"/>
          </w:tcPr>
          <w:p>
            <w:pPr>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 w:hRule="atLeast"/>
        </w:trPr>
        <w:tc>
          <w:tcPr>
            <w:tcW w:w="527" w:type="dxa"/>
            <w:vMerge w:val="continue"/>
            <w:noWrap w:val="0"/>
            <w:tcMar>
              <w:top w:w="0" w:type="dxa"/>
              <w:left w:w="28" w:type="dxa"/>
              <w:bottom w:w="0" w:type="dxa"/>
              <w:right w:w="28" w:type="dxa"/>
            </w:tcMar>
            <w:vAlign w:val="center"/>
          </w:tcPr>
          <w:p>
            <w:pPr>
              <w:jc w:val="center"/>
              <w:rPr>
                <w:bCs/>
                <w:szCs w:val="21"/>
              </w:rPr>
            </w:pPr>
          </w:p>
        </w:tc>
        <w:tc>
          <w:tcPr>
            <w:tcW w:w="1351" w:type="dxa"/>
            <w:vMerge w:val="restart"/>
            <w:noWrap w:val="0"/>
            <w:tcMar>
              <w:top w:w="0" w:type="dxa"/>
              <w:left w:w="28" w:type="dxa"/>
              <w:bottom w:w="0" w:type="dxa"/>
              <w:right w:w="28" w:type="dxa"/>
            </w:tcMar>
            <w:vAlign w:val="center"/>
          </w:tcPr>
          <w:p>
            <w:pPr>
              <w:jc w:val="center"/>
              <w:rPr>
                <w:szCs w:val="21"/>
              </w:rPr>
            </w:pPr>
            <w:r>
              <w:rPr>
                <w:rFonts w:hint="eastAsia"/>
                <w:szCs w:val="21"/>
              </w:rPr>
              <w:t>黑膜沼气池</w:t>
            </w:r>
          </w:p>
        </w:tc>
        <w:tc>
          <w:tcPr>
            <w:tcW w:w="1241" w:type="dxa"/>
            <w:vMerge w:val="restart"/>
            <w:noWrap w:val="0"/>
            <w:tcMar>
              <w:top w:w="0" w:type="dxa"/>
              <w:left w:w="28" w:type="dxa"/>
              <w:bottom w:w="0" w:type="dxa"/>
              <w:right w:w="28" w:type="dxa"/>
            </w:tcMar>
            <w:vAlign w:val="center"/>
          </w:tcPr>
          <w:p>
            <w:pPr>
              <w:jc w:val="center"/>
              <w:rPr>
                <w:szCs w:val="21"/>
              </w:rPr>
            </w:pPr>
            <w:r>
              <w:rPr>
                <w:szCs w:val="21"/>
              </w:rPr>
              <w:t>沼渣</w:t>
            </w:r>
          </w:p>
        </w:tc>
        <w:tc>
          <w:tcPr>
            <w:tcW w:w="1214" w:type="dxa"/>
            <w:vMerge w:val="restart"/>
            <w:noWrap w:val="0"/>
            <w:tcMar>
              <w:top w:w="0" w:type="dxa"/>
              <w:left w:w="28" w:type="dxa"/>
              <w:bottom w:w="0" w:type="dxa"/>
              <w:right w:w="28" w:type="dxa"/>
            </w:tcMar>
            <w:vAlign w:val="center"/>
          </w:tcPr>
          <w:p>
            <w:pPr>
              <w:jc w:val="center"/>
              <w:rPr>
                <w:bCs/>
                <w:szCs w:val="21"/>
              </w:rPr>
            </w:pPr>
            <w:r>
              <w:rPr>
                <w:szCs w:val="21"/>
              </w:rPr>
              <w:t>一般固废</w:t>
            </w:r>
          </w:p>
        </w:tc>
        <w:tc>
          <w:tcPr>
            <w:tcW w:w="1145" w:type="dxa"/>
            <w:vMerge w:val="restart"/>
            <w:noWrap w:val="0"/>
            <w:tcMar>
              <w:top w:w="0" w:type="dxa"/>
              <w:left w:w="28" w:type="dxa"/>
              <w:bottom w:w="0" w:type="dxa"/>
              <w:right w:w="28" w:type="dxa"/>
            </w:tcMar>
            <w:vAlign w:val="center"/>
          </w:tcPr>
          <w:p>
            <w:pPr>
              <w:jc w:val="center"/>
              <w:rPr>
                <w:rFonts w:hint="eastAsia" w:eastAsia="宋体"/>
                <w:szCs w:val="21"/>
                <w:lang w:eastAsia="zh-CN"/>
              </w:rPr>
            </w:pPr>
            <w:r>
              <w:rPr>
                <w:rFonts w:hint="eastAsia"/>
                <w:szCs w:val="21"/>
                <w:lang w:eastAsia="zh-CN"/>
              </w:rPr>
              <w:t>309.9726</w:t>
            </w:r>
          </w:p>
        </w:tc>
        <w:tc>
          <w:tcPr>
            <w:tcW w:w="2673" w:type="dxa"/>
            <w:vMerge w:val="restart"/>
            <w:noWrap w:val="0"/>
            <w:tcMar>
              <w:top w:w="0" w:type="dxa"/>
              <w:left w:w="28" w:type="dxa"/>
              <w:bottom w:w="0" w:type="dxa"/>
              <w:right w:w="28" w:type="dxa"/>
            </w:tcMar>
            <w:vAlign w:val="center"/>
          </w:tcPr>
          <w:p>
            <w:pPr>
              <w:jc w:val="center"/>
              <w:rPr>
                <w:bCs/>
                <w:szCs w:val="21"/>
              </w:rPr>
            </w:pPr>
            <w:r>
              <w:rPr>
                <w:rFonts w:hint="eastAsia" w:hAnsi="宋体"/>
                <w:bCs/>
                <w:szCs w:val="21"/>
              </w:rPr>
              <w:t>干化后作为基料外售</w:t>
            </w:r>
          </w:p>
        </w:tc>
        <w:tc>
          <w:tcPr>
            <w:tcW w:w="795" w:type="dxa"/>
            <w:noWrap w:val="0"/>
            <w:tcMar>
              <w:top w:w="0" w:type="dxa"/>
              <w:left w:w="28" w:type="dxa"/>
              <w:bottom w:w="0" w:type="dxa"/>
              <w:right w:w="28" w:type="dxa"/>
            </w:tcMar>
            <w:vAlign w:val="center"/>
          </w:tcPr>
          <w:p>
            <w:pPr>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527" w:type="dxa"/>
            <w:vMerge w:val="continue"/>
            <w:noWrap w:val="0"/>
            <w:tcMar>
              <w:top w:w="0" w:type="dxa"/>
              <w:left w:w="28" w:type="dxa"/>
              <w:bottom w:w="0" w:type="dxa"/>
              <w:right w:w="28" w:type="dxa"/>
            </w:tcMar>
            <w:vAlign w:val="center"/>
          </w:tcPr>
          <w:p>
            <w:pPr>
              <w:jc w:val="center"/>
              <w:rPr>
                <w:bCs/>
                <w:szCs w:val="21"/>
              </w:rPr>
            </w:pPr>
          </w:p>
        </w:tc>
        <w:tc>
          <w:tcPr>
            <w:tcW w:w="1351" w:type="dxa"/>
            <w:vMerge w:val="continue"/>
            <w:noWrap w:val="0"/>
            <w:tcMar>
              <w:top w:w="0" w:type="dxa"/>
              <w:left w:w="28" w:type="dxa"/>
              <w:bottom w:w="0" w:type="dxa"/>
              <w:right w:w="28" w:type="dxa"/>
            </w:tcMar>
            <w:vAlign w:val="center"/>
          </w:tcPr>
          <w:p>
            <w:pPr>
              <w:jc w:val="center"/>
              <w:rPr>
                <w:rFonts w:hint="eastAsia"/>
                <w:szCs w:val="21"/>
              </w:rPr>
            </w:pPr>
          </w:p>
        </w:tc>
        <w:tc>
          <w:tcPr>
            <w:tcW w:w="1241" w:type="dxa"/>
            <w:vMerge w:val="continue"/>
            <w:noWrap w:val="0"/>
            <w:tcMar>
              <w:top w:w="0" w:type="dxa"/>
              <w:left w:w="28" w:type="dxa"/>
              <w:bottom w:w="0" w:type="dxa"/>
              <w:right w:w="28" w:type="dxa"/>
            </w:tcMar>
            <w:vAlign w:val="center"/>
          </w:tcPr>
          <w:p>
            <w:pPr>
              <w:jc w:val="center"/>
              <w:rPr>
                <w:szCs w:val="21"/>
              </w:rPr>
            </w:pPr>
          </w:p>
        </w:tc>
        <w:tc>
          <w:tcPr>
            <w:tcW w:w="1214" w:type="dxa"/>
            <w:vMerge w:val="continue"/>
            <w:noWrap w:val="0"/>
            <w:tcMar>
              <w:top w:w="0" w:type="dxa"/>
              <w:left w:w="28" w:type="dxa"/>
              <w:bottom w:w="0" w:type="dxa"/>
              <w:right w:w="28" w:type="dxa"/>
            </w:tcMar>
            <w:vAlign w:val="center"/>
          </w:tcPr>
          <w:p>
            <w:pPr>
              <w:jc w:val="center"/>
              <w:rPr>
                <w:szCs w:val="21"/>
              </w:rPr>
            </w:pPr>
          </w:p>
        </w:tc>
        <w:tc>
          <w:tcPr>
            <w:tcW w:w="1145" w:type="dxa"/>
            <w:vMerge w:val="continue"/>
            <w:noWrap w:val="0"/>
            <w:tcMar>
              <w:top w:w="0" w:type="dxa"/>
              <w:left w:w="28" w:type="dxa"/>
              <w:bottom w:w="0" w:type="dxa"/>
              <w:right w:w="28" w:type="dxa"/>
            </w:tcMar>
            <w:vAlign w:val="center"/>
          </w:tcPr>
          <w:p>
            <w:pPr>
              <w:jc w:val="center"/>
              <w:rPr>
                <w:bCs/>
                <w:szCs w:val="21"/>
              </w:rPr>
            </w:pPr>
          </w:p>
        </w:tc>
        <w:tc>
          <w:tcPr>
            <w:tcW w:w="2673" w:type="dxa"/>
            <w:vMerge w:val="continue"/>
            <w:noWrap w:val="0"/>
            <w:tcMar>
              <w:top w:w="0" w:type="dxa"/>
              <w:left w:w="28" w:type="dxa"/>
              <w:bottom w:w="0" w:type="dxa"/>
              <w:right w:w="28" w:type="dxa"/>
            </w:tcMar>
            <w:vAlign w:val="center"/>
          </w:tcPr>
          <w:p>
            <w:pPr>
              <w:jc w:val="center"/>
              <w:rPr>
                <w:bCs/>
                <w:szCs w:val="21"/>
              </w:rPr>
            </w:pPr>
          </w:p>
        </w:tc>
        <w:tc>
          <w:tcPr>
            <w:tcW w:w="795" w:type="dxa"/>
            <w:noWrap w:val="0"/>
            <w:tcMar>
              <w:top w:w="0" w:type="dxa"/>
              <w:left w:w="28" w:type="dxa"/>
              <w:bottom w:w="0" w:type="dxa"/>
              <w:right w:w="28" w:type="dxa"/>
            </w:tcMar>
            <w:vAlign w:val="center"/>
          </w:tcPr>
          <w:p>
            <w:pPr>
              <w:jc w:val="center"/>
              <w:rPr>
                <w:szCs w:val="21"/>
              </w:rPr>
            </w:pPr>
            <w:r>
              <w:rPr>
                <w:rFonts w:hint="eastAsia"/>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7" w:type="dxa"/>
            <w:noWrap w:val="0"/>
            <w:tcMar>
              <w:top w:w="0" w:type="dxa"/>
              <w:left w:w="28" w:type="dxa"/>
              <w:bottom w:w="0" w:type="dxa"/>
              <w:right w:w="28" w:type="dxa"/>
            </w:tcMar>
            <w:vAlign w:val="center"/>
          </w:tcPr>
          <w:p>
            <w:pPr>
              <w:jc w:val="center"/>
              <w:rPr>
                <w:bCs/>
                <w:szCs w:val="21"/>
              </w:rPr>
            </w:pPr>
            <w:r>
              <w:rPr>
                <w:bCs/>
                <w:szCs w:val="21"/>
              </w:rPr>
              <w:t>2</w:t>
            </w:r>
          </w:p>
        </w:tc>
        <w:tc>
          <w:tcPr>
            <w:tcW w:w="1351" w:type="dxa"/>
            <w:noWrap w:val="0"/>
            <w:tcMar>
              <w:top w:w="0" w:type="dxa"/>
              <w:left w:w="28" w:type="dxa"/>
              <w:bottom w:w="0" w:type="dxa"/>
              <w:right w:w="28" w:type="dxa"/>
            </w:tcMar>
            <w:vAlign w:val="center"/>
          </w:tcPr>
          <w:p>
            <w:pPr>
              <w:jc w:val="center"/>
              <w:rPr>
                <w:szCs w:val="21"/>
              </w:rPr>
            </w:pPr>
            <w:r>
              <w:rPr>
                <w:szCs w:val="21"/>
              </w:rPr>
              <w:t>养殖过程</w:t>
            </w:r>
          </w:p>
        </w:tc>
        <w:tc>
          <w:tcPr>
            <w:tcW w:w="1241" w:type="dxa"/>
            <w:noWrap w:val="0"/>
            <w:tcMar>
              <w:top w:w="0" w:type="dxa"/>
              <w:left w:w="28" w:type="dxa"/>
              <w:bottom w:w="0" w:type="dxa"/>
              <w:right w:w="28" w:type="dxa"/>
            </w:tcMar>
            <w:vAlign w:val="center"/>
          </w:tcPr>
          <w:p>
            <w:pPr>
              <w:jc w:val="center"/>
              <w:rPr>
                <w:szCs w:val="21"/>
              </w:rPr>
            </w:pPr>
            <w:r>
              <w:rPr>
                <w:szCs w:val="21"/>
              </w:rPr>
              <w:t>病死猪</w:t>
            </w:r>
          </w:p>
        </w:tc>
        <w:tc>
          <w:tcPr>
            <w:tcW w:w="1214" w:type="dxa"/>
            <w:noWrap w:val="0"/>
            <w:tcMar>
              <w:top w:w="0" w:type="dxa"/>
              <w:left w:w="28" w:type="dxa"/>
              <w:bottom w:w="0" w:type="dxa"/>
              <w:right w:w="28" w:type="dxa"/>
            </w:tcMar>
            <w:vAlign w:val="center"/>
          </w:tcPr>
          <w:p>
            <w:pPr>
              <w:jc w:val="center"/>
              <w:rPr>
                <w:szCs w:val="21"/>
              </w:rPr>
            </w:pPr>
            <w:r>
              <w:rPr>
                <w:szCs w:val="21"/>
              </w:rPr>
              <w:t>一般固废</w:t>
            </w:r>
          </w:p>
        </w:tc>
        <w:tc>
          <w:tcPr>
            <w:tcW w:w="1145" w:type="dxa"/>
            <w:noWrap w:val="0"/>
            <w:tcMar>
              <w:top w:w="0" w:type="dxa"/>
              <w:left w:w="28" w:type="dxa"/>
              <w:bottom w:w="0" w:type="dxa"/>
              <w:right w:w="28" w:type="dxa"/>
            </w:tcMar>
            <w:vAlign w:val="center"/>
          </w:tcPr>
          <w:p>
            <w:pPr>
              <w:jc w:val="center"/>
              <w:rPr>
                <w:bCs/>
                <w:szCs w:val="21"/>
              </w:rPr>
            </w:pPr>
            <w:r>
              <w:rPr>
                <w:rFonts w:hint="eastAsia"/>
                <w:bCs/>
                <w:szCs w:val="21"/>
              </w:rPr>
              <w:t>7.8</w:t>
            </w:r>
          </w:p>
        </w:tc>
        <w:tc>
          <w:tcPr>
            <w:tcW w:w="2673" w:type="dxa"/>
            <w:noWrap w:val="0"/>
            <w:tcMar>
              <w:top w:w="0" w:type="dxa"/>
              <w:left w:w="28" w:type="dxa"/>
              <w:bottom w:w="0" w:type="dxa"/>
              <w:right w:w="28" w:type="dxa"/>
            </w:tcMar>
            <w:vAlign w:val="center"/>
          </w:tcPr>
          <w:p>
            <w:pPr>
              <w:jc w:val="center"/>
              <w:rPr>
                <w:bCs/>
                <w:szCs w:val="21"/>
              </w:rPr>
            </w:pPr>
            <w:r>
              <w:rPr>
                <w:rFonts w:hint="eastAsia"/>
                <w:bCs/>
                <w:szCs w:val="21"/>
              </w:rPr>
              <w:t>送至正阳县畜禽无害化处理中心处理</w:t>
            </w:r>
          </w:p>
        </w:tc>
        <w:tc>
          <w:tcPr>
            <w:tcW w:w="795" w:type="dxa"/>
            <w:noWrap w:val="0"/>
            <w:tcMar>
              <w:top w:w="0" w:type="dxa"/>
              <w:left w:w="28" w:type="dxa"/>
              <w:bottom w:w="0" w:type="dxa"/>
              <w:right w:w="28" w:type="dxa"/>
            </w:tcMar>
            <w:vAlign w:val="center"/>
          </w:tcPr>
          <w:p>
            <w:pPr>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7" w:type="dxa"/>
            <w:noWrap w:val="0"/>
            <w:tcMar>
              <w:top w:w="0" w:type="dxa"/>
              <w:left w:w="28" w:type="dxa"/>
              <w:bottom w:w="0" w:type="dxa"/>
              <w:right w:w="28" w:type="dxa"/>
            </w:tcMar>
            <w:vAlign w:val="center"/>
          </w:tcPr>
          <w:p>
            <w:pPr>
              <w:jc w:val="center"/>
              <w:rPr>
                <w:bCs/>
                <w:szCs w:val="21"/>
              </w:rPr>
            </w:pPr>
            <w:r>
              <w:rPr>
                <w:bCs/>
                <w:szCs w:val="21"/>
              </w:rPr>
              <w:t>3</w:t>
            </w:r>
          </w:p>
        </w:tc>
        <w:tc>
          <w:tcPr>
            <w:tcW w:w="1351" w:type="dxa"/>
            <w:noWrap w:val="0"/>
            <w:tcMar>
              <w:top w:w="0" w:type="dxa"/>
              <w:left w:w="28" w:type="dxa"/>
              <w:bottom w:w="0" w:type="dxa"/>
              <w:right w:w="28" w:type="dxa"/>
            </w:tcMar>
            <w:vAlign w:val="center"/>
          </w:tcPr>
          <w:p>
            <w:pPr>
              <w:jc w:val="center"/>
              <w:rPr>
                <w:szCs w:val="21"/>
              </w:rPr>
            </w:pPr>
            <w:r>
              <w:rPr>
                <w:szCs w:val="21"/>
              </w:rPr>
              <w:t>防疫</w:t>
            </w:r>
          </w:p>
        </w:tc>
        <w:tc>
          <w:tcPr>
            <w:tcW w:w="1241" w:type="dxa"/>
            <w:noWrap w:val="0"/>
            <w:tcMar>
              <w:top w:w="0" w:type="dxa"/>
              <w:left w:w="28" w:type="dxa"/>
              <w:bottom w:w="0" w:type="dxa"/>
              <w:right w:w="28" w:type="dxa"/>
            </w:tcMar>
            <w:vAlign w:val="center"/>
          </w:tcPr>
          <w:p>
            <w:pPr>
              <w:jc w:val="center"/>
              <w:rPr>
                <w:szCs w:val="21"/>
              </w:rPr>
            </w:pPr>
            <w:r>
              <w:rPr>
                <w:szCs w:val="21"/>
              </w:rPr>
              <w:t>医疗固废</w:t>
            </w:r>
          </w:p>
        </w:tc>
        <w:tc>
          <w:tcPr>
            <w:tcW w:w="1214" w:type="dxa"/>
            <w:noWrap w:val="0"/>
            <w:tcMar>
              <w:top w:w="0" w:type="dxa"/>
              <w:left w:w="28" w:type="dxa"/>
              <w:bottom w:w="0" w:type="dxa"/>
              <w:right w:w="28" w:type="dxa"/>
            </w:tcMar>
            <w:vAlign w:val="center"/>
          </w:tcPr>
          <w:p>
            <w:pPr>
              <w:jc w:val="center"/>
              <w:rPr>
                <w:szCs w:val="21"/>
              </w:rPr>
            </w:pPr>
            <w:r>
              <w:rPr>
                <w:szCs w:val="21"/>
              </w:rPr>
              <w:t>危险废物</w:t>
            </w:r>
          </w:p>
          <w:p>
            <w:pPr>
              <w:jc w:val="center"/>
              <w:rPr>
                <w:szCs w:val="21"/>
              </w:rPr>
            </w:pPr>
            <w:r>
              <w:rPr>
                <w:szCs w:val="21"/>
              </w:rPr>
              <w:t>（HW01）</w:t>
            </w:r>
          </w:p>
        </w:tc>
        <w:tc>
          <w:tcPr>
            <w:tcW w:w="1145" w:type="dxa"/>
            <w:noWrap w:val="0"/>
            <w:tcMar>
              <w:top w:w="0" w:type="dxa"/>
              <w:left w:w="28" w:type="dxa"/>
              <w:bottom w:w="0" w:type="dxa"/>
              <w:right w:w="28" w:type="dxa"/>
            </w:tcMar>
            <w:vAlign w:val="center"/>
          </w:tcPr>
          <w:p>
            <w:pPr>
              <w:jc w:val="center"/>
              <w:rPr>
                <w:rFonts w:hint="eastAsia" w:eastAsia="宋体"/>
                <w:szCs w:val="21"/>
                <w:lang w:eastAsia="zh-CN"/>
              </w:rPr>
            </w:pPr>
            <w:r>
              <w:rPr>
                <w:rFonts w:hint="eastAsia"/>
                <w:szCs w:val="21"/>
                <w:lang w:eastAsia="zh-CN"/>
              </w:rPr>
              <w:t>0.021</w:t>
            </w:r>
          </w:p>
        </w:tc>
        <w:tc>
          <w:tcPr>
            <w:tcW w:w="2673" w:type="dxa"/>
            <w:noWrap w:val="0"/>
            <w:tcMar>
              <w:top w:w="0" w:type="dxa"/>
              <w:left w:w="28" w:type="dxa"/>
              <w:bottom w:w="0" w:type="dxa"/>
              <w:right w:w="28" w:type="dxa"/>
            </w:tcMar>
            <w:vAlign w:val="center"/>
          </w:tcPr>
          <w:p>
            <w:pPr>
              <w:jc w:val="center"/>
              <w:rPr>
                <w:rFonts w:hint="eastAsia"/>
                <w:szCs w:val="21"/>
              </w:rPr>
            </w:pPr>
            <w:r>
              <w:rPr>
                <w:rFonts w:hint="eastAsia"/>
                <w:szCs w:val="21"/>
                <w:lang w:bidi="ar"/>
              </w:rPr>
              <w:t>交由有资质的单位进行处理</w:t>
            </w:r>
          </w:p>
        </w:tc>
        <w:tc>
          <w:tcPr>
            <w:tcW w:w="795" w:type="dxa"/>
            <w:noWrap w:val="0"/>
            <w:tcMar>
              <w:top w:w="0" w:type="dxa"/>
              <w:left w:w="28" w:type="dxa"/>
              <w:bottom w:w="0" w:type="dxa"/>
              <w:right w:w="28" w:type="dxa"/>
            </w:tcMar>
            <w:vAlign w:val="center"/>
          </w:tcPr>
          <w:p>
            <w:pPr>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7" w:type="dxa"/>
            <w:noWrap w:val="0"/>
            <w:tcMar>
              <w:top w:w="0" w:type="dxa"/>
              <w:left w:w="28" w:type="dxa"/>
              <w:bottom w:w="0" w:type="dxa"/>
              <w:right w:w="28" w:type="dxa"/>
            </w:tcMar>
            <w:vAlign w:val="center"/>
          </w:tcPr>
          <w:p>
            <w:pPr>
              <w:jc w:val="center"/>
              <w:rPr>
                <w:bCs/>
                <w:szCs w:val="21"/>
              </w:rPr>
            </w:pPr>
            <w:r>
              <w:rPr>
                <w:bCs/>
                <w:szCs w:val="21"/>
              </w:rPr>
              <w:t>4</w:t>
            </w:r>
          </w:p>
        </w:tc>
        <w:tc>
          <w:tcPr>
            <w:tcW w:w="1351" w:type="dxa"/>
            <w:noWrap w:val="0"/>
            <w:tcMar>
              <w:top w:w="0" w:type="dxa"/>
              <w:left w:w="28" w:type="dxa"/>
              <w:bottom w:w="0" w:type="dxa"/>
              <w:right w:w="28" w:type="dxa"/>
            </w:tcMar>
            <w:vAlign w:val="center"/>
          </w:tcPr>
          <w:p>
            <w:pPr>
              <w:jc w:val="center"/>
              <w:rPr>
                <w:szCs w:val="21"/>
              </w:rPr>
            </w:pPr>
            <w:r>
              <w:rPr>
                <w:szCs w:val="21"/>
              </w:rPr>
              <w:t>职工生活</w:t>
            </w:r>
          </w:p>
        </w:tc>
        <w:tc>
          <w:tcPr>
            <w:tcW w:w="1241" w:type="dxa"/>
            <w:noWrap w:val="0"/>
            <w:tcMar>
              <w:top w:w="0" w:type="dxa"/>
              <w:left w:w="28" w:type="dxa"/>
              <w:bottom w:w="0" w:type="dxa"/>
              <w:right w:w="28" w:type="dxa"/>
            </w:tcMar>
            <w:vAlign w:val="center"/>
          </w:tcPr>
          <w:p>
            <w:pPr>
              <w:jc w:val="center"/>
              <w:rPr>
                <w:szCs w:val="21"/>
              </w:rPr>
            </w:pPr>
            <w:r>
              <w:rPr>
                <w:szCs w:val="21"/>
              </w:rPr>
              <w:t>生活垃圾</w:t>
            </w:r>
          </w:p>
        </w:tc>
        <w:tc>
          <w:tcPr>
            <w:tcW w:w="1214" w:type="dxa"/>
            <w:noWrap w:val="0"/>
            <w:tcMar>
              <w:top w:w="0" w:type="dxa"/>
              <w:left w:w="28" w:type="dxa"/>
              <w:bottom w:w="0" w:type="dxa"/>
              <w:right w:w="28" w:type="dxa"/>
            </w:tcMar>
            <w:vAlign w:val="center"/>
          </w:tcPr>
          <w:p>
            <w:pPr>
              <w:jc w:val="center"/>
              <w:rPr>
                <w:szCs w:val="21"/>
              </w:rPr>
            </w:pPr>
            <w:r>
              <w:rPr>
                <w:szCs w:val="21"/>
              </w:rPr>
              <w:t>一般固废</w:t>
            </w:r>
          </w:p>
        </w:tc>
        <w:tc>
          <w:tcPr>
            <w:tcW w:w="1145" w:type="dxa"/>
            <w:noWrap w:val="0"/>
            <w:tcMar>
              <w:top w:w="0" w:type="dxa"/>
              <w:left w:w="28" w:type="dxa"/>
              <w:bottom w:w="0" w:type="dxa"/>
              <w:right w:w="28" w:type="dxa"/>
            </w:tcMar>
            <w:vAlign w:val="center"/>
          </w:tcPr>
          <w:p>
            <w:pPr>
              <w:jc w:val="center"/>
              <w:rPr>
                <w:szCs w:val="21"/>
              </w:rPr>
            </w:pPr>
            <w:r>
              <w:rPr>
                <w:rFonts w:hint="eastAsia"/>
                <w:szCs w:val="21"/>
              </w:rPr>
              <w:t>1.825</w:t>
            </w:r>
          </w:p>
        </w:tc>
        <w:tc>
          <w:tcPr>
            <w:tcW w:w="2673" w:type="dxa"/>
            <w:noWrap w:val="0"/>
            <w:tcMar>
              <w:top w:w="0" w:type="dxa"/>
              <w:left w:w="28" w:type="dxa"/>
              <w:bottom w:w="0" w:type="dxa"/>
              <w:right w:w="28" w:type="dxa"/>
            </w:tcMar>
            <w:vAlign w:val="center"/>
          </w:tcPr>
          <w:p>
            <w:pPr>
              <w:jc w:val="center"/>
              <w:rPr>
                <w:szCs w:val="21"/>
              </w:rPr>
            </w:pPr>
            <w:r>
              <w:rPr>
                <w:szCs w:val="21"/>
              </w:rPr>
              <w:t>送交环卫部门处理</w:t>
            </w:r>
          </w:p>
        </w:tc>
        <w:tc>
          <w:tcPr>
            <w:tcW w:w="795" w:type="dxa"/>
            <w:noWrap w:val="0"/>
            <w:tcMar>
              <w:top w:w="0" w:type="dxa"/>
              <w:left w:w="28" w:type="dxa"/>
              <w:bottom w:w="0" w:type="dxa"/>
              <w:right w:w="28" w:type="dxa"/>
            </w:tcMar>
            <w:vAlign w:val="center"/>
          </w:tcPr>
          <w:p>
            <w:pPr>
              <w:jc w:val="center"/>
              <w:rPr>
                <w:szCs w:val="21"/>
              </w:rPr>
            </w:pPr>
            <w:r>
              <w:rPr>
                <w:szCs w:val="21"/>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7" w:type="dxa"/>
            <w:noWrap w:val="0"/>
            <w:tcMar>
              <w:top w:w="0" w:type="dxa"/>
              <w:left w:w="28" w:type="dxa"/>
              <w:bottom w:w="0" w:type="dxa"/>
              <w:right w:w="28" w:type="dxa"/>
            </w:tcMar>
            <w:vAlign w:val="center"/>
          </w:tcPr>
          <w:p>
            <w:pPr>
              <w:jc w:val="center"/>
              <w:rPr>
                <w:bCs/>
                <w:szCs w:val="21"/>
              </w:rPr>
            </w:pPr>
            <w:r>
              <w:rPr>
                <w:bCs/>
                <w:szCs w:val="21"/>
              </w:rPr>
              <w:t>5</w:t>
            </w:r>
          </w:p>
        </w:tc>
        <w:tc>
          <w:tcPr>
            <w:tcW w:w="1351" w:type="dxa"/>
            <w:noWrap w:val="0"/>
            <w:tcMar>
              <w:top w:w="0" w:type="dxa"/>
              <w:left w:w="28" w:type="dxa"/>
              <w:bottom w:w="0" w:type="dxa"/>
              <w:right w:w="28" w:type="dxa"/>
            </w:tcMar>
            <w:vAlign w:val="center"/>
          </w:tcPr>
          <w:p>
            <w:pPr>
              <w:jc w:val="center"/>
              <w:rPr>
                <w:szCs w:val="21"/>
              </w:rPr>
            </w:pPr>
            <w:r>
              <w:rPr>
                <w:szCs w:val="21"/>
              </w:rPr>
              <w:t>沼气脱硫装置</w:t>
            </w:r>
          </w:p>
        </w:tc>
        <w:tc>
          <w:tcPr>
            <w:tcW w:w="1241" w:type="dxa"/>
            <w:noWrap w:val="0"/>
            <w:tcMar>
              <w:top w:w="0" w:type="dxa"/>
              <w:left w:w="28" w:type="dxa"/>
              <w:bottom w:w="0" w:type="dxa"/>
              <w:right w:w="28" w:type="dxa"/>
            </w:tcMar>
            <w:vAlign w:val="center"/>
          </w:tcPr>
          <w:p>
            <w:pPr>
              <w:jc w:val="center"/>
              <w:rPr>
                <w:szCs w:val="21"/>
              </w:rPr>
            </w:pPr>
            <w:r>
              <w:rPr>
                <w:szCs w:val="21"/>
              </w:rPr>
              <w:t>废脱硫剂</w:t>
            </w:r>
          </w:p>
        </w:tc>
        <w:tc>
          <w:tcPr>
            <w:tcW w:w="1214" w:type="dxa"/>
            <w:noWrap w:val="0"/>
            <w:tcMar>
              <w:top w:w="0" w:type="dxa"/>
              <w:left w:w="28" w:type="dxa"/>
              <w:bottom w:w="0" w:type="dxa"/>
              <w:right w:w="28" w:type="dxa"/>
            </w:tcMar>
            <w:vAlign w:val="center"/>
          </w:tcPr>
          <w:p>
            <w:pPr>
              <w:jc w:val="center"/>
              <w:rPr>
                <w:szCs w:val="21"/>
              </w:rPr>
            </w:pPr>
            <w:r>
              <w:rPr>
                <w:szCs w:val="21"/>
              </w:rPr>
              <w:t>一般固废</w:t>
            </w:r>
          </w:p>
        </w:tc>
        <w:tc>
          <w:tcPr>
            <w:tcW w:w="1145" w:type="dxa"/>
            <w:noWrap w:val="0"/>
            <w:tcMar>
              <w:top w:w="0" w:type="dxa"/>
              <w:left w:w="28" w:type="dxa"/>
              <w:bottom w:w="0" w:type="dxa"/>
              <w:right w:w="28" w:type="dxa"/>
            </w:tcMar>
            <w:vAlign w:val="center"/>
          </w:tcPr>
          <w:p>
            <w:pPr>
              <w:jc w:val="center"/>
              <w:rPr>
                <w:rFonts w:hint="eastAsia" w:eastAsia="宋体"/>
                <w:szCs w:val="21"/>
                <w:lang w:eastAsia="zh-CN"/>
              </w:rPr>
            </w:pPr>
            <w:r>
              <w:rPr>
                <w:rFonts w:hint="eastAsia"/>
                <w:szCs w:val="21"/>
                <w:lang w:eastAsia="zh-CN"/>
              </w:rPr>
              <w:t>0.043</w:t>
            </w:r>
          </w:p>
        </w:tc>
        <w:tc>
          <w:tcPr>
            <w:tcW w:w="2673" w:type="dxa"/>
            <w:noWrap w:val="0"/>
            <w:tcMar>
              <w:top w:w="0" w:type="dxa"/>
              <w:left w:w="28" w:type="dxa"/>
              <w:bottom w:w="0" w:type="dxa"/>
              <w:right w:w="28" w:type="dxa"/>
            </w:tcMar>
            <w:vAlign w:val="center"/>
          </w:tcPr>
          <w:p>
            <w:pPr>
              <w:jc w:val="center"/>
              <w:rPr>
                <w:b/>
                <w:szCs w:val="21"/>
                <w:u w:val="single"/>
              </w:rPr>
            </w:pPr>
            <w:r>
              <w:rPr>
                <w:szCs w:val="21"/>
              </w:rPr>
              <w:t>由生产厂家统一回收</w:t>
            </w:r>
          </w:p>
        </w:tc>
        <w:tc>
          <w:tcPr>
            <w:tcW w:w="795" w:type="dxa"/>
            <w:noWrap w:val="0"/>
            <w:tcMar>
              <w:top w:w="0" w:type="dxa"/>
              <w:left w:w="28" w:type="dxa"/>
              <w:bottom w:w="0" w:type="dxa"/>
              <w:right w:w="28" w:type="dxa"/>
            </w:tcMar>
            <w:vAlign w:val="center"/>
          </w:tcPr>
          <w:p>
            <w:pPr>
              <w:jc w:val="center"/>
              <w:rPr>
                <w:szCs w:val="21"/>
              </w:rPr>
            </w:pPr>
            <w:r>
              <w:rPr>
                <w:szCs w:val="21"/>
              </w:rPr>
              <w:t>0</w:t>
            </w:r>
          </w:p>
        </w:tc>
      </w:tr>
    </w:tbl>
    <w:p>
      <w:pPr>
        <w:tabs>
          <w:tab w:val="left" w:leader="middleDot" w:pos="8399"/>
        </w:tabs>
        <w:spacing w:line="520" w:lineRule="exact"/>
        <w:rPr>
          <w:b/>
          <w:bCs/>
          <w:kern w:val="0"/>
          <w:sz w:val="24"/>
        </w:rPr>
      </w:pPr>
      <w:r>
        <w:rPr>
          <w:b/>
          <w:bCs/>
          <w:kern w:val="0"/>
          <w:sz w:val="24"/>
        </w:rPr>
        <w:t>5.2.5.2固体废物暂存措施</w:t>
      </w:r>
    </w:p>
    <w:p>
      <w:pPr>
        <w:spacing w:line="520" w:lineRule="exact"/>
        <w:ind w:firstLine="480" w:firstLineChars="200"/>
        <w:rPr>
          <w:sz w:val="24"/>
        </w:rPr>
      </w:pPr>
      <w:r>
        <w:rPr>
          <w:sz w:val="24"/>
        </w:rPr>
        <w:t>本项目产生的固体废物主要是一般工业固体废物和危险固体废物。固体废物的暂存措施如下：</w:t>
      </w:r>
    </w:p>
    <w:p>
      <w:pPr>
        <w:spacing w:line="520" w:lineRule="exact"/>
        <w:ind w:firstLine="480" w:firstLineChars="200"/>
        <w:rPr>
          <w:sz w:val="24"/>
        </w:rPr>
      </w:pPr>
      <w:r>
        <w:rPr>
          <w:sz w:val="24"/>
        </w:rPr>
        <w:t>（1）一般工业固体废物</w:t>
      </w:r>
    </w:p>
    <w:p>
      <w:pPr>
        <w:snapToGrid w:val="0"/>
        <w:spacing w:line="520" w:lineRule="exact"/>
        <w:ind w:firstLine="480" w:firstLineChars="200"/>
        <w:rPr>
          <w:rFonts w:hint="eastAsia"/>
          <w:sz w:val="24"/>
        </w:rPr>
      </w:pPr>
      <w:r>
        <w:rPr>
          <w:sz w:val="24"/>
        </w:rPr>
        <w:t>根据《中华人民共和国固体废物污染环境防治法》要求，评价建议对一般固体废物设置规范的临时堆存间，用以暂存废脱硫剂和生活垃圾，按照《一般工业固体废物贮存、处置场污染控制标准》（GB18599-2001）中相应规定，必须采取防扬撒、防流失、防渗漏等三防措施，进行地面硬化，设顶棚和围挡，避免雨水进入，地基加高10cm，达到三防要求。</w:t>
      </w:r>
    </w:p>
    <w:p>
      <w:pPr>
        <w:tabs>
          <w:tab w:val="left" w:pos="3090"/>
          <w:tab w:val="right" w:leader="dot" w:pos="8647"/>
        </w:tabs>
        <w:spacing w:line="520" w:lineRule="exact"/>
        <w:ind w:firstLine="480" w:firstLineChars="200"/>
        <w:rPr>
          <w:color w:val="000000"/>
          <w:sz w:val="24"/>
        </w:rPr>
      </w:pPr>
      <w:r>
        <w:rPr>
          <w:color w:val="000000"/>
          <w:sz w:val="24"/>
        </w:rPr>
        <w:t>病死猪尸的处理与处置</w:t>
      </w:r>
    </w:p>
    <w:p>
      <w:pPr>
        <w:spacing w:line="520" w:lineRule="exact"/>
        <w:ind w:firstLine="480" w:firstLineChars="200"/>
        <w:rPr>
          <w:color w:val="000000"/>
          <w:sz w:val="24"/>
        </w:rPr>
      </w:pPr>
      <w:r>
        <w:rPr>
          <w:color w:val="000000"/>
          <w:sz w:val="24"/>
        </w:rPr>
        <w:t>根据《畜禽养殖业污染防治技术规范》（HJ/T81－2001）第9条规定：</w:t>
      </w:r>
    </w:p>
    <w:p>
      <w:pPr>
        <w:spacing w:line="520" w:lineRule="exact"/>
        <w:ind w:firstLine="480" w:firstLineChars="200"/>
        <w:rPr>
          <w:color w:val="000000"/>
          <w:sz w:val="24"/>
        </w:rPr>
      </w:pPr>
      <w:r>
        <w:rPr>
          <w:rFonts w:hint="eastAsia" w:ascii="宋体" w:hAnsi="宋体" w:cs="宋体"/>
          <w:color w:val="000000"/>
          <w:sz w:val="24"/>
        </w:rPr>
        <w:t>◆</w:t>
      </w:r>
      <w:r>
        <w:rPr>
          <w:color w:val="000000"/>
          <w:sz w:val="24"/>
        </w:rPr>
        <w:t>病死畜禽尸体要及时处理，严禁随意丢弃，严禁出售或作为饲料再利用。</w:t>
      </w:r>
    </w:p>
    <w:p>
      <w:pPr>
        <w:spacing w:line="520" w:lineRule="exact"/>
        <w:ind w:firstLine="480" w:firstLineChars="200"/>
        <w:rPr>
          <w:color w:val="000000"/>
          <w:sz w:val="24"/>
        </w:rPr>
      </w:pPr>
      <w:r>
        <w:rPr>
          <w:rFonts w:hint="eastAsia" w:ascii="宋体" w:hAnsi="宋体" w:cs="宋体"/>
          <w:color w:val="000000"/>
          <w:sz w:val="24"/>
        </w:rPr>
        <w:t>◆</w:t>
      </w:r>
      <w:r>
        <w:rPr>
          <w:color w:val="000000"/>
          <w:sz w:val="24"/>
        </w:rPr>
        <w:t>病死禽畜尸体处理应采用焚烧炉焚烧的方法，在养殖场比较集中的地区，应集中设置焚烧设施；同时焚烧产生的烟气应采取有效的净化措施，防止烟尘、一氧化碳、恶臭等对周围大气环境的污染。</w:t>
      </w:r>
    </w:p>
    <w:p>
      <w:pPr>
        <w:spacing w:line="520" w:lineRule="exact"/>
        <w:ind w:firstLine="480" w:firstLineChars="200"/>
        <w:rPr>
          <w:color w:val="000000"/>
          <w:sz w:val="24"/>
        </w:rPr>
      </w:pPr>
      <w:r>
        <w:rPr>
          <w:rFonts w:hint="eastAsia" w:ascii="宋体" w:hAnsi="宋体" w:cs="宋体"/>
          <w:color w:val="000000"/>
          <w:sz w:val="24"/>
        </w:rPr>
        <w:t>◆</w:t>
      </w:r>
      <w:r>
        <w:rPr>
          <w:color w:val="000000"/>
          <w:sz w:val="24"/>
        </w:rPr>
        <w:t>不具备焚烧条件的养殖场应设置两个以上安全填埋井，填埋井应为混凝提结构，深度大于2m，直径1m，井口加盖密封。进行填埋时，在每次投入畜禽尸体后，应覆盖一层厚度大于10cm的熟石灰，井填满后，须用粘土填埋压实并封口。</w:t>
      </w:r>
    </w:p>
    <w:p>
      <w:pPr>
        <w:spacing w:line="520" w:lineRule="exact"/>
        <w:ind w:firstLine="480" w:firstLineChars="200"/>
        <w:rPr>
          <w:color w:val="000000"/>
          <w:sz w:val="24"/>
        </w:rPr>
      </w:pPr>
      <w:r>
        <w:rPr>
          <w:bCs/>
          <w:color w:val="000000"/>
          <w:sz w:val="24"/>
        </w:rPr>
        <w:t>本项目病死猪产生量为</w:t>
      </w:r>
      <w:r>
        <w:rPr>
          <w:rFonts w:hint="eastAsia"/>
          <w:bCs/>
          <w:color w:val="000000"/>
          <w:sz w:val="24"/>
        </w:rPr>
        <w:t>7.8</w:t>
      </w:r>
      <w:r>
        <w:rPr>
          <w:bCs/>
          <w:color w:val="000000"/>
          <w:sz w:val="24"/>
        </w:rPr>
        <w:t>t/a，</w:t>
      </w:r>
      <w:r>
        <w:rPr>
          <w:rFonts w:hint="eastAsia"/>
          <w:bCs/>
          <w:color w:val="000000"/>
          <w:sz w:val="24"/>
        </w:rPr>
        <w:t>委托正阳县畜禽</w:t>
      </w:r>
      <w:r>
        <w:rPr>
          <w:color w:val="000000"/>
          <w:sz w:val="24"/>
        </w:rPr>
        <w:t>无害化处理中心处置。</w:t>
      </w:r>
    </w:p>
    <w:p>
      <w:pPr>
        <w:tabs>
          <w:tab w:val="left" w:pos="2610"/>
        </w:tabs>
        <w:spacing w:line="520" w:lineRule="exact"/>
        <w:ind w:firstLine="480" w:firstLineChars="200"/>
        <w:rPr>
          <w:sz w:val="24"/>
        </w:rPr>
      </w:pPr>
      <w:r>
        <w:rPr>
          <w:sz w:val="24"/>
        </w:rPr>
        <w:t>（2）危险固体废物</w:t>
      </w:r>
      <w:r>
        <w:rPr>
          <w:sz w:val="24"/>
        </w:rPr>
        <w:tab/>
      </w:r>
    </w:p>
    <w:p>
      <w:pPr>
        <w:tabs>
          <w:tab w:val="left" w:pos="3090"/>
        </w:tabs>
        <w:topLinePunct/>
        <w:spacing w:line="520" w:lineRule="exact"/>
        <w:ind w:firstLine="480" w:firstLineChars="200"/>
        <w:rPr>
          <w:color w:val="000000"/>
          <w:sz w:val="24"/>
        </w:rPr>
      </w:pPr>
      <w:r>
        <w:rPr>
          <w:color w:val="000000"/>
          <w:sz w:val="24"/>
        </w:rPr>
        <w:t>危险固废主要为防疫医疗废物。</w:t>
      </w:r>
    </w:p>
    <w:p>
      <w:pPr>
        <w:spacing w:line="520" w:lineRule="exact"/>
        <w:ind w:firstLine="480" w:firstLineChars="200"/>
        <w:rPr>
          <w:bCs/>
          <w:color w:val="000000"/>
          <w:sz w:val="24"/>
        </w:rPr>
      </w:pPr>
      <w:r>
        <w:rPr>
          <w:bCs/>
          <w:color w:val="000000"/>
          <w:sz w:val="24"/>
        </w:rPr>
        <w:t>生猪在生长过程接种免疫或发病期接受治疗将产生医疗废物，本项目医疗废物产生量为</w:t>
      </w:r>
      <w:r>
        <w:rPr>
          <w:rFonts w:hint="eastAsia"/>
          <w:bCs/>
          <w:color w:val="000000"/>
          <w:sz w:val="24"/>
          <w:lang w:eastAsia="zh-CN"/>
        </w:rPr>
        <w:t>0.021</w:t>
      </w:r>
      <w:r>
        <w:rPr>
          <w:bCs/>
          <w:color w:val="000000"/>
          <w:sz w:val="24"/>
        </w:rPr>
        <w:t>t/a，全场医疗废物暂存于危废暂存间内，</w:t>
      </w:r>
      <w:r>
        <w:rPr>
          <w:rFonts w:hint="eastAsia"/>
          <w:bCs/>
          <w:color w:val="000000"/>
          <w:sz w:val="24"/>
        </w:rPr>
        <w:t>委托有资质单位</w:t>
      </w:r>
      <w:r>
        <w:rPr>
          <w:bCs/>
          <w:color w:val="000000"/>
          <w:sz w:val="24"/>
        </w:rPr>
        <w:t>处置。项目医疗废物需按照《</w:t>
      </w:r>
      <w:r>
        <w:fldChar w:fldCharType="begin"/>
      </w:r>
      <w:r>
        <w:instrText xml:space="preserve"> HYPERLINK "http://baike.haosou.com/doc/4948882-5170156.html" \t "_blank"</w:instrText>
      </w:r>
      <w:r>
        <w:fldChar w:fldCharType="separate"/>
      </w:r>
      <w:r>
        <w:rPr>
          <w:color w:val="000000"/>
          <w:sz w:val="24"/>
        </w:rPr>
        <w:t>医疗废物</w:t>
      </w:r>
      <w:r>
        <w:rPr>
          <w:color w:val="000000"/>
          <w:sz w:val="24"/>
        </w:rPr>
        <w:fldChar w:fldCharType="end"/>
      </w:r>
      <w:r>
        <w:rPr>
          <w:color w:val="000000"/>
          <w:sz w:val="24"/>
          <w:shd w:val="clear" w:color="auto" w:fill="FFFFFF"/>
        </w:rPr>
        <w:t>管理条例</w:t>
      </w:r>
      <w:r>
        <w:rPr>
          <w:bCs/>
          <w:color w:val="000000"/>
          <w:sz w:val="24"/>
        </w:rPr>
        <w:t>》中相应规定收集、</w:t>
      </w:r>
      <w:r>
        <w:fldChar w:fldCharType="begin"/>
      </w:r>
      <w:r>
        <w:instrText xml:space="preserve"> HYPERLINK "http://baike.haosou.com/doc/824185-871698.html" \t "_blank"</w:instrText>
      </w:r>
      <w:r>
        <w:fldChar w:fldCharType="separate"/>
      </w:r>
      <w:r>
        <w:rPr>
          <w:bCs/>
          <w:color w:val="000000"/>
          <w:sz w:val="24"/>
        </w:rPr>
        <w:t>运送</w:t>
      </w:r>
      <w:r>
        <w:rPr>
          <w:bCs/>
          <w:color w:val="000000"/>
          <w:sz w:val="24"/>
        </w:rPr>
        <w:fldChar w:fldCharType="end"/>
      </w:r>
      <w:r>
        <w:rPr>
          <w:bCs/>
          <w:color w:val="000000"/>
          <w:sz w:val="24"/>
        </w:rPr>
        <w:t>、</w:t>
      </w:r>
      <w:r>
        <w:fldChar w:fldCharType="begin"/>
      </w:r>
      <w:r>
        <w:instrText xml:space="preserve"> HYPERLINK "http://baike.haosou.com/doc/1866520-1974147.html" \t "_blank"</w:instrText>
      </w:r>
      <w:r>
        <w:fldChar w:fldCharType="separate"/>
      </w:r>
      <w:r>
        <w:rPr>
          <w:bCs/>
          <w:color w:val="000000"/>
          <w:sz w:val="24"/>
        </w:rPr>
        <w:t>贮存</w:t>
      </w:r>
      <w:r>
        <w:rPr>
          <w:bCs/>
          <w:color w:val="000000"/>
          <w:sz w:val="24"/>
        </w:rPr>
        <w:fldChar w:fldCharType="end"/>
      </w:r>
      <w:r>
        <w:rPr>
          <w:bCs/>
          <w:color w:val="000000"/>
          <w:sz w:val="24"/>
        </w:rPr>
        <w:t>、</w:t>
      </w:r>
      <w:r>
        <w:fldChar w:fldCharType="begin"/>
      </w:r>
      <w:r>
        <w:instrText xml:space="preserve"> HYPERLINK "http://baike.haosou.com/doc/5584939-5797533.html" \t "_blank"</w:instrText>
      </w:r>
      <w:r>
        <w:fldChar w:fldCharType="separate"/>
      </w:r>
      <w:r>
        <w:rPr>
          <w:bCs/>
          <w:color w:val="000000"/>
          <w:sz w:val="24"/>
        </w:rPr>
        <w:t>处置</w:t>
      </w:r>
      <w:r>
        <w:rPr>
          <w:bCs/>
          <w:color w:val="000000"/>
          <w:sz w:val="24"/>
        </w:rPr>
        <w:fldChar w:fldCharType="end"/>
      </w:r>
      <w:r>
        <w:rPr>
          <w:bCs/>
          <w:color w:val="000000"/>
          <w:sz w:val="24"/>
        </w:rPr>
        <w:t>，不得露天存放。</w:t>
      </w:r>
    </w:p>
    <w:p>
      <w:pPr>
        <w:tabs>
          <w:tab w:val="right" w:leader="dot" w:pos="8647"/>
        </w:tabs>
        <w:spacing w:line="520" w:lineRule="exact"/>
        <w:ind w:firstLine="480" w:firstLineChars="200"/>
        <w:rPr>
          <w:color w:val="000000"/>
          <w:sz w:val="24"/>
        </w:rPr>
      </w:pPr>
      <w:r>
        <w:rPr>
          <w:color w:val="000000"/>
          <w:sz w:val="24"/>
        </w:rPr>
        <w:t>项目设置</w:t>
      </w:r>
      <w:r>
        <w:rPr>
          <w:bCs/>
          <w:color w:val="000000"/>
          <w:kern w:val="0"/>
          <w:sz w:val="24"/>
        </w:rPr>
        <w:t>危废暂存间</w:t>
      </w:r>
      <w:r>
        <w:rPr>
          <w:color w:val="000000"/>
          <w:sz w:val="24"/>
        </w:rPr>
        <w:t>1个，占地面积</w:t>
      </w:r>
      <w:r>
        <w:rPr>
          <w:rFonts w:hint="eastAsia"/>
          <w:color w:val="000000"/>
          <w:sz w:val="24"/>
        </w:rPr>
        <w:t>6</w:t>
      </w:r>
      <w:r>
        <w:rPr>
          <w:color w:val="000000"/>
          <w:sz w:val="24"/>
        </w:rPr>
        <w:t>m</w:t>
      </w:r>
      <w:r>
        <w:rPr>
          <w:color w:val="000000"/>
          <w:sz w:val="24"/>
          <w:vertAlign w:val="superscript"/>
        </w:rPr>
        <w:t>2</w:t>
      </w:r>
      <w:r>
        <w:rPr>
          <w:color w:val="000000"/>
          <w:sz w:val="24"/>
        </w:rPr>
        <w:t>。用于收集、贮存养猪过程产生的医疗废物，危废暂存间须满足《危险废物贮存污染控制标准》（GB18597-2001）要求：危废临时贮存间的混凝土基础做防渗处理，防渗层采用2mm厚的防渗材料，保证渗透系数≤10</w:t>
      </w:r>
      <w:r>
        <w:rPr>
          <w:color w:val="000000"/>
          <w:sz w:val="24"/>
          <w:vertAlign w:val="superscript"/>
        </w:rPr>
        <w:t>-10</w:t>
      </w:r>
      <w:r>
        <w:rPr>
          <w:color w:val="000000"/>
          <w:sz w:val="24"/>
        </w:rPr>
        <w:t>cm/s，并采用环氧漆做防腐防渗处理；根据</w:t>
      </w:r>
      <w:r>
        <w:rPr>
          <w:bCs/>
          <w:color w:val="000000"/>
          <w:sz w:val="24"/>
        </w:rPr>
        <w:t>农业部“关于印发《病死动物无害化处理技术规范》的通知”农医发〔2013〕34号，</w:t>
      </w:r>
      <w:r>
        <w:rPr>
          <w:color w:val="000000"/>
          <w:sz w:val="24"/>
        </w:rPr>
        <w:t>暂存场所应易于清洗和消毒，并定期清洗消毒；危废的贮存场所设置明显标志；贮存场所内禁止混放不相溶危险废物；危废的转移执行国家环保总局第5号令《危险废物转移联单管理办法》，转运病死猪的槽车车厢四壁及底部应使用耐腐蚀材料，并采取防渗措施；车辆驶离暂存、养殖等场所前，应对车轮及车厢外部进行消毒；运载车辆应尽量避免进入人口密集区；卸载后，应对运输车辆及相关工具等进行彻底清洗、消毒。</w:t>
      </w:r>
    </w:p>
    <w:p>
      <w:pPr>
        <w:tabs>
          <w:tab w:val="right" w:leader="dot" w:pos="8647"/>
        </w:tabs>
        <w:spacing w:line="520" w:lineRule="exact"/>
        <w:ind w:firstLine="480" w:firstLineChars="200"/>
        <w:rPr>
          <w:color w:val="000000"/>
          <w:sz w:val="24"/>
        </w:rPr>
      </w:pPr>
      <w:r>
        <w:rPr>
          <w:color w:val="000000"/>
          <w:sz w:val="24"/>
        </w:rPr>
        <w:t>在日常管理中，应设置专人加强对危废暂存间的管理，出现问题及时解决，避免形成二次污染，对工作人员应进行专业培训，熟知各项固废知识。</w:t>
      </w:r>
    </w:p>
    <w:p>
      <w:pPr>
        <w:spacing w:line="500" w:lineRule="exact"/>
        <w:rPr>
          <w:b/>
          <w:sz w:val="24"/>
        </w:rPr>
      </w:pPr>
      <w:r>
        <w:rPr>
          <w:b/>
          <w:kern w:val="0"/>
          <w:sz w:val="24"/>
          <w:lang w:bidi="ar"/>
        </w:rPr>
        <w:t>5.2.5.3粪便综合利用措施分析</w:t>
      </w:r>
    </w:p>
    <w:p>
      <w:pPr>
        <w:spacing w:line="520" w:lineRule="exact"/>
        <w:rPr>
          <w:b/>
          <w:sz w:val="24"/>
        </w:rPr>
      </w:pPr>
      <w:r>
        <w:rPr>
          <w:b/>
          <w:kern w:val="0"/>
          <w:sz w:val="24"/>
          <w:lang w:bidi="ar"/>
        </w:rPr>
        <w:t xml:space="preserve">    （1）猪粪发酵生产有机肥</w:t>
      </w:r>
      <w:r>
        <w:rPr>
          <w:rFonts w:hint="eastAsia"/>
          <w:b/>
          <w:kern w:val="0"/>
          <w:sz w:val="24"/>
          <w:lang w:bidi="ar"/>
        </w:rPr>
        <w:t>基料</w:t>
      </w:r>
      <w:r>
        <w:rPr>
          <w:b/>
          <w:kern w:val="0"/>
          <w:sz w:val="24"/>
          <w:lang w:bidi="ar"/>
        </w:rPr>
        <w:t>工艺</w:t>
      </w:r>
    </w:p>
    <w:p>
      <w:pPr>
        <w:adjustRightInd w:val="0"/>
        <w:snapToGrid w:val="0"/>
        <w:spacing w:line="520" w:lineRule="exact"/>
        <w:ind w:firstLine="480" w:firstLineChars="200"/>
        <w:rPr>
          <w:rFonts w:hAnsi="宋体"/>
          <w:sz w:val="24"/>
        </w:rPr>
      </w:pPr>
      <w:r>
        <w:rPr>
          <w:rFonts w:hAnsi="宋体"/>
          <w:sz w:val="24"/>
        </w:rPr>
        <w:t>根</w:t>
      </w:r>
      <w:r>
        <w:rPr>
          <w:rFonts w:hint="eastAsia" w:hAnsi="宋体"/>
          <w:sz w:val="24"/>
        </w:rPr>
        <w:t>据《畜禽养殖业污染防治技术规范》（HJ/T81－2001）规定，养殖场猪粪可采取堆肥发酵法、干燥法和焚烧法等。结合项目特点，猪粪、沼渣等拟采取堆肥发酵后，全部外售，作有机肥基料</w:t>
      </w:r>
      <w:r>
        <w:rPr>
          <w:rFonts w:hAnsi="宋体"/>
          <w:sz w:val="24"/>
        </w:rPr>
        <w:t>，经再次发酵处理后生产生产有机肥</w:t>
      </w:r>
      <w:r>
        <w:rPr>
          <w:rFonts w:hint="eastAsia" w:hAnsi="宋体"/>
          <w:sz w:val="24"/>
        </w:rPr>
        <w:t>基料</w:t>
      </w:r>
      <w:r>
        <w:rPr>
          <w:rFonts w:hAnsi="宋体"/>
          <w:sz w:val="24"/>
        </w:rPr>
        <w:t>，</w:t>
      </w:r>
      <w:r>
        <w:rPr>
          <w:rFonts w:hint="eastAsia" w:hAnsi="宋体"/>
          <w:sz w:val="24"/>
        </w:rPr>
        <w:t>还田利用，符合畜禽粪便“无害化、减量化、资源化”相关要求。</w:t>
      </w:r>
    </w:p>
    <w:p>
      <w:pPr>
        <w:adjustRightInd w:val="0"/>
        <w:snapToGrid w:val="0"/>
        <w:spacing w:line="520" w:lineRule="exact"/>
        <w:ind w:firstLine="480" w:firstLineChars="200"/>
        <w:rPr>
          <w:rFonts w:hAnsi="宋体"/>
          <w:sz w:val="24"/>
        </w:rPr>
      </w:pPr>
      <w:r>
        <w:rPr>
          <w:rFonts w:hint="eastAsia" w:hAnsi="宋体"/>
          <w:sz w:val="24"/>
        </w:rPr>
        <w:t>猪粪及沼渣含有丰富的有机质和氮、磷、钾元素，具有优良改良土壤的作用。其养份含量见表</w:t>
      </w:r>
      <w:r>
        <w:rPr>
          <w:rFonts w:hAnsi="宋体"/>
          <w:sz w:val="24"/>
        </w:rPr>
        <w:t>5.2-13</w:t>
      </w:r>
      <w:r>
        <w:rPr>
          <w:rFonts w:hint="eastAsia" w:hAnsi="宋体"/>
          <w:sz w:val="24"/>
        </w:rPr>
        <w:t>。</w:t>
      </w:r>
    </w:p>
    <w:p>
      <w:pPr>
        <w:pStyle w:val="14"/>
        <w:adjustRightInd w:val="0"/>
        <w:snapToGrid w:val="0"/>
        <w:spacing w:before="0" w:beforeAutospacing="0" w:after="0" w:afterAutospacing="0" w:line="520" w:lineRule="exact"/>
        <w:rPr>
          <w:rFonts w:hint="eastAsia" w:ascii="Times New Roman" w:hAnsi="Times New Roman" w:eastAsia="宋体" w:cs="Times New Roman"/>
          <w:color w:val="auto"/>
        </w:rPr>
      </w:pPr>
      <w:r>
        <w:rPr>
          <w:rFonts w:hint="eastAsia" w:ascii="Times New Roman" w:hAnsi="宋体" w:eastAsia="宋体" w:cs="Times New Roman"/>
          <w:color w:val="auto"/>
        </w:rPr>
        <w:t xml:space="preserve">    </w:t>
      </w:r>
      <w:r>
        <w:rPr>
          <w:rFonts w:ascii="Times New Roman" w:hAnsi="Times New Roman" w:eastAsia="宋体" w:cs="Times New Roman"/>
          <w:color w:val="auto"/>
        </w:rPr>
        <w:t xml:space="preserve"> </w:t>
      </w:r>
    </w:p>
    <w:p>
      <w:pPr>
        <w:pStyle w:val="14"/>
        <w:adjustRightInd w:val="0"/>
        <w:snapToGrid w:val="0"/>
        <w:spacing w:before="0" w:beforeAutospacing="0" w:after="0" w:afterAutospacing="0" w:line="520" w:lineRule="exact"/>
        <w:rPr>
          <w:rFonts w:hint="eastAsia" w:ascii="Times New Roman" w:hAnsi="Times New Roman" w:eastAsia="宋体" w:cs="Times New Roman"/>
          <w:color w:val="auto"/>
        </w:rPr>
      </w:pPr>
    </w:p>
    <w:p>
      <w:pPr>
        <w:pStyle w:val="14"/>
        <w:adjustRightInd w:val="0"/>
        <w:snapToGrid w:val="0"/>
        <w:spacing w:before="0" w:beforeAutospacing="0" w:after="0" w:afterAutospacing="0" w:line="520" w:lineRule="exact"/>
        <w:rPr>
          <w:rFonts w:hint="eastAsia" w:ascii="Times New Roman" w:hAnsi="Times New Roman" w:eastAsia="宋体" w:cs="Times New Roman"/>
          <w:color w:val="auto"/>
        </w:rPr>
      </w:pPr>
    </w:p>
    <w:p>
      <w:pPr>
        <w:pStyle w:val="14"/>
        <w:adjustRightInd w:val="0"/>
        <w:snapToGrid w:val="0"/>
        <w:spacing w:before="0" w:beforeAutospacing="0" w:after="0" w:afterAutospacing="0" w:line="520" w:lineRule="exact"/>
        <w:jc w:val="center"/>
        <w:rPr>
          <w:rFonts w:ascii="Times New Roman" w:hAnsi="Times New Roman" w:eastAsia="宋体" w:cs="Times New Roman"/>
          <w:b/>
          <w:color w:val="auto"/>
        </w:rPr>
      </w:pPr>
      <w:r>
        <w:rPr>
          <w:rFonts w:ascii="Times New Roman" w:hAnsi="Times New Roman" w:eastAsia="宋体" w:cs="Times New Roman"/>
          <w:b/>
          <w:color w:val="auto"/>
        </w:rPr>
        <w:t>表5.2-13      猪粪</w:t>
      </w:r>
      <w:r>
        <w:rPr>
          <w:rFonts w:hint="eastAsia" w:ascii="Times New Roman" w:hAnsi="Times New Roman" w:eastAsia="宋体" w:cs="Times New Roman"/>
          <w:b/>
          <w:color w:val="auto"/>
        </w:rPr>
        <w:t>、</w:t>
      </w:r>
      <w:r>
        <w:rPr>
          <w:rFonts w:ascii="Times New Roman" w:hAnsi="Times New Roman" w:eastAsia="宋体" w:cs="Times New Roman"/>
          <w:b/>
          <w:color w:val="auto"/>
        </w:rPr>
        <w:t>沼渣的养份含量表　　　　　   单位：%</w:t>
      </w:r>
    </w:p>
    <w:tbl>
      <w:tblPr>
        <w:tblStyle w:val="17"/>
        <w:tblW w:w="8946"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31"/>
        <w:gridCol w:w="1075"/>
        <w:gridCol w:w="1430"/>
        <w:gridCol w:w="1075"/>
        <w:gridCol w:w="1430"/>
        <w:gridCol w:w="1075"/>
        <w:gridCol w:w="14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1" w:type="dxa"/>
            <w:noWrap w:val="0"/>
            <w:vAlign w:val="center"/>
          </w:tcPr>
          <w:p>
            <w:pPr>
              <w:adjustRightInd w:val="0"/>
              <w:snapToGrid w:val="0"/>
              <w:jc w:val="center"/>
              <w:rPr>
                <w:rFonts w:hAnsi="宋体"/>
              </w:rPr>
            </w:pPr>
            <w:r>
              <w:rPr>
                <w:rFonts w:hAnsi="宋体"/>
              </w:rPr>
              <w:t>有机质</w:t>
            </w:r>
          </w:p>
        </w:tc>
        <w:tc>
          <w:tcPr>
            <w:tcW w:w="1075" w:type="dxa"/>
            <w:noWrap w:val="0"/>
            <w:vAlign w:val="center"/>
          </w:tcPr>
          <w:p>
            <w:pPr>
              <w:adjustRightInd w:val="0"/>
              <w:snapToGrid w:val="0"/>
              <w:jc w:val="center"/>
              <w:rPr>
                <w:rFonts w:hAnsi="宋体"/>
              </w:rPr>
            </w:pPr>
            <w:r>
              <w:rPr>
                <w:rFonts w:hAnsi="宋体"/>
              </w:rPr>
              <w:t>全氮</w:t>
            </w:r>
          </w:p>
        </w:tc>
        <w:tc>
          <w:tcPr>
            <w:tcW w:w="1430" w:type="dxa"/>
            <w:noWrap w:val="0"/>
            <w:vAlign w:val="center"/>
          </w:tcPr>
          <w:p>
            <w:pPr>
              <w:adjustRightInd w:val="0"/>
              <w:snapToGrid w:val="0"/>
              <w:jc w:val="center"/>
              <w:rPr>
                <w:rFonts w:hAnsi="宋体"/>
              </w:rPr>
            </w:pPr>
            <w:r>
              <w:rPr>
                <w:rFonts w:hAnsi="宋体"/>
              </w:rPr>
              <w:t>速效氮</w:t>
            </w:r>
          </w:p>
        </w:tc>
        <w:tc>
          <w:tcPr>
            <w:tcW w:w="1075" w:type="dxa"/>
            <w:noWrap w:val="0"/>
            <w:vAlign w:val="center"/>
          </w:tcPr>
          <w:p>
            <w:pPr>
              <w:adjustRightInd w:val="0"/>
              <w:snapToGrid w:val="0"/>
              <w:jc w:val="center"/>
              <w:rPr>
                <w:rFonts w:hAnsi="宋体"/>
              </w:rPr>
            </w:pPr>
            <w:r>
              <w:rPr>
                <w:rFonts w:hAnsi="宋体"/>
              </w:rPr>
              <w:t>全磷</w:t>
            </w:r>
          </w:p>
        </w:tc>
        <w:tc>
          <w:tcPr>
            <w:tcW w:w="1430" w:type="dxa"/>
            <w:noWrap w:val="0"/>
            <w:vAlign w:val="center"/>
          </w:tcPr>
          <w:p>
            <w:pPr>
              <w:adjustRightInd w:val="0"/>
              <w:snapToGrid w:val="0"/>
              <w:jc w:val="center"/>
              <w:rPr>
                <w:rFonts w:hAnsi="宋体"/>
              </w:rPr>
            </w:pPr>
            <w:r>
              <w:rPr>
                <w:rFonts w:hAnsi="宋体"/>
              </w:rPr>
              <w:t>速效磷</w:t>
            </w:r>
          </w:p>
        </w:tc>
        <w:tc>
          <w:tcPr>
            <w:tcW w:w="1075" w:type="dxa"/>
            <w:noWrap w:val="0"/>
            <w:vAlign w:val="center"/>
          </w:tcPr>
          <w:p>
            <w:pPr>
              <w:adjustRightInd w:val="0"/>
              <w:snapToGrid w:val="0"/>
              <w:jc w:val="center"/>
              <w:rPr>
                <w:rFonts w:hAnsi="宋体"/>
              </w:rPr>
            </w:pPr>
            <w:r>
              <w:rPr>
                <w:rFonts w:hAnsi="宋体"/>
              </w:rPr>
              <w:t>全钾</w:t>
            </w:r>
          </w:p>
        </w:tc>
        <w:tc>
          <w:tcPr>
            <w:tcW w:w="1430" w:type="dxa"/>
            <w:noWrap w:val="0"/>
            <w:vAlign w:val="center"/>
          </w:tcPr>
          <w:p>
            <w:pPr>
              <w:adjustRightInd w:val="0"/>
              <w:snapToGrid w:val="0"/>
              <w:jc w:val="center"/>
              <w:rPr>
                <w:rFonts w:hAnsi="宋体"/>
              </w:rPr>
            </w:pPr>
            <w:r>
              <w:rPr>
                <w:rFonts w:hAnsi="宋体"/>
              </w:rPr>
              <w:t>速效钾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1" w:type="dxa"/>
            <w:noWrap w:val="0"/>
            <w:vAlign w:val="center"/>
          </w:tcPr>
          <w:p>
            <w:pPr>
              <w:adjustRightInd w:val="0"/>
              <w:snapToGrid w:val="0"/>
              <w:jc w:val="center"/>
              <w:rPr>
                <w:rFonts w:hAnsi="宋体"/>
              </w:rPr>
            </w:pPr>
            <w:r>
              <w:rPr>
                <w:rFonts w:hAnsi="宋体"/>
              </w:rPr>
              <w:t>28.62</w:t>
            </w:r>
          </w:p>
        </w:tc>
        <w:tc>
          <w:tcPr>
            <w:tcW w:w="1075" w:type="dxa"/>
            <w:noWrap w:val="0"/>
            <w:vAlign w:val="center"/>
          </w:tcPr>
          <w:p>
            <w:pPr>
              <w:adjustRightInd w:val="0"/>
              <w:snapToGrid w:val="0"/>
              <w:jc w:val="center"/>
              <w:rPr>
                <w:rFonts w:hAnsi="宋体"/>
              </w:rPr>
            </w:pPr>
            <w:r>
              <w:rPr>
                <w:rFonts w:hAnsi="宋体"/>
              </w:rPr>
              <w:t>1.92</w:t>
            </w:r>
          </w:p>
        </w:tc>
        <w:tc>
          <w:tcPr>
            <w:tcW w:w="1430" w:type="dxa"/>
            <w:noWrap w:val="0"/>
            <w:vAlign w:val="center"/>
          </w:tcPr>
          <w:p>
            <w:pPr>
              <w:adjustRightInd w:val="0"/>
              <w:snapToGrid w:val="0"/>
              <w:jc w:val="center"/>
              <w:rPr>
                <w:rFonts w:hAnsi="宋体"/>
              </w:rPr>
            </w:pPr>
            <w:r>
              <w:rPr>
                <w:rFonts w:hAnsi="宋体"/>
              </w:rPr>
              <w:t>0.27</w:t>
            </w:r>
          </w:p>
        </w:tc>
        <w:tc>
          <w:tcPr>
            <w:tcW w:w="1075" w:type="dxa"/>
            <w:noWrap w:val="0"/>
            <w:vAlign w:val="center"/>
          </w:tcPr>
          <w:p>
            <w:pPr>
              <w:adjustRightInd w:val="0"/>
              <w:snapToGrid w:val="0"/>
              <w:jc w:val="center"/>
              <w:rPr>
                <w:rFonts w:hAnsi="宋体"/>
              </w:rPr>
            </w:pPr>
            <w:r>
              <w:rPr>
                <w:rFonts w:hAnsi="宋体"/>
              </w:rPr>
              <w:t>2.94</w:t>
            </w:r>
          </w:p>
        </w:tc>
        <w:tc>
          <w:tcPr>
            <w:tcW w:w="1430" w:type="dxa"/>
            <w:noWrap w:val="0"/>
            <w:vAlign w:val="center"/>
          </w:tcPr>
          <w:p>
            <w:pPr>
              <w:adjustRightInd w:val="0"/>
              <w:snapToGrid w:val="0"/>
              <w:jc w:val="center"/>
              <w:rPr>
                <w:rFonts w:hAnsi="宋体"/>
              </w:rPr>
            </w:pPr>
            <w:r>
              <w:rPr>
                <w:rFonts w:hAnsi="宋体"/>
              </w:rPr>
              <w:t>1.39</w:t>
            </w:r>
          </w:p>
        </w:tc>
        <w:tc>
          <w:tcPr>
            <w:tcW w:w="1075" w:type="dxa"/>
            <w:noWrap w:val="0"/>
            <w:vAlign w:val="center"/>
          </w:tcPr>
          <w:p>
            <w:pPr>
              <w:adjustRightInd w:val="0"/>
              <w:snapToGrid w:val="0"/>
              <w:jc w:val="center"/>
              <w:rPr>
                <w:rFonts w:hAnsi="宋体"/>
              </w:rPr>
            </w:pPr>
            <w:r>
              <w:rPr>
                <w:rFonts w:hAnsi="宋体"/>
              </w:rPr>
              <w:t>0.39</w:t>
            </w:r>
          </w:p>
        </w:tc>
        <w:tc>
          <w:tcPr>
            <w:tcW w:w="1430" w:type="dxa"/>
            <w:noWrap w:val="0"/>
            <w:vAlign w:val="center"/>
          </w:tcPr>
          <w:p>
            <w:pPr>
              <w:adjustRightInd w:val="0"/>
              <w:snapToGrid w:val="0"/>
              <w:jc w:val="center"/>
              <w:rPr>
                <w:rFonts w:hAnsi="宋体"/>
              </w:rPr>
            </w:pPr>
            <w:r>
              <w:rPr>
                <w:rFonts w:hAnsi="宋体"/>
              </w:rPr>
              <w:t>0.22</w:t>
            </w:r>
          </w:p>
        </w:tc>
      </w:tr>
    </w:tbl>
    <w:p>
      <w:pPr>
        <w:adjustRightInd w:val="0"/>
        <w:snapToGrid w:val="0"/>
        <w:spacing w:before="156" w:beforeLines="50" w:line="520" w:lineRule="exact"/>
        <w:ind w:firstLine="480" w:firstLineChars="200"/>
        <w:rPr>
          <w:rFonts w:hAnsi="宋体"/>
          <w:sz w:val="24"/>
        </w:rPr>
      </w:pPr>
      <w:r>
        <w:rPr>
          <w:rFonts w:hAnsi="宋体"/>
          <w:sz w:val="24"/>
        </w:rPr>
        <w:t>▲</w:t>
      </w:r>
      <w:r>
        <w:rPr>
          <w:rFonts w:hint="eastAsia" w:hAnsi="宋体"/>
          <w:sz w:val="24"/>
        </w:rPr>
        <w:t>堆肥发酵工艺比选</w:t>
      </w:r>
    </w:p>
    <w:p>
      <w:pPr>
        <w:adjustRightInd w:val="0"/>
        <w:snapToGrid w:val="0"/>
        <w:spacing w:line="520" w:lineRule="exact"/>
        <w:ind w:firstLine="480" w:firstLineChars="200"/>
        <w:rPr>
          <w:rFonts w:hAnsi="宋体"/>
          <w:sz w:val="24"/>
        </w:rPr>
      </w:pPr>
      <w:r>
        <w:rPr>
          <w:rFonts w:hAnsi="宋体"/>
          <w:sz w:val="24"/>
        </w:rPr>
        <w:t>堆肥是在微生物作用下通过发酵使有机物矿质化、腐殖化和无害化而变成腐熟肥料的过程，根据</w:t>
      </w:r>
      <w:r>
        <w:rPr>
          <w:rFonts w:hint="eastAsia" w:hAnsi="宋体"/>
          <w:sz w:val="24"/>
        </w:rPr>
        <w:t>生物处理过程中起作用的微生物对氧气需求不同，可以把固体废物堆肥分为好氧堆肥和厌氧堆肥。</w:t>
      </w:r>
    </w:p>
    <w:p>
      <w:pPr>
        <w:adjustRightInd w:val="0"/>
        <w:snapToGrid w:val="0"/>
        <w:spacing w:line="520" w:lineRule="exact"/>
        <w:ind w:firstLine="480" w:firstLineChars="200"/>
        <w:rPr>
          <w:rFonts w:hAnsi="宋体"/>
          <w:sz w:val="24"/>
        </w:rPr>
      </w:pPr>
      <w:r>
        <w:rPr>
          <w:rFonts w:hAnsi="宋体"/>
          <w:sz w:val="24"/>
        </w:rPr>
        <w:t>好氧堆肥技术：好氧堆肥是在有氧条件下，依靠好氧微生物（主要是好氧细菌）作</w:t>
      </w:r>
      <w:r>
        <w:rPr>
          <w:rFonts w:hint="eastAsia" w:hAnsi="宋体"/>
          <w:sz w:val="24"/>
        </w:rPr>
        <w:t>用来进行的，在堆肥过程中，有机废物种的可溶性有机物，渗入细胞。微生物通过自身的生物代谢活动，对一部分有机物进行分解代谢，即氧化分解以获得生物生长、活动所需能量，把另一部分有机物转化合成新的细胞物质，使微生物生长繁殖，产生更多的生物体。好氧堆肥温度高，一般在50-65℃，故亦称为高温堆肥，高温堆肥技术成熟投资较小可以最大限度地杀灭病原菌，同时对有机质的降解速度快。现代化的堆肥生产一般采用采用好氧堆肥工艺。</w:t>
      </w:r>
    </w:p>
    <w:p>
      <w:pPr>
        <w:adjustRightInd w:val="0"/>
        <w:snapToGrid w:val="0"/>
        <w:spacing w:line="520" w:lineRule="exact"/>
        <w:ind w:firstLine="480" w:firstLineChars="200"/>
        <w:rPr>
          <w:rFonts w:hAnsi="宋体"/>
          <w:sz w:val="24"/>
        </w:rPr>
      </w:pPr>
      <w:r>
        <w:rPr>
          <w:rFonts w:hint="eastAsia" w:hAnsi="宋体"/>
          <w:sz w:val="24"/>
        </w:rPr>
        <w:t>厌氧堆肥技术：厌氧堆肥是在无氧条件下，借助厌氧微生物（主要是厌氧细菌）将有机质进行分解，被分解的有机碳化物中的能量大部分转化储存在甲烷中，仅一小部分有机碳化物转化为二氧化碳，释放的能量供微生物生命活动需要，在这一分解过程中，仅积储少量的微生物。厌氧发酵工艺有机物分解缓慢，发酵周期4～6个月。</w:t>
      </w:r>
    </w:p>
    <w:p>
      <w:pPr>
        <w:adjustRightInd w:val="0"/>
        <w:snapToGrid w:val="0"/>
        <w:spacing w:line="520" w:lineRule="exact"/>
        <w:ind w:firstLine="480" w:firstLineChars="200"/>
        <w:rPr>
          <w:rFonts w:hAnsi="宋体"/>
          <w:sz w:val="24"/>
        </w:rPr>
      </w:pPr>
      <w:r>
        <w:rPr>
          <w:rFonts w:hint="eastAsia" w:hAnsi="宋体"/>
          <w:sz w:val="24"/>
        </w:rPr>
        <w:t>厌氧发酵工艺肥效好，但一次性投资较高，且发酵周期较长，与厌氧发酵工艺相比，好氧发酵具有投资小、发酵周期短、技术应用比较广泛的优点，另外，根据《畜禽养殖业污染治理工程技术规范》（HJ497－2009），固体畜禽粪便宜采用好氧堆肥技术进行无害化处理。因此本次推荐采用好氧堆肥工艺，场区内建设具备“防渗漏、防雨、防溢流”三防措施的堆肥场，猪粪、粪渣混合，好氧堆肥发酵后，制成固体有机肥基料外运。</w:t>
      </w:r>
    </w:p>
    <w:p>
      <w:pPr>
        <w:adjustRightInd w:val="0"/>
        <w:snapToGrid w:val="0"/>
        <w:spacing w:line="520" w:lineRule="exact"/>
        <w:ind w:firstLine="480" w:firstLineChars="200"/>
        <w:rPr>
          <w:rFonts w:hAnsi="宋体"/>
          <w:sz w:val="24"/>
        </w:rPr>
      </w:pPr>
      <w:r>
        <w:rPr>
          <w:rFonts w:hAnsi="宋体"/>
          <w:sz w:val="24"/>
        </w:rPr>
        <w:t>▲</w:t>
      </w:r>
      <w:r>
        <w:rPr>
          <w:rFonts w:hint="eastAsia" w:hAnsi="宋体"/>
          <w:sz w:val="24"/>
        </w:rPr>
        <w:t>猪</w:t>
      </w:r>
      <w:r>
        <w:rPr>
          <w:rFonts w:hAnsi="宋体"/>
          <w:sz w:val="24"/>
        </w:rPr>
        <w:t>粪、沼渣综合利用措施可行性分析</w:t>
      </w:r>
    </w:p>
    <w:p>
      <w:pPr>
        <w:spacing w:line="520" w:lineRule="exact"/>
        <w:ind w:firstLine="480" w:firstLineChars="200"/>
        <w:rPr>
          <w:rFonts w:hAnsi="宋体"/>
          <w:sz w:val="24"/>
        </w:rPr>
      </w:pPr>
      <w:r>
        <w:rPr>
          <w:rFonts w:hint="eastAsia" w:hAnsi="宋体"/>
          <w:sz w:val="24"/>
        </w:rPr>
        <w:t>猪</w:t>
      </w:r>
      <w:r>
        <w:rPr>
          <w:rFonts w:hAnsi="宋体"/>
          <w:sz w:val="24"/>
        </w:rPr>
        <w:t>粪有机质腐熟后形成腐殖质储存在土壤中，对改良土壤、培养地力有明显效果。因此，家畜粪便在保持和提高土壤肥力的效果上远远超过化肥。化肥中的磷酸钙会与土壤中的石灰质、铁反映形成沉淀物，大大降低磷的利用率。有机肥</w:t>
      </w:r>
      <w:r>
        <w:rPr>
          <w:rFonts w:hint="eastAsia" w:hAnsi="宋体"/>
          <w:sz w:val="24"/>
        </w:rPr>
        <w:t>基</w:t>
      </w:r>
      <w:r>
        <w:rPr>
          <w:rFonts w:hAnsi="宋体"/>
          <w:sz w:val="24"/>
        </w:rPr>
        <w:t>料中的磷是有机磷，肥效优于磷酸钙，被固定的可能性小，相对提高了磷肥肥效。同时畜粪中的有机质在积肥、施肥过程中，经过微生物的加工分解以至重新合成，最后形成腐殖质储存在土壤中。腐殖质对改良土壤、培养地力的作用是多方面的：它能调节土壤水分、温度、空气和肥效，适时满足作物生长发育的需要；能调节土壤的酸碱度，形成土壤的团粒结构；能延长和增进肥效，促进水分迅速进入植物体，并有催芽、促进根系发育和保温等作用。同时有机质腐熟后，形成较高量的胡敏酸，具有典型的亲水胶体性，能把细小的土壤粘结起来形成较大的团粒，构成土壤的团粒结构，同时在转化过程中释放能量，能刺激作物根系多吸收养分，改良土壤提高产量。</w:t>
      </w:r>
    </w:p>
    <w:p>
      <w:pPr>
        <w:spacing w:line="500" w:lineRule="exact"/>
        <w:rPr>
          <w:b/>
          <w:sz w:val="24"/>
        </w:rPr>
      </w:pPr>
      <w:r>
        <w:rPr>
          <w:b/>
          <w:kern w:val="0"/>
          <w:sz w:val="24"/>
          <w:lang w:bidi="ar"/>
        </w:rPr>
        <w:t>5.2.5.4 养殖场防疫措施分析</w:t>
      </w:r>
    </w:p>
    <w:p>
      <w:pPr>
        <w:spacing w:line="520" w:lineRule="exact"/>
        <w:ind w:firstLine="480" w:firstLineChars="200"/>
        <w:rPr>
          <w:color w:val="000000"/>
          <w:sz w:val="24"/>
        </w:rPr>
      </w:pPr>
      <w:r>
        <w:rPr>
          <w:color w:val="000000"/>
          <w:sz w:val="24"/>
        </w:rPr>
        <w:t>畜禽传染病是畜牧业的大敌，它制约了畜牧业的发展，还有一些人畜共患病和寄生虫病（如狂犬病、炭疽、结核、布氏杆菌病、猪囊尾蚴病、旋毛虫病），会给人们健康带来威胁，因此控制疫病对于畜牧业生产和保护人民健康都具有重要的意义。国家颁布了《动物防疫法》、《家畜家禽防疫条例》等法律法规，规定了“预防为主”的畜禽防疫方针。</w:t>
      </w:r>
    </w:p>
    <w:p>
      <w:pPr>
        <w:spacing w:line="520" w:lineRule="exact"/>
        <w:ind w:firstLine="480" w:firstLineChars="200"/>
        <w:rPr>
          <w:color w:val="000000"/>
          <w:sz w:val="24"/>
        </w:rPr>
      </w:pPr>
      <w:r>
        <w:rPr>
          <w:color w:val="000000"/>
          <w:sz w:val="24"/>
        </w:rPr>
        <w:t>（1）畜禽传染病及其传播途径</w:t>
      </w:r>
    </w:p>
    <w:p>
      <w:pPr>
        <w:spacing w:line="520" w:lineRule="exact"/>
        <w:ind w:firstLine="480" w:firstLineChars="200"/>
        <w:rPr>
          <w:color w:val="000000"/>
          <w:sz w:val="24"/>
        </w:rPr>
      </w:pPr>
      <w:r>
        <w:rPr>
          <w:color w:val="000000"/>
          <w:sz w:val="24"/>
        </w:rPr>
        <w:t>引起动物传染病的病原体主要是细菌、病毒和寄生虫。病原体在患病动物体内生长繁殖，并不断向体外排除病原体，通过多种途径传给更多的易感动物，使疾病流行起来。传染源、传播途径和易感动物是传染病发生的三个基本条件，三者缺一传染病都不会发生。</w:t>
      </w:r>
    </w:p>
    <w:p>
      <w:pPr>
        <w:spacing w:line="520" w:lineRule="exact"/>
        <w:ind w:firstLine="480" w:firstLineChars="200"/>
        <w:rPr>
          <w:color w:val="000000"/>
          <w:sz w:val="24"/>
        </w:rPr>
      </w:pPr>
      <w:r>
        <w:rPr>
          <w:color w:val="000000"/>
          <w:sz w:val="24"/>
        </w:rPr>
        <w:t>传播途径分为直接接触传染和间接传染。直接接触传染包括交配和啃咬等方式，最为典型的例子就是狂犬病。间接传染通过饲料饲草、饮水、空气、土壤、中间宿主、饲养管理用具、昆虫、鼠类、畜禽及其他野生动物粪便等方式。</w:t>
      </w:r>
    </w:p>
    <w:p>
      <w:pPr>
        <w:spacing w:line="520" w:lineRule="exact"/>
        <w:ind w:firstLine="480" w:firstLineChars="200"/>
        <w:rPr>
          <w:color w:val="000000"/>
          <w:sz w:val="24"/>
        </w:rPr>
      </w:pPr>
      <w:r>
        <w:rPr>
          <w:color w:val="000000"/>
          <w:sz w:val="24"/>
        </w:rPr>
        <w:t>病畜病禽排出的粪尿和尸体中含有病原菌会造成水污染引起传染病的传播和流行，不仅危害畜禽本身也危及人类。猪丹毒、副伤寒、马鼻疽、布鲁氏菌病、炭疽病、钩端螺旋体病和土拉菌病都是水传疾病，口蹄疫、鸡新城病也可以经胃肠道传播。</w:t>
      </w:r>
    </w:p>
    <w:p>
      <w:pPr>
        <w:spacing w:line="520" w:lineRule="exact"/>
        <w:ind w:firstLine="480" w:firstLineChars="200"/>
        <w:rPr>
          <w:color w:val="000000"/>
          <w:sz w:val="24"/>
        </w:rPr>
      </w:pPr>
      <w:r>
        <w:rPr>
          <w:color w:val="000000"/>
          <w:sz w:val="24"/>
        </w:rPr>
        <w:t>（2）防疫卫生措施</w:t>
      </w:r>
    </w:p>
    <w:p>
      <w:pPr>
        <w:spacing w:line="520" w:lineRule="exact"/>
        <w:ind w:firstLine="480" w:firstLineChars="200"/>
        <w:rPr>
          <w:color w:val="000000"/>
          <w:sz w:val="24"/>
        </w:rPr>
      </w:pPr>
      <w:r>
        <w:rPr>
          <w:color w:val="000000"/>
          <w:sz w:val="24"/>
        </w:rPr>
        <w:t>结合项目特点，评价要求采取如下措施以加强养殖区的环境管理和疾病传播的预防措施：</w:t>
      </w:r>
    </w:p>
    <w:p>
      <w:pPr>
        <w:spacing w:line="520" w:lineRule="exact"/>
        <w:ind w:firstLine="480" w:firstLineChars="200"/>
        <w:rPr>
          <w:color w:val="000000"/>
          <w:sz w:val="24"/>
        </w:rPr>
      </w:pPr>
      <w:r>
        <w:rPr>
          <w:color w:val="000000"/>
          <w:sz w:val="24"/>
        </w:rPr>
        <w:fldChar w:fldCharType="begin"/>
      </w:r>
      <w:r>
        <w:rPr>
          <w:color w:val="000000"/>
          <w:sz w:val="24"/>
        </w:rPr>
        <w:instrText xml:space="preserve"> = 1 \* GB3 </w:instrText>
      </w:r>
      <w:r>
        <w:rPr>
          <w:color w:val="000000"/>
          <w:sz w:val="24"/>
        </w:rPr>
        <w:fldChar w:fldCharType="separate"/>
      </w:r>
      <w:r>
        <w:rPr>
          <w:rFonts w:hint="eastAsia" w:ascii="宋体" w:hAnsi="宋体" w:cs="宋体"/>
          <w:color w:val="000000"/>
          <w:sz w:val="24"/>
        </w:rPr>
        <w:t>①</w:t>
      </w:r>
      <w:r>
        <w:rPr>
          <w:color w:val="000000"/>
          <w:sz w:val="24"/>
        </w:rPr>
        <w:fldChar w:fldCharType="end"/>
      </w:r>
      <w:r>
        <w:rPr>
          <w:color w:val="000000"/>
          <w:sz w:val="24"/>
        </w:rPr>
        <w:t>严格“三区分离”制度，将办公区、养殖区和粪污处理处置区分离开来，防止交叉污染。</w:t>
      </w:r>
    </w:p>
    <w:p>
      <w:pPr>
        <w:spacing w:line="520" w:lineRule="exact"/>
        <w:ind w:firstLine="480" w:firstLineChars="200"/>
        <w:rPr>
          <w:color w:val="000000"/>
          <w:sz w:val="24"/>
        </w:rPr>
      </w:pPr>
      <w:r>
        <w:rPr>
          <w:color w:val="000000"/>
          <w:sz w:val="24"/>
        </w:rPr>
        <w:fldChar w:fldCharType="begin"/>
      </w:r>
      <w:r>
        <w:rPr>
          <w:color w:val="000000"/>
          <w:sz w:val="24"/>
        </w:rPr>
        <w:instrText xml:space="preserve"> = 2 \* GB3 </w:instrText>
      </w:r>
      <w:r>
        <w:rPr>
          <w:color w:val="000000"/>
          <w:sz w:val="24"/>
        </w:rPr>
        <w:fldChar w:fldCharType="separate"/>
      </w:r>
      <w:r>
        <w:rPr>
          <w:rFonts w:hint="eastAsia" w:ascii="宋体" w:hAnsi="宋体" w:cs="宋体"/>
          <w:color w:val="000000"/>
          <w:sz w:val="24"/>
        </w:rPr>
        <w:t>②</w:t>
      </w:r>
      <w:r>
        <w:rPr>
          <w:color w:val="000000"/>
          <w:sz w:val="24"/>
        </w:rPr>
        <w:fldChar w:fldCharType="end"/>
      </w:r>
      <w:r>
        <w:rPr>
          <w:color w:val="000000"/>
          <w:sz w:val="24"/>
        </w:rPr>
        <w:t>仔猪出场设置专门出猪台，避免购猪人员和车辆进入养殖区。养殖区设置净道和脏道，并能够保证物流畅通，净道主要运输饲料和由饲养员和兽医等通行；脏道主要作为粪污运输通道，为避免交叉污染，粪污通过必须避开养殖区进入粪污区，即在养殖区外设置专门通道用于粪污输送。</w:t>
      </w:r>
    </w:p>
    <w:p>
      <w:pPr>
        <w:spacing w:line="520" w:lineRule="exact"/>
        <w:ind w:firstLine="480" w:firstLineChars="200"/>
        <w:rPr>
          <w:color w:val="000000"/>
          <w:sz w:val="24"/>
        </w:rPr>
      </w:pPr>
      <w:r>
        <w:rPr>
          <w:color w:val="000000"/>
          <w:sz w:val="24"/>
        </w:rPr>
        <w:fldChar w:fldCharType="begin"/>
      </w:r>
      <w:r>
        <w:rPr>
          <w:color w:val="000000"/>
          <w:sz w:val="24"/>
        </w:rPr>
        <w:instrText xml:space="preserve"> = 3 \* GB3 </w:instrText>
      </w:r>
      <w:r>
        <w:rPr>
          <w:color w:val="000000"/>
          <w:sz w:val="24"/>
        </w:rPr>
        <w:fldChar w:fldCharType="separate"/>
      </w:r>
      <w:r>
        <w:rPr>
          <w:rFonts w:hint="eastAsia" w:ascii="宋体" w:hAnsi="宋体" w:cs="宋体"/>
          <w:color w:val="000000"/>
          <w:sz w:val="24"/>
        </w:rPr>
        <w:t>③</w:t>
      </w:r>
      <w:r>
        <w:rPr>
          <w:color w:val="000000"/>
          <w:sz w:val="24"/>
        </w:rPr>
        <w:fldChar w:fldCharType="end"/>
      </w:r>
      <w:r>
        <w:rPr>
          <w:color w:val="000000"/>
          <w:sz w:val="24"/>
        </w:rPr>
        <w:t>进入养殖区各出入口必须设置消毒池，出入车辆必须经消毒池进行消毒处理，消毒池应设置门楼和防水堰，防止雨水大量进入导致消毒液外溢污染；主场区门口设置紫外线消毒室，入区人员包括饲养员、兽医、管理员及一切外来人员必须经消毒室进行消毒处理，消毒时间不小于5分钟。在养殖区设置饲养员休息室，尽量避免饲养员经常出入养殖区，减降病菌交叉污染的几率。</w:t>
      </w:r>
    </w:p>
    <w:p>
      <w:pPr>
        <w:spacing w:line="520" w:lineRule="exact"/>
        <w:ind w:firstLine="480" w:firstLineChars="200"/>
        <w:rPr>
          <w:color w:val="000000"/>
          <w:sz w:val="24"/>
        </w:rPr>
      </w:pPr>
      <w:r>
        <w:rPr>
          <w:color w:val="000000"/>
          <w:sz w:val="24"/>
        </w:rPr>
        <w:fldChar w:fldCharType="begin"/>
      </w:r>
      <w:r>
        <w:rPr>
          <w:color w:val="000000"/>
          <w:sz w:val="24"/>
        </w:rPr>
        <w:instrText xml:space="preserve"> = 4 \* GB3 </w:instrText>
      </w:r>
      <w:r>
        <w:rPr>
          <w:color w:val="000000"/>
          <w:sz w:val="24"/>
        </w:rPr>
        <w:fldChar w:fldCharType="separate"/>
      </w:r>
      <w:r>
        <w:rPr>
          <w:rFonts w:hint="eastAsia" w:ascii="宋体" w:hAnsi="宋体" w:cs="宋体"/>
          <w:color w:val="000000"/>
          <w:sz w:val="24"/>
        </w:rPr>
        <w:t>④</w:t>
      </w:r>
      <w:r>
        <w:rPr>
          <w:color w:val="000000"/>
          <w:sz w:val="24"/>
        </w:rPr>
        <w:fldChar w:fldCharType="end"/>
      </w:r>
      <w:r>
        <w:rPr>
          <w:color w:val="000000"/>
          <w:sz w:val="24"/>
        </w:rPr>
        <w:t>设置专门兽医和外事专干，外事专干员应能够保证与农、畜、环保等部门的经常沟通与交流；兽医室应配备专门防疫设备和通信装置，以保证兽医能够及时掌握养殖行业疾病防治和传播最新信息，做到防患于未然。</w:t>
      </w:r>
    </w:p>
    <w:p>
      <w:pPr>
        <w:spacing w:line="520" w:lineRule="exact"/>
        <w:ind w:firstLine="480" w:firstLineChars="200"/>
        <w:rPr>
          <w:color w:val="000000"/>
          <w:sz w:val="24"/>
        </w:rPr>
      </w:pPr>
      <w:r>
        <w:rPr>
          <w:color w:val="000000"/>
          <w:sz w:val="24"/>
        </w:rPr>
        <w:fldChar w:fldCharType="begin"/>
      </w:r>
      <w:r>
        <w:rPr>
          <w:color w:val="000000"/>
          <w:sz w:val="24"/>
        </w:rPr>
        <w:instrText xml:space="preserve"> = 5 \* GB3 </w:instrText>
      </w:r>
      <w:r>
        <w:rPr>
          <w:color w:val="000000"/>
          <w:sz w:val="24"/>
        </w:rPr>
        <w:fldChar w:fldCharType="separate"/>
      </w:r>
      <w:r>
        <w:rPr>
          <w:rFonts w:hint="eastAsia" w:ascii="宋体" w:hAnsi="宋体" w:cs="宋体"/>
          <w:color w:val="000000"/>
          <w:sz w:val="24"/>
        </w:rPr>
        <w:t>⑤</w:t>
      </w:r>
      <w:r>
        <w:rPr>
          <w:color w:val="000000"/>
          <w:sz w:val="24"/>
        </w:rPr>
        <w:fldChar w:fldCharType="end"/>
      </w:r>
      <w:r>
        <w:rPr>
          <w:color w:val="000000"/>
          <w:sz w:val="24"/>
        </w:rPr>
        <w:t>《畜禽养殖业污染防治技术规范》（HJ/T81-2001）规定，养殖场场区、畜禽舍、器械等消毒应采用环境友好的消毒剂和消毒措施（包括紫外线、臭氧、双氧水等方法），防止产生氯代有机物及其它的二次污染物。</w:t>
      </w:r>
    </w:p>
    <w:p>
      <w:pPr>
        <w:spacing w:line="520" w:lineRule="exact"/>
        <w:ind w:firstLine="480" w:firstLineChars="200"/>
        <w:rPr>
          <w:color w:val="000000"/>
        </w:rPr>
      </w:pPr>
      <w:r>
        <w:rPr>
          <w:color w:val="000000"/>
          <w:sz w:val="24"/>
        </w:rPr>
        <w:t>企业经严格的畜禽规范化管理措施后，其疾病控制能力将大大提高，因此，评价认为，其出现重大疾病传播的可能性很小</w:t>
      </w:r>
      <w:r>
        <w:rPr>
          <w:color w:val="000000"/>
        </w:rPr>
        <w:t>。</w:t>
      </w:r>
    </w:p>
    <w:p>
      <w:pPr>
        <w:keepNext/>
        <w:keepLines/>
        <w:spacing w:line="600" w:lineRule="exact"/>
        <w:outlineLvl w:val="2"/>
        <w:rPr>
          <w:rFonts w:eastAsia="黑体"/>
          <w:bCs/>
          <w:sz w:val="24"/>
          <w:szCs w:val="32"/>
        </w:rPr>
      </w:pPr>
      <w:bookmarkStart w:id="442" w:name="_Toc26464"/>
      <w:bookmarkStart w:id="443" w:name="_Toc468115431"/>
      <w:r>
        <w:rPr>
          <w:rFonts w:eastAsia="黑体"/>
          <w:bCs/>
          <w:sz w:val="24"/>
          <w:szCs w:val="32"/>
        </w:rPr>
        <w:t>5.2.6 雨污分流、粪便及废水处置设施“三防”措施</w:t>
      </w:r>
      <w:bookmarkEnd w:id="442"/>
      <w:bookmarkEnd w:id="443"/>
    </w:p>
    <w:p>
      <w:pPr>
        <w:adjustRightInd w:val="0"/>
        <w:snapToGrid w:val="0"/>
        <w:spacing w:line="520" w:lineRule="exact"/>
        <w:ind w:firstLine="480" w:firstLineChars="200"/>
        <w:rPr>
          <w:sz w:val="24"/>
        </w:rPr>
      </w:pPr>
      <w:r>
        <w:rPr>
          <w:sz w:val="24"/>
        </w:rPr>
        <w:t>根据《畜禽养殖业污染防治技术规范》（HJ/T81－2001）规定：</w:t>
      </w:r>
    </w:p>
    <w:p>
      <w:pPr>
        <w:adjustRightInd w:val="0"/>
        <w:snapToGrid w:val="0"/>
        <w:spacing w:line="520" w:lineRule="exact"/>
        <w:ind w:firstLine="480" w:firstLineChars="200"/>
        <w:rPr>
          <w:sz w:val="24"/>
        </w:rPr>
      </w:pPr>
      <w:r>
        <w:rPr>
          <w:sz w:val="24"/>
        </w:rPr>
        <w:t>（1）养殖场的排水系统应实行雨水和污水收集输送系统分离，在场区内外设置的污水收集输送系统，不得采取明沟布设。</w:t>
      </w:r>
    </w:p>
    <w:p>
      <w:pPr>
        <w:adjustRightInd w:val="0"/>
        <w:snapToGrid w:val="0"/>
        <w:spacing w:line="520" w:lineRule="exact"/>
        <w:ind w:firstLine="480" w:firstLineChars="200"/>
        <w:rPr>
          <w:sz w:val="24"/>
        </w:rPr>
      </w:pPr>
      <w:r>
        <w:rPr>
          <w:sz w:val="24"/>
        </w:rPr>
        <w:t>（2）贮存设施应采取有效的防渗处理工艺，防止畜禽粪便污染地下水。</w:t>
      </w:r>
    </w:p>
    <w:p>
      <w:pPr>
        <w:adjustRightInd w:val="0"/>
        <w:snapToGrid w:val="0"/>
        <w:spacing w:line="520" w:lineRule="exact"/>
        <w:ind w:firstLine="480" w:firstLineChars="200"/>
        <w:rPr>
          <w:sz w:val="24"/>
        </w:rPr>
      </w:pPr>
      <w:r>
        <w:rPr>
          <w:sz w:val="24"/>
        </w:rPr>
        <w:t>（3）贮存设施应采取设置顶盖或围挡等防止降雨(水)进入的措施。</w:t>
      </w:r>
    </w:p>
    <w:p>
      <w:pPr>
        <w:adjustRightInd w:val="0"/>
        <w:snapToGrid w:val="0"/>
        <w:spacing w:line="520" w:lineRule="exact"/>
        <w:ind w:firstLine="480" w:firstLineChars="200"/>
        <w:rPr>
          <w:rFonts w:hint="eastAsia"/>
          <w:sz w:val="24"/>
        </w:rPr>
      </w:pPr>
      <w:r>
        <w:rPr>
          <w:sz w:val="24"/>
        </w:rPr>
        <w:t>因此，企业必须建设雨、污分流管网，雨水管网建设时，沟深约20～30cm即可。排污沟应采取暗沟形式，同时应具备防止淤集以利于定期清理的条件，排污沟应采取硬化措施。</w:t>
      </w:r>
    </w:p>
    <w:p>
      <w:pPr>
        <w:adjustRightInd w:val="0"/>
        <w:snapToGrid w:val="0"/>
        <w:spacing w:line="520" w:lineRule="exact"/>
        <w:ind w:firstLine="480" w:firstLineChars="200"/>
        <w:rPr>
          <w:sz w:val="24"/>
        </w:rPr>
      </w:pPr>
      <w:r>
        <w:rPr>
          <w:sz w:val="24"/>
        </w:rPr>
        <w:t>根据本项目特点，评价要求以下设施应具备“三防”措施：</w:t>
      </w:r>
    </w:p>
    <w:p>
      <w:pPr>
        <w:spacing w:after="93" w:afterLines="30" w:line="520" w:lineRule="exact"/>
        <w:jc w:val="center"/>
        <w:rPr>
          <w:b/>
          <w:sz w:val="24"/>
        </w:rPr>
      </w:pPr>
      <w:r>
        <w:rPr>
          <w:b/>
          <w:sz w:val="24"/>
        </w:rPr>
        <w:t>表5.2-14  项目雨污分流、粪便及废水处置设施“三防”措施一览表</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323"/>
        <w:gridCol w:w="4822"/>
        <w:gridCol w:w="20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534" w:type="dxa"/>
            <w:noWrap w:val="0"/>
            <w:tcMar>
              <w:left w:w="0" w:type="dxa"/>
              <w:right w:w="0" w:type="dxa"/>
            </w:tcMar>
            <w:vAlign w:val="center"/>
          </w:tcPr>
          <w:p>
            <w:pPr>
              <w:adjustRightInd w:val="0"/>
              <w:snapToGrid w:val="0"/>
              <w:jc w:val="center"/>
              <w:rPr>
                <w:b/>
                <w:szCs w:val="21"/>
              </w:rPr>
            </w:pPr>
            <w:r>
              <w:rPr>
                <w:b/>
                <w:szCs w:val="21"/>
              </w:rPr>
              <w:t>序号</w:t>
            </w:r>
          </w:p>
        </w:tc>
        <w:tc>
          <w:tcPr>
            <w:tcW w:w="1323" w:type="dxa"/>
            <w:noWrap w:val="0"/>
            <w:tcMar>
              <w:left w:w="0" w:type="dxa"/>
              <w:right w:w="0" w:type="dxa"/>
            </w:tcMar>
            <w:vAlign w:val="center"/>
          </w:tcPr>
          <w:p>
            <w:pPr>
              <w:adjustRightInd w:val="0"/>
              <w:snapToGrid w:val="0"/>
              <w:jc w:val="center"/>
              <w:rPr>
                <w:b/>
                <w:szCs w:val="21"/>
              </w:rPr>
            </w:pPr>
            <w:r>
              <w:rPr>
                <w:b/>
                <w:szCs w:val="21"/>
              </w:rPr>
              <w:t>项目</w:t>
            </w:r>
          </w:p>
        </w:tc>
        <w:tc>
          <w:tcPr>
            <w:tcW w:w="4822" w:type="dxa"/>
            <w:noWrap w:val="0"/>
            <w:tcMar>
              <w:left w:w="0" w:type="dxa"/>
              <w:right w:w="0" w:type="dxa"/>
            </w:tcMar>
            <w:vAlign w:val="center"/>
          </w:tcPr>
          <w:p>
            <w:pPr>
              <w:adjustRightInd w:val="0"/>
              <w:snapToGrid w:val="0"/>
              <w:jc w:val="center"/>
              <w:rPr>
                <w:b/>
                <w:szCs w:val="21"/>
              </w:rPr>
            </w:pPr>
            <w:r>
              <w:rPr>
                <w:b/>
                <w:szCs w:val="21"/>
              </w:rPr>
              <w:t>保护措施</w:t>
            </w:r>
          </w:p>
        </w:tc>
        <w:tc>
          <w:tcPr>
            <w:tcW w:w="2081" w:type="dxa"/>
            <w:noWrap w:val="0"/>
            <w:tcMar>
              <w:left w:w="0" w:type="dxa"/>
              <w:right w:w="0" w:type="dxa"/>
            </w:tcMar>
            <w:vAlign w:val="center"/>
          </w:tcPr>
          <w:p>
            <w:pPr>
              <w:adjustRightInd w:val="0"/>
              <w:snapToGrid w:val="0"/>
              <w:jc w:val="center"/>
              <w:rPr>
                <w:b/>
                <w:szCs w:val="21"/>
              </w:rPr>
            </w:pPr>
            <w:r>
              <w:rPr>
                <w:b/>
                <w:szCs w:val="21"/>
              </w:rPr>
              <w:t>达到效果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noWrap w:val="0"/>
            <w:tcMar>
              <w:left w:w="0" w:type="dxa"/>
              <w:right w:w="0" w:type="dxa"/>
            </w:tcMar>
            <w:vAlign w:val="center"/>
          </w:tcPr>
          <w:p>
            <w:pPr>
              <w:adjustRightInd w:val="0"/>
              <w:snapToGrid w:val="0"/>
              <w:jc w:val="center"/>
              <w:rPr>
                <w:szCs w:val="21"/>
              </w:rPr>
            </w:pPr>
            <w:r>
              <w:rPr>
                <w:szCs w:val="21"/>
              </w:rPr>
              <w:t>1</w:t>
            </w:r>
          </w:p>
        </w:tc>
        <w:tc>
          <w:tcPr>
            <w:tcW w:w="1323" w:type="dxa"/>
            <w:noWrap w:val="0"/>
            <w:tcMar>
              <w:left w:w="0" w:type="dxa"/>
              <w:right w:w="0" w:type="dxa"/>
            </w:tcMar>
            <w:vAlign w:val="center"/>
          </w:tcPr>
          <w:p>
            <w:pPr>
              <w:adjustRightInd w:val="0"/>
              <w:snapToGrid w:val="0"/>
              <w:jc w:val="center"/>
              <w:rPr>
                <w:szCs w:val="21"/>
              </w:rPr>
            </w:pPr>
            <w:r>
              <w:rPr>
                <w:szCs w:val="21"/>
              </w:rPr>
              <w:t>配套消纳地施肥</w:t>
            </w:r>
          </w:p>
        </w:tc>
        <w:tc>
          <w:tcPr>
            <w:tcW w:w="4822" w:type="dxa"/>
            <w:noWrap w:val="0"/>
            <w:tcMar>
              <w:left w:w="0" w:type="dxa"/>
              <w:right w:w="0" w:type="dxa"/>
            </w:tcMar>
            <w:vAlign w:val="center"/>
          </w:tcPr>
          <w:p>
            <w:pPr>
              <w:adjustRightInd w:val="0"/>
              <w:snapToGrid w:val="0"/>
              <w:jc w:val="center"/>
              <w:rPr>
                <w:szCs w:val="21"/>
              </w:rPr>
            </w:pPr>
            <w:r>
              <w:rPr>
                <w:szCs w:val="21"/>
              </w:rPr>
              <w:t>设计容积不小于6500m</w:t>
            </w:r>
            <w:r>
              <w:rPr>
                <w:szCs w:val="21"/>
                <w:vertAlign w:val="superscript"/>
              </w:rPr>
              <w:t>3</w:t>
            </w:r>
            <w:r>
              <w:rPr>
                <w:rFonts w:hint="eastAsia"/>
                <w:szCs w:val="21"/>
              </w:rPr>
              <w:t>的</w:t>
            </w:r>
            <w:r>
              <w:rPr>
                <w:szCs w:val="21"/>
              </w:rPr>
              <w:t>沼液暂存池，并采取防渗处理措施，合理控制施肥频次和施肥量</w:t>
            </w:r>
          </w:p>
        </w:tc>
        <w:tc>
          <w:tcPr>
            <w:tcW w:w="2081" w:type="dxa"/>
            <w:vMerge w:val="restart"/>
            <w:noWrap w:val="0"/>
            <w:tcMar>
              <w:left w:w="0" w:type="dxa"/>
              <w:right w:w="0" w:type="dxa"/>
            </w:tcMar>
            <w:vAlign w:val="center"/>
          </w:tcPr>
          <w:p>
            <w:pPr>
              <w:adjustRightInd w:val="0"/>
              <w:snapToGrid w:val="0"/>
              <w:jc w:val="center"/>
              <w:rPr>
                <w:szCs w:val="21"/>
              </w:rPr>
            </w:pPr>
            <w:r>
              <w:rPr>
                <w:szCs w:val="21"/>
              </w:rPr>
              <w:t>各反应池符合《规模化畜禽养殖场沼气工程设计规范》（NY/T1222）和《混凝土结构设计规范》（GB50010）的要求，具备“防渗、防雨、防溢”的三防措施；畜禽粪便的贮存相关要求，应具备防渗、防风、防雨的“三防”措施，雨污分流</w:t>
            </w:r>
          </w:p>
          <w:p>
            <w:pPr>
              <w:adjustRightInd w:val="0"/>
              <w:snapToGrid w:val="0"/>
              <w:jc w:val="center"/>
              <w:rPr>
                <w:szCs w:val="21"/>
              </w:rPr>
            </w:pPr>
            <w:r>
              <w:rPr>
                <w:szCs w:val="21"/>
              </w:rPr>
              <w:t>满足《畜禽养殖业污染防治技术规范》（HJ/T81－2001）要求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noWrap w:val="0"/>
            <w:tcMar>
              <w:left w:w="0" w:type="dxa"/>
              <w:right w:w="0" w:type="dxa"/>
            </w:tcMar>
            <w:vAlign w:val="center"/>
          </w:tcPr>
          <w:p>
            <w:pPr>
              <w:adjustRightInd w:val="0"/>
              <w:snapToGrid w:val="0"/>
              <w:jc w:val="center"/>
              <w:rPr>
                <w:szCs w:val="21"/>
              </w:rPr>
            </w:pPr>
            <w:r>
              <w:rPr>
                <w:szCs w:val="21"/>
              </w:rPr>
              <w:t>2</w:t>
            </w:r>
          </w:p>
        </w:tc>
        <w:tc>
          <w:tcPr>
            <w:tcW w:w="1323" w:type="dxa"/>
            <w:noWrap w:val="0"/>
            <w:tcMar>
              <w:left w:w="0" w:type="dxa"/>
              <w:right w:w="0" w:type="dxa"/>
            </w:tcMar>
            <w:vAlign w:val="center"/>
          </w:tcPr>
          <w:p>
            <w:pPr>
              <w:adjustRightInd w:val="0"/>
              <w:snapToGrid w:val="0"/>
              <w:jc w:val="center"/>
              <w:rPr>
                <w:szCs w:val="21"/>
              </w:rPr>
            </w:pPr>
            <w:r>
              <w:rPr>
                <w:szCs w:val="21"/>
              </w:rPr>
              <w:t>污水处理系统</w:t>
            </w:r>
          </w:p>
        </w:tc>
        <w:tc>
          <w:tcPr>
            <w:tcW w:w="4822" w:type="dxa"/>
            <w:noWrap w:val="0"/>
            <w:tcMar>
              <w:left w:w="0" w:type="dxa"/>
              <w:right w:w="0" w:type="dxa"/>
            </w:tcMar>
            <w:vAlign w:val="center"/>
          </w:tcPr>
          <w:p>
            <w:pPr>
              <w:adjustRightInd w:val="0"/>
              <w:snapToGrid w:val="0"/>
              <w:jc w:val="center"/>
              <w:rPr>
                <w:szCs w:val="21"/>
              </w:rPr>
            </w:pPr>
            <w:r>
              <w:rPr>
                <w:szCs w:val="21"/>
              </w:rPr>
              <w:t>评价要求</w:t>
            </w:r>
            <w:r>
              <w:rPr>
                <w:rFonts w:hint="eastAsia"/>
                <w:szCs w:val="21"/>
              </w:rPr>
              <w:t>黑膜</w:t>
            </w:r>
            <w:r>
              <w:rPr>
                <w:szCs w:val="21"/>
              </w:rPr>
              <w:t>沼气池严格做好防渗措施；设置围挡</w:t>
            </w:r>
          </w:p>
        </w:tc>
        <w:tc>
          <w:tcPr>
            <w:tcW w:w="2081" w:type="dxa"/>
            <w:vMerge w:val="continue"/>
            <w:noWrap w:val="0"/>
            <w:tcMar>
              <w:left w:w="0" w:type="dxa"/>
              <w:right w:w="0" w:type="dxa"/>
            </w:tcMar>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noWrap w:val="0"/>
            <w:tcMar>
              <w:left w:w="0" w:type="dxa"/>
              <w:right w:w="0" w:type="dxa"/>
            </w:tcMar>
            <w:vAlign w:val="center"/>
          </w:tcPr>
          <w:p>
            <w:pPr>
              <w:adjustRightInd w:val="0"/>
              <w:snapToGrid w:val="0"/>
              <w:jc w:val="center"/>
              <w:rPr>
                <w:szCs w:val="21"/>
              </w:rPr>
            </w:pPr>
            <w:r>
              <w:rPr>
                <w:szCs w:val="21"/>
              </w:rPr>
              <w:t>3</w:t>
            </w:r>
          </w:p>
        </w:tc>
        <w:tc>
          <w:tcPr>
            <w:tcW w:w="1323" w:type="dxa"/>
            <w:noWrap w:val="0"/>
            <w:tcMar>
              <w:left w:w="0" w:type="dxa"/>
              <w:right w:w="0" w:type="dxa"/>
            </w:tcMar>
            <w:vAlign w:val="center"/>
          </w:tcPr>
          <w:p>
            <w:pPr>
              <w:adjustRightInd w:val="0"/>
              <w:snapToGrid w:val="0"/>
              <w:jc w:val="center"/>
              <w:rPr>
                <w:szCs w:val="21"/>
              </w:rPr>
            </w:pPr>
            <w:r>
              <w:rPr>
                <w:szCs w:val="21"/>
              </w:rPr>
              <w:t>沼渣暂存</w:t>
            </w:r>
          </w:p>
        </w:tc>
        <w:tc>
          <w:tcPr>
            <w:tcW w:w="4822" w:type="dxa"/>
            <w:noWrap w:val="0"/>
            <w:tcMar>
              <w:left w:w="0" w:type="dxa"/>
              <w:right w:w="0" w:type="dxa"/>
            </w:tcMar>
            <w:vAlign w:val="center"/>
          </w:tcPr>
          <w:p>
            <w:pPr>
              <w:adjustRightInd w:val="0"/>
              <w:snapToGrid w:val="0"/>
              <w:jc w:val="center"/>
              <w:rPr>
                <w:szCs w:val="21"/>
              </w:rPr>
            </w:pPr>
            <w:r>
              <w:rPr>
                <w:szCs w:val="21"/>
              </w:rPr>
              <w:t>具备“三防”措施，在</w:t>
            </w:r>
            <w:r>
              <w:rPr>
                <w:rFonts w:hint="eastAsia"/>
                <w:szCs w:val="21"/>
              </w:rPr>
              <w:t>堆肥</w:t>
            </w:r>
            <w:r>
              <w:rPr>
                <w:szCs w:val="21"/>
              </w:rPr>
              <w:t>发酵区发酵制作有机肥</w:t>
            </w:r>
            <w:r>
              <w:rPr>
                <w:rFonts w:hint="eastAsia"/>
                <w:szCs w:val="21"/>
              </w:rPr>
              <w:t>基料</w:t>
            </w:r>
          </w:p>
        </w:tc>
        <w:tc>
          <w:tcPr>
            <w:tcW w:w="2081" w:type="dxa"/>
            <w:vMerge w:val="continue"/>
            <w:noWrap w:val="0"/>
            <w:tcMar>
              <w:left w:w="0" w:type="dxa"/>
              <w:right w:w="0" w:type="dxa"/>
            </w:tcMar>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noWrap w:val="0"/>
            <w:tcMar>
              <w:left w:w="0" w:type="dxa"/>
              <w:right w:w="0" w:type="dxa"/>
            </w:tcMar>
            <w:vAlign w:val="center"/>
          </w:tcPr>
          <w:p>
            <w:pPr>
              <w:adjustRightInd w:val="0"/>
              <w:snapToGrid w:val="0"/>
              <w:jc w:val="center"/>
              <w:rPr>
                <w:szCs w:val="21"/>
              </w:rPr>
            </w:pPr>
            <w:r>
              <w:rPr>
                <w:szCs w:val="21"/>
              </w:rPr>
              <w:t>4</w:t>
            </w:r>
          </w:p>
        </w:tc>
        <w:tc>
          <w:tcPr>
            <w:tcW w:w="1323" w:type="dxa"/>
            <w:noWrap w:val="0"/>
            <w:tcMar>
              <w:left w:w="0" w:type="dxa"/>
              <w:right w:w="0" w:type="dxa"/>
            </w:tcMar>
            <w:vAlign w:val="center"/>
          </w:tcPr>
          <w:p>
            <w:pPr>
              <w:adjustRightInd w:val="0"/>
              <w:snapToGrid w:val="0"/>
              <w:jc w:val="center"/>
              <w:rPr>
                <w:szCs w:val="21"/>
              </w:rPr>
            </w:pPr>
            <w:r>
              <w:rPr>
                <w:rFonts w:hint="eastAsia"/>
                <w:szCs w:val="21"/>
              </w:rPr>
              <w:t>堆肥发酵区</w:t>
            </w:r>
          </w:p>
        </w:tc>
        <w:tc>
          <w:tcPr>
            <w:tcW w:w="4822" w:type="dxa"/>
            <w:noWrap w:val="0"/>
            <w:tcMar>
              <w:left w:w="0" w:type="dxa"/>
              <w:right w:w="0" w:type="dxa"/>
            </w:tcMar>
            <w:vAlign w:val="center"/>
          </w:tcPr>
          <w:p>
            <w:pPr>
              <w:adjustRightInd w:val="0"/>
              <w:snapToGrid w:val="0"/>
              <w:jc w:val="center"/>
              <w:rPr>
                <w:szCs w:val="21"/>
              </w:rPr>
            </w:pPr>
            <w:r>
              <w:rPr>
                <w:szCs w:val="21"/>
              </w:rPr>
              <w:t>地面进行硬化，</w:t>
            </w:r>
            <w:r>
              <w:rPr>
                <w:rFonts w:hint="eastAsia"/>
                <w:szCs w:val="21"/>
              </w:rPr>
              <w:t>四</w:t>
            </w:r>
            <w:r>
              <w:rPr>
                <w:szCs w:val="21"/>
              </w:rPr>
              <w:t>面设置约不低于1米的围挡，加盖顶棚</w:t>
            </w:r>
          </w:p>
        </w:tc>
        <w:tc>
          <w:tcPr>
            <w:tcW w:w="2081" w:type="dxa"/>
            <w:vMerge w:val="continue"/>
            <w:noWrap w:val="0"/>
            <w:tcMar>
              <w:left w:w="0" w:type="dxa"/>
              <w:right w:w="0" w:type="dxa"/>
            </w:tcMar>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noWrap w:val="0"/>
            <w:tcMar>
              <w:left w:w="0" w:type="dxa"/>
              <w:right w:w="0" w:type="dxa"/>
            </w:tcMar>
            <w:vAlign w:val="center"/>
          </w:tcPr>
          <w:p>
            <w:pPr>
              <w:adjustRightInd w:val="0"/>
              <w:snapToGrid w:val="0"/>
              <w:jc w:val="center"/>
              <w:rPr>
                <w:szCs w:val="21"/>
              </w:rPr>
            </w:pPr>
            <w:r>
              <w:rPr>
                <w:szCs w:val="21"/>
              </w:rPr>
              <w:t>5</w:t>
            </w:r>
          </w:p>
        </w:tc>
        <w:tc>
          <w:tcPr>
            <w:tcW w:w="1323" w:type="dxa"/>
            <w:noWrap w:val="0"/>
            <w:tcMar>
              <w:left w:w="0" w:type="dxa"/>
              <w:right w:w="0" w:type="dxa"/>
            </w:tcMar>
            <w:vAlign w:val="center"/>
          </w:tcPr>
          <w:p>
            <w:pPr>
              <w:adjustRightInd w:val="0"/>
              <w:snapToGrid w:val="0"/>
              <w:jc w:val="center"/>
              <w:rPr>
                <w:szCs w:val="21"/>
              </w:rPr>
            </w:pPr>
            <w:r>
              <w:rPr>
                <w:szCs w:val="21"/>
              </w:rPr>
              <w:t>场区雨、污管网</w:t>
            </w:r>
          </w:p>
        </w:tc>
        <w:tc>
          <w:tcPr>
            <w:tcW w:w="4822" w:type="dxa"/>
            <w:noWrap w:val="0"/>
            <w:tcMar>
              <w:left w:w="0" w:type="dxa"/>
              <w:right w:w="0" w:type="dxa"/>
            </w:tcMar>
            <w:vAlign w:val="center"/>
          </w:tcPr>
          <w:p>
            <w:pPr>
              <w:adjustRightInd w:val="0"/>
              <w:snapToGrid w:val="0"/>
              <w:jc w:val="center"/>
              <w:rPr>
                <w:szCs w:val="21"/>
              </w:rPr>
            </w:pPr>
            <w:r>
              <w:rPr>
                <w:szCs w:val="21"/>
              </w:rPr>
              <w:t>雨污分流、按照畜禽养殖业污染防治技术规范要求进行建设</w:t>
            </w:r>
          </w:p>
        </w:tc>
        <w:tc>
          <w:tcPr>
            <w:tcW w:w="2081" w:type="dxa"/>
            <w:vMerge w:val="continue"/>
            <w:noWrap w:val="0"/>
            <w:tcMar>
              <w:left w:w="0" w:type="dxa"/>
              <w:right w:w="0" w:type="dxa"/>
            </w:tcMar>
            <w:vAlign w:val="center"/>
          </w:tcPr>
          <w:p>
            <w:pPr>
              <w:adjustRightInd w:val="0"/>
              <w:snapToGrid w:val="0"/>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4" w:type="dxa"/>
            <w:noWrap w:val="0"/>
            <w:tcMar>
              <w:left w:w="0" w:type="dxa"/>
              <w:right w:w="0" w:type="dxa"/>
            </w:tcMar>
            <w:vAlign w:val="center"/>
          </w:tcPr>
          <w:p>
            <w:pPr>
              <w:adjustRightInd w:val="0"/>
              <w:snapToGrid w:val="0"/>
              <w:jc w:val="center"/>
              <w:rPr>
                <w:szCs w:val="21"/>
              </w:rPr>
            </w:pPr>
            <w:r>
              <w:rPr>
                <w:szCs w:val="21"/>
              </w:rPr>
              <w:t>6</w:t>
            </w:r>
          </w:p>
        </w:tc>
        <w:tc>
          <w:tcPr>
            <w:tcW w:w="1323" w:type="dxa"/>
            <w:noWrap w:val="0"/>
            <w:tcMar>
              <w:left w:w="0" w:type="dxa"/>
              <w:right w:w="0" w:type="dxa"/>
            </w:tcMar>
            <w:vAlign w:val="center"/>
          </w:tcPr>
          <w:p>
            <w:pPr>
              <w:adjustRightInd w:val="0"/>
              <w:snapToGrid w:val="0"/>
              <w:jc w:val="center"/>
              <w:rPr>
                <w:szCs w:val="21"/>
              </w:rPr>
            </w:pPr>
            <w:r>
              <w:rPr>
                <w:szCs w:val="21"/>
              </w:rPr>
              <w:t>场区内净道与脏道设置</w:t>
            </w:r>
          </w:p>
        </w:tc>
        <w:tc>
          <w:tcPr>
            <w:tcW w:w="4822" w:type="dxa"/>
            <w:noWrap w:val="0"/>
            <w:tcMar>
              <w:left w:w="0" w:type="dxa"/>
              <w:right w:w="0" w:type="dxa"/>
            </w:tcMar>
            <w:vAlign w:val="center"/>
          </w:tcPr>
          <w:p>
            <w:pPr>
              <w:adjustRightInd w:val="0"/>
              <w:snapToGrid w:val="0"/>
              <w:jc w:val="center"/>
              <w:rPr>
                <w:szCs w:val="21"/>
              </w:rPr>
            </w:pPr>
            <w:r>
              <w:rPr>
                <w:szCs w:val="21"/>
              </w:rPr>
              <w:t>合理设置厂区内净道和脏道，脏道地区硬化防渗处理，人行道采用透水方砖或植草砖铺设，下面用透水材料铺垫</w:t>
            </w:r>
          </w:p>
        </w:tc>
        <w:tc>
          <w:tcPr>
            <w:tcW w:w="2081" w:type="dxa"/>
            <w:vMerge w:val="continue"/>
            <w:noWrap w:val="0"/>
            <w:tcMar>
              <w:left w:w="0" w:type="dxa"/>
              <w:right w:w="0" w:type="dxa"/>
            </w:tcMar>
            <w:vAlign w:val="center"/>
          </w:tcPr>
          <w:p>
            <w:pPr>
              <w:adjustRightInd w:val="0"/>
              <w:snapToGrid w:val="0"/>
              <w:jc w:val="center"/>
              <w:rPr>
                <w:szCs w:val="21"/>
              </w:rPr>
            </w:pPr>
          </w:p>
        </w:tc>
      </w:tr>
    </w:tbl>
    <w:p>
      <w:pPr>
        <w:pStyle w:val="2"/>
        <w:spacing w:before="0" w:after="0" w:line="520" w:lineRule="exact"/>
        <w:rPr>
          <w:rFonts w:eastAsia="黑体"/>
          <w:b w:val="0"/>
          <w:sz w:val="24"/>
          <w:szCs w:val="24"/>
        </w:rPr>
      </w:pPr>
      <w:r>
        <w:rPr>
          <w:rFonts w:eastAsia="黑体"/>
          <w:b w:val="0"/>
          <w:sz w:val="24"/>
          <w:szCs w:val="24"/>
        </w:rPr>
        <w:t>5.2.8绿化</w:t>
      </w:r>
      <w:r>
        <w:rPr>
          <w:rFonts w:eastAsia="黑体"/>
          <w:b w:val="0"/>
          <w:sz w:val="24"/>
          <w:szCs w:val="24"/>
        </w:rPr>
        <w:tab/>
      </w:r>
    </w:p>
    <w:p>
      <w:pPr>
        <w:spacing w:line="500" w:lineRule="exact"/>
        <w:rPr>
          <w:b/>
          <w:sz w:val="24"/>
        </w:rPr>
      </w:pPr>
      <w:r>
        <w:rPr>
          <w:b/>
          <w:kern w:val="0"/>
          <w:sz w:val="24"/>
          <w:lang w:bidi="ar"/>
        </w:rPr>
        <w:t>5.2.8.1原则要求</w:t>
      </w:r>
    </w:p>
    <w:p>
      <w:pPr>
        <w:spacing w:line="520" w:lineRule="exact"/>
        <w:rPr>
          <w:sz w:val="24"/>
        </w:rPr>
      </w:pPr>
      <w:r>
        <w:rPr>
          <w:kern w:val="0"/>
          <w:sz w:val="28"/>
          <w:szCs w:val="28"/>
          <w:lang w:bidi="ar"/>
        </w:rPr>
        <w:t xml:space="preserve">  </w:t>
      </w:r>
      <w:r>
        <w:rPr>
          <w:kern w:val="0"/>
          <w:sz w:val="24"/>
          <w:lang w:bidi="ar"/>
        </w:rPr>
        <w:t xml:space="preserve"> （1）在规划设计前要对猪场的自然条件、生产性质、规模、污染状况等进行充分的调查。要从保护环境的观点出发，合理规划。合理地设置猪场饲养猪的类型、头数，从而优化猪场本身的生态条件。</w:t>
      </w:r>
    </w:p>
    <w:p>
      <w:pPr>
        <w:spacing w:line="520" w:lineRule="exact"/>
        <w:ind w:firstLine="480" w:firstLineChars="200"/>
        <w:rPr>
          <w:sz w:val="24"/>
        </w:rPr>
      </w:pPr>
      <w:r>
        <w:rPr>
          <w:kern w:val="0"/>
          <w:sz w:val="24"/>
          <w:lang w:bidi="ar"/>
        </w:rPr>
        <w:t>（2）猪场的绿化规划是总体规划的有机组成部分，要在猪场建设总规划的同时进行绿化规划。要本着统一安排、统一布局的原则进行，规划时既要有长远考虑，又要有近期安排，要与全场的建设协调一致。</w:t>
      </w:r>
    </w:p>
    <w:p>
      <w:pPr>
        <w:spacing w:line="520" w:lineRule="exact"/>
        <w:ind w:firstLine="480" w:firstLineChars="200"/>
        <w:rPr>
          <w:sz w:val="24"/>
        </w:rPr>
      </w:pPr>
      <w:r>
        <w:rPr>
          <w:kern w:val="0"/>
          <w:sz w:val="24"/>
          <w:lang w:bidi="ar"/>
        </w:rPr>
        <w:t>（3）绿化规划设计布局要合理，以保证安全生产。绿化时不能影响地下、地上管线和车间生产的采光。</w:t>
      </w:r>
    </w:p>
    <w:p>
      <w:pPr>
        <w:spacing w:line="520" w:lineRule="exact"/>
        <w:ind w:firstLine="480" w:firstLineChars="200"/>
        <w:rPr>
          <w:sz w:val="24"/>
        </w:rPr>
      </w:pPr>
      <w:r>
        <w:rPr>
          <w:kern w:val="0"/>
          <w:sz w:val="24"/>
          <w:lang w:bidi="ar"/>
        </w:rPr>
        <w:t>（4）在进行绿化苗木选择时要考虑各功能区特点、地形、土质特点、环境污染等情况。为了达到良好的绿化美化效果，树种的选择，除考虑其满足绿化设计功能、易生长、抗病害等因素外，还要考虑其具有较强的抗污染和净化空气的功能。在满足各项功能要求的前提下，还可适当结合猪场生产，种植一些经济植物，以充分合理地利用土地，提高整场的经济效益。</w:t>
      </w:r>
    </w:p>
    <w:p>
      <w:pPr>
        <w:spacing w:line="500" w:lineRule="exact"/>
        <w:rPr>
          <w:b/>
          <w:sz w:val="24"/>
        </w:rPr>
      </w:pPr>
      <w:r>
        <w:rPr>
          <w:b/>
          <w:kern w:val="0"/>
          <w:sz w:val="24"/>
          <w:lang w:bidi="ar"/>
        </w:rPr>
        <w:t>5.2.8.2绿化措施</w:t>
      </w:r>
    </w:p>
    <w:p>
      <w:pPr>
        <w:spacing w:line="520" w:lineRule="exact"/>
        <w:ind w:firstLine="480" w:firstLineChars="200"/>
        <w:rPr>
          <w:sz w:val="24"/>
        </w:rPr>
      </w:pPr>
      <w:r>
        <w:rPr>
          <w:kern w:val="0"/>
          <w:sz w:val="24"/>
          <w:lang w:bidi="ar"/>
        </w:rPr>
        <w:t>（1）场区隔离带的设计：场内各区，如养殖区、生活区及行政管理区的四周，都应设置隔离林带，以起到防疫、隔离、安全等作用。</w:t>
      </w:r>
    </w:p>
    <w:p>
      <w:pPr>
        <w:spacing w:line="520" w:lineRule="exact"/>
        <w:ind w:firstLine="480" w:firstLineChars="200"/>
        <w:rPr>
          <w:kern w:val="0"/>
          <w:sz w:val="24"/>
          <w:lang w:bidi="ar"/>
        </w:rPr>
      </w:pPr>
      <w:r>
        <w:rPr>
          <w:kern w:val="0"/>
          <w:sz w:val="24"/>
          <w:lang w:bidi="ar"/>
        </w:rPr>
        <w:t>（2）场区道路绿化：宜采用乔木为主，乔、灌木搭配种植。</w:t>
      </w:r>
    </w:p>
    <w:p>
      <w:pPr>
        <w:spacing w:line="520" w:lineRule="exact"/>
        <w:ind w:firstLine="480" w:firstLineChars="200"/>
        <w:rPr>
          <w:sz w:val="24"/>
        </w:rPr>
      </w:pPr>
      <w:r>
        <w:rPr>
          <w:kern w:val="0"/>
          <w:sz w:val="24"/>
          <w:lang w:bidi="ar"/>
        </w:rPr>
        <w:t>（3）对于养殖区内的猪舍，不宜在其四周密植成片的树林，而应多种植低矮的花卉或草坪，以利于通风，便于有害气体扩散。</w:t>
      </w:r>
    </w:p>
    <w:p>
      <w:pPr>
        <w:spacing w:line="520" w:lineRule="exact"/>
        <w:ind w:firstLine="480" w:firstLineChars="200"/>
        <w:rPr>
          <w:sz w:val="24"/>
        </w:rPr>
      </w:pPr>
      <w:r>
        <w:rPr>
          <w:kern w:val="0"/>
          <w:sz w:val="24"/>
          <w:lang w:bidi="ar"/>
        </w:rPr>
        <w:t>（4）行政管理区和生活区：该区是与外界社会接触和员工生活休息的主要区域。该区的环境绿化可以适当进行园林式的规划，提升企业的形象和优美员工的生活环境。为了丰富色彩，宜种植容易繁殖、栽培和管理的花卉灌木为主。</w:t>
      </w:r>
    </w:p>
    <w:p>
      <w:pPr>
        <w:keepNext/>
        <w:keepLines/>
        <w:spacing w:before="120" w:after="120" w:line="520" w:lineRule="exact"/>
        <w:outlineLvl w:val="1"/>
        <w:rPr>
          <w:rFonts w:eastAsia="黑体"/>
          <w:sz w:val="28"/>
          <w:szCs w:val="28"/>
        </w:rPr>
      </w:pPr>
      <w:bookmarkStart w:id="444" w:name="_Toc413833480"/>
      <w:bookmarkEnd w:id="444"/>
      <w:bookmarkStart w:id="445" w:name="_Toc409787338"/>
      <w:bookmarkEnd w:id="445"/>
      <w:bookmarkStart w:id="446" w:name="_Toc472009606"/>
      <w:bookmarkStart w:id="447" w:name="_Toc27235"/>
      <w:r>
        <w:rPr>
          <w:rFonts w:eastAsia="黑体"/>
          <w:kern w:val="0"/>
          <w:sz w:val="28"/>
          <w:szCs w:val="28"/>
          <w:lang w:bidi="ar"/>
        </w:rPr>
        <w:t>5</w:t>
      </w:r>
      <w:bookmarkEnd w:id="446"/>
      <w:r>
        <w:rPr>
          <w:rFonts w:eastAsia="黑体"/>
          <w:kern w:val="0"/>
          <w:sz w:val="28"/>
          <w:szCs w:val="28"/>
          <w:lang w:bidi="ar"/>
        </w:rPr>
        <w:t>.3 污染防治环保投资估算</w:t>
      </w:r>
      <w:bookmarkEnd w:id="447"/>
    </w:p>
    <w:p>
      <w:pPr>
        <w:spacing w:line="500" w:lineRule="exact"/>
        <w:ind w:firstLine="480" w:firstLineChars="200"/>
        <w:rPr>
          <w:rFonts w:hint="eastAsia"/>
          <w:kern w:val="0"/>
          <w:sz w:val="24"/>
          <w:lang w:bidi="ar"/>
        </w:rPr>
      </w:pPr>
      <w:r>
        <w:rPr>
          <w:kern w:val="0"/>
          <w:sz w:val="24"/>
          <w:lang w:bidi="ar"/>
        </w:rPr>
        <w:t>项目污染防治措施投资包括运行期的污染防治措施的总投资，预计该项费用总投资为</w:t>
      </w:r>
      <w:r>
        <w:rPr>
          <w:rFonts w:hint="eastAsia"/>
          <w:kern w:val="0"/>
          <w:sz w:val="24"/>
          <w:lang w:eastAsia="zh-CN" w:bidi="ar"/>
        </w:rPr>
        <w:t>251.5</w:t>
      </w:r>
      <w:r>
        <w:rPr>
          <w:kern w:val="0"/>
          <w:sz w:val="24"/>
          <w:lang w:bidi="ar"/>
        </w:rPr>
        <w:t>万元，本项目总投资</w:t>
      </w:r>
      <w:r>
        <w:rPr>
          <w:rFonts w:hint="eastAsia"/>
          <w:kern w:val="0"/>
          <w:sz w:val="24"/>
          <w:lang w:eastAsia="zh-CN" w:bidi="ar"/>
        </w:rPr>
        <w:t>900万元</w:t>
      </w:r>
      <w:r>
        <w:rPr>
          <w:kern w:val="0"/>
          <w:sz w:val="24"/>
          <w:lang w:bidi="ar"/>
        </w:rPr>
        <w:t>，环保投资占总投资的比例为25.65%。具体见表5.3-1。</w:t>
      </w:r>
    </w:p>
    <w:p>
      <w:pPr>
        <w:spacing w:line="500" w:lineRule="exact"/>
        <w:jc w:val="center"/>
        <w:rPr>
          <w:b/>
          <w:kern w:val="0"/>
          <w:sz w:val="24"/>
          <w:lang w:bidi="ar"/>
        </w:rPr>
      </w:pPr>
      <w:r>
        <w:rPr>
          <w:b/>
          <w:kern w:val="0"/>
          <w:sz w:val="24"/>
          <w:lang w:bidi="ar"/>
        </w:rPr>
        <w:t>表5.3-1    项目污染防治投资估算表</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99"/>
        <w:gridCol w:w="1260"/>
        <w:gridCol w:w="959"/>
        <w:gridCol w:w="4740"/>
        <w:gridCol w:w="128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699" w:type="dxa"/>
            <w:noWrap w:val="0"/>
            <w:vAlign w:val="center"/>
          </w:tcPr>
          <w:p>
            <w:pPr>
              <w:jc w:val="center"/>
              <w:rPr>
                <w:bCs/>
                <w:szCs w:val="21"/>
              </w:rPr>
            </w:pPr>
            <w:r>
              <w:rPr>
                <w:bCs/>
                <w:szCs w:val="21"/>
              </w:rPr>
              <w:t>项目</w:t>
            </w:r>
          </w:p>
        </w:tc>
        <w:tc>
          <w:tcPr>
            <w:tcW w:w="2219" w:type="dxa"/>
            <w:gridSpan w:val="2"/>
            <w:noWrap w:val="0"/>
            <w:vAlign w:val="center"/>
          </w:tcPr>
          <w:p>
            <w:pPr>
              <w:jc w:val="center"/>
              <w:rPr>
                <w:bCs/>
                <w:szCs w:val="21"/>
              </w:rPr>
            </w:pPr>
            <w:r>
              <w:rPr>
                <w:bCs/>
                <w:szCs w:val="21"/>
              </w:rPr>
              <w:t>类别</w:t>
            </w:r>
          </w:p>
        </w:tc>
        <w:tc>
          <w:tcPr>
            <w:tcW w:w="4740" w:type="dxa"/>
            <w:noWrap w:val="0"/>
            <w:vAlign w:val="center"/>
          </w:tcPr>
          <w:p>
            <w:pPr>
              <w:jc w:val="center"/>
              <w:rPr>
                <w:bCs/>
                <w:szCs w:val="21"/>
              </w:rPr>
            </w:pPr>
            <w:r>
              <w:rPr>
                <w:bCs/>
                <w:szCs w:val="21"/>
              </w:rPr>
              <w:t>措施内容</w:t>
            </w:r>
          </w:p>
        </w:tc>
        <w:tc>
          <w:tcPr>
            <w:tcW w:w="1288" w:type="dxa"/>
            <w:noWrap w:val="0"/>
            <w:vAlign w:val="center"/>
          </w:tcPr>
          <w:p>
            <w:pPr>
              <w:jc w:val="center"/>
              <w:rPr>
                <w:bCs/>
                <w:szCs w:val="21"/>
              </w:rPr>
            </w:pPr>
            <w:r>
              <w:rPr>
                <w:bCs/>
                <w:szCs w:val="21"/>
              </w:rPr>
              <w:t>投资（万元）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restart"/>
            <w:noWrap w:val="0"/>
            <w:vAlign w:val="center"/>
          </w:tcPr>
          <w:p>
            <w:pPr>
              <w:jc w:val="center"/>
              <w:rPr>
                <w:bCs/>
                <w:szCs w:val="21"/>
              </w:rPr>
            </w:pPr>
            <w:r>
              <w:rPr>
                <w:bCs/>
                <w:szCs w:val="21"/>
              </w:rPr>
              <w:t>废水</w:t>
            </w:r>
          </w:p>
        </w:tc>
        <w:tc>
          <w:tcPr>
            <w:tcW w:w="2219" w:type="dxa"/>
            <w:gridSpan w:val="2"/>
            <w:noWrap w:val="0"/>
            <w:vAlign w:val="center"/>
          </w:tcPr>
          <w:p>
            <w:pPr>
              <w:jc w:val="center"/>
              <w:rPr>
                <w:bCs/>
                <w:szCs w:val="21"/>
              </w:rPr>
            </w:pPr>
            <w:r>
              <w:rPr>
                <w:bCs/>
                <w:szCs w:val="21"/>
              </w:rPr>
              <w:t>生活污水</w:t>
            </w:r>
          </w:p>
        </w:tc>
        <w:tc>
          <w:tcPr>
            <w:tcW w:w="4740" w:type="dxa"/>
            <w:vMerge w:val="restart"/>
            <w:noWrap w:val="0"/>
            <w:vAlign w:val="center"/>
          </w:tcPr>
          <w:p>
            <w:pPr>
              <w:jc w:val="center"/>
              <w:rPr>
                <w:bCs/>
                <w:szCs w:val="21"/>
              </w:rPr>
            </w:pPr>
            <w:r>
              <w:rPr>
                <w:szCs w:val="21"/>
              </w:rPr>
              <w:t>污水处理设施，工艺为“预处理+</w:t>
            </w:r>
            <w:r>
              <w:rPr>
                <w:rFonts w:hint="eastAsia"/>
                <w:szCs w:val="21"/>
              </w:rPr>
              <w:t>黑膜</w:t>
            </w:r>
            <w:r>
              <w:rPr>
                <w:szCs w:val="21"/>
              </w:rPr>
              <w:t>厌氧发酵”工艺；1套沼气干法脱硫装置；1座</w:t>
            </w:r>
            <w:r>
              <w:rPr>
                <w:rFonts w:hint="eastAsia"/>
                <w:szCs w:val="21"/>
              </w:rPr>
              <w:t>黑膜沼气池</w:t>
            </w:r>
            <w:r>
              <w:rPr>
                <w:szCs w:val="21"/>
              </w:rPr>
              <w:t>（容积分别为1200m</w:t>
            </w:r>
            <w:r>
              <w:rPr>
                <w:szCs w:val="21"/>
                <w:vertAlign w:val="superscript"/>
              </w:rPr>
              <w:t>3</w:t>
            </w:r>
            <w:r>
              <w:rPr>
                <w:szCs w:val="21"/>
              </w:rPr>
              <w:t>）</w:t>
            </w:r>
            <w:r>
              <w:rPr>
                <w:bCs/>
                <w:szCs w:val="21"/>
              </w:rPr>
              <w:t>雨污分流；防渗、防雨、防溢的“三防”措施</w:t>
            </w:r>
          </w:p>
        </w:tc>
        <w:tc>
          <w:tcPr>
            <w:tcW w:w="1288" w:type="dxa"/>
            <w:vMerge w:val="restart"/>
            <w:noWrap w:val="0"/>
            <w:vAlign w:val="center"/>
          </w:tcPr>
          <w:p>
            <w:pPr>
              <w:jc w:val="center"/>
              <w:rPr>
                <w:rFonts w:hint="default" w:eastAsia="宋体"/>
                <w:bCs/>
                <w:szCs w:val="21"/>
                <w:lang w:val="en-US" w:eastAsia="zh-CN"/>
              </w:rPr>
            </w:pPr>
            <w:r>
              <w:rPr>
                <w:rFonts w:hint="eastAsia"/>
                <w:bCs/>
                <w:szCs w:val="21"/>
                <w:lang w:val="en-US" w:eastAsia="zh-CN"/>
              </w:rPr>
              <w:t>115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continue"/>
            <w:noWrap w:val="0"/>
            <w:vAlign w:val="center"/>
          </w:tcPr>
          <w:p>
            <w:pPr>
              <w:jc w:val="center"/>
              <w:rPr>
                <w:bCs/>
                <w:szCs w:val="21"/>
              </w:rPr>
            </w:pPr>
          </w:p>
        </w:tc>
        <w:tc>
          <w:tcPr>
            <w:tcW w:w="2219" w:type="dxa"/>
            <w:gridSpan w:val="2"/>
            <w:noWrap w:val="0"/>
            <w:vAlign w:val="center"/>
          </w:tcPr>
          <w:p>
            <w:pPr>
              <w:jc w:val="center"/>
              <w:rPr>
                <w:bCs/>
                <w:szCs w:val="21"/>
              </w:rPr>
            </w:pPr>
            <w:r>
              <w:rPr>
                <w:bCs/>
                <w:szCs w:val="21"/>
              </w:rPr>
              <w:t>养殖废水</w:t>
            </w:r>
          </w:p>
        </w:tc>
        <w:tc>
          <w:tcPr>
            <w:tcW w:w="4740" w:type="dxa"/>
            <w:vMerge w:val="continue"/>
            <w:noWrap w:val="0"/>
            <w:vAlign w:val="center"/>
          </w:tcPr>
          <w:p>
            <w:pPr>
              <w:jc w:val="center"/>
              <w:rPr>
                <w:bCs/>
                <w:szCs w:val="21"/>
              </w:rPr>
            </w:pPr>
          </w:p>
        </w:tc>
        <w:tc>
          <w:tcPr>
            <w:tcW w:w="1288" w:type="dxa"/>
            <w:vMerge w:val="continue"/>
            <w:noWrap w:val="0"/>
            <w:vAlign w:val="center"/>
          </w:tcPr>
          <w:p>
            <w:pPr>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restart"/>
            <w:noWrap w:val="0"/>
            <w:vAlign w:val="center"/>
          </w:tcPr>
          <w:p>
            <w:pPr>
              <w:jc w:val="center"/>
              <w:rPr>
                <w:bCs/>
                <w:szCs w:val="21"/>
              </w:rPr>
            </w:pPr>
            <w:r>
              <w:rPr>
                <w:bCs/>
                <w:szCs w:val="21"/>
              </w:rPr>
              <w:t>废气</w:t>
            </w:r>
          </w:p>
        </w:tc>
        <w:tc>
          <w:tcPr>
            <w:tcW w:w="2219" w:type="dxa"/>
            <w:gridSpan w:val="2"/>
            <w:noWrap w:val="0"/>
            <w:vAlign w:val="center"/>
          </w:tcPr>
          <w:p>
            <w:pPr>
              <w:jc w:val="center"/>
              <w:rPr>
                <w:bCs/>
                <w:szCs w:val="21"/>
              </w:rPr>
            </w:pPr>
            <w:r>
              <w:rPr>
                <w:bCs/>
                <w:szCs w:val="21"/>
              </w:rPr>
              <w:t>猪舍臭气</w:t>
            </w:r>
          </w:p>
        </w:tc>
        <w:tc>
          <w:tcPr>
            <w:tcW w:w="4740" w:type="dxa"/>
            <w:noWrap w:val="0"/>
            <w:vAlign w:val="center"/>
          </w:tcPr>
          <w:p>
            <w:pPr>
              <w:jc w:val="center"/>
              <w:rPr>
                <w:rFonts w:hint="eastAsia"/>
                <w:bCs/>
                <w:szCs w:val="21"/>
              </w:rPr>
            </w:pPr>
            <w:r>
              <w:rPr>
                <w:bCs/>
                <w:szCs w:val="21"/>
              </w:rPr>
              <w:t>控制饲养密度 、采用节水型饮水器、全漏缝地板</w:t>
            </w:r>
            <w:r>
              <w:rPr>
                <w:rFonts w:hint="eastAsia"/>
                <w:bCs/>
                <w:szCs w:val="21"/>
              </w:rPr>
              <w:t>，喷洒除臭剂，周边</w:t>
            </w:r>
            <w:r>
              <w:rPr>
                <w:bCs/>
                <w:szCs w:val="21"/>
              </w:rPr>
              <w:t>种植吸附恶臭气体的绿植</w:t>
            </w:r>
          </w:p>
        </w:tc>
        <w:tc>
          <w:tcPr>
            <w:tcW w:w="1288" w:type="dxa"/>
            <w:noWrap w:val="0"/>
            <w:vAlign w:val="center"/>
          </w:tcPr>
          <w:p>
            <w:pPr>
              <w:jc w:val="center"/>
              <w:rPr>
                <w:bCs/>
                <w:szCs w:val="21"/>
              </w:rPr>
            </w:pPr>
            <w:r>
              <w:rPr>
                <w:bCs/>
                <w:szCs w:val="21"/>
              </w:rPr>
              <w:t>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continue"/>
            <w:noWrap w:val="0"/>
            <w:vAlign w:val="center"/>
          </w:tcPr>
          <w:p>
            <w:pPr>
              <w:jc w:val="center"/>
              <w:rPr>
                <w:bCs/>
                <w:szCs w:val="21"/>
              </w:rPr>
            </w:pPr>
          </w:p>
        </w:tc>
        <w:tc>
          <w:tcPr>
            <w:tcW w:w="2219" w:type="dxa"/>
            <w:gridSpan w:val="2"/>
            <w:noWrap w:val="0"/>
            <w:vAlign w:val="center"/>
          </w:tcPr>
          <w:p>
            <w:pPr>
              <w:jc w:val="center"/>
              <w:rPr>
                <w:rFonts w:hint="eastAsia"/>
                <w:bCs/>
                <w:szCs w:val="21"/>
              </w:rPr>
            </w:pPr>
            <w:r>
              <w:rPr>
                <w:bCs/>
                <w:szCs w:val="21"/>
              </w:rPr>
              <w:t>污水</w:t>
            </w:r>
            <w:r>
              <w:rPr>
                <w:rFonts w:hint="eastAsia"/>
                <w:bCs/>
                <w:szCs w:val="21"/>
              </w:rPr>
              <w:t>前处理</w:t>
            </w:r>
            <w:r>
              <w:rPr>
                <w:bCs/>
                <w:szCs w:val="21"/>
              </w:rPr>
              <w:t>工序</w:t>
            </w:r>
          </w:p>
        </w:tc>
        <w:tc>
          <w:tcPr>
            <w:tcW w:w="4740" w:type="dxa"/>
            <w:noWrap w:val="0"/>
            <w:vAlign w:val="center"/>
          </w:tcPr>
          <w:p>
            <w:pPr>
              <w:adjustRightInd w:val="0"/>
              <w:snapToGrid w:val="0"/>
              <w:jc w:val="center"/>
              <w:rPr>
                <w:bCs/>
                <w:szCs w:val="21"/>
              </w:rPr>
            </w:pPr>
            <w:r>
              <w:rPr>
                <w:rFonts w:hint="eastAsia"/>
                <w:bCs/>
                <w:szCs w:val="21"/>
              </w:rPr>
              <w:t>收集池</w:t>
            </w:r>
            <w:r>
              <w:rPr>
                <w:bCs/>
                <w:szCs w:val="21"/>
              </w:rPr>
              <w:t>喷洒除臭剂（</w:t>
            </w:r>
            <w:r>
              <w:rPr>
                <w:bCs/>
              </w:rPr>
              <w:t>除臭剂的喷扫操作方式为人工喷洒，对操作人员强化培训，喷洒频率为：污水处理</w:t>
            </w:r>
            <w:r>
              <w:rPr>
                <w:rFonts w:hint="eastAsia"/>
                <w:bCs/>
              </w:rPr>
              <w:t>系统运营前</w:t>
            </w:r>
            <w:r>
              <w:rPr>
                <w:bCs/>
              </w:rPr>
              <w:t>连续喷洒3天每天喷洒一次，之后每隔5天喷洒一次</w:t>
            </w:r>
            <w:r>
              <w:rPr>
                <w:bCs/>
                <w:szCs w:val="21"/>
              </w:rPr>
              <w:t>），周边绿化</w:t>
            </w:r>
          </w:p>
        </w:tc>
        <w:tc>
          <w:tcPr>
            <w:tcW w:w="1288" w:type="dxa"/>
            <w:noWrap w:val="0"/>
            <w:vAlign w:val="center"/>
          </w:tcPr>
          <w:p>
            <w:pPr>
              <w:adjustRightInd w:val="0"/>
              <w:snapToGrid w:val="0"/>
              <w:jc w:val="center"/>
              <w:rPr>
                <w:bCs/>
                <w:szCs w:val="21"/>
              </w:rPr>
            </w:pPr>
            <w:r>
              <w:rPr>
                <w:bCs/>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continue"/>
            <w:noWrap w:val="0"/>
            <w:vAlign w:val="center"/>
          </w:tcPr>
          <w:p>
            <w:pPr>
              <w:jc w:val="center"/>
              <w:rPr>
                <w:bCs/>
                <w:szCs w:val="21"/>
              </w:rPr>
            </w:pPr>
          </w:p>
        </w:tc>
        <w:tc>
          <w:tcPr>
            <w:tcW w:w="2219" w:type="dxa"/>
            <w:gridSpan w:val="2"/>
            <w:noWrap w:val="0"/>
            <w:vAlign w:val="center"/>
          </w:tcPr>
          <w:p>
            <w:pPr>
              <w:jc w:val="center"/>
              <w:rPr>
                <w:bCs/>
                <w:szCs w:val="21"/>
              </w:rPr>
            </w:pPr>
            <w:r>
              <w:rPr>
                <w:rFonts w:hint="eastAsia"/>
                <w:szCs w:val="21"/>
              </w:rPr>
              <w:t>固粪处理区</w:t>
            </w:r>
          </w:p>
        </w:tc>
        <w:tc>
          <w:tcPr>
            <w:tcW w:w="4740" w:type="dxa"/>
            <w:noWrap w:val="0"/>
            <w:vAlign w:val="center"/>
          </w:tcPr>
          <w:p>
            <w:pPr>
              <w:adjustRightInd w:val="0"/>
              <w:snapToGrid w:val="0"/>
              <w:jc w:val="center"/>
              <w:rPr>
                <w:rFonts w:hint="eastAsia"/>
                <w:bCs/>
                <w:szCs w:val="21"/>
              </w:rPr>
            </w:pPr>
            <w:r>
              <w:rPr>
                <w:bCs/>
                <w:szCs w:val="21"/>
              </w:rPr>
              <w:t>顶部有棚，</w:t>
            </w:r>
            <w:r>
              <w:rPr>
                <w:rFonts w:hint="eastAsia"/>
                <w:bCs/>
                <w:szCs w:val="21"/>
              </w:rPr>
              <w:t>四</w:t>
            </w:r>
            <w:r>
              <w:rPr>
                <w:bCs/>
                <w:szCs w:val="21"/>
              </w:rPr>
              <w:t>面设置</w:t>
            </w:r>
            <w:r>
              <w:rPr>
                <w:rFonts w:hint="eastAsia"/>
                <w:bCs/>
                <w:szCs w:val="21"/>
              </w:rPr>
              <w:t>围墙，</w:t>
            </w:r>
            <w:r>
              <w:rPr>
                <w:bCs/>
                <w:szCs w:val="21"/>
              </w:rPr>
              <w:t>喷洒除臭剂</w:t>
            </w:r>
            <w:r>
              <w:rPr>
                <w:rFonts w:hint="eastAsia"/>
                <w:bCs/>
                <w:szCs w:val="21"/>
              </w:rPr>
              <w:t>，</w:t>
            </w:r>
            <w:r>
              <w:rPr>
                <w:bCs/>
                <w:szCs w:val="21"/>
              </w:rPr>
              <w:t>底部设置导流沟</w:t>
            </w:r>
          </w:p>
        </w:tc>
        <w:tc>
          <w:tcPr>
            <w:tcW w:w="1288" w:type="dxa"/>
            <w:noWrap w:val="0"/>
            <w:vAlign w:val="center"/>
          </w:tcPr>
          <w:p>
            <w:pPr>
              <w:adjustRightInd w:val="0"/>
              <w:snapToGrid w:val="0"/>
              <w:jc w:val="center"/>
              <w:rPr>
                <w:bCs/>
                <w:szCs w:val="21"/>
              </w:rPr>
            </w:pPr>
            <w:r>
              <w:rPr>
                <w:bCs/>
                <w:szCs w:val="21"/>
              </w:rPr>
              <w:t>3.0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continue"/>
            <w:noWrap w:val="0"/>
            <w:vAlign w:val="center"/>
          </w:tcPr>
          <w:p>
            <w:pPr>
              <w:jc w:val="center"/>
              <w:rPr>
                <w:bCs/>
                <w:szCs w:val="21"/>
              </w:rPr>
            </w:pPr>
          </w:p>
        </w:tc>
        <w:tc>
          <w:tcPr>
            <w:tcW w:w="2219" w:type="dxa"/>
            <w:gridSpan w:val="2"/>
            <w:noWrap w:val="0"/>
            <w:vAlign w:val="center"/>
          </w:tcPr>
          <w:p>
            <w:pPr>
              <w:jc w:val="center"/>
              <w:rPr>
                <w:bCs/>
                <w:szCs w:val="21"/>
              </w:rPr>
            </w:pPr>
            <w:r>
              <w:rPr>
                <w:bCs/>
                <w:szCs w:val="21"/>
              </w:rPr>
              <w:t>沼液储存池</w:t>
            </w:r>
          </w:p>
        </w:tc>
        <w:tc>
          <w:tcPr>
            <w:tcW w:w="4740" w:type="dxa"/>
            <w:noWrap w:val="0"/>
            <w:vAlign w:val="center"/>
          </w:tcPr>
          <w:p>
            <w:pPr>
              <w:jc w:val="center"/>
              <w:rPr>
                <w:bCs/>
                <w:szCs w:val="21"/>
              </w:rPr>
            </w:pPr>
            <w:r>
              <w:rPr>
                <w:rFonts w:hint="eastAsia" w:hAnsi="宋体"/>
                <w:szCs w:val="21"/>
              </w:rPr>
              <w:t>四周喷洒除臭剂、</w:t>
            </w:r>
            <w:r>
              <w:rPr>
                <w:bCs/>
                <w:szCs w:val="21"/>
              </w:rPr>
              <w:t>四周设置绿化</w:t>
            </w:r>
          </w:p>
        </w:tc>
        <w:tc>
          <w:tcPr>
            <w:tcW w:w="1288" w:type="dxa"/>
            <w:noWrap w:val="0"/>
            <w:vAlign w:val="center"/>
          </w:tcPr>
          <w:p>
            <w:pPr>
              <w:adjustRightInd w:val="0"/>
              <w:snapToGrid w:val="0"/>
              <w:jc w:val="center"/>
              <w:rPr>
                <w:bCs/>
                <w:szCs w:val="21"/>
              </w:rPr>
            </w:pPr>
            <w:r>
              <w:rPr>
                <w:bCs/>
                <w:szCs w:val="21"/>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continue"/>
            <w:noWrap w:val="0"/>
            <w:vAlign w:val="center"/>
          </w:tcPr>
          <w:p>
            <w:pPr>
              <w:jc w:val="center"/>
              <w:rPr>
                <w:bCs/>
                <w:szCs w:val="21"/>
              </w:rPr>
            </w:pPr>
          </w:p>
        </w:tc>
        <w:tc>
          <w:tcPr>
            <w:tcW w:w="2219" w:type="dxa"/>
            <w:gridSpan w:val="2"/>
            <w:noWrap w:val="0"/>
            <w:vAlign w:val="center"/>
          </w:tcPr>
          <w:p>
            <w:pPr>
              <w:spacing w:line="300" w:lineRule="exact"/>
              <w:jc w:val="center"/>
              <w:rPr>
                <w:bCs/>
                <w:szCs w:val="21"/>
              </w:rPr>
            </w:pPr>
            <w:r>
              <w:rPr>
                <w:bCs/>
                <w:szCs w:val="21"/>
              </w:rPr>
              <w:t>沼气</w:t>
            </w:r>
            <w:r>
              <w:rPr>
                <w:rFonts w:hint="eastAsia"/>
                <w:bCs/>
                <w:szCs w:val="21"/>
              </w:rPr>
              <w:t>燃烧</w:t>
            </w:r>
          </w:p>
        </w:tc>
        <w:tc>
          <w:tcPr>
            <w:tcW w:w="4740" w:type="dxa"/>
            <w:noWrap w:val="0"/>
            <w:vAlign w:val="center"/>
          </w:tcPr>
          <w:p>
            <w:pPr>
              <w:adjustRightInd w:val="0"/>
              <w:snapToGrid w:val="0"/>
              <w:spacing w:line="300" w:lineRule="exact"/>
              <w:jc w:val="center"/>
              <w:rPr>
                <w:bCs/>
                <w:szCs w:val="21"/>
              </w:rPr>
            </w:pPr>
            <w:r>
              <w:rPr>
                <w:rFonts w:hint="eastAsia"/>
                <w:bCs/>
                <w:szCs w:val="21"/>
              </w:rPr>
              <w:t>火炬燃烧器</w:t>
            </w:r>
            <w:r>
              <w:rPr>
                <w:bCs/>
                <w:szCs w:val="21"/>
              </w:rPr>
              <w:t>+8m高排气筒排放</w:t>
            </w:r>
          </w:p>
        </w:tc>
        <w:tc>
          <w:tcPr>
            <w:tcW w:w="1288" w:type="dxa"/>
            <w:noWrap w:val="0"/>
            <w:vAlign w:val="center"/>
          </w:tcPr>
          <w:p>
            <w:pPr>
              <w:adjustRightInd w:val="0"/>
              <w:snapToGrid w:val="0"/>
              <w:spacing w:line="300" w:lineRule="exact"/>
              <w:jc w:val="center"/>
              <w:rPr>
                <w:bCs/>
                <w:szCs w:val="21"/>
              </w:rPr>
            </w:pPr>
            <w:r>
              <w:rPr>
                <w:bCs/>
                <w:szCs w:val="21"/>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continue"/>
            <w:noWrap w:val="0"/>
            <w:vAlign w:val="center"/>
          </w:tcPr>
          <w:p>
            <w:pPr>
              <w:jc w:val="center"/>
              <w:rPr>
                <w:bCs/>
                <w:szCs w:val="21"/>
              </w:rPr>
            </w:pPr>
          </w:p>
        </w:tc>
        <w:tc>
          <w:tcPr>
            <w:tcW w:w="2219" w:type="dxa"/>
            <w:gridSpan w:val="2"/>
            <w:noWrap w:val="0"/>
            <w:vAlign w:val="center"/>
          </w:tcPr>
          <w:p>
            <w:pPr>
              <w:jc w:val="center"/>
              <w:rPr>
                <w:bCs/>
                <w:szCs w:val="21"/>
              </w:rPr>
            </w:pPr>
            <w:r>
              <w:rPr>
                <w:bCs/>
                <w:szCs w:val="21"/>
              </w:rPr>
              <w:t>食堂油烟</w:t>
            </w:r>
          </w:p>
        </w:tc>
        <w:tc>
          <w:tcPr>
            <w:tcW w:w="4740" w:type="dxa"/>
            <w:noWrap w:val="0"/>
            <w:vAlign w:val="center"/>
          </w:tcPr>
          <w:p>
            <w:pPr>
              <w:adjustRightInd w:val="0"/>
              <w:snapToGrid w:val="0"/>
              <w:jc w:val="center"/>
              <w:rPr>
                <w:bCs/>
                <w:szCs w:val="21"/>
              </w:rPr>
            </w:pPr>
            <w:r>
              <w:rPr>
                <w:bCs/>
                <w:kern w:val="0"/>
                <w:szCs w:val="21"/>
              </w:rPr>
              <w:t>安装净化效率不低于90%的油烟净化装置一套</w:t>
            </w:r>
          </w:p>
        </w:tc>
        <w:tc>
          <w:tcPr>
            <w:tcW w:w="1288" w:type="dxa"/>
            <w:noWrap w:val="0"/>
            <w:vAlign w:val="center"/>
          </w:tcPr>
          <w:p>
            <w:pPr>
              <w:adjustRightInd w:val="0"/>
              <w:snapToGrid w:val="0"/>
              <w:jc w:val="center"/>
              <w:rPr>
                <w:bCs/>
                <w:szCs w:val="21"/>
              </w:rPr>
            </w:pPr>
            <w:r>
              <w:rPr>
                <w:bCs/>
                <w:szCs w:val="21"/>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restart"/>
            <w:noWrap w:val="0"/>
            <w:vAlign w:val="center"/>
          </w:tcPr>
          <w:p>
            <w:pPr>
              <w:jc w:val="center"/>
              <w:rPr>
                <w:bCs/>
                <w:szCs w:val="21"/>
              </w:rPr>
            </w:pPr>
            <w:r>
              <w:rPr>
                <w:bCs/>
                <w:szCs w:val="21"/>
              </w:rPr>
              <w:t>固废</w:t>
            </w:r>
          </w:p>
        </w:tc>
        <w:tc>
          <w:tcPr>
            <w:tcW w:w="2219" w:type="dxa"/>
            <w:gridSpan w:val="2"/>
            <w:noWrap w:val="0"/>
            <w:vAlign w:val="center"/>
          </w:tcPr>
          <w:p>
            <w:pPr>
              <w:widowControl/>
              <w:jc w:val="center"/>
              <w:rPr>
                <w:bCs/>
                <w:kern w:val="0"/>
                <w:szCs w:val="21"/>
              </w:rPr>
            </w:pPr>
            <w:r>
              <w:rPr>
                <w:bCs/>
                <w:kern w:val="0"/>
                <w:szCs w:val="21"/>
              </w:rPr>
              <w:t>疾病防疫产生的医疗废物</w:t>
            </w:r>
          </w:p>
        </w:tc>
        <w:tc>
          <w:tcPr>
            <w:tcW w:w="4740" w:type="dxa"/>
            <w:noWrap w:val="0"/>
            <w:vAlign w:val="center"/>
          </w:tcPr>
          <w:p>
            <w:pPr>
              <w:jc w:val="center"/>
              <w:rPr>
                <w:rFonts w:hint="eastAsia"/>
                <w:bCs/>
                <w:szCs w:val="21"/>
              </w:rPr>
            </w:pPr>
            <w:r>
              <w:rPr>
                <w:bCs/>
                <w:szCs w:val="21"/>
              </w:rPr>
              <w:t>暂存于危废暂存</w:t>
            </w:r>
            <w:r>
              <w:rPr>
                <w:rFonts w:hint="eastAsia"/>
                <w:bCs/>
                <w:szCs w:val="21"/>
              </w:rPr>
              <w:t>间</w:t>
            </w:r>
            <w:r>
              <w:rPr>
                <w:bCs/>
                <w:szCs w:val="21"/>
              </w:rPr>
              <w:t>，设置危废暂存标志，定期交由</w:t>
            </w:r>
            <w:r>
              <w:rPr>
                <w:rFonts w:hint="eastAsia"/>
                <w:kern w:val="0"/>
                <w:szCs w:val="21"/>
              </w:rPr>
              <w:t>有</w:t>
            </w:r>
            <w:r>
              <w:rPr>
                <w:rFonts w:hint="eastAsia"/>
                <w:bCs/>
                <w:snapToGrid w:val="0"/>
                <w:szCs w:val="21"/>
              </w:rPr>
              <w:t>资质的单位</w:t>
            </w:r>
            <w:r>
              <w:rPr>
                <w:bCs/>
                <w:snapToGrid w:val="0"/>
                <w:szCs w:val="21"/>
              </w:rPr>
              <w:t>处理</w:t>
            </w:r>
          </w:p>
        </w:tc>
        <w:tc>
          <w:tcPr>
            <w:tcW w:w="1288" w:type="dxa"/>
            <w:noWrap w:val="0"/>
            <w:vAlign w:val="center"/>
          </w:tcPr>
          <w:p>
            <w:pPr>
              <w:jc w:val="center"/>
              <w:rPr>
                <w:bCs/>
                <w:szCs w:val="21"/>
              </w:rPr>
            </w:pPr>
            <w:r>
              <w:rPr>
                <w:bCs/>
                <w:szCs w:val="21"/>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continue"/>
            <w:noWrap w:val="0"/>
            <w:vAlign w:val="center"/>
          </w:tcPr>
          <w:p>
            <w:pPr>
              <w:jc w:val="center"/>
              <w:rPr>
                <w:bCs/>
                <w:szCs w:val="21"/>
              </w:rPr>
            </w:pPr>
          </w:p>
        </w:tc>
        <w:tc>
          <w:tcPr>
            <w:tcW w:w="2219" w:type="dxa"/>
            <w:gridSpan w:val="2"/>
            <w:noWrap w:val="0"/>
            <w:vAlign w:val="center"/>
          </w:tcPr>
          <w:p>
            <w:pPr>
              <w:widowControl/>
              <w:jc w:val="center"/>
              <w:rPr>
                <w:kern w:val="0"/>
                <w:szCs w:val="21"/>
              </w:rPr>
            </w:pPr>
            <w:r>
              <w:rPr>
                <w:kern w:val="0"/>
                <w:szCs w:val="21"/>
              </w:rPr>
              <w:t>病死猪尸体</w:t>
            </w:r>
          </w:p>
        </w:tc>
        <w:tc>
          <w:tcPr>
            <w:tcW w:w="4740" w:type="dxa"/>
            <w:noWrap w:val="0"/>
            <w:vAlign w:val="center"/>
          </w:tcPr>
          <w:p>
            <w:pPr>
              <w:jc w:val="center"/>
              <w:rPr>
                <w:szCs w:val="21"/>
              </w:rPr>
            </w:pPr>
            <w:r>
              <w:rPr>
                <w:rFonts w:hint="eastAsia"/>
                <w:color w:val="000000"/>
                <w:szCs w:val="21"/>
              </w:rPr>
              <w:t>委托正阳县畜禽无害化处置中心处理</w:t>
            </w:r>
          </w:p>
        </w:tc>
        <w:tc>
          <w:tcPr>
            <w:tcW w:w="1288" w:type="dxa"/>
            <w:noWrap w:val="0"/>
            <w:vAlign w:val="center"/>
          </w:tcPr>
          <w:p>
            <w:pPr>
              <w:jc w:val="center"/>
              <w:rPr>
                <w:szCs w:val="21"/>
              </w:rPr>
            </w:pPr>
            <w:r>
              <w:rPr>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continue"/>
            <w:noWrap w:val="0"/>
            <w:vAlign w:val="center"/>
          </w:tcPr>
          <w:p>
            <w:pPr>
              <w:jc w:val="center"/>
              <w:rPr>
                <w:bCs/>
                <w:szCs w:val="21"/>
              </w:rPr>
            </w:pPr>
          </w:p>
        </w:tc>
        <w:tc>
          <w:tcPr>
            <w:tcW w:w="2219" w:type="dxa"/>
            <w:gridSpan w:val="2"/>
            <w:noWrap w:val="0"/>
            <w:vAlign w:val="center"/>
          </w:tcPr>
          <w:p>
            <w:pPr>
              <w:widowControl/>
              <w:jc w:val="center"/>
              <w:rPr>
                <w:bCs/>
                <w:kern w:val="0"/>
                <w:szCs w:val="21"/>
              </w:rPr>
            </w:pPr>
            <w:r>
              <w:rPr>
                <w:bCs/>
                <w:kern w:val="0"/>
                <w:szCs w:val="21"/>
              </w:rPr>
              <w:t>废脱硫剂</w:t>
            </w:r>
          </w:p>
        </w:tc>
        <w:tc>
          <w:tcPr>
            <w:tcW w:w="4740" w:type="dxa"/>
            <w:noWrap w:val="0"/>
            <w:vAlign w:val="center"/>
          </w:tcPr>
          <w:p>
            <w:pPr>
              <w:jc w:val="center"/>
              <w:rPr>
                <w:bCs/>
                <w:szCs w:val="21"/>
              </w:rPr>
            </w:pPr>
            <w:r>
              <w:rPr>
                <w:rFonts w:hint="eastAsia"/>
                <w:bCs/>
                <w:szCs w:val="21"/>
              </w:rPr>
              <w:t>塑料桶装</w:t>
            </w:r>
            <w:r>
              <w:rPr>
                <w:bCs/>
                <w:szCs w:val="21"/>
              </w:rPr>
              <w:t>后，暂存于固废暂存间，由负责项目环保工程的施工单位统一回收处置</w:t>
            </w:r>
          </w:p>
        </w:tc>
        <w:tc>
          <w:tcPr>
            <w:tcW w:w="1288" w:type="dxa"/>
            <w:noWrap w:val="0"/>
            <w:vAlign w:val="center"/>
          </w:tcPr>
          <w:p>
            <w:pPr>
              <w:jc w:val="center"/>
              <w:rPr>
                <w:bCs/>
                <w:szCs w:val="21"/>
              </w:rPr>
            </w:pPr>
            <w:r>
              <w:rPr>
                <w:bCs/>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continue"/>
            <w:noWrap w:val="0"/>
            <w:vAlign w:val="center"/>
          </w:tcPr>
          <w:p>
            <w:pPr>
              <w:jc w:val="center"/>
              <w:rPr>
                <w:bCs/>
                <w:szCs w:val="21"/>
              </w:rPr>
            </w:pPr>
          </w:p>
        </w:tc>
        <w:tc>
          <w:tcPr>
            <w:tcW w:w="2219" w:type="dxa"/>
            <w:gridSpan w:val="2"/>
            <w:noWrap w:val="0"/>
            <w:vAlign w:val="center"/>
          </w:tcPr>
          <w:p>
            <w:pPr>
              <w:widowControl/>
              <w:jc w:val="center"/>
              <w:rPr>
                <w:bCs/>
                <w:kern w:val="0"/>
                <w:szCs w:val="21"/>
              </w:rPr>
            </w:pPr>
            <w:r>
              <w:rPr>
                <w:bCs/>
                <w:kern w:val="0"/>
                <w:szCs w:val="21"/>
              </w:rPr>
              <w:t>生活垃圾及厨余垃圾</w:t>
            </w:r>
          </w:p>
        </w:tc>
        <w:tc>
          <w:tcPr>
            <w:tcW w:w="4740" w:type="dxa"/>
            <w:noWrap w:val="0"/>
            <w:vAlign w:val="center"/>
          </w:tcPr>
          <w:p>
            <w:pPr>
              <w:jc w:val="center"/>
              <w:rPr>
                <w:bCs/>
                <w:szCs w:val="21"/>
              </w:rPr>
            </w:pPr>
            <w:r>
              <w:rPr>
                <w:bCs/>
                <w:szCs w:val="21"/>
              </w:rPr>
              <w:t>暂存于固废暂存池，集中送环卫部门处理</w:t>
            </w:r>
          </w:p>
        </w:tc>
        <w:tc>
          <w:tcPr>
            <w:tcW w:w="1288" w:type="dxa"/>
            <w:noWrap w:val="0"/>
            <w:vAlign w:val="center"/>
          </w:tcPr>
          <w:p>
            <w:pPr>
              <w:jc w:val="center"/>
              <w:rPr>
                <w:bCs/>
                <w:szCs w:val="21"/>
              </w:rPr>
            </w:pPr>
            <w:r>
              <w:rPr>
                <w:bCs/>
                <w:szCs w:val="21"/>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continue"/>
            <w:noWrap w:val="0"/>
            <w:vAlign w:val="center"/>
          </w:tcPr>
          <w:p>
            <w:pPr>
              <w:jc w:val="center"/>
              <w:rPr>
                <w:bCs/>
                <w:szCs w:val="21"/>
              </w:rPr>
            </w:pPr>
          </w:p>
        </w:tc>
        <w:tc>
          <w:tcPr>
            <w:tcW w:w="2219" w:type="dxa"/>
            <w:gridSpan w:val="2"/>
            <w:noWrap w:val="0"/>
            <w:vAlign w:val="center"/>
          </w:tcPr>
          <w:p>
            <w:pPr>
              <w:widowControl/>
              <w:spacing w:line="300" w:lineRule="exact"/>
              <w:jc w:val="center"/>
              <w:rPr>
                <w:bCs/>
                <w:kern w:val="0"/>
                <w:szCs w:val="21"/>
              </w:rPr>
            </w:pPr>
            <w:r>
              <w:rPr>
                <w:rFonts w:hint="eastAsia"/>
                <w:bCs/>
                <w:kern w:val="0"/>
                <w:szCs w:val="21"/>
              </w:rPr>
              <w:t>猪粪</w:t>
            </w:r>
            <w:r>
              <w:rPr>
                <w:bCs/>
                <w:kern w:val="0"/>
                <w:szCs w:val="21"/>
              </w:rPr>
              <w:t>和沼渣</w:t>
            </w:r>
          </w:p>
        </w:tc>
        <w:tc>
          <w:tcPr>
            <w:tcW w:w="4740" w:type="dxa"/>
            <w:noWrap w:val="0"/>
            <w:vAlign w:val="center"/>
          </w:tcPr>
          <w:p>
            <w:pPr>
              <w:spacing w:line="300" w:lineRule="exact"/>
              <w:jc w:val="center"/>
              <w:rPr>
                <w:rFonts w:hint="eastAsia"/>
                <w:bCs/>
                <w:kern w:val="0"/>
                <w:szCs w:val="21"/>
              </w:rPr>
            </w:pPr>
            <w:r>
              <w:rPr>
                <w:bCs/>
                <w:kern w:val="0"/>
                <w:szCs w:val="21"/>
              </w:rPr>
              <w:t>粪便发酵制有机肥</w:t>
            </w:r>
            <w:r>
              <w:rPr>
                <w:rFonts w:hint="eastAsia"/>
                <w:bCs/>
                <w:kern w:val="0"/>
                <w:szCs w:val="21"/>
              </w:rPr>
              <w:t>基料外售</w:t>
            </w:r>
            <w:r>
              <w:rPr>
                <w:bCs/>
                <w:kern w:val="0"/>
                <w:szCs w:val="21"/>
              </w:rPr>
              <w:t>、沼渣经</w:t>
            </w:r>
            <w:r>
              <w:rPr>
                <w:rFonts w:hint="eastAsia"/>
                <w:bCs/>
                <w:kern w:val="0"/>
                <w:szCs w:val="21"/>
              </w:rPr>
              <w:t>晾晒后做有机肥基料外售</w:t>
            </w:r>
          </w:p>
        </w:tc>
        <w:tc>
          <w:tcPr>
            <w:tcW w:w="1288" w:type="dxa"/>
            <w:noWrap w:val="0"/>
            <w:vAlign w:val="center"/>
          </w:tcPr>
          <w:p>
            <w:pPr>
              <w:spacing w:line="300" w:lineRule="exact"/>
              <w:jc w:val="center"/>
              <w:rPr>
                <w:bCs/>
                <w:szCs w:val="21"/>
              </w:rPr>
            </w:pPr>
            <w:r>
              <w:rPr>
                <w:bCs/>
                <w:szCs w:val="21"/>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noWrap w:val="0"/>
            <w:vAlign w:val="center"/>
          </w:tcPr>
          <w:p>
            <w:pPr>
              <w:jc w:val="center"/>
              <w:rPr>
                <w:bCs/>
                <w:szCs w:val="21"/>
              </w:rPr>
            </w:pPr>
            <w:r>
              <w:rPr>
                <w:bCs/>
                <w:szCs w:val="21"/>
              </w:rPr>
              <w:t>噪声</w:t>
            </w:r>
          </w:p>
        </w:tc>
        <w:tc>
          <w:tcPr>
            <w:tcW w:w="2219" w:type="dxa"/>
            <w:gridSpan w:val="2"/>
            <w:noWrap w:val="0"/>
            <w:vAlign w:val="center"/>
          </w:tcPr>
          <w:p>
            <w:pPr>
              <w:widowControl/>
              <w:jc w:val="center"/>
              <w:rPr>
                <w:bCs/>
                <w:kern w:val="0"/>
                <w:szCs w:val="21"/>
              </w:rPr>
            </w:pPr>
            <w:r>
              <w:rPr>
                <w:bCs/>
                <w:kern w:val="0"/>
                <w:szCs w:val="21"/>
              </w:rPr>
              <w:t>设备噪声</w:t>
            </w:r>
          </w:p>
        </w:tc>
        <w:tc>
          <w:tcPr>
            <w:tcW w:w="4740" w:type="dxa"/>
            <w:noWrap w:val="0"/>
            <w:vAlign w:val="center"/>
          </w:tcPr>
          <w:p>
            <w:pPr>
              <w:widowControl/>
              <w:jc w:val="center"/>
              <w:rPr>
                <w:bCs/>
                <w:kern w:val="0"/>
                <w:szCs w:val="21"/>
              </w:rPr>
            </w:pPr>
            <w:r>
              <w:rPr>
                <w:bCs/>
                <w:kern w:val="0"/>
                <w:szCs w:val="21"/>
              </w:rPr>
              <w:t>基础减振、隔声等措施</w:t>
            </w:r>
          </w:p>
        </w:tc>
        <w:tc>
          <w:tcPr>
            <w:tcW w:w="1288" w:type="dxa"/>
            <w:noWrap w:val="0"/>
            <w:vAlign w:val="center"/>
          </w:tcPr>
          <w:p>
            <w:pPr>
              <w:jc w:val="center"/>
              <w:rPr>
                <w:bCs/>
                <w:szCs w:val="21"/>
              </w:rPr>
            </w:pPr>
            <w:r>
              <w:rPr>
                <w:bCs/>
                <w:szCs w:val="21"/>
              </w:rPr>
              <w:t>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restart"/>
            <w:noWrap w:val="0"/>
            <w:vAlign w:val="center"/>
          </w:tcPr>
          <w:p>
            <w:pPr>
              <w:jc w:val="center"/>
              <w:rPr>
                <w:rFonts w:hint="eastAsia"/>
                <w:bCs/>
                <w:szCs w:val="21"/>
              </w:rPr>
            </w:pPr>
            <w:r>
              <w:rPr>
                <w:rFonts w:hint="eastAsia"/>
                <w:bCs/>
                <w:szCs w:val="21"/>
              </w:rPr>
              <w:t>风险</w:t>
            </w:r>
            <w:r>
              <w:rPr>
                <w:bCs/>
                <w:szCs w:val="21"/>
              </w:rPr>
              <w:t>事故</w:t>
            </w:r>
          </w:p>
        </w:tc>
        <w:tc>
          <w:tcPr>
            <w:tcW w:w="2219" w:type="dxa"/>
            <w:gridSpan w:val="2"/>
            <w:noWrap w:val="0"/>
            <w:vAlign w:val="center"/>
          </w:tcPr>
          <w:p>
            <w:pPr>
              <w:widowControl/>
              <w:spacing w:line="300" w:lineRule="exact"/>
              <w:jc w:val="center"/>
              <w:rPr>
                <w:bCs/>
                <w:kern w:val="0"/>
                <w:szCs w:val="21"/>
              </w:rPr>
            </w:pPr>
            <w:r>
              <w:rPr>
                <w:bCs/>
                <w:kern w:val="0"/>
                <w:szCs w:val="21"/>
              </w:rPr>
              <w:t>沼气泄漏</w:t>
            </w:r>
          </w:p>
        </w:tc>
        <w:tc>
          <w:tcPr>
            <w:tcW w:w="4740" w:type="dxa"/>
            <w:noWrap w:val="0"/>
            <w:vAlign w:val="center"/>
          </w:tcPr>
          <w:p>
            <w:pPr>
              <w:autoSpaceDE w:val="0"/>
              <w:autoSpaceDN w:val="0"/>
              <w:adjustRightInd w:val="0"/>
              <w:snapToGrid w:val="0"/>
              <w:spacing w:line="300" w:lineRule="exact"/>
              <w:jc w:val="center"/>
              <w:rPr>
                <w:bCs/>
                <w:kern w:val="0"/>
                <w:szCs w:val="21"/>
              </w:rPr>
            </w:pPr>
            <w:r>
              <w:rPr>
                <w:rFonts w:hAnsi="宋体"/>
                <w:szCs w:val="21"/>
              </w:rPr>
              <w:t>加强设备的维护，按规定定期对</w:t>
            </w:r>
            <w:r>
              <w:rPr>
                <w:rFonts w:hint="eastAsia" w:hAnsi="宋体"/>
                <w:szCs w:val="21"/>
              </w:rPr>
              <w:t>黑膜</w:t>
            </w:r>
            <w:r>
              <w:rPr>
                <w:rFonts w:hAnsi="宋体"/>
                <w:szCs w:val="21"/>
              </w:rPr>
              <w:t>沼气池、管道系统进行密封性和压强测试；建立事故应急预案；加强操作人员的技术培训和岗位责任制教育</w:t>
            </w:r>
          </w:p>
        </w:tc>
        <w:tc>
          <w:tcPr>
            <w:tcW w:w="1288" w:type="dxa"/>
            <w:vMerge w:val="restart"/>
            <w:noWrap w:val="0"/>
            <w:vAlign w:val="center"/>
          </w:tcPr>
          <w:p>
            <w:pPr>
              <w:jc w:val="center"/>
              <w:rPr>
                <w:bCs/>
                <w:szCs w:val="21"/>
              </w:rPr>
            </w:pPr>
            <w:r>
              <w:rPr>
                <w:bCs/>
                <w:szCs w:val="21"/>
              </w:rPr>
              <w:t>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continue"/>
            <w:noWrap w:val="0"/>
            <w:vAlign w:val="center"/>
          </w:tcPr>
          <w:p>
            <w:pPr>
              <w:jc w:val="center"/>
              <w:rPr>
                <w:bCs/>
                <w:szCs w:val="21"/>
              </w:rPr>
            </w:pPr>
          </w:p>
        </w:tc>
        <w:tc>
          <w:tcPr>
            <w:tcW w:w="2219" w:type="dxa"/>
            <w:gridSpan w:val="2"/>
            <w:noWrap w:val="0"/>
            <w:vAlign w:val="center"/>
          </w:tcPr>
          <w:p>
            <w:pPr>
              <w:widowControl/>
              <w:spacing w:line="300" w:lineRule="exact"/>
              <w:jc w:val="center"/>
              <w:rPr>
                <w:bCs/>
                <w:kern w:val="0"/>
                <w:szCs w:val="21"/>
              </w:rPr>
            </w:pPr>
            <w:r>
              <w:rPr>
                <w:bCs/>
                <w:kern w:val="0"/>
                <w:szCs w:val="21"/>
              </w:rPr>
              <w:t>消防器材</w:t>
            </w:r>
          </w:p>
        </w:tc>
        <w:tc>
          <w:tcPr>
            <w:tcW w:w="4740" w:type="dxa"/>
            <w:noWrap w:val="0"/>
            <w:vAlign w:val="center"/>
          </w:tcPr>
          <w:p>
            <w:pPr>
              <w:autoSpaceDE w:val="0"/>
              <w:autoSpaceDN w:val="0"/>
              <w:adjustRightInd w:val="0"/>
              <w:snapToGrid w:val="0"/>
              <w:spacing w:line="300" w:lineRule="exact"/>
              <w:jc w:val="center"/>
              <w:rPr>
                <w:bCs/>
                <w:kern w:val="0"/>
                <w:szCs w:val="21"/>
              </w:rPr>
            </w:pPr>
            <w:r>
              <w:rPr>
                <w:bCs/>
                <w:kern w:val="0"/>
                <w:szCs w:val="21"/>
              </w:rPr>
              <w:t>若干</w:t>
            </w:r>
          </w:p>
        </w:tc>
        <w:tc>
          <w:tcPr>
            <w:tcW w:w="1288" w:type="dxa"/>
            <w:vMerge w:val="continue"/>
            <w:noWrap w:val="0"/>
            <w:vAlign w:val="center"/>
          </w:tcPr>
          <w:p>
            <w:pPr>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continue"/>
            <w:noWrap w:val="0"/>
            <w:vAlign w:val="center"/>
          </w:tcPr>
          <w:p>
            <w:pPr>
              <w:jc w:val="center"/>
              <w:rPr>
                <w:bCs/>
                <w:szCs w:val="21"/>
              </w:rPr>
            </w:pPr>
          </w:p>
        </w:tc>
        <w:tc>
          <w:tcPr>
            <w:tcW w:w="2219" w:type="dxa"/>
            <w:gridSpan w:val="2"/>
            <w:noWrap w:val="0"/>
            <w:vAlign w:val="center"/>
          </w:tcPr>
          <w:p>
            <w:pPr>
              <w:widowControl/>
              <w:spacing w:line="300" w:lineRule="exact"/>
              <w:jc w:val="center"/>
              <w:rPr>
                <w:bCs/>
                <w:kern w:val="0"/>
                <w:szCs w:val="21"/>
              </w:rPr>
            </w:pPr>
            <w:r>
              <w:rPr>
                <w:bCs/>
                <w:kern w:val="0"/>
                <w:szCs w:val="21"/>
              </w:rPr>
              <w:t>报警装置</w:t>
            </w:r>
          </w:p>
        </w:tc>
        <w:tc>
          <w:tcPr>
            <w:tcW w:w="4740" w:type="dxa"/>
            <w:noWrap w:val="0"/>
            <w:vAlign w:val="center"/>
          </w:tcPr>
          <w:p>
            <w:pPr>
              <w:autoSpaceDE w:val="0"/>
              <w:autoSpaceDN w:val="0"/>
              <w:adjustRightInd w:val="0"/>
              <w:snapToGrid w:val="0"/>
              <w:spacing w:line="300" w:lineRule="exact"/>
              <w:jc w:val="center"/>
              <w:rPr>
                <w:bCs/>
                <w:kern w:val="0"/>
                <w:szCs w:val="21"/>
              </w:rPr>
            </w:pPr>
            <w:r>
              <w:rPr>
                <w:bCs/>
                <w:kern w:val="0"/>
                <w:szCs w:val="21"/>
              </w:rPr>
              <w:t>火焰报警器和烟雾报警器2套</w:t>
            </w:r>
          </w:p>
        </w:tc>
        <w:tc>
          <w:tcPr>
            <w:tcW w:w="1288" w:type="dxa"/>
            <w:vMerge w:val="continue"/>
            <w:noWrap w:val="0"/>
            <w:vAlign w:val="center"/>
          </w:tcPr>
          <w:p>
            <w:pPr>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restart"/>
            <w:noWrap w:val="0"/>
            <w:vAlign w:val="center"/>
          </w:tcPr>
          <w:p>
            <w:pPr>
              <w:jc w:val="center"/>
              <w:rPr>
                <w:bCs/>
                <w:szCs w:val="21"/>
              </w:rPr>
            </w:pPr>
            <w:r>
              <w:rPr>
                <w:bCs/>
                <w:szCs w:val="21"/>
              </w:rPr>
              <w:t>辅助工程</w:t>
            </w:r>
          </w:p>
        </w:tc>
        <w:tc>
          <w:tcPr>
            <w:tcW w:w="2219" w:type="dxa"/>
            <w:gridSpan w:val="2"/>
            <w:noWrap w:val="0"/>
            <w:vAlign w:val="center"/>
          </w:tcPr>
          <w:p>
            <w:pPr>
              <w:widowControl/>
              <w:jc w:val="center"/>
              <w:rPr>
                <w:bCs/>
                <w:kern w:val="0"/>
                <w:szCs w:val="21"/>
              </w:rPr>
            </w:pPr>
            <w:r>
              <w:rPr>
                <w:bCs/>
                <w:kern w:val="0"/>
                <w:szCs w:val="21"/>
              </w:rPr>
              <w:t>农田</w:t>
            </w:r>
          </w:p>
          <w:p>
            <w:pPr>
              <w:widowControl/>
              <w:jc w:val="center"/>
              <w:rPr>
                <w:bCs/>
                <w:kern w:val="0"/>
                <w:szCs w:val="21"/>
              </w:rPr>
            </w:pPr>
            <w:r>
              <w:rPr>
                <w:bCs/>
                <w:kern w:val="0"/>
                <w:szCs w:val="21"/>
              </w:rPr>
              <w:t>沼液施肥系统</w:t>
            </w:r>
          </w:p>
        </w:tc>
        <w:tc>
          <w:tcPr>
            <w:tcW w:w="4740" w:type="dxa"/>
            <w:noWrap w:val="0"/>
            <w:vAlign w:val="center"/>
          </w:tcPr>
          <w:p>
            <w:pPr>
              <w:autoSpaceDE w:val="0"/>
              <w:autoSpaceDN w:val="0"/>
              <w:adjustRightInd w:val="0"/>
              <w:snapToGrid w:val="0"/>
              <w:jc w:val="center"/>
              <w:rPr>
                <w:bCs/>
                <w:kern w:val="0"/>
                <w:szCs w:val="21"/>
              </w:rPr>
            </w:pPr>
            <w:r>
              <w:rPr>
                <w:bCs/>
                <w:kern w:val="0"/>
                <w:szCs w:val="21"/>
              </w:rPr>
              <w:t>建设沼液储存池1个，容积</w:t>
            </w:r>
            <w:r>
              <w:rPr>
                <w:bCs/>
                <w:szCs w:val="21"/>
              </w:rPr>
              <w:t>6500</w:t>
            </w:r>
            <w:r>
              <w:rPr>
                <w:bCs/>
                <w:kern w:val="0"/>
                <w:szCs w:val="21"/>
              </w:rPr>
              <w:t>m</w:t>
            </w:r>
            <w:r>
              <w:rPr>
                <w:bCs/>
                <w:kern w:val="0"/>
                <w:szCs w:val="21"/>
                <w:vertAlign w:val="superscript"/>
              </w:rPr>
              <w:t>3</w:t>
            </w:r>
            <w:r>
              <w:rPr>
                <w:bCs/>
                <w:kern w:val="0"/>
                <w:szCs w:val="21"/>
              </w:rPr>
              <w:t>，做好防渗、防溢漏、防雨流入措施、周边设置防护栏等安全措施，避免农闲期无处消纳外排或外溢造成污染；沼液输送系统管网铺设</w:t>
            </w:r>
          </w:p>
        </w:tc>
        <w:tc>
          <w:tcPr>
            <w:tcW w:w="1288" w:type="dxa"/>
            <w:noWrap w:val="0"/>
            <w:vAlign w:val="center"/>
          </w:tcPr>
          <w:p>
            <w:pPr>
              <w:jc w:val="center"/>
              <w:rPr>
                <w:bCs/>
                <w:szCs w:val="21"/>
              </w:rPr>
            </w:pPr>
            <w:r>
              <w:rPr>
                <w:bCs/>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continue"/>
            <w:noWrap w:val="0"/>
            <w:vAlign w:val="center"/>
          </w:tcPr>
          <w:p>
            <w:pPr>
              <w:jc w:val="center"/>
              <w:rPr>
                <w:bCs/>
                <w:szCs w:val="21"/>
              </w:rPr>
            </w:pPr>
          </w:p>
        </w:tc>
        <w:tc>
          <w:tcPr>
            <w:tcW w:w="2219" w:type="dxa"/>
            <w:gridSpan w:val="2"/>
            <w:noWrap w:val="0"/>
            <w:vAlign w:val="center"/>
          </w:tcPr>
          <w:p>
            <w:pPr>
              <w:widowControl/>
              <w:jc w:val="center"/>
              <w:rPr>
                <w:bCs/>
                <w:kern w:val="0"/>
                <w:szCs w:val="21"/>
              </w:rPr>
            </w:pPr>
            <w:r>
              <w:rPr>
                <w:bCs/>
                <w:kern w:val="0"/>
                <w:szCs w:val="21"/>
              </w:rPr>
              <w:t>地下水监测</w:t>
            </w:r>
          </w:p>
        </w:tc>
        <w:tc>
          <w:tcPr>
            <w:tcW w:w="4740" w:type="dxa"/>
            <w:noWrap w:val="0"/>
            <w:vAlign w:val="center"/>
          </w:tcPr>
          <w:p>
            <w:pPr>
              <w:tabs>
                <w:tab w:val="left" w:pos="2682"/>
              </w:tabs>
              <w:autoSpaceDE w:val="0"/>
              <w:autoSpaceDN w:val="0"/>
              <w:adjustRightInd w:val="0"/>
              <w:snapToGrid w:val="0"/>
              <w:spacing w:line="300" w:lineRule="exact"/>
              <w:jc w:val="left"/>
              <w:rPr>
                <w:bCs/>
                <w:kern w:val="0"/>
                <w:szCs w:val="21"/>
              </w:rPr>
            </w:pPr>
            <w:r>
              <w:rPr>
                <w:rFonts w:hAnsi="宋体"/>
                <w:szCs w:val="21"/>
              </w:rPr>
              <w:t>在</w:t>
            </w:r>
            <w:r>
              <w:rPr>
                <w:rFonts w:hint="eastAsia" w:hAnsi="宋体"/>
                <w:szCs w:val="21"/>
              </w:rPr>
              <w:t>沼液消纳地</w:t>
            </w:r>
            <w:r>
              <w:rPr>
                <w:rFonts w:hAnsi="宋体"/>
                <w:szCs w:val="21"/>
              </w:rPr>
              <w:t>西北方位、东南方</w:t>
            </w:r>
            <w:r>
              <w:rPr>
                <w:rFonts w:hint="eastAsia" w:hAnsi="宋体"/>
                <w:szCs w:val="21"/>
              </w:rPr>
              <w:t>及沼液</w:t>
            </w:r>
            <w:r>
              <w:rPr>
                <w:rFonts w:hAnsi="宋体"/>
                <w:szCs w:val="21"/>
              </w:rPr>
              <w:t>消纳地各设置</w:t>
            </w:r>
            <w:r>
              <w:rPr>
                <w:szCs w:val="21"/>
              </w:rPr>
              <w:t>1</w:t>
            </w:r>
            <w:r>
              <w:rPr>
                <w:rFonts w:hAnsi="宋体"/>
                <w:szCs w:val="21"/>
              </w:rPr>
              <w:t>口地下水观测井</w:t>
            </w:r>
          </w:p>
        </w:tc>
        <w:tc>
          <w:tcPr>
            <w:tcW w:w="1288" w:type="dxa"/>
            <w:noWrap w:val="0"/>
            <w:vAlign w:val="center"/>
          </w:tcPr>
          <w:p>
            <w:pPr>
              <w:jc w:val="center"/>
              <w:rPr>
                <w:bCs/>
                <w:szCs w:val="21"/>
              </w:rPr>
            </w:pPr>
            <w:r>
              <w:rPr>
                <w:bCs/>
                <w:szCs w:val="21"/>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continue"/>
            <w:noWrap w:val="0"/>
            <w:vAlign w:val="center"/>
          </w:tcPr>
          <w:p>
            <w:pPr>
              <w:jc w:val="center"/>
              <w:rPr>
                <w:bCs/>
                <w:szCs w:val="21"/>
              </w:rPr>
            </w:pPr>
          </w:p>
        </w:tc>
        <w:tc>
          <w:tcPr>
            <w:tcW w:w="2219" w:type="dxa"/>
            <w:gridSpan w:val="2"/>
            <w:noWrap w:val="0"/>
            <w:vAlign w:val="center"/>
          </w:tcPr>
          <w:p>
            <w:pPr>
              <w:widowControl/>
              <w:jc w:val="center"/>
              <w:rPr>
                <w:bCs/>
                <w:kern w:val="0"/>
                <w:szCs w:val="21"/>
              </w:rPr>
            </w:pPr>
            <w:r>
              <w:rPr>
                <w:bCs/>
                <w:kern w:val="0"/>
                <w:szCs w:val="21"/>
              </w:rPr>
              <w:t>生态保护</w:t>
            </w:r>
          </w:p>
        </w:tc>
        <w:tc>
          <w:tcPr>
            <w:tcW w:w="4740" w:type="dxa"/>
            <w:noWrap w:val="0"/>
            <w:vAlign w:val="center"/>
          </w:tcPr>
          <w:p>
            <w:pPr>
              <w:autoSpaceDE w:val="0"/>
              <w:autoSpaceDN w:val="0"/>
              <w:adjustRightInd w:val="0"/>
              <w:snapToGrid w:val="0"/>
              <w:jc w:val="center"/>
              <w:rPr>
                <w:bCs/>
                <w:kern w:val="0"/>
                <w:szCs w:val="21"/>
              </w:rPr>
            </w:pPr>
            <w:r>
              <w:rPr>
                <w:bCs/>
                <w:kern w:val="0"/>
                <w:szCs w:val="21"/>
              </w:rPr>
              <w:t>加强场区绿化</w:t>
            </w:r>
          </w:p>
        </w:tc>
        <w:tc>
          <w:tcPr>
            <w:tcW w:w="1288" w:type="dxa"/>
            <w:vMerge w:val="restart"/>
            <w:noWrap w:val="0"/>
            <w:vAlign w:val="center"/>
          </w:tcPr>
          <w:p>
            <w:pPr>
              <w:jc w:val="center"/>
              <w:rPr>
                <w:bCs/>
                <w:szCs w:val="21"/>
              </w:rPr>
            </w:pPr>
            <w:r>
              <w:rPr>
                <w:bCs/>
                <w:szCs w:val="21"/>
              </w:rPr>
              <w:t>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jc w:val="center"/>
        </w:trPr>
        <w:tc>
          <w:tcPr>
            <w:tcW w:w="699" w:type="dxa"/>
            <w:vMerge w:val="continue"/>
            <w:noWrap w:val="0"/>
            <w:vAlign w:val="center"/>
          </w:tcPr>
          <w:p>
            <w:pPr>
              <w:jc w:val="center"/>
              <w:rPr>
                <w:bCs/>
                <w:szCs w:val="21"/>
              </w:rPr>
            </w:pPr>
          </w:p>
        </w:tc>
        <w:tc>
          <w:tcPr>
            <w:tcW w:w="2219" w:type="dxa"/>
            <w:gridSpan w:val="2"/>
            <w:noWrap w:val="0"/>
            <w:vAlign w:val="center"/>
          </w:tcPr>
          <w:p>
            <w:pPr>
              <w:widowControl/>
              <w:jc w:val="center"/>
              <w:rPr>
                <w:bCs/>
                <w:kern w:val="0"/>
                <w:szCs w:val="21"/>
              </w:rPr>
            </w:pPr>
            <w:r>
              <w:rPr>
                <w:bCs/>
                <w:kern w:val="0"/>
                <w:szCs w:val="21"/>
              </w:rPr>
              <w:t>水土保持</w:t>
            </w:r>
          </w:p>
        </w:tc>
        <w:tc>
          <w:tcPr>
            <w:tcW w:w="4740" w:type="dxa"/>
            <w:noWrap w:val="0"/>
            <w:vAlign w:val="center"/>
          </w:tcPr>
          <w:p>
            <w:pPr>
              <w:autoSpaceDE w:val="0"/>
              <w:autoSpaceDN w:val="0"/>
              <w:adjustRightInd w:val="0"/>
              <w:snapToGrid w:val="0"/>
              <w:jc w:val="center"/>
              <w:rPr>
                <w:bCs/>
                <w:kern w:val="0"/>
                <w:szCs w:val="21"/>
              </w:rPr>
            </w:pPr>
            <w:r>
              <w:rPr>
                <w:bCs/>
                <w:kern w:val="0"/>
                <w:szCs w:val="21"/>
              </w:rPr>
              <w:t>施工期设置导流沟，建筑材料及土方及时覆盖，场区地面硬化</w:t>
            </w:r>
          </w:p>
        </w:tc>
        <w:tc>
          <w:tcPr>
            <w:tcW w:w="1288" w:type="dxa"/>
            <w:vMerge w:val="continue"/>
            <w:noWrap w:val="0"/>
            <w:vAlign w:val="center"/>
          </w:tcPr>
          <w:p>
            <w:pPr>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restart"/>
            <w:noWrap w:val="0"/>
            <w:vAlign w:val="center"/>
          </w:tcPr>
          <w:p>
            <w:pPr>
              <w:jc w:val="center"/>
              <w:rPr>
                <w:bCs/>
                <w:szCs w:val="21"/>
              </w:rPr>
            </w:pPr>
            <w:r>
              <w:rPr>
                <w:bCs/>
                <w:szCs w:val="21"/>
              </w:rPr>
              <w:t>防渗措施</w:t>
            </w:r>
          </w:p>
        </w:tc>
        <w:tc>
          <w:tcPr>
            <w:tcW w:w="2219" w:type="dxa"/>
            <w:gridSpan w:val="2"/>
            <w:noWrap w:val="0"/>
            <w:vAlign w:val="center"/>
          </w:tcPr>
          <w:p>
            <w:pPr>
              <w:widowControl/>
              <w:jc w:val="center"/>
              <w:rPr>
                <w:bCs/>
                <w:kern w:val="0"/>
                <w:szCs w:val="21"/>
              </w:rPr>
            </w:pPr>
            <w:r>
              <w:rPr>
                <w:bCs/>
                <w:kern w:val="0"/>
                <w:szCs w:val="21"/>
              </w:rPr>
              <w:t>沼液储存池</w:t>
            </w:r>
          </w:p>
        </w:tc>
        <w:tc>
          <w:tcPr>
            <w:tcW w:w="4740" w:type="dxa"/>
            <w:noWrap w:val="0"/>
            <w:vAlign w:val="center"/>
          </w:tcPr>
          <w:p>
            <w:pPr>
              <w:autoSpaceDE w:val="0"/>
              <w:autoSpaceDN w:val="0"/>
              <w:adjustRightInd w:val="0"/>
              <w:snapToGrid w:val="0"/>
              <w:jc w:val="left"/>
              <w:rPr>
                <w:bCs/>
                <w:kern w:val="0"/>
                <w:szCs w:val="21"/>
              </w:rPr>
            </w:pPr>
            <w:r>
              <w:rPr>
                <w:bCs/>
                <w:kern w:val="0"/>
                <w:szCs w:val="21"/>
              </w:rPr>
              <w:t>在清场夯压的基础上铺设HDPE膜防渗，周边设置防护栏等安全措施，保证能够容纳210天的沼液产生量，避免农闲期无处消纳外排或外溢造成污染</w:t>
            </w:r>
          </w:p>
        </w:tc>
        <w:tc>
          <w:tcPr>
            <w:tcW w:w="1288" w:type="dxa"/>
            <w:noWrap w:val="0"/>
            <w:vAlign w:val="center"/>
          </w:tcPr>
          <w:p>
            <w:pPr>
              <w:jc w:val="center"/>
              <w:rPr>
                <w:bCs/>
                <w:szCs w:val="21"/>
              </w:rPr>
            </w:pPr>
            <w:r>
              <w:rPr>
                <w:bCs/>
                <w:szCs w:val="21"/>
              </w:rPr>
              <w:t>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continue"/>
            <w:noWrap w:val="0"/>
            <w:vAlign w:val="center"/>
          </w:tcPr>
          <w:p>
            <w:pPr>
              <w:jc w:val="center"/>
              <w:rPr>
                <w:bCs/>
                <w:szCs w:val="21"/>
              </w:rPr>
            </w:pPr>
          </w:p>
        </w:tc>
        <w:tc>
          <w:tcPr>
            <w:tcW w:w="2219" w:type="dxa"/>
            <w:gridSpan w:val="2"/>
            <w:noWrap w:val="0"/>
            <w:vAlign w:val="center"/>
          </w:tcPr>
          <w:p>
            <w:pPr>
              <w:widowControl/>
              <w:spacing w:line="300" w:lineRule="exact"/>
              <w:jc w:val="center"/>
              <w:rPr>
                <w:bCs/>
                <w:kern w:val="0"/>
                <w:szCs w:val="21"/>
              </w:rPr>
            </w:pPr>
            <w:r>
              <w:rPr>
                <w:szCs w:val="21"/>
              </w:rPr>
              <w:t>固粪处理区</w:t>
            </w:r>
          </w:p>
        </w:tc>
        <w:tc>
          <w:tcPr>
            <w:tcW w:w="4740" w:type="dxa"/>
            <w:noWrap w:val="0"/>
            <w:vAlign w:val="center"/>
          </w:tcPr>
          <w:p>
            <w:pPr>
              <w:adjustRightInd w:val="0"/>
              <w:snapToGrid w:val="0"/>
              <w:jc w:val="center"/>
              <w:rPr>
                <w:bCs/>
                <w:kern w:val="0"/>
                <w:szCs w:val="21"/>
              </w:rPr>
            </w:pPr>
            <w:r>
              <w:rPr>
                <w:bCs/>
                <w:szCs w:val="21"/>
              </w:rPr>
              <w:t>地面在清场夯压的基础上混凝土防渗，设置顶棚和围挡，防止雨水进入造成下溢流污染</w:t>
            </w:r>
          </w:p>
        </w:tc>
        <w:tc>
          <w:tcPr>
            <w:tcW w:w="1288" w:type="dxa"/>
            <w:vMerge w:val="restart"/>
            <w:noWrap w:val="0"/>
            <w:vAlign w:val="center"/>
          </w:tcPr>
          <w:p>
            <w:pPr>
              <w:widowControl/>
              <w:spacing w:line="300" w:lineRule="exact"/>
              <w:jc w:val="center"/>
              <w:rPr>
                <w:bCs/>
                <w:kern w:val="0"/>
                <w:szCs w:val="21"/>
              </w:rPr>
            </w:pPr>
            <w:r>
              <w:rPr>
                <w:bCs/>
                <w:kern w:val="0"/>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jc w:val="center"/>
        </w:trPr>
        <w:tc>
          <w:tcPr>
            <w:tcW w:w="699" w:type="dxa"/>
            <w:vMerge w:val="continue"/>
            <w:noWrap w:val="0"/>
            <w:vAlign w:val="center"/>
          </w:tcPr>
          <w:p>
            <w:pPr>
              <w:jc w:val="center"/>
              <w:rPr>
                <w:bCs/>
                <w:szCs w:val="21"/>
              </w:rPr>
            </w:pPr>
          </w:p>
        </w:tc>
        <w:tc>
          <w:tcPr>
            <w:tcW w:w="1260" w:type="dxa"/>
            <w:tcBorders>
              <w:right w:val="single" w:color="auto" w:sz="4" w:space="0"/>
            </w:tcBorders>
            <w:noWrap w:val="0"/>
            <w:vAlign w:val="center"/>
          </w:tcPr>
          <w:p>
            <w:pPr>
              <w:widowControl/>
              <w:spacing w:line="300" w:lineRule="exact"/>
              <w:jc w:val="center"/>
              <w:rPr>
                <w:bCs/>
                <w:kern w:val="0"/>
                <w:szCs w:val="21"/>
              </w:rPr>
            </w:pPr>
            <w:r>
              <w:rPr>
                <w:bCs/>
                <w:kern w:val="0"/>
                <w:szCs w:val="21"/>
              </w:rPr>
              <w:t>污水处理区</w:t>
            </w:r>
          </w:p>
        </w:tc>
        <w:tc>
          <w:tcPr>
            <w:tcW w:w="959" w:type="dxa"/>
            <w:tcBorders>
              <w:left w:val="single" w:color="auto" w:sz="4" w:space="0"/>
            </w:tcBorders>
            <w:noWrap w:val="0"/>
            <w:vAlign w:val="center"/>
          </w:tcPr>
          <w:p>
            <w:pPr>
              <w:widowControl/>
              <w:spacing w:line="300" w:lineRule="exact"/>
              <w:jc w:val="center"/>
              <w:rPr>
                <w:bCs/>
                <w:kern w:val="0"/>
                <w:szCs w:val="21"/>
              </w:rPr>
            </w:pPr>
            <w:r>
              <w:rPr>
                <w:rFonts w:hint="eastAsia" w:hAnsi="宋体"/>
                <w:szCs w:val="21"/>
              </w:rPr>
              <w:t>收集池</w:t>
            </w:r>
          </w:p>
        </w:tc>
        <w:tc>
          <w:tcPr>
            <w:tcW w:w="4740" w:type="dxa"/>
            <w:noWrap w:val="0"/>
            <w:vAlign w:val="center"/>
          </w:tcPr>
          <w:p>
            <w:pPr>
              <w:adjustRightInd w:val="0"/>
              <w:snapToGrid w:val="0"/>
              <w:jc w:val="center"/>
              <w:rPr>
                <w:bCs/>
                <w:szCs w:val="21"/>
              </w:rPr>
            </w:pPr>
            <w:r>
              <w:rPr>
                <w:rFonts w:hAnsi="宋体"/>
                <w:szCs w:val="21"/>
              </w:rPr>
              <w:t>地面在清场夯压的基础上混凝土防渗</w:t>
            </w:r>
          </w:p>
        </w:tc>
        <w:tc>
          <w:tcPr>
            <w:tcW w:w="1288" w:type="dxa"/>
            <w:vMerge w:val="continue"/>
            <w:noWrap w:val="0"/>
            <w:vAlign w:val="center"/>
          </w:tcPr>
          <w:p>
            <w:pPr>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continue"/>
            <w:noWrap w:val="0"/>
            <w:vAlign w:val="center"/>
          </w:tcPr>
          <w:p>
            <w:pPr>
              <w:jc w:val="center"/>
              <w:rPr>
                <w:bCs/>
                <w:szCs w:val="21"/>
              </w:rPr>
            </w:pPr>
          </w:p>
        </w:tc>
        <w:tc>
          <w:tcPr>
            <w:tcW w:w="1260" w:type="dxa"/>
            <w:tcBorders>
              <w:right w:val="single" w:color="auto" w:sz="4" w:space="0"/>
            </w:tcBorders>
            <w:noWrap w:val="0"/>
            <w:vAlign w:val="center"/>
          </w:tcPr>
          <w:p>
            <w:pPr>
              <w:widowControl/>
              <w:spacing w:line="300" w:lineRule="exact"/>
              <w:jc w:val="center"/>
              <w:rPr>
                <w:bCs/>
                <w:kern w:val="0"/>
                <w:szCs w:val="21"/>
              </w:rPr>
            </w:pPr>
            <w:r>
              <w:rPr>
                <w:bCs/>
                <w:kern w:val="0"/>
                <w:szCs w:val="21"/>
              </w:rPr>
              <w:t>养殖区</w:t>
            </w:r>
          </w:p>
        </w:tc>
        <w:tc>
          <w:tcPr>
            <w:tcW w:w="959" w:type="dxa"/>
            <w:tcBorders>
              <w:left w:val="single" w:color="auto" w:sz="4" w:space="0"/>
            </w:tcBorders>
            <w:noWrap w:val="0"/>
            <w:vAlign w:val="center"/>
          </w:tcPr>
          <w:p>
            <w:pPr>
              <w:autoSpaceDE w:val="0"/>
              <w:autoSpaceDN w:val="0"/>
              <w:adjustRightInd w:val="0"/>
              <w:snapToGrid w:val="0"/>
              <w:spacing w:line="300" w:lineRule="exact"/>
              <w:jc w:val="center"/>
              <w:rPr>
                <w:bCs/>
                <w:kern w:val="0"/>
                <w:szCs w:val="21"/>
              </w:rPr>
            </w:pPr>
            <w:r>
              <w:rPr>
                <w:rFonts w:hAnsi="宋体"/>
                <w:szCs w:val="21"/>
              </w:rPr>
              <w:t>场区、排污沟</w:t>
            </w:r>
            <w:r>
              <w:rPr>
                <w:rFonts w:hint="eastAsia" w:hAnsi="宋体"/>
                <w:szCs w:val="21"/>
              </w:rPr>
              <w:t>、</w:t>
            </w:r>
          </w:p>
        </w:tc>
        <w:tc>
          <w:tcPr>
            <w:tcW w:w="4740" w:type="dxa"/>
            <w:noWrap w:val="0"/>
            <w:vAlign w:val="center"/>
          </w:tcPr>
          <w:p>
            <w:pPr>
              <w:autoSpaceDE w:val="0"/>
              <w:autoSpaceDN w:val="0"/>
              <w:adjustRightInd w:val="0"/>
              <w:snapToGrid w:val="0"/>
              <w:spacing w:line="300" w:lineRule="exact"/>
              <w:jc w:val="center"/>
              <w:rPr>
                <w:bCs/>
                <w:kern w:val="0"/>
                <w:szCs w:val="21"/>
              </w:rPr>
            </w:pPr>
            <w:r>
              <w:rPr>
                <w:rFonts w:hAnsi="宋体"/>
                <w:szCs w:val="21"/>
              </w:rPr>
              <w:t>猪舍底部在清场夯压的基础上混凝土防渗，采取暗沟形式，具备防止淤集以利于定期清理的条件</w:t>
            </w:r>
          </w:p>
        </w:tc>
        <w:tc>
          <w:tcPr>
            <w:tcW w:w="1288" w:type="dxa"/>
            <w:noWrap w:val="0"/>
            <w:vAlign w:val="center"/>
          </w:tcPr>
          <w:p>
            <w:pPr>
              <w:jc w:val="center"/>
              <w:rPr>
                <w:bCs/>
                <w:szCs w:val="21"/>
              </w:rPr>
            </w:pPr>
            <w:r>
              <w:rPr>
                <w:rFonts w:hint="eastAsia"/>
                <w:bCs/>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99" w:type="dxa"/>
            <w:vMerge w:val="continue"/>
            <w:noWrap w:val="0"/>
            <w:vAlign w:val="center"/>
          </w:tcPr>
          <w:p>
            <w:pPr>
              <w:jc w:val="center"/>
              <w:rPr>
                <w:bCs/>
                <w:szCs w:val="21"/>
              </w:rPr>
            </w:pPr>
          </w:p>
        </w:tc>
        <w:tc>
          <w:tcPr>
            <w:tcW w:w="1260" w:type="dxa"/>
            <w:tcBorders>
              <w:right w:val="single" w:color="auto" w:sz="4" w:space="0"/>
            </w:tcBorders>
            <w:noWrap w:val="0"/>
            <w:vAlign w:val="center"/>
          </w:tcPr>
          <w:p>
            <w:pPr>
              <w:widowControl/>
              <w:spacing w:line="300" w:lineRule="exact"/>
              <w:jc w:val="center"/>
              <w:rPr>
                <w:bCs/>
                <w:kern w:val="0"/>
                <w:szCs w:val="21"/>
              </w:rPr>
            </w:pPr>
            <w:r>
              <w:rPr>
                <w:bCs/>
                <w:kern w:val="0"/>
                <w:szCs w:val="21"/>
              </w:rPr>
              <w:t>沼液消纳区</w:t>
            </w:r>
          </w:p>
        </w:tc>
        <w:tc>
          <w:tcPr>
            <w:tcW w:w="959" w:type="dxa"/>
            <w:tcBorders>
              <w:left w:val="single" w:color="auto" w:sz="4" w:space="0"/>
            </w:tcBorders>
            <w:noWrap w:val="0"/>
            <w:vAlign w:val="center"/>
          </w:tcPr>
          <w:p>
            <w:pPr>
              <w:autoSpaceDE w:val="0"/>
              <w:autoSpaceDN w:val="0"/>
              <w:adjustRightInd w:val="0"/>
              <w:snapToGrid w:val="0"/>
              <w:spacing w:line="300" w:lineRule="exact"/>
              <w:jc w:val="center"/>
              <w:rPr>
                <w:bCs/>
                <w:kern w:val="0"/>
                <w:szCs w:val="21"/>
              </w:rPr>
            </w:pPr>
            <w:r>
              <w:rPr>
                <w:bCs/>
                <w:kern w:val="0"/>
                <w:szCs w:val="21"/>
              </w:rPr>
              <w:t>沼液输送管网</w:t>
            </w:r>
          </w:p>
        </w:tc>
        <w:tc>
          <w:tcPr>
            <w:tcW w:w="4740" w:type="dxa"/>
            <w:noWrap w:val="0"/>
            <w:vAlign w:val="center"/>
          </w:tcPr>
          <w:p>
            <w:pPr>
              <w:autoSpaceDE w:val="0"/>
              <w:autoSpaceDN w:val="0"/>
              <w:adjustRightInd w:val="0"/>
              <w:snapToGrid w:val="0"/>
              <w:spacing w:line="300" w:lineRule="exact"/>
              <w:jc w:val="center"/>
              <w:rPr>
                <w:bCs/>
                <w:szCs w:val="21"/>
              </w:rPr>
            </w:pPr>
            <w:r>
              <w:rPr>
                <w:bCs/>
                <w:szCs w:val="21"/>
              </w:rPr>
              <w:t>沼液输送管道与管件必须具有防腐性与防渗性</w:t>
            </w:r>
          </w:p>
        </w:tc>
        <w:tc>
          <w:tcPr>
            <w:tcW w:w="1288" w:type="dxa"/>
            <w:noWrap w:val="0"/>
            <w:vAlign w:val="center"/>
          </w:tcPr>
          <w:p>
            <w:pPr>
              <w:jc w:val="center"/>
              <w:rPr>
                <w:bCs/>
                <w:szCs w:val="21"/>
              </w:rPr>
            </w:pPr>
            <w:r>
              <w:rPr>
                <w:rFonts w:hint="eastAsia"/>
                <w:bCs/>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18" w:type="dxa"/>
            <w:gridSpan w:val="3"/>
            <w:noWrap w:val="0"/>
            <w:vAlign w:val="center"/>
          </w:tcPr>
          <w:p>
            <w:pPr>
              <w:widowControl/>
              <w:jc w:val="center"/>
              <w:rPr>
                <w:bCs/>
                <w:kern w:val="0"/>
                <w:szCs w:val="21"/>
              </w:rPr>
            </w:pPr>
            <w:r>
              <w:rPr>
                <w:bCs/>
                <w:kern w:val="0"/>
                <w:szCs w:val="21"/>
              </w:rPr>
              <w:t>卫生事故</w:t>
            </w:r>
          </w:p>
        </w:tc>
        <w:tc>
          <w:tcPr>
            <w:tcW w:w="4740" w:type="dxa"/>
            <w:noWrap w:val="0"/>
            <w:vAlign w:val="center"/>
          </w:tcPr>
          <w:p>
            <w:pPr>
              <w:autoSpaceDE w:val="0"/>
              <w:autoSpaceDN w:val="0"/>
              <w:adjustRightInd w:val="0"/>
              <w:snapToGrid w:val="0"/>
              <w:jc w:val="center"/>
              <w:rPr>
                <w:bCs/>
                <w:kern w:val="0"/>
                <w:szCs w:val="21"/>
              </w:rPr>
            </w:pPr>
            <w:r>
              <w:rPr>
                <w:bCs/>
                <w:kern w:val="0"/>
                <w:szCs w:val="21"/>
              </w:rPr>
              <w:t>加强场区内卫生防疫工作</w:t>
            </w:r>
          </w:p>
        </w:tc>
        <w:tc>
          <w:tcPr>
            <w:tcW w:w="1288" w:type="dxa"/>
            <w:vMerge w:val="restart"/>
            <w:noWrap w:val="0"/>
            <w:vAlign w:val="center"/>
          </w:tcPr>
          <w:p>
            <w:pPr>
              <w:jc w:val="center"/>
              <w:rPr>
                <w:bCs/>
                <w:szCs w:val="21"/>
              </w:rPr>
            </w:pPr>
            <w:r>
              <w:rPr>
                <w:bCs/>
                <w:szCs w:val="21"/>
              </w:rPr>
              <w: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18" w:type="dxa"/>
            <w:gridSpan w:val="3"/>
            <w:noWrap w:val="0"/>
            <w:vAlign w:val="center"/>
          </w:tcPr>
          <w:p>
            <w:pPr>
              <w:widowControl/>
              <w:jc w:val="center"/>
              <w:rPr>
                <w:bCs/>
                <w:kern w:val="0"/>
                <w:szCs w:val="21"/>
              </w:rPr>
            </w:pPr>
            <w:r>
              <w:rPr>
                <w:bCs/>
                <w:kern w:val="0"/>
                <w:szCs w:val="21"/>
              </w:rPr>
              <w:t>环境管理</w:t>
            </w:r>
          </w:p>
        </w:tc>
        <w:tc>
          <w:tcPr>
            <w:tcW w:w="4740" w:type="dxa"/>
            <w:noWrap w:val="0"/>
            <w:vAlign w:val="center"/>
          </w:tcPr>
          <w:p>
            <w:pPr>
              <w:autoSpaceDE w:val="0"/>
              <w:autoSpaceDN w:val="0"/>
              <w:adjustRightInd w:val="0"/>
              <w:snapToGrid w:val="0"/>
              <w:jc w:val="center"/>
              <w:rPr>
                <w:bCs/>
                <w:kern w:val="0"/>
                <w:szCs w:val="21"/>
              </w:rPr>
            </w:pPr>
            <w:r>
              <w:rPr>
                <w:bCs/>
                <w:kern w:val="0"/>
                <w:szCs w:val="21"/>
              </w:rPr>
              <w:t>制定环境管理体系，加强环境管理</w:t>
            </w:r>
          </w:p>
        </w:tc>
        <w:tc>
          <w:tcPr>
            <w:tcW w:w="1288" w:type="dxa"/>
            <w:vMerge w:val="continue"/>
            <w:noWrap w:val="0"/>
            <w:vAlign w:val="center"/>
          </w:tcPr>
          <w:p>
            <w:pPr>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918" w:type="dxa"/>
            <w:gridSpan w:val="3"/>
            <w:noWrap w:val="0"/>
            <w:vAlign w:val="center"/>
          </w:tcPr>
          <w:p>
            <w:pPr>
              <w:widowControl/>
              <w:jc w:val="center"/>
              <w:rPr>
                <w:bCs/>
                <w:kern w:val="0"/>
                <w:szCs w:val="21"/>
              </w:rPr>
            </w:pPr>
            <w:r>
              <w:rPr>
                <w:bCs/>
                <w:kern w:val="0"/>
                <w:szCs w:val="21"/>
              </w:rPr>
              <w:t>环境监测</w:t>
            </w:r>
          </w:p>
        </w:tc>
        <w:tc>
          <w:tcPr>
            <w:tcW w:w="4740" w:type="dxa"/>
            <w:noWrap w:val="0"/>
            <w:vAlign w:val="center"/>
          </w:tcPr>
          <w:p>
            <w:pPr>
              <w:autoSpaceDE w:val="0"/>
              <w:autoSpaceDN w:val="0"/>
              <w:adjustRightInd w:val="0"/>
              <w:snapToGrid w:val="0"/>
              <w:jc w:val="center"/>
              <w:rPr>
                <w:bCs/>
                <w:kern w:val="0"/>
                <w:szCs w:val="21"/>
              </w:rPr>
            </w:pPr>
            <w:r>
              <w:rPr>
                <w:bCs/>
                <w:kern w:val="0"/>
                <w:szCs w:val="21"/>
              </w:rPr>
              <w:t>制定环境监测计划，定期监测</w:t>
            </w:r>
          </w:p>
        </w:tc>
        <w:tc>
          <w:tcPr>
            <w:tcW w:w="1288" w:type="dxa"/>
            <w:vMerge w:val="continue"/>
            <w:noWrap w:val="0"/>
            <w:vAlign w:val="center"/>
          </w:tcPr>
          <w:p>
            <w:pPr>
              <w:jc w:val="center"/>
              <w:rPr>
                <w:bCs/>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658" w:type="dxa"/>
            <w:gridSpan w:val="4"/>
            <w:noWrap w:val="0"/>
            <w:vAlign w:val="center"/>
          </w:tcPr>
          <w:p>
            <w:pPr>
              <w:autoSpaceDE w:val="0"/>
              <w:autoSpaceDN w:val="0"/>
              <w:adjustRightInd w:val="0"/>
              <w:snapToGrid w:val="0"/>
              <w:jc w:val="center"/>
              <w:rPr>
                <w:bCs/>
                <w:kern w:val="0"/>
                <w:szCs w:val="21"/>
              </w:rPr>
            </w:pPr>
            <w:r>
              <w:rPr>
                <w:bCs/>
                <w:kern w:val="0"/>
                <w:szCs w:val="21"/>
              </w:rPr>
              <w:t>合  计</w:t>
            </w:r>
          </w:p>
        </w:tc>
        <w:tc>
          <w:tcPr>
            <w:tcW w:w="1288" w:type="dxa"/>
            <w:noWrap w:val="0"/>
            <w:vAlign w:val="center"/>
          </w:tcPr>
          <w:p>
            <w:pPr>
              <w:jc w:val="center"/>
              <w:rPr>
                <w:rFonts w:hint="eastAsia" w:eastAsia="宋体"/>
                <w:bCs/>
                <w:szCs w:val="21"/>
                <w:lang w:eastAsia="zh-CN"/>
              </w:rPr>
            </w:pPr>
            <w:r>
              <w:rPr>
                <w:rFonts w:hint="eastAsia"/>
                <w:bCs/>
                <w:szCs w:val="21"/>
                <w:lang w:eastAsia="zh-CN"/>
              </w:rPr>
              <w:t>251.5</w:t>
            </w:r>
          </w:p>
        </w:tc>
      </w:tr>
    </w:tbl>
    <w:p>
      <w:pPr>
        <w:sectPr>
          <w:headerReference r:id="rId17" w:type="default"/>
          <w:footerReference r:id="rId18" w:type="default"/>
          <w:pgSz w:w="11906" w:h="16838"/>
          <w:pgMar w:top="1588" w:right="1588" w:bottom="1588" w:left="1588" w:header="851" w:footer="992" w:gutter="0"/>
          <w:pgNumType w:fmt="numberInDash" w:start="182"/>
          <w:cols w:space="720" w:num="1"/>
          <w:docGrid w:type="linesAndChars" w:linePitch="312" w:charSpace="0"/>
        </w:sectPr>
      </w:pPr>
      <w:bookmarkStart w:id="448" w:name="_Toc290643183"/>
      <w:bookmarkEnd w:id="448"/>
      <w:bookmarkStart w:id="449" w:name="_Toc275449703"/>
      <w:bookmarkEnd w:id="449"/>
      <w:bookmarkStart w:id="450" w:name="_Toc290643403"/>
      <w:bookmarkEnd w:id="450"/>
      <w:bookmarkStart w:id="451" w:name="_Toc290637316"/>
      <w:bookmarkEnd w:id="451"/>
      <w:bookmarkStart w:id="452" w:name="_Toc299654972"/>
      <w:bookmarkEnd w:id="452"/>
      <w:bookmarkStart w:id="453" w:name="_Toc278310264"/>
      <w:bookmarkEnd w:id="453"/>
      <w:bookmarkStart w:id="454" w:name="_Toc286745534"/>
      <w:bookmarkEnd w:id="454"/>
      <w:bookmarkStart w:id="455" w:name="_Toc336354265"/>
      <w:bookmarkEnd w:id="455"/>
      <w:bookmarkStart w:id="456" w:name="_Toc275796961"/>
      <w:bookmarkEnd w:id="456"/>
      <w:bookmarkStart w:id="457" w:name="_Toc290637536"/>
      <w:bookmarkEnd w:id="457"/>
      <w:bookmarkStart w:id="458" w:name="_Toc290636876"/>
      <w:bookmarkEnd w:id="458"/>
      <w:bookmarkStart w:id="459" w:name="_Toc275796798"/>
      <w:bookmarkEnd w:id="459"/>
      <w:bookmarkStart w:id="460" w:name="_Toc290642963"/>
      <w:bookmarkEnd w:id="460"/>
      <w:bookmarkStart w:id="461" w:name="_Toc413830279"/>
      <w:bookmarkEnd w:id="461"/>
      <w:bookmarkStart w:id="462" w:name="_Toc342480464"/>
      <w:bookmarkEnd w:id="462"/>
      <w:bookmarkStart w:id="463" w:name="_Toc339445797"/>
      <w:bookmarkEnd w:id="463"/>
      <w:bookmarkStart w:id="464" w:name="_Toc275449072"/>
      <w:bookmarkEnd w:id="464"/>
      <w:bookmarkStart w:id="465" w:name="_Toc472009607"/>
    </w:p>
    <w:p>
      <w:pPr>
        <w:keepNext/>
        <w:keepLines/>
        <w:spacing w:before="100" w:beforeAutospacing="1" w:after="100" w:afterAutospacing="1"/>
        <w:jc w:val="center"/>
        <w:outlineLvl w:val="0"/>
        <w:rPr>
          <w:b/>
          <w:sz w:val="44"/>
          <w:szCs w:val="44"/>
        </w:rPr>
      </w:pPr>
      <w:bookmarkStart w:id="466" w:name="_Toc30179"/>
      <w:r>
        <w:rPr>
          <w:b/>
          <w:kern w:val="0"/>
          <w:sz w:val="44"/>
          <w:szCs w:val="44"/>
          <w:lang w:bidi="ar"/>
        </w:rPr>
        <w:t>第</w:t>
      </w:r>
      <w:bookmarkEnd w:id="465"/>
      <w:r>
        <w:rPr>
          <w:b/>
          <w:kern w:val="0"/>
          <w:sz w:val="44"/>
          <w:szCs w:val="44"/>
          <w:lang w:bidi="ar"/>
        </w:rPr>
        <w:t>六章  环境影响经济损益分析</w:t>
      </w:r>
      <w:bookmarkEnd w:id="466"/>
    </w:p>
    <w:p>
      <w:pPr>
        <w:keepNext/>
        <w:keepLines/>
        <w:spacing w:before="120" w:after="120" w:line="520" w:lineRule="exact"/>
        <w:outlineLvl w:val="1"/>
        <w:rPr>
          <w:rFonts w:eastAsia="黑体"/>
          <w:sz w:val="28"/>
          <w:szCs w:val="28"/>
        </w:rPr>
      </w:pPr>
      <w:bookmarkStart w:id="467" w:name="_Toc101880300"/>
      <w:bookmarkEnd w:id="467"/>
      <w:bookmarkStart w:id="468" w:name="_Toc27191578"/>
      <w:bookmarkEnd w:id="468"/>
      <w:bookmarkStart w:id="469" w:name="_Toc77739644"/>
      <w:bookmarkEnd w:id="469"/>
      <w:bookmarkStart w:id="470" w:name="_Toc357346908"/>
      <w:bookmarkEnd w:id="470"/>
      <w:bookmarkStart w:id="471" w:name="_Toc76705206"/>
      <w:bookmarkEnd w:id="471"/>
      <w:bookmarkStart w:id="472" w:name="_Toc93657330"/>
      <w:bookmarkEnd w:id="472"/>
      <w:bookmarkStart w:id="473" w:name="_Toc122750854"/>
      <w:bookmarkEnd w:id="473"/>
      <w:bookmarkStart w:id="474" w:name="_Toc48278061"/>
      <w:bookmarkEnd w:id="474"/>
      <w:bookmarkStart w:id="475" w:name="_Toc339445706"/>
      <w:bookmarkEnd w:id="475"/>
      <w:bookmarkStart w:id="476" w:name="_Toc27189496"/>
      <w:bookmarkEnd w:id="476"/>
      <w:bookmarkStart w:id="477" w:name="_Toc125015347"/>
      <w:bookmarkEnd w:id="477"/>
      <w:bookmarkStart w:id="478" w:name="_Toc43464024"/>
      <w:bookmarkEnd w:id="478"/>
      <w:bookmarkStart w:id="479" w:name="_Toc122787833"/>
      <w:bookmarkEnd w:id="479"/>
      <w:bookmarkStart w:id="480" w:name="_Toc286308080"/>
      <w:bookmarkEnd w:id="480"/>
      <w:bookmarkStart w:id="481" w:name="_Toc92381258"/>
      <w:bookmarkEnd w:id="481"/>
      <w:bookmarkStart w:id="482" w:name="_Toc122749972"/>
      <w:bookmarkEnd w:id="482"/>
      <w:bookmarkStart w:id="483" w:name="_Toc94263448"/>
      <w:bookmarkEnd w:id="483"/>
      <w:bookmarkStart w:id="484" w:name="_Toc336354262"/>
      <w:bookmarkEnd w:id="484"/>
      <w:bookmarkStart w:id="485" w:name="_Toc49057713"/>
      <w:bookmarkEnd w:id="485"/>
      <w:bookmarkStart w:id="486" w:name="_Toc413830280"/>
      <w:bookmarkEnd w:id="486"/>
      <w:bookmarkStart w:id="487" w:name="_Toc357346914"/>
      <w:bookmarkEnd w:id="487"/>
      <w:bookmarkStart w:id="488" w:name="_Toc122191335"/>
      <w:bookmarkEnd w:id="488"/>
      <w:bookmarkStart w:id="489" w:name="_Toc106071663"/>
      <w:bookmarkEnd w:id="489"/>
      <w:bookmarkStart w:id="490" w:name="_Toc21670093"/>
      <w:bookmarkEnd w:id="490"/>
      <w:bookmarkStart w:id="491" w:name="_Toc358127982"/>
      <w:bookmarkEnd w:id="491"/>
      <w:bookmarkStart w:id="492" w:name="_Toc342480455"/>
      <w:bookmarkEnd w:id="492"/>
      <w:bookmarkStart w:id="493" w:name="_Toc354950807"/>
      <w:bookmarkEnd w:id="493"/>
      <w:bookmarkStart w:id="494" w:name="_Toc48277600"/>
      <w:bookmarkEnd w:id="494"/>
      <w:bookmarkStart w:id="495" w:name="_Toc330246671"/>
      <w:bookmarkEnd w:id="495"/>
      <w:bookmarkStart w:id="496" w:name="_Toc339445712"/>
      <w:bookmarkEnd w:id="496"/>
      <w:bookmarkStart w:id="497" w:name="_Toc225245045"/>
      <w:bookmarkEnd w:id="497"/>
      <w:bookmarkStart w:id="498" w:name="_Toc92618346"/>
      <w:bookmarkEnd w:id="498"/>
      <w:bookmarkStart w:id="499" w:name="_Toc46502691"/>
      <w:bookmarkEnd w:id="499"/>
      <w:bookmarkStart w:id="500" w:name="_Toc44724954"/>
      <w:bookmarkEnd w:id="500"/>
      <w:bookmarkStart w:id="501" w:name="_Toc354950813"/>
      <w:bookmarkEnd w:id="501"/>
      <w:bookmarkStart w:id="502" w:name="_Toc472009608"/>
      <w:bookmarkEnd w:id="502"/>
      <w:bookmarkStart w:id="503" w:name="_Toc106029927"/>
      <w:bookmarkEnd w:id="503"/>
      <w:bookmarkStart w:id="504" w:name="_Toc44693758"/>
      <w:bookmarkEnd w:id="504"/>
      <w:bookmarkStart w:id="505" w:name="_Toc336354256"/>
      <w:bookmarkEnd w:id="505"/>
      <w:bookmarkStart w:id="506" w:name="_Toc49677404"/>
      <w:bookmarkEnd w:id="506"/>
      <w:bookmarkStart w:id="507" w:name="_Toc44694472"/>
      <w:bookmarkEnd w:id="507"/>
      <w:bookmarkStart w:id="508" w:name="_Toc108514211"/>
      <w:bookmarkEnd w:id="508"/>
      <w:bookmarkStart w:id="509" w:name="_Toc288764370"/>
      <w:bookmarkEnd w:id="509"/>
      <w:bookmarkStart w:id="510" w:name="_Toc122275076"/>
      <w:bookmarkEnd w:id="510"/>
      <w:bookmarkStart w:id="511" w:name="_Toc286307801"/>
      <w:bookmarkEnd w:id="511"/>
      <w:bookmarkStart w:id="512" w:name="_Toc27189186"/>
      <w:bookmarkEnd w:id="512"/>
      <w:bookmarkStart w:id="513" w:name="_Toc94261285"/>
      <w:bookmarkEnd w:id="513"/>
      <w:bookmarkStart w:id="514" w:name="_Toc121498584"/>
      <w:bookmarkEnd w:id="514"/>
      <w:bookmarkStart w:id="515" w:name="_Toc42264705"/>
      <w:bookmarkEnd w:id="515"/>
      <w:bookmarkStart w:id="516" w:name="_Toc342480449"/>
      <w:bookmarkEnd w:id="516"/>
      <w:bookmarkStart w:id="517" w:name="_Toc27188690"/>
      <w:bookmarkEnd w:id="517"/>
      <w:bookmarkStart w:id="518" w:name="_Toc121842889"/>
      <w:bookmarkEnd w:id="518"/>
      <w:bookmarkStart w:id="519" w:name="_Toc133988257"/>
      <w:bookmarkEnd w:id="519"/>
      <w:bookmarkStart w:id="520" w:name="_Toc358127983"/>
      <w:bookmarkStart w:id="521" w:name="_Toc11900"/>
      <w:r>
        <w:rPr>
          <w:rFonts w:eastAsia="黑体"/>
          <w:kern w:val="0"/>
          <w:sz w:val="28"/>
          <w:szCs w:val="28"/>
          <w:lang w:bidi="ar"/>
        </w:rPr>
        <w:t>6</w:t>
      </w:r>
      <w:bookmarkEnd w:id="520"/>
      <w:r>
        <w:rPr>
          <w:rFonts w:eastAsia="黑体"/>
          <w:kern w:val="0"/>
          <w:sz w:val="28"/>
          <w:szCs w:val="28"/>
          <w:lang w:bidi="ar"/>
        </w:rPr>
        <w:t>.1 环保投资估算</w:t>
      </w:r>
      <w:bookmarkEnd w:id="521"/>
    </w:p>
    <w:p>
      <w:pPr>
        <w:adjustRightInd w:val="0"/>
        <w:snapToGrid w:val="0"/>
        <w:spacing w:line="500" w:lineRule="exact"/>
        <w:ind w:firstLine="480" w:firstLineChars="200"/>
        <w:rPr>
          <w:sz w:val="24"/>
        </w:rPr>
      </w:pPr>
      <w:r>
        <w:rPr>
          <w:kern w:val="0"/>
          <w:sz w:val="24"/>
          <w:lang w:bidi="ar"/>
        </w:rPr>
        <w:t>工程环保投资包括运行期的污染防治措施的总投资，预计该项费用总投资为</w:t>
      </w:r>
      <w:r>
        <w:rPr>
          <w:rFonts w:hint="eastAsia"/>
          <w:kern w:val="0"/>
          <w:sz w:val="24"/>
          <w:lang w:eastAsia="zh-CN" w:bidi="ar"/>
        </w:rPr>
        <w:t>251.5</w:t>
      </w:r>
      <w:r>
        <w:rPr>
          <w:kern w:val="0"/>
          <w:sz w:val="24"/>
          <w:lang w:bidi="ar"/>
        </w:rPr>
        <w:t>万元，占总投资的比例为25.65%。</w:t>
      </w:r>
    </w:p>
    <w:p>
      <w:pPr>
        <w:keepNext/>
        <w:keepLines/>
        <w:spacing w:before="120" w:after="120" w:line="520" w:lineRule="exact"/>
        <w:outlineLvl w:val="1"/>
        <w:rPr>
          <w:rFonts w:eastAsia="黑体"/>
          <w:kern w:val="0"/>
          <w:sz w:val="28"/>
          <w:szCs w:val="28"/>
          <w:lang w:bidi="ar"/>
        </w:rPr>
      </w:pPr>
      <w:bookmarkStart w:id="522" w:name="_Toc413830281"/>
      <w:bookmarkEnd w:id="522"/>
      <w:bookmarkStart w:id="523" w:name="_Toc472009609"/>
      <w:bookmarkStart w:id="524" w:name="_Toc7320"/>
      <w:r>
        <w:rPr>
          <w:rFonts w:eastAsia="黑体"/>
          <w:kern w:val="0"/>
          <w:sz w:val="28"/>
          <w:szCs w:val="28"/>
          <w:lang w:bidi="ar"/>
        </w:rPr>
        <w:t>6</w:t>
      </w:r>
      <w:bookmarkEnd w:id="523"/>
      <w:r>
        <w:rPr>
          <w:rFonts w:eastAsia="黑体"/>
          <w:kern w:val="0"/>
          <w:sz w:val="28"/>
          <w:szCs w:val="28"/>
          <w:lang w:bidi="ar"/>
        </w:rPr>
        <w:t>.2 环境影响经济损益分析</w:t>
      </w:r>
      <w:bookmarkEnd w:id="524"/>
    </w:p>
    <w:p>
      <w:pPr>
        <w:pStyle w:val="2"/>
        <w:spacing w:before="0" w:after="0" w:line="520" w:lineRule="exact"/>
        <w:rPr>
          <w:rFonts w:eastAsia="黑体"/>
          <w:b w:val="0"/>
          <w:sz w:val="24"/>
          <w:szCs w:val="24"/>
        </w:rPr>
      </w:pPr>
      <w:r>
        <w:rPr>
          <w:rFonts w:eastAsia="黑体"/>
          <w:b w:val="0"/>
          <w:sz w:val="24"/>
          <w:szCs w:val="24"/>
        </w:rPr>
        <w:t>6.2.1 噪声影响经济损失</w:t>
      </w:r>
    </w:p>
    <w:p>
      <w:pPr>
        <w:adjustRightInd w:val="0"/>
        <w:snapToGrid w:val="0"/>
        <w:spacing w:line="500" w:lineRule="exact"/>
        <w:ind w:firstLine="480" w:firstLineChars="200"/>
        <w:rPr>
          <w:sz w:val="24"/>
        </w:rPr>
      </w:pPr>
      <w:r>
        <w:rPr>
          <w:kern w:val="0"/>
          <w:sz w:val="24"/>
          <w:lang w:bidi="ar"/>
        </w:rPr>
        <w:t>有关噪声影响的人群调查以及流行病学研究发现，在我国，生活在70dB（A）以上环境中居民的人均医疗费用比70dB（A）以下的同类地方高；噪声级在70dB（A）以上环境的居民有66.7% 睡眠受到干扰，而睡眠受到干扰的职工会表现出生产效率有所下降。根据前面的噪声预测结果，在采取降噪措施前，本项目昼夜间噪声值均未达到70dB（A），因此本项目的建设不会引起噪声影响经济损失。</w:t>
      </w:r>
    </w:p>
    <w:p>
      <w:pPr>
        <w:pStyle w:val="2"/>
        <w:spacing w:before="0" w:after="0" w:line="520" w:lineRule="exact"/>
        <w:rPr>
          <w:rFonts w:eastAsia="黑体"/>
          <w:b w:val="0"/>
          <w:sz w:val="24"/>
          <w:szCs w:val="24"/>
        </w:rPr>
      </w:pPr>
      <w:r>
        <w:rPr>
          <w:rFonts w:eastAsia="黑体"/>
          <w:b w:val="0"/>
          <w:sz w:val="24"/>
          <w:szCs w:val="24"/>
        </w:rPr>
        <w:t>6.2.2 环境空气影响经济损失</w:t>
      </w:r>
    </w:p>
    <w:p>
      <w:pPr>
        <w:adjustRightInd w:val="0"/>
        <w:snapToGrid w:val="0"/>
        <w:spacing w:line="500" w:lineRule="exact"/>
        <w:ind w:firstLine="480" w:firstLineChars="200"/>
        <w:rPr>
          <w:sz w:val="24"/>
        </w:rPr>
      </w:pPr>
      <w:r>
        <w:rPr>
          <w:kern w:val="0"/>
          <w:sz w:val="24"/>
          <w:lang w:bidi="ar"/>
        </w:rPr>
        <w:t>营运期项目的环境空气影响主要表现在场区产生的恶臭气体使周围居民的空气环境质量有所下降，有可能对居民健康产生一定的影响。但是目前尚无环境空气影响经济损失的定量计算方法，环境空气影响造成的损失还难以直接用货币衡量，因此，以下将对环境空气影响损失进行定性分析。</w:t>
      </w:r>
    </w:p>
    <w:p>
      <w:pPr>
        <w:spacing w:line="500" w:lineRule="exact"/>
        <w:ind w:firstLine="480" w:firstLineChars="200"/>
        <w:rPr>
          <w:sz w:val="24"/>
        </w:rPr>
      </w:pPr>
      <w:r>
        <w:rPr>
          <w:kern w:val="0"/>
          <w:sz w:val="24"/>
          <w:lang w:bidi="ar"/>
        </w:rPr>
        <w:t>恶臭的成分十分复杂，因家畜的种类、清粪方式、日粮组成、粪便和污水处理等不同而异，有机成分是硫醇类、胺类、吲哚、挥发性有机酸、酚类、醛类、酮类、醇类以及含氮杂环化合物等，无机成分主要是NH</w:t>
      </w:r>
      <w:r>
        <w:rPr>
          <w:kern w:val="0"/>
          <w:sz w:val="24"/>
          <w:vertAlign w:val="subscript"/>
          <w:lang w:bidi="ar"/>
        </w:rPr>
        <w:t>3</w:t>
      </w:r>
      <w:r>
        <w:rPr>
          <w:kern w:val="0"/>
          <w:sz w:val="24"/>
          <w:lang w:bidi="ar"/>
        </w:rPr>
        <w:t>和H</w:t>
      </w:r>
      <w:r>
        <w:rPr>
          <w:kern w:val="0"/>
          <w:sz w:val="24"/>
          <w:vertAlign w:val="subscript"/>
          <w:lang w:bidi="ar"/>
        </w:rPr>
        <w:t>2</w:t>
      </w:r>
      <w:r>
        <w:rPr>
          <w:kern w:val="0"/>
          <w:sz w:val="24"/>
          <w:lang w:bidi="ar"/>
        </w:rPr>
        <w:t>S。</w:t>
      </w:r>
    </w:p>
    <w:p>
      <w:pPr>
        <w:adjustRightInd w:val="0"/>
        <w:snapToGrid w:val="0"/>
        <w:spacing w:line="500" w:lineRule="exact"/>
        <w:ind w:firstLine="480" w:firstLineChars="200"/>
        <w:rPr>
          <w:sz w:val="24"/>
        </w:rPr>
      </w:pPr>
      <w:r>
        <w:rPr>
          <w:kern w:val="0"/>
          <w:sz w:val="24"/>
          <w:lang w:bidi="ar"/>
        </w:rPr>
        <w:t>本项目建设后，猪舍养殖等过程会产生恶臭气体，通过注意场区卫生、及时冲洗、添加除臭剂等措施可最大限制的减少恶臭气体的排放，另外利用场区内绿化植物及场区外大面积的农田吸收，对周围环境的影响可降至最低，项目营运期间产生的恶臭对周围环境影响不大。</w:t>
      </w:r>
    </w:p>
    <w:p>
      <w:pPr>
        <w:pStyle w:val="2"/>
        <w:spacing w:before="0" w:after="0" w:line="520" w:lineRule="exact"/>
        <w:rPr>
          <w:rFonts w:eastAsia="黑体"/>
          <w:b w:val="0"/>
          <w:sz w:val="24"/>
          <w:szCs w:val="24"/>
        </w:rPr>
      </w:pPr>
      <w:r>
        <w:rPr>
          <w:rFonts w:eastAsia="黑体"/>
          <w:b w:val="0"/>
          <w:sz w:val="24"/>
          <w:szCs w:val="24"/>
        </w:rPr>
        <w:t>6.2.3 水环境影响经济损失</w:t>
      </w:r>
    </w:p>
    <w:p>
      <w:pPr>
        <w:adjustRightInd w:val="0"/>
        <w:snapToGrid w:val="0"/>
        <w:spacing w:line="500" w:lineRule="exact"/>
        <w:ind w:firstLine="480" w:firstLineChars="200"/>
        <w:rPr>
          <w:sz w:val="24"/>
        </w:rPr>
      </w:pPr>
      <w:r>
        <w:rPr>
          <w:kern w:val="0"/>
          <w:sz w:val="24"/>
          <w:lang w:bidi="ar"/>
        </w:rPr>
        <w:t>营运期本项目产生的污水主要是养殖废水和员工生活污水，</w:t>
      </w:r>
      <w:r>
        <w:rPr>
          <w:sz w:val="24"/>
        </w:rPr>
        <w:t>全部通过管道输入</w:t>
      </w:r>
      <w:r>
        <w:rPr>
          <w:rFonts w:hint="eastAsia"/>
          <w:sz w:val="24"/>
        </w:rPr>
        <w:t>黑膜沼气池</w:t>
      </w:r>
      <w:r>
        <w:rPr>
          <w:sz w:val="24"/>
        </w:rPr>
        <w:t>统一处理，</w:t>
      </w:r>
      <w:r>
        <w:rPr>
          <w:kern w:val="0"/>
          <w:sz w:val="24"/>
          <w:lang w:bidi="ar"/>
        </w:rPr>
        <w:t>之后作为农肥施用于周边农田，不外排，因此对环境的影响非常有限。在此，不再估算水污染造成的经济损失。</w:t>
      </w:r>
    </w:p>
    <w:p>
      <w:pPr>
        <w:pStyle w:val="2"/>
        <w:spacing w:before="0" w:after="0" w:line="520" w:lineRule="exact"/>
        <w:rPr>
          <w:rFonts w:eastAsia="黑体"/>
          <w:b w:val="0"/>
          <w:sz w:val="24"/>
          <w:szCs w:val="24"/>
        </w:rPr>
      </w:pPr>
      <w:r>
        <w:rPr>
          <w:rFonts w:eastAsia="黑体"/>
          <w:b w:val="0"/>
          <w:sz w:val="24"/>
          <w:szCs w:val="24"/>
        </w:rPr>
        <w:t>6.2.4 生态环境影响经济损失</w:t>
      </w:r>
    </w:p>
    <w:p>
      <w:pPr>
        <w:adjustRightInd w:val="0"/>
        <w:snapToGrid w:val="0"/>
        <w:spacing w:line="500" w:lineRule="exact"/>
        <w:ind w:firstLine="480" w:firstLineChars="200"/>
        <w:rPr>
          <w:rFonts w:hint="eastAsia"/>
          <w:kern w:val="0"/>
          <w:sz w:val="24"/>
          <w:lang w:bidi="ar"/>
        </w:rPr>
      </w:pPr>
      <w:r>
        <w:rPr>
          <w:kern w:val="0"/>
          <w:sz w:val="24"/>
          <w:lang w:bidi="ar"/>
        </w:rPr>
        <w:t>本项目的建设将破坏现有农田生态系统，铲除场区现有植被，使得现有植被的经济能力消失，但是项目建成后，新的系统会产生更好的经济效益，对原有生态环境的经济损失做出补偿。</w:t>
      </w:r>
      <w:bookmarkStart w:id="525" w:name="_Toc248720392"/>
      <w:bookmarkEnd w:id="525"/>
    </w:p>
    <w:p>
      <w:pPr>
        <w:pStyle w:val="2"/>
        <w:spacing w:before="0" w:after="0" w:line="520" w:lineRule="exact"/>
        <w:rPr>
          <w:rFonts w:eastAsia="黑体"/>
          <w:b w:val="0"/>
          <w:sz w:val="24"/>
          <w:szCs w:val="24"/>
        </w:rPr>
      </w:pPr>
      <w:r>
        <w:rPr>
          <w:rFonts w:eastAsia="黑体"/>
          <w:b w:val="0"/>
          <w:sz w:val="24"/>
          <w:szCs w:val="24"/>
        </w:rPr>
        <w:t xml:space="preserve">6.2.5 </w:t>
      </w:r>
      <w:r>
        <w:rPr>
          <w:rFonts w:hint="eastAsia" w:eastAsia="黑体"/>
          <w:b w:val="0"/>
          <w:sz w:val="24"/>
          <w:szCs w:val="24"/>
        </w:rPr>
        <w:t>环保设备运行费用</w:t>
      </w:r>
    </w:p>
    <w:p>
      <w:pPr>
        <w:adjustRightInd w:val="0"/>
        <w:snapToGrid w:val="0"/>
        <w:spacing w:line="500" w:lineRule="exact"/>
        <w:ind w:firstLine="480" w:firstLineChars="200"/>
        <w:rPr>
          <w:bCs/>
          <w:sz w:val="24"/>
        </w:rPr>
      </w:pPr>
      <w:r>
        <w:rPr>
          <w:bCs/>
          <w:kern w:val="0"/>
          <w:sz w:val="24"/>
          <w:lang w:bidi="ar"/>
        </w:rPr>
        <w:t>环保设施运行费用主要包括：电费，环保人员工资及设备折旧、维护费用。</w:t>
      </w:r>
    </w:p>
    <w:p>
      <w:pPr>
        <w:adjustRightInd w:val="0"/>
        <w:snapToGrid w:val="0"/>
        <w:spacing w:after="93" w:afterLines="30" w:line="500" w:lineRule="exact"/>
        <w:jc w:val="center"/>
        <w:rPr>
          <w:b/>
          <w:kern w:val="0"/>
          <w:sz w:val="24"/>
          <w:lang w:bidi="ar"/>
        </w:rPr>
      </w:pPr>
      <w:r>
        <w:rPr>
          <w:b/>
          <w:kern w:val="0"/>
          <w:sz w:val="24"/>
          <w:lang w:bidi="ar"/>
        </w:rPr>
        <w:t>表6.2-1    本项目环保措施运行费用</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28" w:type="dxa"/>
          <w:left w:w="108" w:type="dxa"/>
          <w:bottom w:w="28" w:type="dxa"/>
          <w:right w:w="108" w:type="dxa"/>
        </w:tblCellMar>
      </w:tblPr>
      <w:tblGrid>
        <w:gridCol w:w="2766"/>
        <w:gridCol w:w="3500"/>
        <w:gridCol w:w="268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2766" w:type="dxa"/>
            <w:noWrap w:val="0"/>
            <w:vAlign w:val="center"/>
          </w:tcPr>
          <w:p>
            <w:pPr>
              <w:spacing w:line="360" w:lineRule="exact"/>
              <w:jc w:val="center"/>
              <w:rPr>
                <w:b/>
                <w:szCs w:val="21"/>
              </w:rPr>
            </w:pPr>
            <w:r>
              <w:rPr>
                <w:b/>
                <w:kern w:val="0"/>
                <w:szCs w:val="21"/>
                <w:lang w:bidi="ar"/>
              </w:rPr>
              <w:t>项目</w:t>
            </w:r>
          </w:p>
        </w:tc>
        <w:tc>
          <w:tcPr>
            <w:tcW w:w="3500" w:type="dxa"/>
            <w:noWrap w:val="0"/>
            <w:vAlign w:val="center"/>
          </w:tcPr>
          <w:p>
            <w:pPr>
              <w:spacing w:line="360" w:lineRule="exact"/>
              <w:jc w:val="center"/>
              <w:rPr>
                <w:b/>
                <w:szCs w:val="21"/>
              </w:rPr>
            </w:pPr>
            <w:r>
              <w:rPr>
                <w:b/>
                <w:kern w:val="0"/>
                <w:szCs w:val="21"/>
                <w:lang w:bidi="ar"/>
              </w:rPr>
              <w:t>费用名称</w:t>
            </w:r>
          </w:p>
        </w:tc>
        <w:tc>
          <w:tcPr>
            <w:tcW w:w="2680" w:type="dxa"/>
            <w:noWrap w:val="0"/>
            <w:vAlign w:val="center"/>
          </w:tcPr>
          <w:p>
            <w:pPr>
              <w:spacing w:line="360" w:lineRule="exact"/>
              <w:jc w:val="center"/>
              <w:rPr>
                <w:b/>
                <w:szCs w:val="21"/>
              </w:rPr>
            </w:pPr>
            <w:r>
              <w:rPr>
                <w:b/>
                <w:kern w:val="0"/>
                <w:szCs w:val="21"/>
                <w:lang w:bidi="ar"/>
              </w:rPr>
              <w:t>费用金额（万元/年）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2766" w:type="dxa"/>
            <w:vMerge w:val="restart"/>
            <w:noWrap w:val="0"/>
            <w:tcMar>
              <w:left w:w="28" w:type="dxa"/>
              <w:right w:w="28" w:type="dxa"/>
            </w:tcMar>
            <w:vAlign w:val="center"/>
          </w:tcPr>
          <w:p>
            <w:pPr>
              <w:spacing w:line="360" w:lineRule="exact"/>
              <w:jc w:val="center"/>
              <w:rPr>
                <w:rFonts w:hint="eastAsia"/>
                <w:bCs/>
                <w:szCs w:val="21"/>
              </w:rPr>
            </w:pPr>
            <w:r>
              <w:rPr>
                <w:bCs/>
                <w:kern w:val="0"/>
                <w:szCs w:val="21"/>
                <w:lang w:bidi="ar"/>
              </w:rPr>
              <w:t>污水输送</w:t>
            </w:r>
            <w:r>
              <w:rPr>
                <w:rFonts w:hint="eastAsia"/>
                <w:bCs/>
                <w:kern w:val="0"/>
                <w:szCs w:val="21"/>
                <w:lang w:bidi="ar"/>
              </w:rPr>
              <w:t>及</w:t>
            </w:r>
            <w:r>
              <w:rPr>
                <w:bCs/>
                <w:kern w:val="0"/>
                <w:szCs w:val="21"/>
                <w:lang w:bidi="ar"/>
              </w:rPr>
              <w:t>处理</w:t>
            </w:r>
          </w:p>
        </w:tc>
        <w:tc>
          <w:tcPr>
            <w:tcW w:w="3500" w:type="dxa"/>
            <w:noWrap w:val="0"/>
            <w:tcMar>
              <w:left w:w="28" w:type="dxa"/>
              <w:right w:w="28" w:type="dxa"/>
            </w:tcMar>
            <w:vAlign w:val="center"/>
          </w:tcPr>
          <w:p>
            <w:pPr>
              <w:spacing w:line="360" w:lineRule="exact"/>
              <w:jc w:val="center"/>
              <w:rPr>
                <w:bCs/>
                <w:szCs w:val="21"/>
              </w:rPr>
            </w:pPr>
            <w:r>
              <w:rPr>
                <w:bCs/>
                <w:kern w:val="0"/>
                <w:szCs w:val="21"/>
                <w:lang w:bidi="ar"/>
              </w:rPr>
              <w:t>电费</w:t>
            </w:r>
          </w:p>
        </w:tc>
        <w:tc>
          <w:tcPr>
            <w:tcW w:w="2680" w:type="dxa"/>
            <w:noWrap w:val="0"/>
            <w:tcMar>
              <w:left w:w="28" w:type="dxa"/>
              <w:right w:w="28" w:type="dxa"/>
            </w:tcMar>
            <w:vAlign w:val="center"/>
          </w:tcPr>
          <w:p>
            <w:pPr>
              <w:jc w:val="center"/>
              <w:rPr>
                <w:bCs/>
                <w:szCs w:val="21"/>
              </w:rPr>
            </w:pPr>
            <w:r>
              <w:rPr>
                <w:szCs w:val="21"/>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2766" w:type="dxa"/>
            <w:vMerge w:val="continue"/>
            <w:noWrap w:val="0"/>
            <w:tcMar>
              <w:left w:w="28" w:type="dxa"/>
              <w:right w:w="28" w:type="dxa"/>
            </w:tcMar>
            <w:vAlign w:val="center"/>
          </w:tcPr>
          <w:p>
            <w:pPr>
              <w:rPr>
                <w:bCs/>
                <w:sz w:val="20"/>
                <w:szCs w:val="20"/>
              </w:rPr>
            </w:pPr>
          </w:p>
        </w:tc>
        <w:tc>
          <w:tcPr>
            <w:tcW w:w="3500" w:type="dxa"/>
            <w:noWrap w:val="0"/>
            <w:tcMar>
              <w:left w:w="28" w:type="dxa"/>
              <w:right w:w="28" w:type="dxa"/>
            </w:tcMar>
            <w:vAlign w:val="center"/>
          </w:tcPr>
          <w:p>
            <w:pPr>
              <w:spacing w:line="360" w:lineRule="exact"/>
              <w:jc w:val="center"/>
              <w:rPr>
                <w:bCs/>
                <w:szCs w:val="21"/>
              </w:rPr>
            </w:pPr>
            <w:r>
              <w:rPr>
                <w:bCs/>
                <w:kern w:val="0"/>
                <w:szCs w:val="21"/>
                <w:lang w:bidi="ar"/>
              </w:rPr>
              <w:t>人工费</w:t>
            </w:r>
          </w:p>
        </w:tc>
        <w:tc>
          <w:tcPr>
            <w:tcW w:w="2680" w:type="dxa"/>
            <w:noWrap w:val="0"/>
            <w:tcMar>
              <w:left w:w="28" w:type="dxa"/>
              <w:right w:w="28" w:type="dxa"/>
            </w:tcMar>
            <w:vAlign w:val="center"/>
          </w:tcPr>
          <w:p>
            <w:pPr>
              <w:jc w:val="center"/>
              <w:rPr>
                <w:bCs/>
                <w:szCs w:val="21"/>
              </w:rPr>
            </w:pPr>
            <w:r>
              <w:rPr>
                <w:szCs w:val="21"/>
              </w:rPr>
              <w:t>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2766" w:type="dxa"/>
            <w:vMerge w:val="continue"/>
            <w:noWrap w:val="0"/>
            <w:tcMar>
              <w:left w:w="28" w:type="dxa"/>
              <w:right w:w="28" w:type="dxa"/>
            </w:tcMar>
            <w:vAlign w:val="center"/>
          </w:tcPr>
          <w:p>
            <w:pPr>
              <w:rPr>
                <w:bCs/>
                <w:sz w:val="20"/>
                <w:szCs w:val="20"/>
              </w:rPr>
            </w:pPr>
          </w:p>
        </w:tc>
        <w:tc>
          <w:tcPr>
            <w:tcW w:w="3500" w:type="dxa"/>
            <w:noWrap w:val="0"/>
            <w:tcMar>
              <w:left w:w="28" w:type="dxa"/>
              <w:right w:w="28" w:type="dxa"/>
            </w:tcMar>
            <w:vAlign w:val="center"/>
          </w:tcPr>
          <w:p>
            <w:pPr>
              <w:spacing w:line="360" w:lineRule="exact"/>
              <w:jc w:val="center"/>
              <w:rPr>
                <w:bCs/>
                <w:szCs w:val="21"/>
              </w:rPr>
            </w:pPr>
            <w:r>
              <w:rPr>
                <w:bCs/>
                <w:kern w:val="0"/>
                <w:szCs w:val="21"/>
                <w:lang w:bidi="ar"/>
              </w:rPr>
              <w:t>设备折旧及维修费用</w:t>
            </w:r>
          </w:p>
        </w:tc>
        <w:tc>
          <w:tcPr>
            <w:tcW w:w="2680" w:type="dxa"/>
            <w:noWrap w:val="0"/>
            <w:tcMar>
              <w:left w:w="28" w:type="dxa"/>
              <w:right w:w="28" w:type="dxa"/>
            </w:tcMar>
            <w:vAlign w:val="center"/>
          </w:tcPr>
          <w:p>
            <w:pPr>
              <w:jc w:val="center"/>
              <w:rPr>
                <w:bCs/>
                <w:szCs w:val="21"/>
              </w:rPr>
            </w:pPr>
            <w:r>
              <w:rPr>
                <w:szCs w:val="21"/>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28" w:type="dxa"/>
            <w:left w:w="108" w:type="dxa"/>
            <w:bottom w:w="28" w:type="dxa"/>
            <w:right w:w="108" w:type="dxa"/>
          </w:tblCellMar>
        </w:tblPrEx>
        <w:trPr>
          <w:trHeight w:val="340" w:hRule="atLeast"/>
          <w:jc w:val="center"/>
        </w:trPr>
        <w:tc>
          <w:tcPr>
            <w:tcW w:w="6266" w:type="dxa"/>
            <w:gridSpan w:val="2"/>
            <w:noWrap w:val="0"/>
            <w:tcMar>
              <w:top w:w="0" w:type="dxa"/>
              <w:bottom w:w="0" w:type="dxa"/>
            </w:tcMar>
            <w:vAlign w:val="center"/>
          </w:tcPr>
          <w:p>
            <w:pPr>
              <w:spacing w:line="360" w:lineRule="exact"/>
              <w:jc w:val="center"/>
              <w:rPr>
                <w:bCs/>
                <w:szCs w:val="21"/>
              </w:rPr>
            </w:pPr>
            <w:r>
              <w:rPr>
                <w:bCs/>
                <w:kern w:val="0"/>
                <w:szCs w:val="21"/>
                <w:lang w:bidi="ar"/>
              </w:rPr>
              <w:t>总  计</w:t>
            </w:r>
          </w:p>
        </w:tc>
        <w:tc>
          <w:tcPr>
            <w:tcW w:w="2680" w:type="dxa"/>
            <w:noWrap w:val="0"/>
            <w:tcMar>
              <w:top w:w="0" w:type="dxa"/>
              <w:bottom w:w="0" w:type="dxa"/>
            </w:tcMar>
            <w:vAlign w:val="center"/>
          </w:tcPr>
          <w:p>
            <w:pPr>
              <w:spacing w:line="360" w:lineRule="exact"/>
              <w:jc w:val="center"/>
              <w:rPr>
                <w:bCs/>
                <w:szCs w:val="21"/>
              </w:rPr>
            </w:pPr>
            <w:r>
              <w:rPr>
                <w:bCs/>
                <w:kern w:val="0"/>
                <w:szCs w:val="21"/>
                <w:lang w:bidi="ar"/>
              </w:rPr>
              <w:t>11</w:t>
            </w:r>
          </w:p>
        </w:tc>
      </w:tr>
    </w:tbl>
    <w:p>
      <w:pPr>
        <w:topLinePunct/>
        <w:spacing w:line="500" w:lineRule="exact"/>
        <w:ind w:firstLine="573"/>
        <w:rPr>
          <w:color w:val="000000"/>
          <w:sz w:val="24"/>
          <w:szCs w:val="28"/>
        </w:rPr>
      </w:pPr>
      <w:r>
        <w:rPr>
          <w:color w:val="000000"/>
          <w:sz w:val="24"/>
          <w:szCs w:val="28"/>
        </w:rPr>
        <w:t>本次完成后，全场年利润总额为</w:t>
      </w:r>
      <w:r>
        <w:rPr>
          <w:rFonts w:hint="eastAsia"/>
          <w:color w:val="000000"/>
          <w:sz w:val="24"/>
          <w:szCs w:val="28"/>
        </w:rPr>
        <w:t>750</w:t>
      </w:r>
      <w:r>
        <w:rPr>
          <w:color w:val="000000"/>
          <w:sz w:val="24"/>
          <w:szCs w:val="28"/>
        </w:rPr>
        <w:t>万元，环保设施运行年费用为1</w:t>
      </w:r>
      <w:r>
        <w:rPr>
          <w:rFonts w:hint="eastAsia"/>
          <w:color w:val="000000"/>
          <w:sz w:val="24"/>
          <w:szCs w:val="28"/>
        </w:rPr>
        <w:t>1</w:t>
      </w:r>
      <w:r>
        <w:rPr>
          <w:color w:val="000000"/>
          <w:sz w:val="24"/>
          <w:szCs w:val="28"/>
        </w:rPr>
        <w:t>万，占年利润总额的1.5%，本项目环保设施运行费用合理。</w:t>
      </w:r>
    </w:p>
    <w:p>
      <w:pPr>
        <w:keepNext/>
        <w:keepLines/>
        <w:spacing w:before="120" w:after="120" w:line="520" w:lineRule="exact"/>
        <w:outlineLvl w:val="1"/>
        <w:rPr>
          <w:rFonts w:eastAsia="黑体"/>
          <w:kern w:val="0"/>
          <w:sz w:val="28"/>
          <w:szCs w:val="28"/>
          <w:lang w:bidi="ar"/>
        </w:rPr>
      </w:pPr>
      <w:bookmarkStart w:id="526" w:name="_Toc413830282"/>
      <w:bookmarkEnd w:id="526"/>
      <w:bookmarkStart w:id="527" w:name="_Toc472009610"/>
      <w:bookmarkStart w:id="528" w:name="_Toc20224"/>
      <w:r>
        <w:rPr>
          <w:rFonts w:eastAsia="黑体"/>
          <w:kern w:val="0"/>
          <w:sz w:val="28"/>
          <w:szCs w:val="28"/>
          <w:lang w:bidi="ar"/>
        </w:rPr>
        <w:t>6</w:t>
      </w:r>
      <w:bookmarkEnd w:id="527"/>
      <w:r>
        <w:rPr>
          <w:rFonts w:eastAsia="黑体"/>
          <w:kern w:val="0"/>
          <w:sz w:val="28"/>
          <w:szCs w:val="28"/>
          <w:lang w:bidi="ar"/>
        </w:rPr>
        <w:t>.3 经济效益分析</w:t>
      </w:r>
      <w:bookmarkEnd w:id="528"/>
    </w:p>
    <w:p>
      <w:pPr>
        <w:adjustRightInd w:val="0"/>
        <w:snapToGrid w:val="0"/>
        <w:spacing w:line="500" w:lineRule="exact"/>
        <w:ind w:firstLine="480" w:firstLineChars="200"/>
        <w:rPr>
          <w:sz w:val="24"/>
        </w:rPr>
      </w:pPr>
      <w:r>
        <w:rPr>
          <w:kern w:val="0"/>
          <w:sz w:val="24"/>
          <w:lang w:bidi="ar"/>
        </w:rPr>
        <w:t>本项目为生猪养殖项目，总投资为</w:t>
      </w:r>
      <w:r>
        <w:rPr>
          <w:rFonts w:hint="eastAsia"/>
          <w:kern w:val="0"/>
          <w:sz w:val="24"/>
          <w:lang w:eastAsia="zh-CN" w:bidi="ar"/>
        </w:rPr>
        <w:t>900万元</w:t>
      </w:r>
      <w:r>
        <w:rPr>
          <w:kern w:val="0"/>
          <w:sz w:val="24"/>
          <w:lang w:bidi="ar"/>
        </w:rPr>
        <w:t>，包括猪舍、污染治理工程及辅助生产设施等。项目主要技术经济指标表见表6.3-1。</w:t>
      </w:r>
    </w:p>
    <w:p>
      <w:pPr>
        <w:adjustRightInd w:val="0"/>
        <w:snapToGrid w:val="0"/>
        <w:spacing w:after="93" w:afterLines="30" w:line="500" w:lineRule="exact"/>
        <w:jc w:val="center"/>
        <w:rPr>
          <w:b/>
          <w:sz w:val="24"/>
        </w:rPr>
      </w:pPr>
      <w:r>
        <w:rPr>
          <w:b/>
          <w:kern w:val="0"/>
          <w:sz w:val="24"/>
          <w:lang w:bidi="ar"/>
        </w:rPr>
        <w:t>表6.3-2    项目主要技术经济指标表</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2551"/>
        <w:gridCol w:w="1347"/>
        <w:gridCol w:w="1347"/>
        <w:gridCol w:w="260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1" w:type="dxa"/>
            <w:noWrap w:val="0"/>
            <w:vAlign w:val="center"/>
          </w:tcPr>
          <w:p>
            <w:pPr>
              <w:adjustRightInd w:val="0"/>
              <w:snapToGrid w:val="0"/>
              <w:jc w:val="center"/>
              <w:rPr>
                <w:b/>
                <w:szCs w:val="21"/>
              </w:rPr>
            </w:pPr>
            <w:r>
              <w:rPr>
                <w:b/>
                <w:kern w:val="0"/>
                <w:szCs w:val="21"/>
                <w:lang w:bidi="ar"/>
              </w:rPr>
              <w:t>序号</w:t>
            </w:r>
          </w:p>
        </w:tc>
        <w:tc>
          <w:tcPr>
            <w:tcW w:w="2551" w:type="dxa"/>
            <w:noWrap w:val="0"/>
            <w:vAlign w:val="center"/>
          </w:tcPr>
          <w:p>
            <w:pPr>
              <w:adjustRightInd w:val="0"/>
              <w:snapToGrid w:val="0"/>
              <w:jc w:val="center"/>
              <w:rPr>
                <w:b/>
                <w:szCs w:val="21"/>
              </w:rPr>
            </w:pPr>
            <w:r>
              <w:rPr>
                <w:b/>
                <w:kern w:val="0"/>
                <w:szCs w:val="21"/>
                <w:lang w:bidi="ar"/>
              </w:rPr>
              <w:t>指标名称</w:t>
            </w:r>
          </w:p>
        </w:tc>
        <w:tc>
          <w:tcPr>
            <w:tcW w:w="1347" w:type="dxa"/>
            <w:noWrap w:val="0"/>
            <w:vAlign w:val="center"/>
          </w:tcPr>
          <w:p>
            <w:pPr>
              <w:adjustRightInd w:val="0"/>
              <w:snapToGrid w:val="0"/>
              <w:jc w:val="center"/>
              <w:rPr>
                <w:b/>
                <w:szCs w:val="21"/>
              </w:rPr>
            </w:pPr>
            <w:r>
              <w:rPr>
                <w:b/>
                <w:kern w:val="0"/>
                <w:szCs w:val="21"/>
                <w:lang w:bidi="ar"/>
              </w:rPr>
              <w:t>单位</w:t>
            </w:r>
          </w:p>
        </w:tc>
        <w:tc>
          <w:tcPr>
            <w:tcW w:w="1347" w:type="dxa"/>
            <w:noWrap w:val="0"/>
            <w:vAlign w:val="center"/>
          </w:tcPr>
          <w:p>
            <w:pPr>
              <w:adjustRightInd w:val="0"/>
              <w:snapToGrid w:val="0"/>
              <w:jc w:val="center"/>
              <w:rPr>
                <w:b/>
                <w:szCs w:val="21"/>
              </w:rPr>
            </w:pPr>
            <w:r>
              <w:rPr>
                <w:b/>
                <w:kern w:val="0"/>
                <w:szCs w:val="21"/>
                <w:lang w:bidi="ar"/>
              </w:rPr>
              <w:t>数量</w:t>
            </w:r>
          </w:p>
        </w:tc>
        <w:tc>
          <w:tcPr>
            <w:tcW w:w="2600" w:type="dxa"/>
            <w:noWrap w:val="0"/>
            <w:vAlign w:val="center"/>
          </w:tcPr>
          <w:p>
            <w:pPr>
              <w:adjustRightInd w:val="0"/>
              <w:snapToGrid w:val="0"/>
              <w:jc w:val="center"/>
              <w:rPr>
                <w:b/>
                <w:szCs w:val="21"/>
              </w:rPr>
            </w:pPr>
            <w:r>
              <w:rPr>
                <w:b/>
                <w:kern w:val="0"/>
                <w:szCs w:val="21"/>
                <w:lang w:bidi="ar"/>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1" w:type="dxa"/>
            <w:noWrap w:val="0"/>
            <w:vAlign w:val="center"/>
          </w:tcPr>
          <w:p>
            <w:pPr>
              <w:adjustRightInd w:val="0"/>
              <w:snapToGrid w:val="0"/>
              <w:jc w:val="center"/>
              <w:rPr>
                <w:szCs w:val="21"/>
              </w:rPr>
            </w:pPr>
            <w:r>
              <w:rPr>
                <w:kern w:val="0"/>
                <w:szCs w:val="21"/>
                <w:lang w:bidi="ar"/>
              </w:rPr>
              <w:t>1</w:t>
            </w:r>
          </w:p>
        </w:tc>
        <w:tc>
          <w:tcPr>
            <w:tcW w:w="2551" w:type="dxa"/>
            <w:noWrap w:val="0"/>
            <w:vAlign w:val="center"/>
          </w:tcPr>
          <w:p>
            <w:pPr>
              <w:adjustRightInd w:val="0"/>
              <w:snapToGrid w:val="0"/>
              <w:jc w:val="center"/>
              <w:rPr>
                <w:szCs w:val="21"/>
              </w:rPr>
            </w:pPr>
            <w:r>
              <w:rPr>
                <w:kern w:val="0"/>
                <w:szCs w:val="21"/>
                <w:lang w:bidi="ar"/>
              </w:rPr>
              <w:t>项目总投资</w:t>
            </w:r>
          </w:p>
        </w:tc>
        <w:tc>
          <w:tcPr>
            <w:tcW w:w="1347" w:type="dxa"/>
            <w:noWrap w:val="0"/>
            <w:vAlign w:val="center"/>
          </w:tcPr>
          <w:p>
            <w:pPr>
              <w:adjustRightInd w:val="0"/>
              <w:snapToGrid w:val="0"/>
              <w:jc w:val="center"/>
              <w:rPr>
                <w:szCs w:val="21"/>
              </w:rPr>
            </w:pPr>
            <w:r>
              <w:rPr>
                <w:kern w:val="0"/>
                <w:szCs w:val="21"/>
                <w:lang w:bidi="ar"/>
              </w:rPr>
              <w:t>万元</w:t>
            </w:r>
          </w:p>
        </w:tc>
        <w:tc>
          <w:tcPr>
            <w:tcW w:w="1347" w:type="dxa"/>
            <w:noWrap w:val="0"/>
            <w:vAlign w:val="center"/>
          </w:tcPr>
          <w:p>
            <w:pPr>
              <w:adjustRightInd w:val="0"/>
              <w:snapToGrid w:val="0"/>
              <w:jc w:val="center"/>
              <w:rPr>
                <w:rFonts w:eastAsia="楷体_GB2312"/>
                <w:szCs w:val="21"/>
              </w:rPr>
            </w:pPr>
            <w:r>
              <w:rPr>
                <w:rFonts w:hint="eastAsia"/>
                <w:kern w:val="0"/>
                <w:szCs w:val="21"/>
                <w:lang w:val="en-US" w:eastAsia="zh-CN" w:bidi="ar"/>
              </w:rPr>
              <w:t>9</w:t>
            </w:r>
            <w:r>
              <w:rPr>
                <w:kern w:val="0"/>
                <w:szCs w:val="21"/>
                <w:lang w:bidi="ar"/>
              </w:rPr>
              <w:t>00</w:t>
            </w:r>
          </w:p>
        </w:tc>
        <w:tc>
          <w:tcPr>
            <w:tcW w:w="2600" w:type="dxa"/>
            <w:noWrap w:val="0"/>
            <w:vAlign w:val="center"/>
          </w:tcPr>
          <w:p>
            <w:pPr>
              <w:adjustRightInd w:val="0"/>
              <w:snapToGrid w:val="0"/>
              <w:jc w:val="center"/>
              <w:rPr>
                <w:szCs w:val="21"/>
              </w:rPr>
            </w:pPr>
            <w:r>
              <w:rPr>
                <w:kern w:val="0"/>
                <w:szCs w:val="21"/>
                <w:lang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1" w:type="dxa"/>
            <w:noWrap w:val="0"/>
            <w:vAlign w:val="center"/>
          </w:tcPr>
          <w:p>
            <w:pPr>
              <w:adjustRightInd w:val="0"/>
              <w:snapToGrid w:val="0"/>
              <w:jc w:val="center"/>
              <w:rPr>
                <w:szCs w:val="21"/>
              </w:rPr>
            </w:pPr>
            <w:r>
              <w:rPr>
                <w:kern w:val="0"/>
                <w:szCs w:val="21"/>
                <w:lang w:bidi="ar"/>
              </w:rPr>
              <w:t>2</w:t>
            </w:r>
          </w:p>
        </w:tc>
        <w:tc>
          <w:tcPr>
            <w:tcW w:w="2551" w:type="dxa"/>
            <w:noWrap w:val="0"/>
            <w:vAlign w:val="center"/>
          </w:tcPr>
          <w:p>
            <w:pPr>
              <w:adjustRightInd w:val="0"/>
              <w:snapToGrid w:val="0"/>
              <w:jc w:val="center"/>
              <w:rPr>
                <w:szCs w:val="21"/>
              </w:rPr>
            </w:pPr>
            <w:r>
              <w:rPr>
                <w:spacing w:val="-6"/>
                <w:kern w:val="0"/>
                <w:szCs w:val="21"/>
                <w:lang w:bidi="ar"/>
              </w:rPr>
              <w:t>年税后利润</w:t>
            </w:r>
          </w:p>
        </w:tc>
        <w:tc>
          <w:tcPr>
            <w:tcW w:w="1347" w:type="dxa"/>
            <w:noWrap w:val="0"/>
            <w:vAlign w:val="center"/>
          </w:tcPr>
          <w:p>
            <w:pPr>
              <w:adjustRightInd w:val="0"/>
              <w:snapToGrid w:val="0"/>
              <w:jc w:val="center"/>
              <w:rPr>
                <w:szCs w:val="21"/>
              </w:rPr>
            </w:pPr>
            <w:r>
              <w:rPr>
                <w:kern w:val="0"/>
                <w:szCs w:val="21"/>
                <w:lang w:bidi="ar"/>
              </w:rPr>
              <w:t>万元</w:t>
            </w:r>
          </w:p>
        </w:tc>
        <w:tc>
          <w:tcPr>
            <w:tcW w:w="1347" w:type="dxa"/>
            <w:noWrap w:val="0"/>
            <w:vAlign w:val="center"/>
          </w:tcPr>
          <w:p>
            <w:pPr>
              <w:adjustRightInd w:val="0"/>
              <w:snapToGrid w:val="0"/>
              <w:jc w:val="center"/>
              <w:rPr>
                <w:rFonts w:eastAsia="楷体_GB2312"/>
                <w:szCs w:val="21"/>
              </w:rPr>
            </w:pPr>
            <w:r>
              <w:rPr>
                <w:rFonts w:eastAsia="仿宋"/>
                <w:szCs w:val="21"/>
              </w:rPr>
              <w:t>7</w:t>
            </w:r>
            <w:r>
              <w:rPr>
                <w:rFonts w:hint="eastAsia" w:eastAsia="仿宋"/>
                <w:szCs w:val="21"/>
                <w:lang w:val="en-US" w:eastAsia="zh-CN"/>
              </w:rPr>
              <w:t>2</w:t>
            </w:r>
            <w:r>
              <w:rPr>
                <w:rFonts w:eastAsia="仿宋"/>
                <w:szCs w:val="21"/>
              </w:rPr>
              <w:t>0</w:t>
            </w:r>
          </w:p>
        </w:tc>
        <w:tc>
          <w:tcPr>
            <w:tcW w:w="2600" w:type="dxa"/>
            <w:noWrap w:val="0"/>
            <w:vAlign w:val="center"/>
          </w:tcPr>
          <w:p>
            <w:pPr>
              <w:adjustRightInd w:val="0"/>
              <w:snapToGrid w:val="0"/>
              <w:jc w:val="center"/>
              <w:rPr>
                <w:szCs w:val="21"/>
              </w:rPr>
            </w:pPr>
            <w:r>
              <w:rPr>
                <w:kern w:val="0"/>
                <w:szCs w:val="21"/>
                <w:lang w:bidi="ar"/>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1" w:type="dxa"/>
            <w:noWrap w:val="0"/>
            <w:vAlign w:val="center"/>
          </w:tcPr>
          <w:p>
            <w:pPr>
              <w:adjustRightInd w:val="0"/>
              <w:snapToGrid w:val="0"/>
              <w:jc w:val="center"/>
              <w:rPr>
                <w:szCs w:val="21"/>
              </w:rPr>
            </w:pPr>
            <w:r>
              <w:rPr>
                <w:kern w:val="0"/>
                <w:szCs w:val="21"/>
                <w:lang w:bidi="ar"/>
              </w:rPr>
              <w:t>3</w:t>
            </w:r>
          </w:p>
        </w:tc>
        <w:tc>
          <w:tcPr>
            <w:tcW w:w="2551" w:type="dxa"/>
            <w:noWrap w:val="0"/>
            <w:vAlign w:val="center"/>
          </w:tcPr>
          <w:p>
            <w:pPr>
              <w:jc w:val="center"/>
              <w:rPr>
                <w:szCs w:val="21"/>
              </w:rPr>
            </w:pPr>
            <w:r>
              <w:rPr>
                <w:rFonts w:hint="eastAsia"/>
                <w:kern w:val="0"/>
                <w:szCs w:val="21"/>
                <w:lang w:bidi="ar"/>
              </w:rPr>
              <w:t>净现值</w:t>
            </w:r>
          </w:p>
        </w:tc>
        <w:tc>
          <w:tcPr>
            <w:tcW w:w="1347" w:type="dxa"/>
            <w:noWrap w:val="0"/>
            <w:vAlign w:val="center"/>
          </w:tcPr>
          <w:p>
            <w:pPr>
              <w:jc w:val="center"/>
              <w:rPr>
                <w:szCs w:val="21"/>
              </w:rPr>
            </w:pPr>
            <w:r>
              <w:rPr>
                <w:rFonts w:hint="eastAsia"/>
                <w:kern w:val="0"/>
                <w:szCs w:val="21"/>
                <w:lang w:bidi="ar"/>
              </w:rPr>
              <w:t>万元</w:t>
            </w:r>
          </w:p>
        </w:tc>
        <w:tc>
          <w:tcPr>
            <w:tcW w:w="1347" w:type="dxa"/>
            <w:noWrap w:val="0"/>
            <w:vAlign w:val="center"/>
          </w:tcPr>
          <w:p>
            <w:pPr>
              <w:jc w:val="center"/>
              <w:rPr>
                <w:rFonts w:eastAsia="楷体_GB2312"/>
                <w:szCs w:val="21"/>
              </w:rPr>
            </w:pPr>
            <w:r>
              <w:rPr>
                <w:rFonts w:eastAsia="仿宋"/>
                <w:szCs w:val="21"/>
              </w:rPr>
              <w:t>1</w:t>
            </w:r>
            <w:r>
              <w:rPr>
                <w:rFonts w:hint="eastAsia" w:eastAsia="仿宋"/>
                <w:szCs w:val="21"/>
                <w:lang w:val="en-US" w:eastAsia="zh-CN"/>
              </w:rPr>
              <w:t>1</w:t>
            </w:r>
            <w:r>
              <w:rPr>
                <w:rFonts w:eastAsia="仿宋"/>
                <w:szCs w:val="21"/>
              </w:rPr>
              <w:t>00</w:t>
            </w:r>
          </w:p>
        </w:tc>
        <w:tc>
          <w:tcPr>
            <w:tcW w:w="2600" w:type="dxa"/>
            <w:noWrap w:val="0"/>
            <w:vAlign w:val="center"/>
          </w:tcPr>
          <w:p>
            <w:pPr>
              <w:jc w:val="center"/>
              <w:rPr>
                <w:szCs w:val="21"/>
              </w:rPr>
            </w:pPr>
            <w:r>
              <w:rPr>
                <w:kern w:val="0"/>
                <w:szCs w:val="21"/>
                <w:lang w:bidi="ar"/>
              </w:rPr>
              <w:t>税后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01" w:type="dxa"/>
            <w:noWrap w:val="0"/>
            <w:vAlign w:val="center"/>
          </w:tcPr>
          <w:p>
            <w:pPr>
              <w:adjustRightInd w:val="0"/>
              <w:snapToGrid w:val="0"/>
              <w:jc w:val="center"/>
              <w:rPr>
                <w:szCs w:val="21"/>
              </w:rPr>
            </w:pPr>
            <w:r>
              <w:rPr>
                <w:kern w:val="0"/>
                <w:szCs w:val="21"/>
                <w:lang w:bidi="ar"/>
              </w:rPr>
              <w:t>4</w:t>
            </w:r>
          </w:p>
        </w:tc>
        <w:tc>
          <w:tcPr>
            <w:tcW w:w="2551" w:type="dxa"/>
            <w:noWrap w:val="0"/>
            <w:vAlign w:val="center"/>
          </w:tcPr>
          <w:p>
            <w:pPr>
              <w:adjustRightInd w:val="0"/>
              <w:snapToGrid w:val="0"/>
              <w:jc w:val="center"/>
              <w:rPr>
                <w:szCs w:val="21"/>
              </w:rPr>
            </w:pPr>
            <w:r>
              <w:rPr>
                <w:kern w:val="0"/>
                <w:szCs w:val="21"/>
                <w:lang w:bidi="ar"/>
              </w:rPr>
              <w:t>全部投资回收期</w:t>
            </w:r>
          </w:p>
        </w:tc>
        <w:tc>
          <w:tcPr>
            <w:tcW w:w="1347" w:type="dxa"/>
            <w:noWrap w:val="0"/>
            <w:vAlign w:val="center"/>
          </w:tcPr>
          <w:p>
            <w:pPr>
              <w:adjustRightInd w:val="0"/>
              <w:snapToGrid w:val="0"/>
              <w:jc w:val="center"/>
              <w:rPr>
                <w:szCs w:val="21"/>
              </w:rPr>
            </w:pPr>
            <w:r>
              <w:rPr>
                <w:kern w:val="0"/>
                <w:szCs w:val="21"/>
                <w:lang w:bidi="ar"/>
              </w:rPr>
              <w:t>年</w:t>
            </w:r>
          </w:p>
        </w:tc>
        <w:tc>
          <w:tcPr>
            <w:tcW w:w="1347" w:type="dxa"/>
            <w:noWrap w:val="0"/>
            <w:vAlign w:val="center"/>
          </w:tcPr>
          <w:p>
            <w:pPr>
              <w:adjustRightInd w:val="0"/>
              <w:snapToGrid w:val="0"/>
              <w:jc w:val="center"/>
              <w:rPr>
                <w:rFonts w:eastAsia="楷体_GB2312"/>
                <w:szCs w:val="21"/>
              </w:rPr>
            </w:pPr>
            <w:r>
              <w:rPr>
                <w:rFonts w:eastAsia="仿宋"/>
                <w:szCs w:val="21"/>
              </w:rPr>
              <w:t>2</w:t>
            </w:r>
          </w:p>
        </w:tc>
        <w:tc>
          <w:tcPr>
            <w:tcW w:w="2600" w:type="dxa"/>
            <w:noWrap w:val="0"/>
            <w:vAlign w:val="center"/>
          </w:tcPr>
          <w:p>
            <w:pPr>
              <w:adjustRightInd w:val="0"/>
              <w:snapToGrid w:val="0"/>
              <w:jc w:val="center"/>
              <w:rPr>
                <w:szCs w:val="21"/>
              </w:rPr>
            </w:pPr>
            <w:r>
              <w:rPr>
                <w:kern w:val="0"/>
                <w:szCs w:val="21"/>
                <w:lang w:bidi="ar"/>
              </w:rPr>
              <w:t>税后，含建设期6个月</w:t>
            </w:r>
          </w:p>
        </w:tc>
      </w:tr>
    </w:tbl>
    <w:p>
      <w:pPr>
        <w:topLinePunct/>
        <w:spacing w:line="500" w:lineRule="exact"/>
        <w:ind w:firstLine="480" w:firstLineChars="200"/>
        <w:rPr>
          <w:color w:val="000000"/>
          <w:sz w:val="24"/>
        </w:rPr>
      </w:pPr>
      <w:r>
        <w:rPr>
          <w:color w:val="000000"/>
          <w:sz w:val="24"/>
        </w:rPr>
        <w:t>由表</w:t>
      </w:r>
      <w:r>
        <w:rPr>
          <w:rFonts w:hint="eastAsia"/>
          <w:color w:val="000000"/>
          <w:sz w:val="24"/>
        </w:rPr>
        <w:t>6.3-1</w:t>
      </w:r>
      <w:r>
        <w:rPr>
          <w:color w:val="000000"/>
          <w:sz w:val="24"/>
        </w:rPr>
        <w:t>可以看出，该项目投资回收期较短，投资利润率高，具有较强的盈利能力，从工程的经济效益分析，该项目可行。</w:t>
      </w:r>
    </w:p>
    <w:p>
      <w:pPr>
        <w:adjustRightInd w:val="0"/>
        <w:snapToGrid w:val="0"/>
        <w:spacing w:line="500" w:lineRule="exact"/>
        <w:ind w:firstLine="480" w:firstLineChars="200"/>
        <w:rPr>
          <w:bCs/>
          <w:sz w:val="24"/>
        </w:rPr>
      </w:pPr>
      <w:r>
        <w:rPr>
          <w:color w:val="000000"/>
          <w:sz w:val="24"/>
        </w:rPr>
        <w:t>此外，本工程的建设具有产业链效益，能够带动一方经济的快速发展，并能促进饲料加工、种植业、养殖业等相关行业的发展</w:t>
      </w:r>
      <w:r>
        <w:rPr>
          <w:bCs/>
          <w:kern w:val="0"/>
          <w:sz w:val="24"/>
          <w:lang w:bidi="ar"/>
        </w:rPr>
        <w:t>。</w:t>
      </w:r>
    </w:p>
    <w:p>
      <w:pPr>
        <w:keepNext/>
        <w:keepLines/>
        <w:spacing w:before="120" w:after="120" w:line="520" w:lineRule="exact"/>
        <w:outlineLvl w:val="1"/>
        <w:rPr>
          <w:rFonts w:eastAsia="黑体"/>
          <w:kern w:val="0"/>
          <w:sz w:val="28"/>
          <w:szCs w:val="28"/>
          <w:lang w:bidi="ar"/>
        </w:rPr>
      </w:pPr>
      <w:bookmarkStart w:id="529" w:name="_Toc472009611"/>
      <w:bookmarkEnd w:id="529"/>
      <w:bookmarkStart w:id="530" w:name="_Toc13377"/>
      <w:r>
        <w:rPr>
          <w:rFonts w:eastAsia="黑体"/>
          <w:kern w:val="0"/>
          <w:sz w:val="28"/>
          <w:szCs w:val="28"/>
          <w:lang w:bidi="ar"/>
        </w:rPr>
        <w:t>6.4 环境效益分析</w:t>
      </w:r>
      <w:bookmarkEnd w:id="530"/>
    </w:p>
    <w:p>
      <w:pPr>
        <w:adjustRightInd w:val="0"/>
        <w:snapToGrid w:val="0"/>
        <w:spacing w:line="500" w:lineRule="exact"/>
        <w:ind w:firstLine="480" w:firstLineChars="200"/>
        <w:rPr>
          <w:bCs/>
          <w:sz w:val="24"/>
        </w:rPr>
      </w:pPr>
      <w:r>
        <w:rPr>
          <w:bCs/>
          <w:kern w:val="0"/>
          <w:sz w:val="24"/>
          <w:lang w:bidi="ar"/>
        </w:rPr>
        <w:t>该项目将畜禽的粪便综合利用，做到了废物利用，变废为宝，从根本上降低了污染源，大大减轻了对周边地区的环境压力。既美化了养殖场的自然环境，消除了臭味，防止了蚊蝇孳生，又改善了周边地区的生态环境，有利于农业的可持续发展，促进项目地区水土资源的合理利用和生态环境的良性循环，使项目地区规划科学、布局合理，为项目地区无公害、有机农业生产和可持续发展提供了良好的物资基础。</w:t>
      </w:r>
    </w:p>
    <w:p>
      <w:pPr>
        <w:adjustRightInd w:val="0"/>
        <w:snapToGrid w:val="0"/>
        <w:spacing w:line="500" w:lineRule="exact"/>
        <w:ind w:firstLine="480" w:firstLineChars="200"/>
        <w:rPr>
          <w:bCs/>
          <w:kern w:val="0"/>
          <w:sz w:val="24"/>
          <w:lang w:bidi="ar"/>
        </w:rPr>
      </w:pPr>
      <w:r>
        <w:rPr>
          <w:bCs/>
          <w:kern w:val="0"/>
          <w:sz w:val="24"/>
          <w:lang w:bidi="ar"/>
        </w:rPr>
        <w:t>本项目</w:t>
      </w:r>
      <w:r>
        <w:rPr>
          <w:kern w:val="0"/>
          <w:sz w:val="24"/>
          <w:lang w:bidi="ar"/>
        </w:rPr>
        <w:t>总投资为</w:t>
      </w:r>
      <w:r>
        <w:rPr>
          <w:rFonts w:hint="eastAsia"/>
          <w:kern w:val="0"/>
          <w:sz w:val="24"/>
          <w:lang w:eastAsia="zh-CN" w:bidi="ar"/>
        </w:rPr>
        <w:t>251.5</w:t>
      </w:r>
      <w:r>
        <w:rPr>
          <w:kern w:val="0"/>
          <w:sz w:val="24"/>
          <w:lang w:bidi="ar"/>
        </w:rPr>
        <w:t>万元，占总投资的比例为25.65%。</w:t>
      </w:r>
      <w:r>
        <w:rPr>
          <w:bCs/>
          <w:kern w:val="0"/>
          <w:sz w:val="24"/>
          <w:lang w:bidi="ar"/>
        </w:rPr>
        <w:t>通过各项污染防治措施的实施和清洁生产技术的落实，可做到养殖区废水最大程度的综合利用和固体废物的资源化利用，可取得良好的环境效益。项目环境效益分析见表6.4-1。</w:t>
      </w:r>
    </w:p>
    <w:p>
      <w:pPr>
        <w:adjustRightInd w:val="0"/>
        <w:snapToGrid w:val="0"/>
        <w:spacing w:after="93" w:afterLines="30" w:line="500" w:lineRule="exact"/>
        <w:jc w:val="center"/>
        <w:rPr>
          <w:b/>
          <w:bCs/>
          <w:kern w:val="0"/>
          <w:sz w:val="24"/>
          <w:lang w:bidi="ar"/>
        </w:rPr>
      </w:pPr>
      <w:r>
        <w:rPr>
          <w:b/>
          <w:bCs/>
          <w:kern w:val="0"/>
          <w:sz w:val="24"/>
          <w:lang w:bidi="ar"/>
        </w:rPr>
        <w:t>表6.4-1    项目环境效益分析表</w:t>
      </w:r>
    </w:p>
    <w:tbl>
      <w:tblPr>
        <w:tblStyle w:val="17"/>
        <w:tblW w:w="5000"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560"/>
        <w:gridCol w:w="1710"/>
        <w:gridCol w:w="667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blHeader/>
          <w:jc w:val="center"/>
        </w:trPr>
        <w:tc>
          <w:tcPr>
            <w:tcW w:w="313" w:type="pct"/>
            <w:noWrap w:val="0"/>
            <w:vAlign w:val="center"/>
          </w:tcPr>
          <w:p>
            <w:pPr>
              <w:adjustRightInd w:val="0"/>
              <w:snapToGrid w:val="0"/>
              <w:jc w:val="center"/>
              <w:rPr>
                <w:b/>
              </w:rPr>
            </w:pPr>
            <w:r>
              <w:rPr>
                <w:b/>
              </w:rPr>
              <w:t>序号</w:t>
            </w:r>
          </w:p>
        </w:tc>
        <w:tc>
          <w:tcPr>
            <w:tcW w:w="956" w:type="pct"/>
            <w:noWrap w:val="0"/>
            <w:vAlign w:val="center"/>
          </w:tcPr>
          <w:p>
            <w:pPr>
              <w:adjustRightInd w:val="0"/>
              <w:snapToGrid w:val="0"/>
              <w:jc w:val="center"/>
              <w:rPr>
                <w:b/>
              </w:rPr>
            </w:pPr>
            <w:r>
              <w:rPr>
                <w:b/>
              </w:rPr>
              <w:t>项目</w:t>
            </w:r>
          </w:p>
        </w:tc>
        <w:tc>
          <w:tcPr>
            <w:tcW w:w="3731" w:type="pct"/>
            <w:noWrap w:val="0"/>
            <w:vAlign w:val="center"/>
          </w:tcPr>
          <w:p>
            <w:pPr>
              <w:adjustRightInd w:val="0"/>
              <w:snapToGrid w:val="0"/>
              <w:jc w:val="center"/>
              <w:rPr>
                <w:b/>
              </w:rPr>
            </w:pPr>
            <w:r>
              <w:rPr>
                <w:b/>
              </w:rPr>
              <w:t>环境效益</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13" w:type="pct"/>
            <w:noWrap w:val="0"/>
            <w:vAlign w:val="center"/>
          </w:tcPr>
          <w:p>
            <w:pPr>
              <w:adjustRightInd w:val="0"/>
              <w:snapToGrid w:val="0"/>
              <w:jc w:val="center"/>
            </w:pPr>
            <w:r>
              <w:t>1</w:t>
            </w:r>
          </w:p>
        </w:tc>
        <w:tc>
          <w:tcPr>
            <w:tcW w:w="956" w:type="pct"/>
            <w:noWrap w:val="0"/>
            <w:vAlign w:val="center"/>
          </w:tcPr>
          <w:p>
            <w:pPr>
              <w:adjustRightInd w:val="0"/>
              <w:snapToGrid w:val="0"/>
              <w:jc w:val="center"/>
            </w:pPr>
            <w:r>
              <w:t>废水沼气化处理工程</w:t>
            </w:r>
          </w:p>
        </w:tc>
        <w:tc>
          <w:tcPr>
            <w:tcW w:w="3731" w:type="pct"/>
            <w:noWrap w:val="0"/>
            <w:vAlign w:val="center"/>
          </w:tcPr>
          <w:p>
            <w:pPr>
              <w:adjustRightInd w:val="0"/>
              <w:snapToGrid w:val="0"/>
              <w:jc w:val="center"/>
            </w:pPr>
            <w:r>
              <w:rPr>
                <w:szCs w:val="21"/>
              </w:rPr>
              <w:t>厌氧无害化处理后，沼液储存池暂存，定期清理后综合利用；沼气</w:t>
            </w:r>
            <w:r>
              <w:rPr>
                <w:rFonts w:hint="eastAsia"/>
                <w:szCs w:val="21"/>
              </w:rPr>
              <w:t>用于食堂，多余直接火炬燃烧</w:t>
            </w:r>
            <w:r>
              <w:rPr>
                <w:szCs w:val="21"/>
              </w:rPr>
              <w:t>；</w:t>
            </w:r>
            <w:r>
              <w:rPr>
                <w:rFonts w:hint="eastAsia"/>
                <w:szCs w:val="21"/>
              </w:rPr>
              <w:t>沼渣干化后</w:t>
            </w:r>
            <w:r>
              <w:rPr>
                <w:szCs w:val="21"/>
              </w:rPr>
              <w:t>作为有机肥</w:t>
            </w:r>
            <w:r>
              <w:rPr>
                <w:rFonts w:hint="eastAsia"/>
                <w:szCs w:val="21"/>
              </w:rPr>
              <w:t>基料</w:t>
            </w:r>
            <w:r>
              <w:rPr>
                <w:szCs w:val="21"/>
              </w:rPr>
              <w:t>外售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13" w:type="pct"/>
            <w:noWrap w:val="0"/>
            <w:vAlign w:val="center"/>
          </w:tcPr>
          <w:p>
            <w:pPr>
              <w:adjustRightInd w:val="0"/>
              <w:snapToGrid w:val="0"/>
              <w:jc w:val="center"/>
            </w:pPr>
            <w:r>
              <w:t>2</w:t>
            </w:r>
          </w:p>
        </w:tc>
        <w:tc>
          <w:tcPr>
            <w:tcW w:w="956" w:type="pct"/>
            <w:noWrap w:val="0"/>
            <w:vAlign w:val="center"/>
          </w:tcPr>
          <w:p>
            <w:pPr>
              <w:adjustRightInd w:val="0"/>
              <w:snapToGrid w:val="0"/>
              <w:jc w:val="center"/>
            </w:pPr>
            <w:r>
              <w:t>猪粪、沼渣综合利用</w:t>
            </w:r>
          </w:p>
        </w:tc>
        <w:tc>
          <w:tcPr>
            <w:tcW w:w="3731" w:type="pct"/>
            <w:noWrap w:val="0"/>
            <w:vAlign w:val="center"/>
          </w:tcPr>
          <w:p>
            <w:pPr>
              <w:adjustRightInd w:val="0"/>
              <w:snapToGrid w:val="0"/>
              <w:jc w:val="center"/>
              <w:rPr>
                <w:rFonts w:hint="eastAsia"/>
              </w:rPr>
            </w:pPr>
            <w:r>
              <w:rPr>
                <w:szCs w:val="21"/>
              </w:rPr>
              <w:t>制作固体有机肥</w:t>
            </w:r>
            <w:r>
              <w:rPr>
                <w:rFonts w:hint="eastAsia"/>
                <w:szCs w:val="21"/>
              </w:rPr>
              <w:t>基料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13" w:type="pct"/>
            <w:noWrap w:val="0"/>
            <w:vAlign w:val="center"/>
          </w:tcPr>
          <w:p>
            <w:pPr>
              <w:adjustRightInd w:val="0"/>
              <w:snapToGrid w:val="0"/>
              <w:jc w:val="center"/>
            </w:pPr>
            <w:r>
              <w:t>3</w:t>
            </w:r>
          </w:p>
        </w:tc>
        <w:tc>
          <w:tcPr>
            <w:tcW w:w="956" w:type="pct"/>
            <w:noWrap w:val="0"/>
            <w:vAlign w:val="center"/>
          </w:tcPr>
          <w:p>
            <w:pPr>
              <w:jc w:val="center"/>
              <w:rPr>
                <w:szCs w:val="21"/>
              </w:rPr>
            </w:pPr>
            <w:r>
              <w:rPr>
                <w:szCs w:val="21"/>
              </w:rPr>
              <w:t>沼气回收利用</w:t>
            </w:r>
          </w:p>
        </w:tc>
        <w:tc>
          <w:tcPr>
            <w:tcW w:w="3731" w:type="pct"/>
            <w:noWrap w:val="0"/>
            <w:vAlign w:val="center"/>
          </w:tcPr>
          <w:p>
            <w:pPr>
              <w:jc w:val="center"/>
              <w:rPr>
                <w:szCs w:val="21"/>
              </w:rPr>
            </w:pPr>
            <w:r>
              <w:rPr>
                <w:szCs w:val="21"/>
              </w:rPr>
              <w:t>减少废气排放，实现资源的回收利用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13" w:type="pct"/>
            <w:noWrap w:val="0"/>
            <w:vAlign w:val="center"/>
          </w:tcPr>
          <w:p>
            <w:pPr>
              <w:adjustRightInd w:val="0"/>
              <w:snapToGrid w:val="0"/>
              <w:jc w:val="center"/>
            </w:pPr>
            <w:r>
              <w:t>4</w:t>
            </w:r>
          </w:p>
        </w:tc>
        <w:tc>
          <w:tcPr>
            <w:tcW w:w="956" w:type="pct"/>
            <w:noWrap w:val="0"/>
            <w:vAlign w:val="center"/>
          </w:tcPr>
          <w:p>
            <w:pPr>
              <w:adjustRightInd w:val="0"/>
              <w:snapToGrid w:val="0"/>
              <w:jc w:val="center"/>
            </w:pPr>
            <w:r>
              <w:t>废气处理</w:t>
            </w:r>
          </w:p>
        </w:tc>
        <w:tc>
          <w:tcPr>
            <w:tcW w:w="3731" w:type="pct"/>
            <w:noWrap w:val="0"/>
            <w:vAlign w:val="center"/>
          </w:tcPr>
          <w:p>
            <w:pPr>
              <w:adjustRightInd w:val="0"/>
              <w:snapToGrid w:val="0"/>
              <w:jc w:val="center"/>
            </w:pPr>
            <w:r>
              <w:t>恶臭废气采用相关措施处理后，实现达标排放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13" w:type="pct"/>
            <w:noWrap w:val="0"/>
            <w:vAlign w:val="center"/>
          </w:tcPr>
          <w:p>
            <w:pPr>
              <w:adjustRightInd w:val="0"/>
              <w:snapToGrid w:val="0"/>
              <w:jc w:val="center"/>
            </w:pPr>
            <w:r>
              <w:t>5</w:t>
            </w:r>
          </w:p>
        </w:tc>
        <w:tc>
          <w:tcPr>
            <w:tcW w:w="956" w:type="pct"/>
            <w:noWrap w:val="0"/>
            <w:vAlign w:val="center"/>
          </w:tcPr>
          <w:p>
            <w:pPr>
              <w:adjustRightInd w:val="0"/>
              <w:snapToGrid w:val="0"/>
              <w:jc w:val="center"/>
            </w:pPr>
            <w:r>
              <w:t>噪声处理</w:t>
            </w:r>
          </w:p>
        </w:tc>
        <w:tc>
          <w:tcPr>
            <w:tcW w:w="3731" w:type="pct"/>
            <w:noWrap w:val="0"/>
            <w:vAlign w:val="center"/>
          </w:tcPr>
          <w:p>
            <w:pPr>
              <w:adjustRightInd w:val="0"/>
              <w:snapToGrid w:val="0"/>
              <w:jc w:val="center"/>
            </w:pPr>
            <w:r>
              <w:t>采用设备基础减振及场房密闭隔声处理后，实现达标排放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13" w:type="pct"/>
            <w:noWrap w:val="0"/>
            <w:vAlign w:val="center"/>
          </w:tcPr>
          <w:p>
            <w:pPr>
              <w:adjustRightInd w:val="0"/>
              <w:snapToGrid w:val="0"/>
              <w:jc w:val="center"/>
            </w:pPr>
            <w:r>
              <w:t>6</w:t>
            </w:r>
          </w:p>
        </w:tc>
        <w:tc>
          <w:tcPr>
            <w:tcW w:w="956" w:type="pct"/>
            <w:noWrap w:val="0"/>
            <w:vAlign w:val="center"/>
          </w:tcPr>
          <w:p>
            <w:pPr>
              <w:adjustRightInd w:val="0"/>
              <w:snapToGrid w:val="0"/>
              <w:jc w:val="center"/>
            </w:pPr>
            <w:r>
              <w:rPr>
                <w:szCs w:val="21"/>
              </w:rPr>
              <w:t>雨污分流及“三防”措施</w:t>
            </w:r>
          </w:p>
        </w:tc>
        <w:tc>
          <w:tcPr>
            <w:tcW w:w="3731" w:type="pct"/>
            <w:noWrap w:val="0"/>
            <w:vAlign w:val="center"/>
          </w:tcPr>
          <w:p>
            <w:pPr>
              <w:adjustRightInd w:val="0"/>
              <w:snapToGrid w:val="0"/>
              <w:jc w:val="center"/>
            </w:pPr>
            <w:r>
              <w:t>经过</w:t>
            </w:r>
            <w:r>
              <w:rPr>
                <w:szCs w:val="21"/>
              </w:rPr>
              <w:t>防渗和设置围堰防溢处置等措施后，不会对地下水、地表水及土壤造成直接污染</w:t>
            </w:r>
          </w:p>
        </w:tc>
      </w:tr>
    </w:tbl>
    <w:p>
      <w:pPr>
        <w:adjustRightInd w:val="0"/>
        <w:snapToGrid w:val="0"/>
        <w:spacing w:before="156" w:beforeLines="50" w:line="520" w:lineRule="exact"/>
        <w:ind w:firstLine="480" w:firstLineChars="200"/>
        <w:rPr>
          <w:sz w:val="24"/>
        </w:rPr>
      </w:pPr>
      <w:bookmarkStart w:id="531" w:name="_Toc413830284"/>
      <w:bookmarkEnd w:id="531"/>
      <w:bookmarkStart w:id="532" w:name="_Toc472009612"/>
      <w:r>
        <w:rPr>
          <w:sz w:val="24"/>
        </w:rPr>
        <w:t>由上表可以看出，项目的环保投入减少了废水及固废等污染物的排放，合理地调整了生产过程中的相互关系，使一个生产过程中的排泄物（废弃物）转变为另一个生产过程的输入物（原料资源），从而实现农业生产的无废弃物过程（零排放目标），即废弃物资源化过程。从环境保护和资源利用的角度出发，走规模处理和综合利用的道路，不仅能够促进畜禽养殖业的进一步发展，而且具有较好的环境效益。</w:t>
      </w:r>
    </w:p>
    <w:p>
      <w:pPr>
        <w:keepNext/>
        <w:keepLines/>
        <w:spacing w:before="120" w:after="120" w:line="520" w:lineRule="exact"/>
        <w:outlineLvl w:val="1"/>
        <w:rPr>
          <w:rFonts w:eastAsia="黑体"/>
          <w:kern w:val="0"/>
          <w:sz w:val="28"/>
          <w:szCs w:val="28"/>
          <w:lang w:bidi="ar"/>
        </w:rPr>
      </w:pPr>
      <w:bookmarkStart w:id="533" w:name="_Toc30465"/>
      <w:r>
        <w:rPr>
          <w:rFonts w:eastAsia="黑体"/>
          <w:kern w:val="0"/>
          <w:sz w:val="28"/>
          <w:szCs w:val="28"/>
          <w:lang w:bidi="ar"/>
        </w:rPr>
        <w:t>6</w:t>
      </w:r>
      <w:bookmarkEnd w:id="532"/>
      <w:r>
        <w:rPr>
          <w:rFonts w:eastAsia="黑体"/>
          <w:kern w:val="0"/>
          <w:sz w:val="28"/>
          <w:szCs w:val="28"/>
          <w:lang w:bidi="ar"/>
        </w:rPr>
        <w:t>.5 社会效益分析</w:t>
      </w:r>
      <w:bookmarkEnd w:id="533"/>
    </w:p>
    <w:p>
      <w:pPr>
        <w:adjustRightInd w:val="0"/>
        <w:snapToGrid w:val="0"/>
        <w:spacing w:line="520" w:lineRule="exact"/>
        <w:ind w:firstLine="480" w:firstLineChars="200"/>
        <w:rPr>
          <w:sz w:val="24"/>
        </w:rPr>
      </w:pPr>
      <w:bookmarkStart w:id="534" w:name="_Toc472009613"/>
      <w:bookmarkEnd w:id="534"/>
      <w:bookmarkStart w:id="535" w:name="_Toc413830285"/>
      <w:bookmarkEnd w:id="535"/>
      <w:r>
        <w:rPr>
          <w:sz w:val="24"/>
        </w:rPr>
        <w:t>本项目的社会效益主要表现在以下几个方面：</w:t>
      </w:r>
    </w:p>
    <w:p>
      <w:pPr>
        <w:adjustRightInd w:val="0"/>
        <w:snapToGrid w:val="0"/>
        <w:spacing w:line="520" w:lineRule="exact"/>
        <w:ind w:firstLine="480" w:firstLineChars="200"/>
        <w:rPr>
          <w:sz w:val="24"/>
        </w:rPr>
      </w:pPr>
      <w:r>
        <w:rPr>
          <w:sz w:val="24"/>
        </w:rPr>
        <w:t>（1）该项目的实施促进了养殖场的良性发展，增强了建设单位的市场竞争力。养殖场的废物得到资源化的利用，促进了项目单位循环经济和生态经济的良性发展。同时，项目单位具有一定的生猪销售市场，养殖场的污染治理，实现了清洁养殖，为生猪的良性生长创造了较好卫生环境，增强了市场竞争力。</w:t>
      </w:r>
    </w:p>
    <w:p>
      <w:pPr>
        <w:adjustRightInd w:val="0"/>
        <w:snapToGrid w:val="0"/>
        <w:spacing w:line="520" w:lineRule="exact"/>
        <w:ind w:firstLine="480" w:firstLineChars="200"/>
        <w:rPr>
          <w:sz w:val="24"/>
        </w:rPr>
      </w:pPr>
      <w:r>
        <w:rPr>
          <w:sz w:val="24"/>
        </w:rPr>
        <w:t>（2）项目的清洁生产措施，很大程度上节约了资源和能源，起到了“节能、降耗、减污、增效”的作用，符合国家产业政策和环保治理要求。</w:t>
      </w:r>
    </w:p>
    <w:p>
      <w:pPr>
        <w:adjustRightInd w:val="0"/>
        <w:snapToGrid w:val="0"/>
        <w:spacing w:line="520" w:lineRule="exact"/>
        <w:ind w:firstLine="480" w:firstLineChars="200"/>
        <w:rPr>
          <w:sz w:val="24"/>
        </w:rPr>
      </w:pPr>
      <w:r>
        <w:rPr>
          <w:sz w:val="24"/>
        </w:rPr>
        <w:t>（3）该项目未来的标准化、规模化建设将形成农村能源产业，由此所需的技术、管理队伍可就地吸纳农村剩余劳动力，有利于维护农村社会稳定，对提高人民生活水平起到积极作用。</w:t>
      </w:r>
    </w:p>
    <w:p>
      <w:pPr>
        <w:adjustRightInd w:val="0"/>
        <w:snapToGrid w:val="0"/>
        <w:spacing w:line="520" w:lineRule="exact"/>
        <w:ind w:firstLine="480" w:firstLineChars="200"/>
        <w:rPr>
          <w:sz w:val="24"/>
        </w:rPr>
      </w:pPr>
      <w:r>
        <w:rPr>
          <w:sz w:val="24"/>
        </w:rPr>
        <w:t>（4）项目的建设可拉动周边畜禽养殖业、肉制品加工业、饲料加工业等行业的快速发展，同时为周围种植业提供了大量优质有机肥，降低了化肥、农药在农产品生产中的使用量，为无公害农产品生产提供了有利条件，有利于促进周围农村产业结构调整。</w:t>
      </w:r>
    </w:p>
    <w:p>
      <w:pPr>
        <w:adjustRightInd w:val="0"/>
        <w:snapToGrid w:val="0"/>
        <w:spacing w:line="520" w:lineRule="exact"/>
        <w:ind w:firstLine="480" w:firstLineChars="200"/>
        <w:rPr>
          <w:sz w:val="24"/>
        </w:rPr>
      </w:pPr>
      <w:r>
        <w:rPr>
          <w:sz w:val="24"/>
        </w:rPr>
        <w:t>（5）项目投产后，可增加当地财政收入，提高当地社会经济发展水平，对区域社会稳定发挥了较强作用。</w:t>
      </w:r>
    </w:p>
    <w:p>
      <w:pPr>
        <w:keepNext/>
        <w:keepLines/>
        <w:spacing w:before="120" w:after="120" w:line="520" w:lineRule="exact"/>
        <w:outlineLvl w:val="1"/>
        <w:rPr>
          <w:rFonts w:eastAsia="黑体"/>
          <w:kern w:val="0"/>
          <w:sz w:val="28"/>
          <w:szCs w:val="28"/>
          <w:lang w:bidi="ar"/>
        </w:rPr>
      </w:pPr>
      <w:bookmarkStart w:id="536" w:name="_Toc24420"/>
      <w:r>
        <w:rPr>
          <w:rFonts w:eastAsia="黑体"/>
          <w:kern w:val="0"/>
          <w:sz w:val="28"/>
          <w:szCs w:val="28"/>
          <w:lang w:bidi="ar"/>
        </w:rPr>
        <w:t>6.6 生态效益分析</w:t>
      </w:r>
      <w:bookmarkEnd w:id="536"/>
    </w:p>
    <w:p>
      <w:pPr>
        <w:adjustRightInd w:val="0"/>
        <w:snapToGrid w:val="0"/>
        <w:spacing w:line="520" w:lineRule="exact"/>
        <w:ind w:firstLine="480" w:firstLineChars="200"/>
        <w:rPr>
          <w:sz w:val="24"/>
        </w:rPr>
      </w:pPr>
      <w:r>
        <w:rPr>
          <w:sz w:val="24"/>
        </w:rPr>
        <w:t>项目完成后，养殖场将建成以种植业为基础，养殖业为主体，沼气为纽带，促进物质能量良性循环的生态养殖场，明显改善区域内农业生态环境，有利农业可持续发展。</w:t>
      </w:r>
    </w:p>
    <w:p>
      <w:pPr>
        <w:adjustRightInd w:val="0"/>
        <w:snapToGrid w:val="0"/>
        <w:spacing w:line="520" w:lineRule="exact"/>
        <w:ind w:firstLine="480" w:firstLineChars="200"/>
        <w:rPr>
          <w:sz w:val="24"/>
        </w:rPr>
      </w:pPr>
      <w:r>
        <w:rPr>
          <w:sz w:val="24"/>
        </w:rPr>
        <w:t>猪粪、沼渣生产有机农肥，沼液作为农肥综合利用，沼气是清洁能源，替代燃煤作燃料，可减少大气污染物排放。</w:t>
      </w:r>
    </w:p>
    <w:p>
      <w:pPr>
        <w:adjustRightInd w:val="0"/>
        <w:snapToGrid w:val="0"/>
        <w:spacing w:line="520" w:lineRule="exact"/>
        <w:ind w:firstLine="480" w:firstLineChars="200"/>
        <w:rPr>
          <w:sz w:val="24"/>
        </w:rPr>
      </w:pPr>
      <w:r>
        <w:rPr>
          <w:sz w:val="24"/>
        </w:rPr>
        <w:t>长期大量使用化肥，不仅导致土壤板结，土壤肥力下降，而且对环境和农作物产生污染。项目投产后，提供优质有机肥</w:t>
      </w:r>
      <w:r>
        <w:rPr>
          <w:rFonts w:hint="eastAsia"/>
          <w:sz w:val="24"/>
        </w:rPr>
        <w:t>基</w:t>
      </w:r>
      <w:r>
        <w:rPr>
          <w:sz w:val="24"/>
        </w:rPr>
        <w:t>料，可减少化肥、农药用量，改善土壤理化性状。同时利用沼液节约水资源的利用，沼液本身具有防治病虫害的作用，能提高作物品质，有利于农作物增产、增收，促进农作物增产、增收，有利生产无公害农产品，保障食品安全。</w:t>
      </w:r>
    </w:p>
    <w:p>
      <w:pPr>
        <w:keepNext/>
        <w:keepLines/>
        <w:spacing w:before="120" w:after="120" w:line="520" w:lineRule="exact"/>
        <w:outlineLvl w:val="1"/>
        <w:rPr>
          <w:rFonts w:eastAsia="黑体"/>
          <w:kern w:val="0"/>
          <w:sz w:val="28"/>
          <w:szCs w:val="28"/>
          <w:lang w:bidi="ar"/>
        </w:rPr>
      </w:pPr>
      <w:bookmarkStart w:id="537" w:name="_Toc413830286"/>
      <w:bookmarkEnd w:id="537"/>
      <w:bookmarkStart w:id="538" w:name="_Toc472009614"/>
      <w:bookmarkStart w:id="539" w:name="_Toc15299"/>
      <w:r>
        <w:rPr>
          <w:rFonts w:eastAsia="黑体"/>
          <w:kern w:val="0"/>
          <w:sz w:val="28"/>
          <w:szCs w:val="28"/>
          <w:lang w:bidi="ar"/>
        </w:rPr>
        <w:t>6</w:t>
      </w:r>
      <w:bookmarkEnd w:id="538"/>
      <w:r>
        <w:rPr>
          <w:rFonts w:eastAsia="黑体"/>
          <w:kern w:val="0"/>
          <w:sz w:val="28"/>
          <w:szCs w:val="28"/>
          <w:lang w:bidi="ar"/>
        </w:rPr>
        <w:t>.7环境经济损益分析结论</w:t>
      </w:r>
      <w:bookmarkEnd w:id="539"/>
    </w:p>
    <w:p>
      <w:pPr>
        <w:spacing w:line="500" w:lineRule="exact"/>
        <w:ind w:firstLine="480" w:firstLineChars="200"/>
        <w:rPr>
          <w:bCs/>
        </w:rPr>
      </w:pPr>
      <w:r>
        <w:rPr>
          <w:bCs/>
          <w:kern w:val="0"/>
          <w:sz w:val="24"/>
          <w:lang w:bidi="ar"/>
        </w:rPr>
        <w:t>综上所述，</w:t>
      </w:r>
      <w:r>
        <w:rPr>
          <w:rFonts w:hint="eastAsia"/>
          <w:bCs/>
          <w:kern w:val="0"/>
          <w:sz w:val="24"/>
          <w:lang w:bidi="ar"/>
        </w:rPr>
        <w:t>本项目</w:t>
      </w:r>
      <w:r>
        <w:rPr>
          <w:bCs/>
          <w:kern w:val="0"/>
          <w:sz w:val="24"/>
          <w:lang w:bidi="ar"/>
        </w:rPr>
        <w:t>具有较好的经济效益和社会效益，同时，工程在采取较完善的环保治理措施后，也不会对当地环境产生明显影响，做到环境效益、经济效益和社会效益的协调发展。</w:t>
      </w:r>
    </w:p>
    <w:p>
      <w:pPr>
        <w:rPr>
          <w:bCs/>
          <w:sz w:val="28"/>
          <w:szCs w:val="28"/>
        </w:rPr>
        <w:sectPr>
          <w:headerReference r:id="rId19" w:type="default"/>
          <w:footerReference r:id="rId20" w:type="default"/>
          <w:pgSz w:w="11906" w:h="16838"/>
          <w:pgMar w:top="1588" w:right="1588" w:bottom="1588" w:left="1588" w:header="851" w:footer="992" w:gutter="0"/>
          <w:pgNumType w:fmt="numberInDash" w:start="219"/>
          <w:cols w:space="720" w:num="1"/>
          <w:docGrid w:type="linesAndChars" w:linePitch="312" w:charSpace="0"/>
        </w:sectPr>
      </w:pPr>
    </w:p>
    <w:p>
      <w:pPr>
        <w:rPr>
          <w:lang w:bidi="ar"/>
        </w:rPr>
      </w:pPr>
      <w:bookmarkStart w:id="540" w:name="_Toc413834600"/>
      <w:bookmarkEnd w:id="540"/>
      <w:bookmarkStart w:id="541" w:name="_Toc472009615"/>
      <w:r>
        <w:rPr>
          <w:lang w:bidi="ar"/>
        </w:rPr>
        <w:tab/>
      </w:r>
      <w:r>
        <w:rPr>
          <w:lang w:bidi="ar"/>
        </w:rPr>
        <w:tab/>
      </w:r>
    </w:p>
    <w:p>
      <w:pPr>
        <w:rPr>
          <w:lang w:bidi="ar"/>
        </w:rPr>
      </w:pPr>
    </w:p>
    <w:p>
      <w:pPr>
        <w:rPr>
          <w:sz w:val="44"/>
          <w:szCs w:val="44"/>
          <w:lang w:bidi="ar"/>
        </w:rPr>
        <w:sectPr>
          <w:headerReference r:id="rId21" w:type="default"/>
          <w:footerReference r:id="rId22" w:type="default"/>
          <w:type w:val="continuous"/>
          <w:pgSz w:w="11906" w:h="16838"/>
          <w:pgMar w:top="1588" w:right="1588" w:bottom="1588" w:left="1588" w:header="851" w:footer="992" w:gutter="0"/>
          <w:pgNumType w:fmt="numberInDash"/>
          <w:cols w:space="720" w:num="1"/>
          <w:docGrid w:type="linesAndChars" w:linePitch="312" w:charSpace="0"/>
        </w:sectPr>
      </w:pPr>
    </w:p>
    <w:p>
      <w:pPr>
        <w:keepNext/>
        <w:keepLines/>
        <w:spacing w:before="100" w:beforeAutospacing="1" w:after="100" w:afterAutospacing="1"/>
        <w:jc w:val="center"/>
        <w:outlineLvl w:val="0"/>
        <w:rPr>
          <w:b/>
          <w:sz w:val="44"/>
          <w:szCs w:val="44"/>
        </w:rPr>
      </w:pPr>
      <w:bookmarkStart w:id="542" w:name="_Toc12225"/>
      <w:r>
        <w:rPr>
          <w:b/>
          <w:kern w:val="0"/>
          <w:sz w:val="44"/>
          <w:szCs w:val="44"/>
          <w:lang w:bidi="ar"/>
        </w:rPr>
        <w:t>第</w:t>
      </w:r>
      <w:bookmarkEnd w:id="541"/>
      <w:r>
        <w:rPr>
          <w:b/>
          <w:kern w:val="0"/>
          <w:sz w:val="44"/>
          <w:szCs w:val="44"/>
          <w:lang w:bidi="ar"/>
        </w:rPr>
        <w:t>七章  环境管理与监测计划</w:t>
      </w:r>
      <w:bookmarkEnd w:id="542"/>
    </w:p>
    <w:p>
      <w:pPr>
        <w:keepNext/>
        <w:keepLines/>
        <w:spacing w:before="120" w:after="120" w:line="520" w:lineRule="exact"/>
        <w:outlineLvl w:val="1"/>
        <w:rPr>
          <w:rFonts w:eastAsia="黑体"/>
          <w:sz w:val="28"/>
          <w:szCs w:val="28"/>
        </w:rPr>
      </w:pPr>
      <w:bookmarkStart w:id="543" w:name="_Toc413834601"/>
      <w:bookmarkEnd w:id="543"/>
      <w:bookmarkStart w:id="544" w:name="_Toc472009616"/>
      <w:bookmarkStart w:id="545" w:name="_Toc7011"/>
      <w:r>
        <w:rPr>
          <w:rFonts w:eastAsia="黑体"/>
          <w:kern w:val="0"/>
          <w:sz w:val="28"/>
          <w:szCs w:val="28"/>
          <w:lang w:bidi="ar"/>
        </w:rPr>
        <w:t>7</w:t>
      </w:r>
      <w:bookmarkEnd w:id="544"/>
      <w:r>
        <w:rPr>
          <w:rFonts w:eastAsia="黑体"/>
          <w:kern w:val="0"/>
          <w:sz w:val="28"/>
          <w:szCs w:val="28"/>
          <w:lang w:bidi="ar"/>
        </w:rPr>
        <w:t>.1 环境管理计划</w:t>
      </w:r>
      <w:bookmarkEnd w:id="545"/>
    </w:p>
    <w:p>
      <w:pPr>
        <w:spacing w:line="500" w:lineRule="exact"/>
        <w:ind w:firstLine="480" w:firstLineChars="200"/>
        <w:rPr>
          <w:sz w:val="24"/>
        </w:rPr>
      </w:pPr>
      <w:r>
        <w:rPr>
          <w:kern w:val="0"/>
          <w:sz w:val="24"/>
          <w:lang w:bidi="ar"/>
        </w:rPr>
        <w:t>环境管理是企业管理中的重要组成部分，加大环境监督、管理力度，是实现环境效益、社会效益、经济效益协调发展和坚持走可持续发展道路的重要措施。因此需制定严格的环境管理和环境监测计划，确保建设项目在工程施工和运行期间各项环保治理措施能得到认真落实，做到最大限度的减少污染。</w:t>
      </w:r>
    </w:p>
    <w:p>
      <w:pPr>
        <w:pStyle w:val="2"/>
        <w:spacing w:before="0" w:after="0" w:line="520" w:lineRule="exact"/>
        <w:rPr>
          <w:rFonts w:eastAsia="黑体"/>
          <w:b w:val="0"/>
          <w:sz w:val="24"/>
          <w:szCs w:val="24"/>
        </w:rPr>
      </w:pPr>
      <w:r>
        <w:rPr>
          <w:rFonts w:eastAsia="黑体"/>
          <w:b w:val="0"/>
          <w:sz w:val="24"/>
          <w:szCs w:val="24"/>
        </w:rPr>
        <w:t>7.1.1 环境管理机构</w:t>
      </w:r>
    </w:p>
    <w:p>
      <w:pPr>
        <w:spacing w:line="520" w:lineRule="exact"/>
        <w:ind w:firstLine="570"/>
        <w:rPr>
          <w:sz w:val="24"/>
        </w:rPr>
      </w:pPr>
      <w:r>
        <w:rPr>
          <w:kern w:val="0"/>
          <w:sz w:val="24"/>
          <w:lang w:bidi="ar"/>
        </w:rPr>
        <w:t>本项目的环境管理体系可分为管理机构与监督机构。</w:t>
      </w:r>
    </w:p>
    <w:p>
      <w:pPr>
        <w:spacing w:line="520" w:lineRule="exact"/>
        <w:ind w:firstLine="480" w:firstLineChars="200"/>
        <w:rPr>
          <w:sz w:val="24"/>
        </w:rPr>
      </w:pPr>
      <w:r>
        <w:rPr>
          <w:kern w:val="0"/>
          <w:sz w:val="24"/>
          <w:lang w:bidi="ar"/>
        </w:rPr>
        <w:t>（1）设置与组成</w:t>
      </w:r>
    </w:p>
    <w:p>
      <w:pPr>
        <w:spacing w:line="520" w:lineRule="exact"/>
        <w:ind w:firstLine="560"/>
        <w:rPr>
          <w:sz w:val="24"/>
        </w:rPr>
      </w:pPr>
      <w:r>
        <w:rPr>
          <w:kern w:val="0"/>
          <w:sz w:val="24"/>
          <w:lang w:bidi="ar"/>
        </w:rPr>
        <w:t>根据《建设项目环境保护设计规定》的有关要求和本次工程的实际需要，建设项目的法人单位应成立专门的环境管理机构，负责项目施工、运营期间的安全生产和环境管理工作。环境管理工作由1名副厂长主抓，并配备专职安全、环保管理人员2人负责企业环境管理的日常工作。</w:t>
      </w:r>
    </w:p>
    <w:p>
      <w:pPr>
        <w:spacing w:line="520" w:lineRule="exact"/>
        <w:ind w:firstLine="480" w:firstLineChars="200"/>
        <w:rPr>
          <w:sz w:val="24"/>
        </w:rPr>
      </w:pPr>
      <w:r>
        <w:rPr>
          <w:kern w:val="0"/>
          <w:sz w:val="24"/>
          <w:lang w:bidi="ar"/>
        </w:rPr>
        <w:t>（2）环境管理机构的主要职责如下：</w:t>
      </w:r>
    </w:p>
    <w:p>
      <w:pPr>
        <w:spacing w:line="520" w:lineRule="exact"/>
        <w:ind w:firstLine="600" w:firstLineChars="250"/>
        <w:rPr>
          <w:rFonts w:ascii="宋体" w:hAnsi="宋体"/>
          <w:sz w:val="24"/>
        </w:rPr>
      </w:pPr>
      <w:r>
        <w:rPr>
          <w:rFonts w:ascii="宋体" w:hAnsi="宋体"/>
          <w:kern w:val="0"/>
          <w:sz w:val="24"/>
          <w:lang w:bidi="ar"/>
        </w:rPr>
        <w:t>①贯彻、宣传国家的环保方针、政策和法律法规。</w:t>
      </w:r>
    </w:p>
    <w:p>
      <w:pPr>
        <w:spacing w:line="520" w:lineRule="exact"/>
        <w:ind w:firstLine="600" w:firstLineChars="250"/>
        <w:rPr>
          <w:rFonts w:ascii="宋体" w:hAnsi="宋体"/>
          <w:sz w:val="24"/>
        </w:rPr>
      </w:pPr>
      <w:r>
        <w:rPr>
          <w:rFonts w:ascii="宋体" w:hAnsi="宋体"/>
          <w:kern w:val="0"/>
          <w:sz w:val="24"/>
          <w:lang w:bidi="ar"/>
        </w:rPr>
        <w:t>②制定本厂的环保管理制度。</w:t>
      </w:r>
    </w:p>
    <w:p>
      <w:pPr>
        <w:spacing w:line="520" w:lineRule="exact"/>
        <w:ind w:firstLine="600" w:firstLineChars="250"/>
        <w:rPr>
          <w:rFonts w:ascii="宋体" w:hAnsi="宋体"/>
          <w:sz w:val="24"/>
        </w:rPr>
      </w:pPr>
      <w:r>
        <w:rPr>
          <w:rFonts w:ascii="宋体" w:hAnsi="宋体"/>
          <w:kern w:val="0"/>
          <w:sz w:val="24"/>
          <w:lang w:bidi="ar"/>
        </w:rPr>
        <w:t>③监督检查本项目执行“三同时”规定的情况。</w:t>
      </w:r>
    </w:p>
    <w:p>
      <w:pPr>
        <w:spacing w:line="520" w:lineRule="exact"/>
        <w:ind w:firstLine="600" w:firstLineChars="250"/>
        <w:rPr>
          <w:rFonts w:ascii="宋体" w:hAnsi="宋体"/>
          <w:sz w:val="24"/>
        </w:rPr>
      </w:pPr>
      <w:r>
        <w:rPr>
          <w:rFonts w:ascii="宋体" w:hAnsi="宋体"/>
          <w:kern w:val="0"/>
          <w:sz w:val="24"/>
          <w:lang w:bidi="ar"/>
        </w:rPr>
        <w:t>④定期进行环保设备检查、维修和保养工作，确保环保设施长期、稳定、达标运转。</w:t>
      </w:r>
    </w:p>
    <w:p>
      <w:pPr>
        <w:spacing w:line="520" w:lineRule="exact"/>
        <w:ind w:firstLine="600" w:firstLineChars="250"/>
        <w:rPr>
          <w:rFonts w:ascii="宋体" w:hAnsi="宋体"/>
          <w:sz w:val="24"/>
        </w:rPr>
      </w:pPr>
      <w:r>
        <w:rPr>
          <w:rFonts w:ascii="宋体" w:hAnsi="宋体"/>
          <w:kern w:val="0"/>
          <w:sz w:val="24"/>
          <w:lang w:bidi="ar"/>
        </w:rPr>
        <w:t>⑤负责养殖场环保设施的日常运行管理工作，制定事故防范措施。</w:t>
      </w:r>
    </w:p>
    <w:p>
      <w:pPr>
        <w:spacing w:line="520" w:lineRule="exact"/>
        <w:ind w:firstLine="600" w:firstLineChars="250"/>
        <w:rPr>
          <w:rFonts w:ascii="宋体" w:hAnsi="宋体"/>
          <w:sz w:val="24"/>
        </w:rPr>
      </w:pPr>
      <w:r>
        <w:rPr>
          <w:rFonts w:ascii="宋体" w:hAnsi="宋体"/>
          <w:kern w:val="0"/>
          <w:sz w:val="24"/>
          <w:lang w:bidi="ar"/>
        </w:rPr>
        <w:t>⑥负责对场内环保人员和附近居民进行环境保护教育，不断提高居民的环境意识和环保人员的业务素质。</w:t>
      </w:r>
    </w:p>
    <w:p>
      <w:pPr>
        <w:spacing w:line="520" w:lineRule="exact"/>
        <w:ind w:firstLine="600" w:firstLineChars="250"/>
        <w:rPr>
          <w:sz w:val="24"/>
        </w:rPr>
      </w:pPr>
      <w:r>
        <w:rPr>
          <w:kern w:val="0"/>
          <w:sz w:val="24"/>
          <w:lang w:bidi="ar"/>
        </w:rPr>
        <w:t>（3）废气排放口规范化设置</w:t>
      </w:r>
    </w:p>
    <w:p>
      <w:pPr>
        <w:spacing w:line="520" w:lineRule="exact"/>
        <w:ind w:firstLine="480" w:firstLineChars="200"/>
        <w:rPr>
          <w:sz w:val="24"/>
        </w:rPr>
      </w:pPr>
      <w:r>
        <w:rPr>
          <w:kern w:val="0"/>
          <w:sz w:val="24"/>
          <w:lang w:bidi="ar"/>
        </w:rPr>
        <w:t>废气排放口应进行规范化设计，具备采样、监测条件，排放口附近树立环保图形标志牌。按照国家环境保护总局制定的《〈环境保护图形标志〉实施细则（试行）》（环监[1996]463号）的规定，在排污口设立相应的环境保护图形标志牌。排污口环境保护图形标志见表7.1-1。</w:t>
      </w:r>
    </w:p>
    <w:p>
      <w:pPr>
        <w:adjustRightInd w:val="0"/>
        <w:snapToGrid w:val="0"/>
        <w:spacing w:line="520" w:lineRule="exact"/>
        <w:jc w:val="center"/>
        <w:rPr>
          <w:b/>
          <w:sz w:val="24"/>
        </w:rPr>
      </w:pPr>
      <w:r>
        <w:rPr>
          <w:b/>
          <w:kern w:val="0"/>
          <w:sz w:val="24"/>
          <w:lang w:bidi="ar"/>
        </w:rPr>
        <w:t>表7.1-1    排污口环境保护图形标志</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57" w:type="dxa"/>
          <w:left w:w="108" w:type="dxa"/>
          <w:bottom w:w="57" w:type="dxa"/>
          <w:right w:w="108" w:type="dxa"/>
        </w:tblCellMar>
      </w:tblPr>
      <w:tblGrid>
        <w:gridCol w:w="4119"/>
        <w:gridCol w:w="482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97" w:hRule="atLeast"/>
          <w:jc w:val="center"/>
        </w:trPr>
        <w:tc>
          <w:tcPr>
            <w:tcW w:w="4119" w:type="dxa"/>
            <w:noWrap w:val="0"/>
            <w:vAlign w:val="center"/>
          </w:tcPr>
          <w:p>
            <w:pPr>
              <w:snapToGrid w:val="0"/>
              <w:jc w:val="center"/>
              <w:rPr>
                <w:b/>
                <w:szCs w:val="21"/>
              </w:rPr>
            </w:pPr>
            <w:r>
              <w:rPr>
                <w:b/>
                <w:kern w:val="0"/>
                <w:szCs w:val="21"/>
                <w:lang w:bidi="ar"/>
              </w:rPr>
              <w:t>排放口名称</w:t>
            </w:r>
          </w:p>
        </w:tc>
        <w:tc>
          <w:tcPr>
            <w:tcW w:w="4827" w:type="dxa"/>
            <w:noWrap w:val="0"/>
            <w:vAlign w:val="center"/>
          </w:tcPr>
          <w:p>
            <w:pPr>
              <w:snapToGrid w:val="0"/>
              <w:jc w:val="center"/>
              <w:rPr>
                <w:b/>
                <w:szCs w:val="21"/>
              </w:rPr>
            </w:pPr>
            <w:r>
              <w:rPr>
                <w:b/>
                <w:kern w:val="0"/>
                <w:szCs w:val="21"/>
                <w:lang w:bidi="ar"/>
              </w:rPr>
              <w:t>图形标志</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97" w:hRule="atLeast"/>
          <w:jc w:val="center"/>
        </w:trPr>
        <w:tc>
          <w:tcPr>
            <w:tcW w:w="4119" w:type="dxa"/>
            <w:noWrap w:val="0"/>
            <w:vAlign w:val="center"/>
          </w:tcPr>
          <w:p>
            <w:pPr>
              <w:snapToGrid w:val="0"/>
              <w:jc w:val="center"/>
              <w:rPr>
                <w:szCs w:val="21"/>
              </w:rPr>
            </w:pPr>
            <w:r>
              <w:rPr>
                <w:kern w:val="0"/>
                <w:szCs w:val="21"/>
                <w:lang w:bidi="ar"/>
              </w:rPr>
              <w:t>排气筒</w:t>
            </w:r>
          </w:p>
        </w:tc>
        <w:tc>
          <w:tcPr>
            <w:tcW w:w="4827" w:type="dxa"/>
            <w:noWrap w:val="0"/>
            <w:vAlign w:val="center"/>
          </w:tcPr>
          <w:p>
            <w:pPr>
              <w:snapToGrid w:val="0"/>
              <w:ind w:firstLine="86"/>
              <w:jc w:val="center"/>
              <w:rPr>
                <w:snapToGrid w:val="0"/>
              </w:rPr>
            </w:pPr>
            <w:r>
              <w:rPr>
                <w:kern w:val="0"/>
                <w:szCs w:val="21"/>
                <w:lang w:bidi="ar"/>
              </w:rPr>
              <w:fldChar w:fldCharType="begin"/>
            </w:r>
            <w:r>
              <w:rPr>
                <w:kern w:val="0"/>
                <w:szCs w:val="21"/>
                <w:lang w:bidi="ar"/>
              </w:rPr>
              <w:instrText xml:space="preserve"> HYPERLINK "http://www.biaozhi.net/eNews/news/200602/0029_0000000907.shtml" </w:instrText>
            </w:r>
            <w:r>
              <w:rPr>
                <w:kern w:val="0"/>
                <w:szCs w:val="21"/>
                <w:lang w:bidi="ar"/>
              </w:rPr>
              <w:fldChar w:fldCharType="separate"/>
            </w:r>
            <w:r>
              <w:rPr>
                <w:szCs w:val="21"/>
              </w:rPr>
              <w:fldChar w:fldCharType="begin"/>
            </w:r>
            <w:r>
              <w:rPr>
                <w:szCs w:val="21"/>
              </w:rPr>
              <w:instrText xml:space="preserve"> INCLUDEPICTURE "C:\\Users\\Administrator\\AppData\\Roaming\\acer\\AppData\\Local\\Temp\\ksohtml\\wps5281.tmp.jpg" \* MERGEFORMAT \d </w:instrText>
            </w:r>
            <w:r>
              <w:rPr>
                <w:szCs w:val="21"/>
              </w:rPr>
              <w:fldChar w:fldCharType="separate"/>
            </w:r>
            <w:r>
              <w:rPr>
                <w:rStyle w:val="19"/>
                <w:color w:val="auto"/>
                <w:szCs w:val="21"/>
              </w:rPr>
              <w:drawing>
                <wp:inline distT="0" distB="0" distL="114300" distR="114300">
                  <wp:extent cx="524510" cy="524510"/>
                  <wp:effectExtent l="0" t="0" r="8890" b="8890"/>
                  <wp:docPr id="83" name="图片 37"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7" descr="IMG_270"/>
                          <pic:cNvPicPr>
                            <a:picLocks noChangeAspect="1"/>
                          </pic:cNvPicPr>
                        </pic:nvPicPr>
                        <pic:blipFill>
                          <a:blip r:embed="rId55"/>
                          <a:stretch>
                            <a:fillRect/>
                          </a:stretch>
                        </pic:blipFill>
                        <pic:spPr>
                          <a:xfrm>
                            <a:off x="0" y="0"/>
                            <a:ext cx="524510" cy="524510"/>
                          </a:xfrm>
                          <a:prstGeom prst="rect">
                            <a:avLst/>
                          </a:prstGeom>
                          <a:noFill/>
                          <a:ln>
                            <a:noFill/>
                          </a:ln>
                        </pic:spPr>
                      </pic:pic>
                    </a:graphicData>
                  </a:graphic>
                </wp:inline>
              </w:drawing>
            </w:r>
            <w:r>
              <w:rPr>
                <w:szCs w:val="21"/>
              </w:rPr>
              <w:fldChar w:fldCharType="end"/>
            </w:r>
            <w:r>
              <w:rPr>
                <w:kern w:val="0"/>
                <w:szCs w:val="21"/>
                <w:lang w:bidi="ar"/>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97" w:hRule="atLeast"/>
          <w:jc w:val="center"/>
        </w:trPr>
        <w:tc>
          <w:tcPr>
            <w:tcW w:w="4119" w:type="dxa"/>
            <w:noWrap w:val="0"/>
            <w:vAlign w:val="center"/>
          </w:tcPr>
          <w:p>
            <w:pPr>
              <w:snapToGrid w:val="0"/>
              <w:jc w:val="center"/>
              <w:rPr>
                <w:szCs w:val="21"/>
              </w:rPr>
            </w:pPr>
            <w:r>
              <w:rPr>
                <w:kern w:val="0"/>
                <w:szCs w:val="21"/>
                <w:lang w:bidi="ar"/>
              </w:rPr>
              <w:t>噪声源</w:t>
            </w:r>
          </w:p>
        </w:tc>
        <w:tc>
          <w:tcPr>
            <w:tcW w:w="4827" w:type="dxa"/>
            <w:noWrap w:val="0"/>
            <w:vAlign w:val="center"/>
          </w:tcPr>
          <w:p>
            <w:pPr>
              <w:snapToGrid w:val="0"/>
              <w:ind w:firstLine="86"/>
              <w:jc w:val="center"/>
              <w:rPr>
                <w:snapToGrid w:val="0"/>
              </w:rPr>
            </w:pPr>
            <w:r>
              <w:rPr>
                <w:kern w:val="0"/>
                <w:szCs w:val="21"/>
                <w:lang w:bidi="ar"/>
              </w:rPr>
              <w:fldChar w:fldCharType="begin"/>
            </w:r>
            <w:r>
              <w:rPr>
                <w:kern w:val="0"/>
                <w:szCs w:val="21"/>
                <w:lang w:bidi="ar"/>
              </w:rPr>
              <w:instrText xml:space="preserve"> HYPERLINK "http://www.biaozhi.net/eNews/news/200602/0029_0000000909.shtml" </w:instrText>
            </w:r>
            <w:r>
              <w:rPr>
                <w:kern w:val="0"/>
                <w:szCs w:val="21"/>
                <w:lang w:bidi="ar"/>
              </w:rPr>
              <w:fldChar w:fldCharType="separate"/>
            </w:r>
            <w:r>
              <w:rPr>
                <w:szCs w:val="21"/>
              </w:rPr>
              <w:fldChar w:fldCharType="begin"/>
            </w:r>
            <w:r>
              <w:rPr>
                <w:szCs w:val="21"/>
              </w:rPr>
              <w:instrText xml:space="preserve"> INCLUDEPICTURE "C:\\Users\\Administrator\\AppData\\Roaming\\acer\\AppData\\Local\\Temp\\ksohtml\\wps5282.tmp.jpg" \* MERGEFORMAT \d </w:instrText>
            </w:r>
            <w:r>
              <w:rPr>
                <w:szCs w:val="21"/>
              </w:rPr>
              <w:fldChar w:fldCharType="separate"/>
            </w:r>
            <w:r>
              <w:rPr>
                <w:rStyle w:val="19"/>
                <w:color w:val="auto"/>
                <w:szCs w:val="21"/>
              </w:rPr>
              <w:drawing>
                <wp:inline distT="0" distB="0" distL="114300" distR="114300">
                  <wp:extent cx="524510" cy="524510"/>
                  <wp:effectExtent l="0" t="0" r="8890" b="8890"/>
                  <wp:docPr id="84" name="图片 38"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8" descr="IMG_271"/>
                          <pic:cNvPicPr>
                            <a:picLocks noChangeAspect="1"/>
                          </pic:cNvPicPr>
                        </pic:nvPicPr>
                        <pic:blipFill>
                          <a:blip r:embed="rId56"/>
                          <a:stretch>
                            <a:fillRect/>
                          </a:stretch>
                        </pic:blipFill>
                        <pic:spPr>
                          <a:xfrm>
                            <a:off x="0" y="0"/>
                            <a:ext cx="524510" cy="524510"/>
                          </a:xfrm>
                          <a:prstGeom prst="rect">
                            <a:avLst/>
                          </a:prstGeom>
                          <a:noFill/>
                          <a:ln>
                            <a:noFill/>
                          </a:ln>
                        </pic:spPr>
                      </pic:pic>
                    </a:graphicData>
                  </a:graphic>
                </wp:inline>
              </w:drawing>
            </w:r>
            <w:r>
              <w:rPr>
                <w:szCs w:val="21"/>
              </w:rPr>
              <w:fldChar w:fldCharType="end"/>
            </w:r>
            <w:r>
              <w:rPr>
                <w:kern w:val="0"/>
                <w:szCs w:val="21"/>
                <w:lang w:bidi="ar"/>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97" w:hRule="atLeast"/>
          <w:jc w:val="center"/>
        </w:trPr>
        <w:tc>
          <w:tcPr>
            <w:tcW w:w="4119" w:type="dxa"/>
            <w:noWrap w:val="0"/>
            <w:vAlign w:val="center"/>
          </w:tcPr>
          <w:p>
            <w:pPr>
              <w:snapToGrid w:val="0"/>
              <w:jc w:val="center"/>
              <w:rPr>
                <w:szCs w:val="21"/>
              </w:rPr>
            </w:pPr>
            <w:r>
              <w:rPr>
                <w:kern w:val="0"/>
                <w:szCs w:val="21"/>
                <w:lang w:bidi="ar"/>
              </w:rPr>
              <w:t>固废堆放场所</w:t>
            </w:r>
          </w:p>
        </w:tc>
        <w:tc>
          <w:tcPr>
            <w:tcW w:w="4827" w:type="dxa"/>
            <w:noWrap w:val="0"/>
            <w:vAlign w:val="center"/>
          </w:tcPr>
          <w:p>
            <w:pPr>
              <w:snapToGrid w:val="0"/>
              <w:ind w:firstLine="102"/>
              <w:jc w:val="center"/>
              <w:rPr>
                <w:snapToGrid w:val="0"/>
              </w:rPr>
            </w:pPr>
            <w:r>
              <w:rPr>
                <w:kern w:val="0"/>
                <w:szCs w:val="21"/>
                <w:lang w:bidi="ar"/>
              </w:rPr>
              <w:fldChar w:fldCharType="begin"/>
            </w:r>
            <w:r>
              <w:rPr>
                <w:kern w:val="0"/>
                <w:szCs w:val="21"/>
                <w:lang w:bidi="ar"/>
              </w:rPr>
              <w:instrText xml:space="preserve"> HYPERLINK "http://www.biaozhi.net/eNews/news/200602/0030_0000002014.shtml" </w:instrText>
            </w:r>
            <w:r>
              <w:rPr>
                <w:kern w:val="0"/>
                <w:szCs w:val="21"/>
                <w:lang w:bidi="ar"/>
              </w:rPr>
              <w:fldChar w:fldCharType="separate"/>
            </w:r>
            <w:bookmarkStart w:id="546" w:name="_Hlt406402449"/>
            <w:bookmarkEnd w:id="546"/>
            <w:r>
              <w:rPr>
                <w:szCs w:val="21"/>
              </w:rPr>
              <w:fldChar w:fldCharType="begin"/>
            </w:r>
            <w:r>
              <w:rPr>
                <w:szCs w:val="21"/>
              </w:rPr>
              <w:instrText xml:space="preserve"> INCLUDEPICTURE "C:\\Users\\Administrator\\AppData\\Roaming\\acer\\AppData\\Local\\Temp\\ksohtml\\wps5293.tmp.png" \* MERGEFORMAT \d </w:instrText>
            </w:r>
            <w:r>
              <w:rPr>
                <w:szCs w:val="21"/>
              </w:rPr>
              <w:fldChar w:fldCharType="separate"/>
            </w:r>
            <w:r>
              <w:rPr>
                <w:rStyle w:val="19"/>
                <w:color w:val="auto"/>
                <w:szCs w:val="21"/>
              </w:rPr>
              <w:drawing>
                <wp:inline distT="0" distB="0" distL="114300" distR="114300">
                  <wp:extent cx="514985" cy="505460"/>
                  <wp:effectExtent l="0" t="0" r="18415" b="8890"/>
                  <wp:docPr id="85" name="图片 39"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9" descr="IMG_272"/>
                          <pic:cNvPicPr>
                            <a:picLocks noChangeAspect="1"/>
                          </pic:cNvPicPr>
                        </pic:nvPicPr>
                        <pic:blipFill>
                          <a:blip r:embed="rId57"/>
                          <a:stretch>
                            <a:fillRect/>
                          </a:stretch>
                        </pic:blipFill>
                        <pic:spPr>
                          <a:xfrm>
                            <a:off x="0" y="0"/>
                            <a:ext cx="514985" cy="505460"/>
                          </a:xfrm>
                          <a:prstGeom prst="rect">
                            <a:avLst/>
                          </a:prstGeom>
                          <a:noFill/>
                          <a:ln>
                            <a:noFill/>
                          </a:ln>
                        </pic:spPr>
                      </pic:pic>
                    </a:graphicData>
                  </a:graphic>
                </wp:inline>
              </w:drawing>
            </w:r>
            <w:r>
              <w:rPr>
                <w:szCs w:val="21"/>
              </w:rPr>
              <w:fldChar w:fldCharType="end"/>
            </w:r>
            <w:r>
              <w:rPr>
                <w:kern w:val="0"/>
                <w:szCs w:val="21"/>
                <w:lang w:bidi="ar"/>
              </w:rPr>
              <w:fldChar w:fldCharType="end"/>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57" w:type="dxa"/>
            <w:left w:w="108" w:type="dxa"/>
            <w:bottom w:w="57" w:type="dxa"/>
            <w:right w:w="108" w:type="dxa"/>
          </w:tblCellMar>
        </w:tblPrEx>
        <w:trPr>
          <w:trHeight w:val="397" w:hRule="atLeast"/>
          <w:jc w:val="center"/>
        </w:trPr>
        <w:tc>
          <w:tcPr>
            <w:tcW w:w="4119" w:type="dxa"/>
            <w:noWrap w:val="0"/>
            <w:vAlign w:val="center"/>
          </w:tcPr>
          <w:p>
            <w:pPr>
              <w:snapToGrid w:val="0"/>
              <w:jc w:val="center"/>
              <w:rPr>
                <w:szCs w:val="21"/>
              </w:rPr>
            </w:pPr>
            <w:r>
              <w:rPr>
                <w:kern w:val="0"/>
                <w:szCs w:val="21"/>
                <w:lang w:bidi="ar"/>
              </w:rPr>
              <w:t>危险废物</w:t>
            </w:r>
          </w:p>
        </w:tc>
        <w:tc>
          <w:tcPr>
            <w:tcW w:w="4827" w:type="dxa"/>
            <w:noWrap w:val="0"/>
            <w:vAlign w:val="center"/>
          </w:tcPr>
          <w:p>
            <w:pPr>
              <w:snapToGrid w:val="0"/>
              <w:ind w:firstLine="102"/>
              <w:jc w:val="center"/>
              <w:rPr>
                <w:szCs w:val="21"/>
              </w:rPr>
            </w:pPr>
            <w:r>
              <w:rPr>
                <w:kern w:val="0"/>
                <w:szCs w:val="21"/>
                <w:lang w:bidi="ar"/>
              </w:rPr>
              <w:drawing>
                <wp:inline distT="0" distB="0" distL="114300" distR="114300">
                  <wp:extent cx="741680" cy="676910"/>
                  <wp:effectExtent l="0" t="0" r="1270" b="8890"/>
                  <wp:docPr id="86" name="图片 40" descr="QQ截图2019101817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0" descr="QQ截图20191018172124"/>
                          <pic:cNvPicPr>
                            <a:picLocks noChangeAspect="1"/>
                          </pic:cNvPicPr>
                        </pic:nvPicPr>
                        <pic:blipFill>
                          <a:blip r:embed="rId58"/>
                          <a:stretch>
                            <a:fillRect/>
                          </a:stretch>
                        </pic:blipFill>
                        <pic:spPr>
                          <a:xfrm>
                            <a:off x="0" y="0"/>
                            <a:ext cx="741680" cy="676910"/>
                          </a:xfrm>
                          <a:prstGeom prst="rect">
                            <a:avLst/>
                          </a:prstGeom>
                          <a:noFill/>
                          <a:ln>
                            <a:noFill/>
                          </a:ln>
                        </pic:spPr>
                      </pic:pic>
                    </a:graphicData>
                  </a:graphic>
                </wp:inline>
              </w:drawing>
            </w:r>
          </w:p>
        </w:tc>
      </w:tr>
    </w:tbl>
    <w:p>
      <w:pPr>
        <w:spacing w:line="500" w:lineRule="exact"/>
        <w:ind w:firstLine="480" w:firstLineChars="200"/>
        <w:rPr>
          <w:sz w:val="24"/>
        </w:rPr>
      </w:pPr>
      <w:r>
        <w:rPr>
          <w:kern w:val="0"/>
          <w:sz w:val="24"/>
          <w:lang w:bidi="ar"/>
        </w:rPr>
        <w:t>危险废物及生活垃圾堆放场所，必须有防火、防腐蚀、防流失等措施，并应设置标志牌。</w:t>
      </w:r>
    </w:p>
    <w:p>
      <w:pPr>
        <w:pStyle w:val="2"/>
        <w:spacing w:before="0" w:after="0" w:line="520" w:lineRule="exact"/>
        <w:rPr>
          <w:rFonts w:eastAsia="黑体"/>
          <w:b w:val="0"/>
          <w:sz w:val="24"/>
          <w:szCs w:val="24"/>
        </w:rPr>
      </w:pPr>
      <w:r>
        <w:rPr>
          <w:rFonts w:eastAsia="黑体"/>
          <w:b w:val="0"/>
          <w:sz w:val="24"/>
          <w:szCs w:val="24"/>
        </w:rPr>
        <w:t>7.1.2 环境管理计划</w:t>
      </w:r>
    </w:p>
    <w:p>
      <w:pPr>
        <w:spacing w:line="500" w:lineRule="exact"/>
        <w:ind w:firstLine="480" w:firstLineChars="200"/>
        <w:rPr>
          <w:sz w:val="24"/>
        </w:rPr>
      </w:pPr>
      <w:r>
        <w:rPr>
          <w:kern w:val="0"/>
          <w:sz w:val="24"/>
          <w:lang w:bidi="ar"/>
        </w:rPr>
        <w:t>本项目环境管理计划见表7.1-2。</w:t>
      </w:r>
    </w:p>
    <w:p>
      <w:pPr>
        <w:adjustRightInd w:val="0"/>
        <w:snapToGrid w:val="0"/>
        <w:spacing w:after="93" w:afterLines="30" w:line="500" w:lineRule="exact"/>
        <w:jc w:val="center"/>
        <w:rPr>
          <w:b/>
          <w:sz w:val="24"/>
        </w:rPr>
      </w:pPr>
      <w:r>
        <w:rPr>
          <w:b/>
          <w:kern w:val="0"/>
          <w:sz w:val="24"/>
          <w:lang w:bidi="ar"/>
        </w:rPr>
        <w:t>表7.1-2    本项目环境管理计划</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122"/>
        <w:gridCol w:w="5023"/>
        <w:gridCol w:w="195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548" w:type="dxa"/>
            <w:gridSpan w:val="2"/>
            <w:noWrap w:val="0"/>
            <w:vAlign w:val="center"/>
          </w:tcPr>
          <w:p>
            <w:pPr>
              <w:spacing w:line="360" w:lineRule="exact"/>
              <w:jc w:val="center"/>
              <w:rPr>
                <w:szCs w:val="21"/>
              </w:rPr>
            </w:pPr>
            <w:r>
              <w:rPr>
                <w:kern w:val="0"/>
                <w:szCs w:val="21"/>
                <w:lang w:bidi="ar"/>
              </w:rPr>
              <w:t>环境问题</w:t>
            </w:r>
          </w:p>
        </w:tc>
        <w:tc>
          <w:tcPr>
            <w:tcW w:w="5023" w:type="dxa"/>
            <w:noWrap w:val="0"/>
            <w:vAlign w:val="center"/>
          </w:tcPr>
          <w:p>
            <w:pPr>
              <w:spacing w:line="360" w:lineRule="exact"/>
              <w:jc w:val="center"/>
              <w:rPr>
                <w:szCs w:val="21"/>
              </w:rPr>
            </w:pPr>
            <w:r>
              <w:rPr>
                <w:kern w:val="0"/>
                <w:szCs w:val="21"/>
                <w:lang w:bidi="ar"/>
              </w:rPr>
              <w:t>管理措施</w:t>
            </w:r>
          </w:p>
        </w:tc>
        <w:tc>
          <w:tcPr>
            <w:tcW w:w="1951" w:type="dxa"/>
            <w:noWrap w:val="0"/>
            <w:vAlign w:val="center"/>
          </w:tcPr>
          <w:p>
            <w:pPr>
              <w:spacing w:line="360" w:lineRule="exact"/>
              <w:jc w:val="center"/>
              <w:rPr>
                <w:szCs w:val="21"/>
              </w:rPr>
            </w:pPr>
            <w:r>
              <w:rPr>
                <w:kern w:val="0"/>
                <w:szCs w:val="21"/>
                <w:lang w:bidi="ar"/>
              </w:rPr>
              <w:t>实施机构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restart"/>
            <w:noWrap w:val="0"/>
            <w:vAlign w:val="center"/>
          </w:tcPr>
          <w:p>
            <w:pPr>
              <w:spacing w:line="360" w:lineRule="exact"/>
              <w:jc w:val="center"/>
              <w:rPr>
                <w:szCs w:val="21"/>
              </w:rPr>
            </w:pPr>
            <w:r>
              <w:rPr>
                <w:kern w:val="0"/>
                <w:szCs w:val="21"/>
                <w:lang w:bidi="ar"/>
              </w:rPr>
              <w:t>施</w:t>
            </w:r>
          </w:p>
          <w:p>
            <w:pPr>
              <w:spacing w:line="360" w:lineRule="exact"/>
              <w:jc w:val="center"/>
              <w:rPr>
                <w:szCs w:val="21"/>
              </w:rPr>
            </w:pPr>
            <w:r>
              <w:rPr>
                <w:kern w:val="0"/>
                <w:szCs w:val="21"/>
                <w:lang w:bidi="ar"/>
              </w:rPr>
              <w:t>工</w:t>
            </w:r>
          </w:p>
          <w:p>
            <w:pPr>
              <w:spacing w:line="360" w:lineRule="exact"/>
              <w:jc w:val="center"/>
              <w:rPr>
                <w:szCs w:val="21"/>
              </w:rPr>
            </w:pPr>
            <w:r>
              <w:rPr>
                <w:kern w:val="0"/>
                <w:szCs w:val="21"/>
                <w:lang w:bidi="ar"/>
              </w:rPr>
              <w:t>期</w:t>
            </w:r>
          </w:p>
        </w:tc>
        <w:tc>
          <w:tcPr>
            <w:tcW w:w="1122" w:type="dxa"/>
            <w:noWrap w:val="0"/>
            <w:vAlign w:val="center"/>
          </w:tcPr>
          <w:p>
            <w:pPr>
              <w:spacing w:line="360" w:lineRule="exact"/>
              <w:jc w:val="center"/>
              <w:rPr>
                <w:szCs w:val="21"/>
              </w:rPr>
            </w:pPr>
            <w:r>
              <w:rPr>
                <w:kern w:val="0"/>
                <w:szCs w:val="21"/>
                <w:lang w:bidi="ar"/>
              </w:rPr>
              <w:t>粉尘、扬尘污染</w:t>
            </w:r>
          </w:p>
        </w:tc>
        <w:tc>
          <w:tcPr>
            <w:tcW w:w="5023" w:type="dxa"/>
            <w:noWrap w:val="0"/>
            <w:vAlign w:val="center"/>
          </w:tcPr>
          <w:p>
            <w:pPr>
              <w:spacing w:line="360" w:lineRule="exact"/>
              <w:jc w:val="center"/>
              <w:rPr>
                <w:szCs w:val="21"/>
              </w:rPr>
            </w:pPr>
            <w:r>
              <w:rPr>
                <w:kern w:val="0"/>
                <w:szCs w:val="21"/>
                <w:lang w:bidi="ar"/>
              </w:rPr>
              <w:t>1.采取合理的措施，包括施工场地洒水，以降低施工对周围大气TSP污染，特别靠近敏感点的地方；</w:t>
            </w:r>
          </w:p>
          <w:p>
            <w:pPr>
              <w:spacing w:line="360" w:lineRule="exact"/>
              <w:jc w:val="center"/>
              <w:rPr>
                <w:szCs w:val="21"/>
              </w:rPr>
            </w:pPr>
            <w:r>
              <w:rPr>
                <w:kern w:val="0"/>
                <w:szCs w:val="21"/>
                <w:lang w:bidi="ar"/>
              </w:rPr>
              <w:t>2.运送建筑材料的车辆须用帆布遮盖；</w:t>
            </w:r>
          </w:p>
          <w:p>
            <w:pPr>
              <w:spacing w:line="360" w:lineRule="exact"/>
              <w:jc w:val="center"/>
              <w:rPr>
                <w:szCs w:val="21"/>
              </w:rPr>
            </w:pPr>
            <w:r>
              <w:rPr>
                <w:kern w:val="0"/>
                <w:szCs w:val="21"/>
                <w:lang w:bidi="ar"/>
              </w:rPr>
              <w:t>3.搅拌设备需良好密封并将安装除尘装置；</w:t>
            </w:r>
          </w:p>
        </w:tc>
        <w:tc>
          <w:tcPr>
            <w:tcW w:w="1951" w:type="dxa"/>
            <w:noWrap w:val="0"/>
            <w:vAlign w:val="center"/>
          </w:tcPr>
          <w:p>
            <w:pPr>
              <w:spacing w:line="360" w:lineRule="exact"/>
              <w:jc w:val="center"/>
              <w:rPr>
                <w:szCs w:val="21"/>
              </w:rPr>
            </w:pPr>
            <w:r>
              <w:rPr>
                <w:rFonts w:hint="eastAsia"/>
                <w:kern w:val="0"/>
                <w:szCs w:val="21"/>
                <w:lang w:bidi="ar"/>
              </w:rPr>
              <w:t>建设单位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pPr>
              <w:jc w:val="center"/>
              <w:rPr>
                <w:sz w:val="20"/>
                <w:szCs w:val="20"/>
              </w:rPr>
            </w:pPr>
          </w:p>
        </w:tc>
        <w:tc>
          <w:tcPr>
            <w:tcW w:w="1122" w:type="dxa"/>
            <w:noWrap w:val="0"/>
            <w:vAlign w:val="center"/>
          </w:tcPr>
          <w:p>
            <w:pPr>
              <w:spacing w:line="360" w:lineRule="exact"/>
              <w:jc w:val="center"/>
              <w:rPr>
                <w:szCs w:val="21"/>
              </w:rPr>
            </w:pPr>
            <w:r>
              <w:rPr>
                <w:kern w:val="0"/>
                <w:szCs w:val="21"/>
                <w:lang w:bidi="ar"/>
              </w:rPr>
              <w:t>噪声</w:t>
            </w:r>
          </w:p>
        </w:tc>
        <w:tc>
          <w:tcPr>
            <w:tcW w:w="5023" w:type="dxa"/>
            <w:noWrap w:val="0"/>
            <w:vAlign w:val="center"/>
          </w:tcPr>
          <w:p>
            <w:pPr>
              <w:spacing w:line="360" w:lineRule="exact"/>
              <w:jc w:val="center"/>
              <w:rPr>
                <w:szCs w:val="21"/>
              </w:rPr>
            </w:pPr>
            <w:r>
              <w:rPr>
                <w:kern w:val="0"/>
                <w:szCs w:val="21"/>
                <w:lang w:bidi="ar"/>
              </w:rPr>
              <w:t>1.严格执行《建筑施工场界环境噪声排放标准》（GB12523-2011），确保施工期间场界噪声达标；</w:t>
            </w:r>
          </w:p>
          <w:p>
            <w:pPr>
              <w:spacing w:line="360" w:lineRule="exact"/>
              <w:jc w:val="center"/>
              <w:rPr>
                <w:szCs w:val="21"/>
              </w:rPr>
            </w:pPr>
            <w:r>
              <w:rPr>
                <w:kern w:val="0"/>
                <w:szCs w:val="21"/>
                <w:lang w:bidi="ar"/>
              </w:rPr>
              <w:t>2.加强对机械和车辆的维修，保持其较低噪声水平；</w:t>
            </w:r>
          </w:p>
        </w:tc>
        <w:tc>
          <w:tcPr>
            <w:tcW w:w="1951" w:type="dxa"/>
            <w:noWrap w:val="0"/>
            <w:vAlign w:val="center"/>
          </w:tcPr>
          <w:p>
            <w:pPr>
              <w:spacing w:line="360" w:lineRule="exact"/>
              <w:jc w:val="center"/>
              <w:rPr>
                <w:szCs w:val="21"/>
              </w:rPr>
            </w:pPr>
            <w:r>
              <w:rPr>
                <w:rFonts w:hint="eastAsia"/>
                <w:kern w:val="0"/>
                <w:szCs w:val="21"/>
                <w:lang w:bidi="ar"/>
              </w:rPr>
              <w:t>建设单位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pPr>
              <w:jc w:val="center"/>
              <w:rPr>
                <w:sz w:val="20"/>
                <w:szCs w:val="20"/>
              </w:rPr>
            </w:pPr>
          </w:p>
        </w:tc>
        <w:tc>
          <w:tcPr>
            <w:tcW w:w="1122" w:type="dxa"/>
            <w:noWrap w:val="0"/>
            <w:vAlign w:val="center"/>
          </w:tcPr>
          <w:p>
            <w:pPr>
              <w:spacing w:line="360" w:lineRule="exact"/>
              <w:jc w:val="center"/>
              <w:rPr>
                <w:szCs w:val="21"/>
              </w:rPr>
            </w:pPr>
            <w:r>
              <w:rPr>
                <w:kern w:val="0"/>
                <w:szCs w:val="21"/>
                <w:lang w:bidi="ar"/>
              </w:rPr>
              <w:t>固体废物</w:t>
            </w:r>
          </w:p>
        </w:tc>
        <w:tc>
          <w:tcPr>
            <w:tcW w:w="5023" w:type="dxa"/>
            <w:noWrap w:val="0"/>
            <w:vAlign w:val="center"/>
          </w:tcPr>
          <w:p>
            <w:pPr>
              <w:spacing w:line="360" w:lineRule="exact"/>
              <w:jc w:val="center"/>
              <w:rPr>
                <w:szCs w:val="21"/>
              </w:rPr>
            </w:pPr>
            <w:r>
              <w:rPr>
                <w:kern w:val="0"/>
                <w:szCs w:val="21"/>
                <w:lang w:bidi="ar"/>
              </w:rPr>
              <w:t>1.开挖土石方就近填坑筑路，实现挖填平衡；</w:t>
            </w:r>
          </w:p>
          <w:p>
            <w:pPr>
              <w:spacing w:line="360" w:lineRule="exact"/>
              <w:jc w:val="center"/>
              <w:rPr>
                <w:szCs w:val="21"/>
              </w:rPr>
            </w:pPr>
            <w:r>
              <w:rPr>
                <w:kern w:val="0"/>
                <w:szCs w:val="21"/>
                <w:lang w:bidi="ar"/>
              </w:rPr>
              <w:t>2.多余建筑垃圾、生活垃圾及时清运；</w:t>
            </w:r>
          </w:p>
        </w:tc>
        <w:tc>
          <w:tcPr>
            <w:tcW w:w="1951" w:type="dxa"/>
            <w:noWrap w:val="0"/>
            <w:vAlign w:val="center"/>
          </w:tcPr>
          <w:p>
            <w:pPr>
              <w:spacing w:line="360" w:lineRule="exact"/>
              <w:jc w:val="center"/>
              <w:rPr>
                <w:szCs w:val="21"/>
              </w:rPr>
            </w:pPr>
            <w:r>
              <w:rPr>
                <w:rFonts w:hint="eastAsia"/>
                <w:kern w:val="0"/>
                <w:szCs w:val="21"/>
                <w:lang w:bidi="ar"/>
              </w:rPr>
              <w:t>建设单位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restart"/>
            <w:noWrap w:val="0"/>
            <w:vAlign w:val="center"/>
          </w:tcPr>
          <w:p>
            <w:pPr>
              <w:spacing w:line="360" w:lineRule="exact"/>
              <w:jc w:val="center"/>
              <w:rPr>
                <w:szCs w:val="21"/>
              </w:rPr>
            </w:pPr>
            <w:r>
              <w:rPr>
                <w:kern w:val="0"/>
                <w:szCs w:val="21"/>
                <w:lang w:bidi="ar"/>
              </w:rPr>
              <w:t>营</w:t>
            </w:r>
          </w:p>
          <w:p>
            <w:pPr>
              <w:spacing w:line="360" w:lineRule="exact"/>
              <w:jc w:val="center"/>
              <w:rPr>
                <w:szCs w:val="21"/>
              </w:rPr>
            </w:pPr>
            <w:r>
              <w:rPr>
                <w:kern w:val="0"/>
                <w:szCs w:val="21"/>
                <w:lang w:bidi="ar"/>
              </w:rPr>
              <w:t>运</w:t>
            </w:r>
          </w:p>
          <w:p>
            <w:pPr>
              <w:spacing w:line="360" w:lineRule="exact"/>
              <w:jc w:val="center"/>
              <w:rPr>
                <w:szCs w:val="21"/>
              </w:rPr>
            </w:pPr>
            <w:r>
              <w:rPr>
                <w:kern w:val="0"/>
                <w:szCs w:val="21"/>
                <w:lang w:bidi="ar"/>
              </w:rPr>
              <w:t>期</w:t>
            </w:r>
          </w:p>
        </w:tc>
        <w:tc>
          <w:tcPr>
            <w:tcW w:w="1122" w:type="dxa"/>
            <w:noWrap w:val="0"/>
            <w:vAlign w:val="center"/>
          </w:tcPr>
          <w:p>
            <w:pPr>
              <w:spacing w:line="360" w:lineRule="exact"/>
              <w:jc w:val="center"/>
              <w:rPr>
                <w:szCs w:val="21"/>
              </w:rPr>
            </w:pPr>
            <w:r>
              <w:rPr>
                <w:kern w:val="0"/>
                <w:szCs w:val="21"/>
                <w:lang w:bidi="ar"/>
              </w:rPr>
              <w:t>废气污染</w:t>
            </w:r>
          </w:p>
        </w:tc>
        <w:tc>
          <w:tcPr>
            <w:tcW w:w="5023" w:type="dxa"/>
            <w:noWrap w:val="0"/>
            <w:vAlign w:val="center"/>
          </w:tcPr>
          <w:p>
            <w:pPr>
              <w:spacing w:line="360" w:lineRule="exact"/>
              <w:jc w:val="center"/>
              <w:rPr>
                <w:szCs w:val="21"/>
              </w:rPr>
            </w:pPr>
            <w:r>
              <w:rPr>
                <w:kern w:val="0"/>
                <w:szCs w:val="21"/>
                <w:lang w:bidi="ar"/>
              </w:rPr>
              <w:t>加强管理，保证项目废气处理设施正常运行。</w:t>
            </w:r>
          </w:p>
        </w:tc>
        <w:tc>
          <w:tcPr>
            <w:tcW w:w="1951" w:type="dxa"/>
            <w:noWrap w:val="0"/>
            <w:vAlign w:val="center"/>
          </w:tcPr>
          <w:p>
            <w:pPr>
              <w:spacing w:line="360" w:lineRule="exact"/>
              <w:jc w:val="center"/>
              <w:rPr>
                <w:szCs w:val="21"/>
              </w:rPr>
            </w:pPr>
            <w:r>
              <w:rPr>
                <w:rFonts w:hint="eastAsia"/>
                <w:kern w:val="0"/>
                <w:szCs w:val="21"/>
                <w:lang w:bidi="ar"/>
              </w:rPr>
              <w:t>建设单位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pPr>
              <w:jc w:val="center"/>
              <w:rPr>
                <w:sz w:val="20"/>
                <w:szCs w:val="20"/>
              </w:rPr>
            </w:pPr>
          </w:p>
        </w:tc>
        <w:tc>
          <w:tcPr>
            <w:tcW w:w="1122" w:type="dxa"/>
            <w:noWrap w:val="0"/>
            <w:vAlign w:val="center"/>
          </w:tcPr>
          <w:p>
            <w:pPr>
              <w:spacing w:line="360" w:lineRule="exact"/>
              <w:jc w:val="center"/>
              <w:rPr>
                <w:szCs w:val="21"/>
              </w:rPr>
            </w:pPr>
            <w:r>
              <w:rPr>
                <w:kern w:val="0"/>
                <w:szCs w:val="21"/>
                <w:lang w:bidi="ar"/>
              </w:rPr>
              <w:t>水质污染</w:t>
            </w:r>
          </w:p>
        </w:tc>
        <w:tc>
          <w:tcPr>
            <w:tcW w:w="5023" w:type="dxa"/>
            <w:noWrap w:val="0"/>
            <w:vAlign w:val="center"/>
          </w:tcPr>
          <w:p>
            <w:pPr>
              <w:spacing w:line="360" w:lineRule="exact"/>
              <w:jc w:val="center"/>
              <w:rPr>
                <w:szCs w:val="21"/>
              </w:rPr>
            </w:pPr>
            <w:r>
              <w:rPr>
                <w:kern w:val="0"/>
                <w:szCs w:val="21"/>
                <w:lang w:bidi="ar"/>
              </w:rPr>
              <w:t>加强管理，保证污水处理设施正常运行。</w:t>
            </w:r>
          </w:p>
        </w:tc>
        <w:tc>
          <w:tcPr>
            <w:tcW w:w="1951" w:type="dxa"/>
            <w:noWrap w:val="0"/>
            <w:vAlign w:val="center"/>
          </w:tcPr>
          <w:p>
            <w:pPr>
              <w:spacing w:line="360" w:lineRule="exact"/>
              <w:jc w:val="center"/>
              <w:rPr>
                <w:szCs w:val="21"/>
              </w:rPr>
            </w:pPr>
            <w:r>
              <w:rPr>
                <w:rFonts w:hint="eastAsia"/>
                <w:kern w:val="0"/>
                <w:szCs w:val="21"/>
                <w:lang w:bidi="ar"/>
              </w:rPr>
              <w:t>建设单位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pPr>
              <w:jc w:val="center"/>
              <w:rPr>
                <w:sz w:val="20"/>
                <w:szCs w:val="20"/>
              </w:rPr>
            </w:pPr>
          </w:p>
        </w:tc>
        <w:tc>
          <w:tcPr>
            <w:tcW w:w="1122" w:type="dxa"/>
            <w:noWrap w:val="0"/>
            <w:vAlign w:val="center"/>
          </w:tcPr>
          <w:p>
            <w:pPr>
              <w:spacing w:line="360" w:lineRule="exact"/>
              <w:jc w:val="center"/>
              <w:rPr>
                <w:szCs w:val="21"/>
              </w:rPr>
            </w:pPr>
            <w:r>
              <w:rPr>
                <w:kern w:val="0"/>
                <w:szCs w:val="21"/>
                <w:lang w:bidi="ar"/>
              </w:rPr>
              <w:t>噪声污染</w:t>
            </w:r>
          </w:p>
        </w:tc>
        <w:tc>
          <w:tcPr>
            <w:tcW w:w="5023" w:type="dxa"/>
            <w:noWrap w:val="0"/>
            <w:vAlign w:val="center"/>
          </w:tcPr>
          <w:p>
            <w:pPr>
              <w:spacing w:line="360" w:lineRule="exact"/>
              <w:jc w:val="center"/>
              <w:rPr>
                <w:szCs w:val="21"/>
              </w:rPr>
            </w:pPr>
            <w:r>
              <w:rPr>
                <w:kern w:val="0"/>
                <w:szCs w:val="21"/>
                <w:lang w:bidi="ar"/>
              </w:rPr>
              <w:t>加强管理，保证营运期噪声达标排放。</w:t>
            </w:r>
          </w:p>
        </w:tc>
        <w:tc>
          <w:tcPr>
            <w:tcW w:w="1951" w:type="dxa"/>
            <w:noWrap w:val="0"/>
            <w:vAlign w:val="center"/>
          </w:tcPr>
          <w:p>
            <w:pPr>
              <w:spacing w:line="360" w:lineRule="exact"/>
              <w:jc w:val="center"/>
              <w:rPr>
                <w:szCs w:val="21"/>
              </w:rPr>
            </w:pPr>
            <w:r>
              <w:rPr>
                <w:rFonts w:hint="eastAsia"/>
                <w:kern w:val="0"/>
                <w:szCs w:val="21"/>
                <w:lang w:bidi="ar"/>
              </w:rPr>
              <w:t>建设单位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pPr>
              <w:jc w:val="center"/>
              <w:rPr>
                <w:sz w:val="20"/>
                <w:szCs w:val="20"/>
              </w:rPr>
            </w:pPr>
          </w:p>
        </w:tc>
        <w:tc>
          <w:tcPr>
            <w:tcW w:w="1122" w:type="dxa"/>
            <w:noWrap w:val="0"/>
            <w:vAlign w:val="center"/>
          </w:tcPr>
          <w:p>
            <w:pPr>
              <w:spacing w:line="360" w:lineRule="exact"/>
              <w:jc w:val="center"/>
              <w:rPr>
                <w:szCs w:val="21"/>
              </w:rPr>
            </w:pPr>
            <w:r>
              <w:rPr>
                <w:kern w:val="0"/>
                <w:szCs w:val="21"/>
                <w:lang w:bidi="ar"/>
              </w:rPr>
              <w:t>固体废物</w:t>
            </w:r>
          </w:p>
        </w:tc>
        <w:tc>
          <w:tcPr>
            <w:tcW w:w="5023" w:type="dxa"/>
            <w:noWrap w:val="0"/>
            <w:vAlign w:val="center"/>
          </w:tcPr>
          <w:p>
            <w:pPr>
              <w:spacing w:line="360" w:lineRule="exact"/>
              <w:jc w:val="center"/>
              <w:rPr>
                <w:szCs w:val="21"/>
              </w:rPr>
            </w:pPr>
            <w:r>
              <w:rPr>
                <w:kern w:val="0"/>
                <w:szCs w:val="21"/>
                <w:lang w:bidi="ar"/>
              </w:rPr>
              <w:t>加强管理，保证猪粪、医疗固废、生活垃圾及病死猪尸体等分开收集处置。</w:t>
            </w:r>
          </w:p>
        </w:tc>
        <w:tc>
          <w:tcPr>
            <w:tcW w:w="1951" w:type="dxa"/>
            <w:noWrap w:val="0"/>
            <w:vAlign w:val="center"/>
          </w:tcPr>
          <w:p>
            <w:pPr>
              <w:spacing w:line="360" w:lineRule="exact"/>
              <w:jc w:val="center"/>
              <w:rPr>
                <w:szCs w:val="21"/>
              </w:rPr>
            </w:pPr>
            <w:r>
              <w:rPr>
                <w:rFonts w:hint="eastAsia"/>
                <w:kern w:val="0"/>
                <w:szCs w:val="21"/>
                <w:lang w:bidi="ar"/>
              </w:rPr>
              <w:t>建设单位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pPr>
              <w:jc w:val="center"/>
              <w:rPr>
                <w:sz w:val="20"/>
                <w:szCs w:val="20"/>
              </w:rPr>
            </w:pPr>
          </w:p>
        </w:tc>
        <w:tc>
          <w:tcPr>
            <w:tcW w:w="1122" w:type="dxa"/>
            <w:noWrap w:val="0"/>
            <w:vAlign w:val="center"/>
          </w:tcPr>
          <w:p>
            <w:pPr>
              <w:spacing w:line="360" w:lineRule="exact"/>
              <w:jc w:val="center"/>
              <w:rPr>
                <w:szCs w:val="21"/>
              </w:rPr>
            </w:pPr>
            <w:r>
              <w:rPr>
                <w:kern w:val="0"/>
                <w:szCs w:val="21"/>
                <w:lang w:bidi="ar"/>
              </w:rPr>
              <w:t>土壤污染</w:t>
            </w:r>
          </w:p>
        </w:tc>
        <w:tc>
          <w:tcPr>
            <w:tcW w:w="5023" w:type="dxa"/>
            <w:noWrap w:val="0"/>
            <w:vAlign w:val="center"/>
          </w:tcPr>
          <w:p>
            <w:pPr>
              <w:spacing w:line="360" w:lineRule="exact"/>
              <w:jc w:val="center"/>
              <w:rPr>
                <w:szCs w:val="21"/>
              </w:rPr>
            </w:pPr>
            <w:r>
              <w:rPr>
                <w:kern w:val="0"/>
                <w:szCs w:val="21"/>
                <w:lang w:bidi="ar"/>
              </w:rPr>
              <w:t>按照环境监测技术规范及国家环保局颁布的监测标准、方法执行。</w:t>
            </w:r>
          </w:p>
        </w:tc>
        <w:tc>
          <w:tcPr>
            <w:tcW w:w="1951" w:type="dxa"/>
            <w:noWrap w:val="0"/>
            <w:vAlign w:val="center"/>
          </w:tcPr>
          <w:p>
            <w:pPr>
              <w:spacing w:line="360" w:lineRule="exact"/>
              <w:jc w:val="center"/>
              <w:rPr>
                <w:szCs w:val="21"/>
              </w:rPr>
            </w:pPr>
            <w:r>
              <w:rPr>
                <w:kern w:val="0"/>
                <w:szCs w:val="21"/>
                <w:lang w:bidi="ar"/>
              </w:rPr>
              <w:t>有资质的环境监测机构</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6" w:type="dxa"/>
            <w:vMerge w:val="continue"/>
            <w:noWrap w:val="0"/>
            <w:vAlign w:val="center"/>
          </w:tcPr>
          <w:p>
            <w:pPr>
              <w:jc w:val="center"/>
              <w:rPr>
                <w:sz w:val="20"/>
                <w:szCs w:val="20"/>
              </w:rPr>
            </w:pPr>
          </w:p>
        </w:tc>
        <w:tc>
          <w:tcPr>
            <w:tcW w:w="1122" w:type="dxa"/>
            <w:noWrap w:val="0"/>
            <w:vAlign w:val="center"/>
          </w:tcPr>
          <w:p>
            <w:pPr>
              <w:spacing w:line="360" w:lineRule="exact"/>
              <w:jc w:val="center"/>
              <w:rPr>
                <w:szCs w:val="21"/>
              </w:rPr>
            </w:pPr>
            <w:r>
              <w:rPr>
                <w:kern w:val="0"/>
                <w:szCs w:val="21"/>
                <w:lang w:bidi="ar"/>
              </w:rPr>
              <w:t>环境监测</w:t>
            </w:r>
          </w:p>
        </w:tc>
        <w:tc>
          <w:tcPr>
            <w:tcW w:w="5023" w:type="dxa"/>
            <w:noWrap w:val="0"/>
            <w:vAlign w:val="center"/>
          </w:tcPr>
          <w:p>
            <w:pPr>
              <w:spacing w:line="360" w:lineRule="exact"/>
              <w:jc w:val="center"/>
              <w:rPr>
                <w:szCs w:val="21"/>
              </w:rPr>
            </w:pPr>
            <w:r>
              <w:rPr>
                <w:kern w:val="0"/>
                <w:szCs w:val="21"/>
                <w:lang w:bidi="ar"/>
              </w:rPr>
              <w:t>按照环境监测技术规范及国家环保局颁布的监测标准、方法执行。</w:t>
            </w:r>
          </w:p>
        </w:tc>
        <w:tc>
          <w:tcPr>
            <w:tcW w:w="1951" w:type="dxa"/>
            <w:noWrap w:val="0"/>
            <w:vAlign w:val="center"/>
          </w:tcPr>
          <w:p>
            <w:pPr>
              <w:spacing w:line="360" w:lineRule="exact"/>
              <w:jc w:val="center"/>
              <w:rPr>
                <w:szCs w:val="21"/>
              </w:rPr>
            </w:pPr>
            <w:r>
              <w:rPr>
                <w:kern w:val="0"/>
                <w:szCs w:val="21"/>
                <w:lang w:bidi="ar"/>
              </w:rPr>
              <w:t>有资质的环境监测机构</w:t>
            </w:r>
          </w:p>
        </w:tc>
      </w:tr>
    </w:tbl>
    <w:p>
      <w:pPr>
        <w:pStyle w:val="2"/>
        <w:spacing w:before="0" w:after="0" w:line="520" w:lineRule="exact"/>
        <w:rPr>
          <w:rFonts w:eastAsia="黑体"/>
          <w:b w:val="0"/>
          <w:sz w:val="24"/>
          <w:szCs w:val="24"/>
        </w:rPr>
      </w:pPr>
      <w:r>
        <w:rPr>
          <w:rFonts w:eastAsia="黑体"/>
          <w:b w:val="0"/>
          <w:sz w:val="24"/>
          <w:szCs w:val="24"/>
        </w:rPr>
        <w:t>7.1.3 环境管理制度</w:t>
      </w:r>
    </w:p>
    <w:p>
      <w:pPr>
        <w:spacing w:line="500" w:lineRule="exact"/>
        <w:ind w:firstLine="567"/>
        <w:rPr>
          <w:sz w:val="24"/>
        </w:rPr>
      </w:pPr>
      <w:r>
        <w:rPr>
          <w:kern w:val="0"/>
          <w:sz w:val="24"/>
          <w:lang w:bidi="ar"/>
        </w:rPr>
        <w:t>建设单位应制定一系列规章制度以促进环境保护工作，使环境保护工作规范化和程序化。根据需要，建议制定的环境保护工作条例有：</w:t>
      </w:r>
    </w:p>
    <w:p>
      <w:pPr>
        <w:adjustRightInd w:val="0"/>
        <w:spacing w:line="500" w:lineRule="exact"/>
        <w:ind w:firstLine="480" w:firstLineChars="200"/>
        <w:rPr>
          <w:sz w:val="24"/>
        </w:rPr>
      </w:pPr>
      <w:r>
        <w:rPr>
          <w:kern w:val="0"/>
          <w:sz w:val="24"/>
          <w:lang w:bidi="ar"/>
        </w:rPr>
        <w:t>（1）环境保护职责管理制度</w:t>
      </w:r>
    </w:p>
    <w:p>
      <w:pPr>
        <w:adjustRightInd w:val="0"/>
        <w:spacing w:line="500" w:lineRule="exact"/>
        <w:ind w:firstLine="480" w:firstLineChars="200"/>
        <w:rPr>
          <w:sz w:val="24"/>
        </w:rPr>
      </w:pPr>
      <w:r>
        <w:rPr>
          <w:kern w:val="0"/>
          <w:sz w:val="24"/>
          <w:lang w:bidi="ar"/>
        </w:rPr>
        <w:t>（2）废水、废气、固体废物排放管理制度</w:t>
      </w:r>
    </w:p>
    <w:p>
      <w:pPr>
        <w:adjustRightInd w:val="0"/>
        <w:spacing w:line="500" w:lineRule="exact"/>
        <w:ind w:firstLine="480" w:firstLineChars="200"/>
        <w:rPr>
          <w:sz w:val="24"/>
        </w:rPr>
      </w:pPr>
      <w:r>
        <w:rPr>
          <w:kern w:val="0"/>
          <w:sz w:val="24"/>
          <w:lang w:bidi="ar"/>
        </w:rPr>
        <w:t>（3）环保设施处理装置日常运行管理制度</w:t>
      </w:r>
    </w:p>
    <w:p>
      <w:pPr>
        <w:adjustRightInd w:val="0"/>
        <w:spacing w:line="500" w:lineRule="exact"/>
        <w:ind w:firstLine="480" w:firstLineChars="200"/>
        <w:rPr>
          <w:sz w:val="24"/>
        </w:rPr>
      </w:pPr>
      <w:r>
        <w:rPr>
          <w:kern w:val="0"/>
          <w:sz w:val="24"/>
          <w:lang w:bidi="ar"/>
        </w:rPr>
        <w:t>（4）排污情况报告制度</w:t>
      </w:r>
    </w:p>
    <w:p>
      <w:pPr>
        <w:adjustRightInd w:val="0"/>
        <w:spacing w:line="500" w:lineRule="exact"/>
        <w:ind w:firstLine="480" w:firstLineChars="200"/>
        <w:rPr>
          <w:sz w:val="24"/>
        </w:rPr>
      </w:pPr>
      <w:r>
        <w:rPr>
          <w:kern w:val="0"/>
          <w:sz w:val="24"/>
          <w:lang w:bidi="ar"/>
        </w:rPr>
        <w:t>（5）污染事故处理制度</w:t>
      </w:r>
    </w:p>
    <w:p>
      <w:pPr>
        <w:adjustRightInd w:val="0"/>
        <w:spacing w:line="500" w:lineRule="exact"/>
        <w:ind w:firstLine="480" w:firstLineChars="200"/>
        <w:rPr>
          <w:sz w:val="24"/>
        </w:rPr>
      </w:pPr>
      <w:r>
        <w:rPr>
          <w:kern w:val="0"/>
          <w:sz w:val="24"/>
          <w:lang w:bidi="ar"/>
        </w:rPr>
        <w:t>（6）环保教育制度</w:t>
      </w:r>
    </w:p>
    <w:p>
      <w:pPr>
        <w:adjustRightInd w:val="0"/>
        <w:spacing w:line="500" w:lineRule="exact"/>
        <w:ind w:firstLine="480" w:firstLineChars="200"/>
        <w:rPr>
          <w:sz w:val="24"/>
        </w:rPr>
      </w:pPr>
      <w:r>
        <w:rPr>
          <w:kern w:val="0"/>
          <w:sz w:val="24"/>
          <w:lang w:bidi="ar"/>
        </w:rPr>
        <w:t>（7）废水输送系统制度化、规范化</w:t>
      </w:r>
    </w:p>
    <w:p>
      <w:pPr>
        <w:keepNext/>
        <w:keepLines/>
        <w:spacing w:before="120" w:after="120" w:line="520" w:lineRule="exact"/>
        <w:outlineLvl w:val="1"/>
        <w:rPr>
          <w:rFonts w:eastAsia="黑体"/>
          <w:kern w:val="0"/>
          <w:sz w:val="28"/>
          <w:szCs w:val="28"/>
          <w:lang w:bidi="ar"/>
        </w:rPr>
      </w:pPr>
      <w:bookmarkStart w:id="547" w:name="_Toc413834602"/>
      <w:bookmarkEnd w:id="547"/>
      <w:bookmarkStart w:id="548" w:name="_Toc472009617"/>
      <w:bookmarkStart w:id="549" w:name="_Toc6363"/>
      <w:r>
        <w:rPr>
          <w:rFonts w:eastAsia="黑体"/>
          <w:kern w:val="0"/>
          <w:sz w:val="28"/>
          <w:szCs w:val="28"/>
          <w:lang w:bidi="ar"/>
        </w:rPr>
        <w:t>7</w:t>
      </w:r>
      <w:bookmarkEnd w:id="548"/>
      <w:r>
        <w:rPr>
          <w:rFonts w:eastAsia="黑体"/>
          <w:kern w:val="0"/>
          <w:sz w:val="28"/>
          <w:szCs w:val="28"/>
          <w:lang w:bidi="ar"/>
        </w:rPr>
        <w:t>.2 环境监测制度建议</w:t>
      </w:r>
      <w:bookmarkEnd w:id="549"/>
    </w:p>
    <w:p>
      <w:pPr>
        <w:pStyle w:val="2"/>
        <w:spacing w:before="0" w:after="0" w:line="520" w:lineRule="exact"/>
        <w:rPr>
          <w:rFonts w:eastAsia="黑体"/>
          <w:b w:val="0"/>
          <w:sz w:val="24"/>
          <w:szCs w:val="24"/>
        </w:rPr>
      </w:pPr>
      <w:r>
        <w:rPr>
          <w:rFonts w:eastAsia="黑体"/>
          <w:b w:val="0"/>
          <w:sz w:val="24"/>
          <w:szCs w:val="24"/>
        </w:rPr>
        <w:t>7.2.1 环境监测目的</w:t>
      </w:r>
    </w:p>
    <w:p>
      <w:pPr>
        <w:spacing w:line="500" w:lineRule="exact"/>
        <w:ind w:firstLine="480" w:firstLineChars="200"/>
        <w:rPr>
          <w:sz w:val="24"/>
        </w:rPr>
      </w:pPr>
      <w:r>
        <w:rPr>
          <w:kern w:val="0"/>
          <w:sz w:val="24"/>
          <w:lang w:bidi="ar"/>
        </w:rPr>
        <w:t>环境监测是环境管理技术的支持。同时，环境监测还是企业搞好环境管理，促进污染治理设施正常运行的主要保障。通过定期的环境监测，了解当地的环境质量状况，可以及时发现问题、解决问题，从而有利于监督各项环保措施的落实，并根据监测结果适时调整环境保护计划。</w:t>
      </w:r>
    </w:p>
    <w:p>
      <w:pPr>
        <w:pStyle w:val="2"/>
        <w:spacing w:before="0" w:after="0" w:line="520" w:lineRule="exact"/>
        <w:rPr>
          <w:rFonts w:eastAsia="黑体"/>
          <w:b w:val="0"/>
          <w:sz w:val="24"/>
          <w:szCs w:val="24"/>
        </w:rPr>
      </w:pPr>
      <w:r>
        <w:rPr>
          <w:rFonts w:eastAsia="黑体"/>
          <w:b w:val="0"/>
          <w:sz w:val="24"/>
          <w:szCs w:val="24"/>
        </w:rPr>
        <w:t>7.2.2 环境监测机构</w:t>
      </w:r>
    </w:p>
    <w:p>
      <w:pPr>
        <w:spacing w:line="500" w:lineRule="exact"/>
        <w:ind w:firstLine="480" w:firstLineChars="200"/>
        <w:rPr>
          <w:sz w:val="24"/>
        </w:rPr>
      </w:pPr>
      <w:r>
        <w:rPr>
          <w:kern w:val="0"/>
          <w:sz w:val="24"/>
          <w:lang w:bidi="ar"/>
        </w:rPr>
        <w:t>为了有效的了解建设项目的排污情况和环境现状，为保证建设项目排放的污染物在国家规定范围内，确保建设项目实现可持续发展，保障职工的身体健康，应对建设项目中各排放口实行监测、监督。</w:t>
      </w:r>
    </w:p>
    <w:p>
      <w:pPr>
        <w:pStyle w:val="2"/>
        <w:spacing w:before="0" w:after="0" w:line="520" w:lineRule="exact"/>
        <w:rPr>
          <w:rFonts w:eastAsia="黑体"/>
          <w:b w:val="0"/>
          <w:sz w:val="24"/>
          <w:szCs w:val="24"/>
        </w:rPr>
      </w:pPr>
      <w:r>
        <w:rPr>
          <w:rFonts w:eastAsia="黑体"/>
          <w:b w:val="0"/>
          <w:sz w:val="24"/>
          <w:szCs w:val="24"/>
        </w:rPr>
        <w:t>7.2.3 监测项目及监测计划</w:t>
      </w:r>
    </w:p>
    <w:p>
      <w:pPr>
        <w:spacing w:line="500" w:lineRule="exact"/>
        <w:ind w:firstLine="480" w:firstLineChars="200"/>
        <w:rPr>
          <w:bCs/>
          <w:kern w:val="0"/>
          <w:sz w:val="24"/>
          <w:lang w:bidi="ar"/>
        </w:rPr>
      </w:pPr>
      <w:r>
        <w:rPr>
          <w:bCs/>
          <w:kern w:val="0"/>
          <w:sz w:val="24"/>
          <w:lang w:bidi="ar"/>
        </w:rPr>
        <w:t>本项目环境监测主要包括废气、废水、噪声、固体废物等污染源监测及场区周围环境质量的定期监测。</w:t>
      </w:r>
      <w:r>
        <w:rPr>
          <w:rFonts w:hint="eastAsia"/>
          <w:sz w:val="24"/>
          <w:lang w:bidi="ar"/>
        </w:rPr>
        <w:t>项目环境</w:t>
      </w:r>
      <w:r>
        <w:rPr>
          <w:sz w:val="24"/>
          <w:lang w:bidi="ar"/>
        </w:rPr>
        <w:t>监测计划见表</w:t>
      </w:r>
      <w:r>
        <w:rPr>
          <w:rFonts w:hint="eastAsia"/>
          <w:sz w:val="24"/>
          <w:lang w:bidi="ar"/>
        </w:rPr>
        <w:t>7</w:t>
      </w:r>
      <w:r>
        <w:rPr>
          <w:sz w:val="24"/>
          <w:lang w:bidi="ar"/>
        </w:rPr>
        <w:t>.2</w:t>
      </w:r>
      <w:r>
        <w:rPr>
          <w:rFonts w:hint="eastAsia"/>
          <w:sz w:val="24"/>
          <w:lang w:bidi="ar"/>
        </w:rPr>
        <w:t>-</w:t>
      </w:r>
      <w:r>
        <w:rPr>
          <w:sz w:val="24"/>
          <w:lang w:bidi="ar"/>
        </w:rPr>
        <w:t>1</w:t>
      </w:r>
      <w:r>
        <w:rPr>
          <w:bCs/>
          <w:kern w:val="0"/>
          <w:sz w:val="24"/>
          <w:lang w:bidi="ar"/>
        </w:rPr>
        <w:t>。</w:t>
      </w:r>
    </w:p>
    <w:p>
      <w:pPr>
        <w:spacing w:after="93" w:afterLines="30" w:line="520" w:lineRule="exact"/>
        <w:jc w:val="center"/>
        <w:rPr>
          <w:rFonts w:hint="eastAsia"/>
          <w:b/>
          <w:sz w:val="24"/>
        </w:rPr>
      </w:pPr>
      <w:r>
        <w:rPr>
          <w:b/>
          <w:sz w:val="24"/>
        </w:rPr>
        <w:t xml:space="preserve">表7.2-1  </w:t>
      </w:r>
      <w:r>
        <w:rPr>
          <w:rFonts w:hint="eastAsia"/>
          <w:b/>
          <w:sz w:val="24"/>
        </w:rPr>
        <w:t>大气</w:t>
      </w:r>
      <w:r>
        <w:rPr>
          <w:b/>
          <w:sz w:val="24"/>
        </w:rPr>
        <w:t>自行监测计划一览表</w:t>
      </w:r>
    </w:p>
    <w:tbl>
      <w:tblPr>
        <w:tblStyle w:val="17"/>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644"/>
        <w:gridCol w:w="3151"/>
        <w:gridCol w:w="2975"/>
        <w:gridCol w:w="21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360" w:type="pct"/>
            <w:noWrap w:val="0"/>
            <w:vAlign w:val="center"/>
          </w:tcPr>
          <w:p>
            <w:pPr>
              <w:topLinePunct/>
              <w:adjustRightInd w:val="0"/>
              <w:snapToGrid w:val="0"/>
              <w:spacing w:line="320" w:lineRule="exact"/>
              <w:jc w:val="center"/>
              <w:rPr>
                <w:color w:val="000000"/>
                <w:szCs w:val="21"/>
              </w:rPr>
            </w:pPr>
            <w:r>
              <w:rPr>
                <w:color w:val="000000"/>
                <w:szCs w:val="21"/>
              </w:rPr>
              <w:t>项目</w:t>
            </w:r>
          </w:p>
        </w:tc>
        <w:tc>
          <w:tcPr>
            <w:tcW w:w="1761" w:type="pct"/>
            <w:noWrap w:val="0"/>
            <w:vAlign w:val="center"/>
          </w:tcPr>
          <w:p>
            <w:pPr>
              <w:topLinePunct/>
              <w:adjustRightInd w:val="0"/>
              <w:snapToGrid w:val="0"/>
              <w:spacing w:line="320" w:lineRule="exact"/>
              <w:jc w:val="center"/>
              <w:rPr>
                <w:color w:val="000000"/>
                <w:szCs w:val="21"/>
              </w:rPr>
            </w:pPr>
            <w:r>
              <w:rPr>
                <w:color w:val="000000"/>
                <w:szCs w:val="21"/>
              </w:rPr>
              <w:t>监测点位</w:t>
            </w:r>
          </w:p>
        </w:tc>
        <w:tc>
          <w:tcPr>
            <w:tcW w:w="1663" w:type="pct"/>
            <w:noWrap w:val="0"/>
            <w:vAlign w:val="center"/>
          </w:tcPr>
          <w:p>
            <w:pPr>
              <w:topLinePunct/>
              <w:adjustRightInd w:val="0"/>
              <w:snapToGrid w:val="0"/>
              <w:spacing w:line="320" w:lineRule="exact"/>
              <w:jc w:val="center"/>
              <w:rPr>
                <w:color w:val="000000"/>
                <w:szCs w:val="21"/>
              </w:rPr>
            </w:pPr>
            <w:r>
              <w:rPr>
                <w:color w:val="000000"/>
                <w:szCs w:val="21"/>
              </w:rPr>
              <w:t>监测内容</w:t>
            </w:r>
          </w:p>
        </w:tc>
        <w:tc>
          <w:tcPr>
            <w:tcW w:w="1216" w:type="pct"/>
            <w:noWrap w:val="0"/>
            <w:vAlign w:val="center"/>
          </w:tcPr>
          <w:p>
            <w:pPr>
              <w:topLinePunct/>
              <w:adjustRightInd w:val="0"/>
              <w:snapToGrid w:val="0"/>
              <w:spacing w:line="320" w:lineRule="exact"/>
              <w:jc w:val="center"/>
              <w:rPr>
                <w:color w:val="000000"/>
                <w:szCs w:val="21"/>
              </w:rPr>
            </w:pPr>
            <w:r>
              <w:rPr>
                <w:color w:val="000000"/>
                <w:szCs w:val="21"/>
              </w:rPr>
              <w:t>监测频次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360" w:type="pct"/>
            <w:noWrap w:val="0"/>
            <w:vAlign w:val="center"/>
          </w:tcPr>
          <w:p>
            <w:pPr>
              <w:topLinePunct/>
              <w:adjustRightInd w:val="0"/>
              <w:snapToGrid w:val="0"/>
              <w:spacing w:line="320" w:lineRule="exact"/>
              <w:jc w:val="center"/>
              <w:rPr>
                <w:color w:val="000000"/>
                <w:szCs w:val="21"/>
              </w:rPr>
            </w:pPr>
            <w:r>
              <w:rPr>
                <w:color w:val="000000"/>
                <w:szCs w:val="21"/>
              </w:rPr>
              <w:t>废气</w:t>
            </w:r>
          </w:p>
        </w:tc>
        <w:tc>
          <w:tcPr>
            <w:tcW w:w="1761" w:type="pct"/>
            <w:noWrap w:val="0"/>
            <w:vAlign w:val="center"/>
          </w:tcPr>
          <w:p>
            <w:pPr>
              <w:topLinePunct/>
              <w:adjustRightInd w:val="0"/>
              <w:snapToGrid w:val="0"/>
              <w:spacing w:line="320" w:lineRule="exact"/>
              <w:jc w:val="center"/>
              <w:rPr>
                <w:color w:val="000000"/>
                <w:szCs w:val="21"/>
              </w:rPr>
            </w:pPr>
            <w:r>
              <w:rPr>
                <w:color w:val="000000"/>
                <w:szCs w:val="21"/>
              </w:rPr>
              <w:t>四周场界</w:t>
            </w:r>
          </w:p>
        </w:tc>
        <w:tc>
          <w:tcPr>
            <w:tcW w:w="1663" w:type="pct"/>
            <w:noWrap w:val="0"/>
            <w:vAlign w:val="center"/>
          </w:tcPr>
          <w:p>
            <w:pPr>
              <w:topLinePunct/>
              <w:adjustRightInd w:val="0"/>
              <w:snapToGrid w:val="0"/>
              <w:spacing w:line="320" w:lineRule="exact"/>
              <w:jc w:val="center"/>
              <w:rPr>
                <w:color w:val="000000"/>
                <w:szCs w:val="21"/>
              </w:rPr>
            </w:pPr>
            <w:r>
              <w:rPr>
                <w:color w:val="000000"/>
                <w:szCs w:val="21"/>
              </w:rPr>
              <w:t>H</w:t>
            </w:r>
            <w:r>
              <w:rPr>
                <w:color w:val="000000"/>
                <w:szCs w:val="21"/>
                <w:vertAlign w:val="subscript"/>
              </w:rPr>
              <w:t>2</w:t>
            </w:r>
            <w:r>
              <w:rPr>
                <w:color w:val="000000"/>
                <w:szCs w:val="21"/>
              </w:rPr>
              <w:t>S、NH</w:t>
            </w:r>
            <w:r>
              <w:rPr>
                <w:color w:val="000000"/>
                <w:szCs w:val="21"/>
                <w:vertAlign w:val="subscript"/>
              </w:rPr>
              <w:t>3</w:t>
            </w:r>
          </w:p>
        </w:tc>
        <w:tc>
          <w:tcPr>
            <w:tcW w:w="1216" w:type="pct"/>
            <w:noWrap w:val="0"/>
            <w:vAlign w:val="center"/>
          </w:tcPr>
          <w:p>
            <w:pPr>
              <w:topLinePunct/>
              <w:adjustRightInd w:val="0"/>
              <w:snapToGrid w:val="0"/>
              <w:spacing w:line="320" w:lineRule="exact"/>
              <w:jc w:val="center"/>
              <w:rPr>
                <w:color w:val="000000"/>
                <w:szCs w:val="21"/>
              </w:rPr>
            </w:pPr>
            <w:r>
              <w:rPr>
                <w:color w:val="000000"/>
                <w:szCs w:val="21"/>
              </w:rPr>
              <w:t>建议每年监测一次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360" w:type="pct"/>
            <w:noWrap w:val="0"/>
            <w:vAlign w:val="center"/>
          </w:tcPr>
          <w:p>
            <w:pPr>
              <w:topLinePunct/>
              <w:adjustRightInd w:val="0"/>
              <w:snapToGrid w:val="0"/>
              <w:spacing w:line="320" w:lineRule="exact"/>
              <w:jc w:val="center"/>
              <w:rPr>
                <w:color w:val="000000"/>
                <w:szCs w:val="21"/>
              </w:rPr>
            </w:pPr>
            <w:r>
              <w:rPr>
                <w:color w:val="000000"/>
                <w:szCs w:val="21"/>
              </w:rPr>
              <w:t>废水</w:t>
            </w:r>
          </w:p>
        </w:tc>
        <w:tc>
          <w:tcPr>
            <w:tcW w:w="1761" w:type="pct"/>
            <w:noWrap w:val="0"/>
            <w:vAlign w:val="center"/>
          </w:tcPr>
          <w:p>
            <w:pPr>
              <w:topLinePunct/>
              <w:adjustRightInd w:val="0"/>
              <w:snapToGrid w:val="0"/>
              <w:spacing w:line="320" w:lineRule="exact"/>
              <w:jc w:val="center"/>
              <w:rPr>
                <w:color w:val="000000"/>
                <w:szCs w:val="21"/>
              </w:rPr>
            </w:pPr>
            <w:r>
              <w:rPr>
                <w:color w:val="000000"/>
                <w:szCs w:val="21"/>
              </w:rPr>
              <w:t>养殖场污水处理设施进、出口</w:t>
            </w:r>
          </w:p>
        </w:tc>
        <w:tc>
          <w:tcPr>
            <w:tcW w:w="1663" w:type="pct"/>
            <w:noWrap w:val="0"/>
            <w:vAlign w:val="center"/>
          </w:tcPr>
          <w:p>
            <w:pPr>
              <w:topLinePunct/>
              <w:adjustRightInd w:val="0"/>
              <w:snapToGrid w:val="0"/>
              <w:spacing w:line="320" w:lineRule="exact"/>
              <w:jc w:val="center"/>
              <w:rPr>
                <w:color w:val="000000"/>
                <w:szCs w:val="21"/>
              </w:rPr>
            </w:pPr>
            <w:r>
              <w:rPr>
                <w:color w:val="000000"/>
                <w:szCs w:val="21"/>
              </w:rPr>
              <w:t>pH、BOD</w:t>
            </w:r>
            <w:r>
              <w:rPr>
                <w:color w:val="000000"/>
                <w:szCs w:val="21"/>
                <w:vertAlign w:val="subscript"/>
              </w:rPr>
              <w:t>5</w:t>
            </w:r>
            <w:r>
              <w:rPr>
                <w:color w:val="000000"/>
                <w:szCs w:val="21"/>
              </w:rPr>
              <w:t>、COD、氨氮、粪大肠菌群及排水量</w:t>
            </w:r>
          </w:p>
        </w:tc>
        <w:tc>
          <w:tcPr>
            <w:tcW w:w="1216" w:type="pct"/>
            <w:noWrap w:val="0"/>
            <w:vAlign w:val="center"/>
          </w:tcPr>
          <w:p>
            <w:pPr>
              <w:topLinePunct/>
              <w:adjustRightInd w:val="0"/>
              <w:snapToGrid w:val="0"/>
              <w:spacing w:line="320" w:lineRule="exact"/>
              <w:jc w:val="center"/>
              <w:rPr>
                <w:color w:val="000000"/>
                <w:szCs w:val="21"/>
              </w:rPr>
            </w:pPr>
            <w:r>
              <w:rPr>
                <w:color w:val="000000"/>
                <w:szCs w:val="21"/>
              </w:rPr>
              <w:t>建议每年监测一次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10" w:hRule="atLeast"/>
        </w:trPr>
        <w:tc>
          <w:tcPr>
            <w:tcW w:w="360" w:type="pct"/>
            <w:noWrap w:val="0"/>
            <w:vAlign w:val="center"/>
          </w:tcPr>
          <w:p>
            <w:pPr>
              <w:topLinePunct/>
              <w:adjustRightInd w:val="0"/>
              <w:snapToGrid w:val="0"/>
              <w:spacing w:line="320" w:lineRule="exact"/>
              <w:jc w:val="center"/>
              <w:rPr>
                <w:color w:val="000000"/>
                <w:szCs w:val="21"/>
              </w:rPr>
            </w:pPr>
            <w:r>
              <w:rPr>
                <w:color w:val="000000"/>
                <w:szCs w:val="21"/>
              </w:rPr>
              <w:t>地下水</w:t>
            </w:r>
          </w:p>
        </w:tc>
        <w:tc>
          <w:tcPr>
            <w:tcW w:w="1761" w:type="pct"/>
            <w:noWrap w:val="0"/>
            <w:vAlign w:val="center"/>
          </w:tcPr>
          <w:p>
            <w:pPr>
              <w:topLinePunct/>
              <w:adjustRightInd w:val="0"/>
              <w:snapToGrid w:val="0"/>
              <w:spacing w:line="320" w:lineRule="exact"/>
              <w:jc w:val="center"/>
              <w:rPr>
                <w:color w:val="000000"/>
                <w:szCs w:val="21"/>
              </w:rPr>
            </w:pPr>
            <w:r>
              <w:rPr>
                <w:color w:val="000000"/>
                <w:szCs w:val="21"/>
              </w:rPr>
              <w:t>在配套</w:t>
            </w:r>
            <w:r>
              <w:rPr>
                <w:rFonts w:hint="eastAsia"/>
                <w:color w:val="000000"/>
                <w:szCs w:val="21"/>
              </w:rPr>
              <w:t>消纳地东</w:t>
            </w:r>
            <w:r>
              <w:rPr>
                <w:color w:val="000000"/>
                <w:szCs w:val="21"/>
              </w:rPr>
              <w:t>侧和</w:t>
            </w:r>
            <w:r>
              <w:rPr>
                <w:rFonts w:hint="eastAsia"/>
                <w:color w:val="000000"/>
                <w:szCs w:val="21"/>
              </w:rPr>
              <w:t>南</w:t>
            </w:r>
            <w:r>
              <w:rPr>
                <w:color w:val="000000"/>
                <w:szCs w:val="21"/>
              </w:rPr>
              <w:t>侧方位各设置1口地下水观测井，场区沼液池东侧设置1口地下水观测</w:t>
            </w:r>
          </w:p>
        </w:tc>
        <w:tc>
          <w:tcPr>
            <w:tcW w:w="1663" w:type="pct"/>
            <w:noWrap w:val="0"/>
            <w:vAlign w:val="center"/>
          </w:tcPr>
          <w:p>
            <w:pPr>
              <w:topLinePunct/>
              <w:adjustRightInd w:val="0"/>
              <w:snapToGrid w:val="0"/>
              <w:spacing w:line="320" w:lineRule="exact"/>
              <w:jc w:val="center"/>
              <w:rPr>
                <w:color w:val="000000"/>
                <w:szCs w:val="21"/>
              </w:rPr>
            </w:pPr>
            <w:r>
              <w:rPr>
                <w:color w:val="000000"/>
                <w:szCs w:val="21"/>
              </w:rPr>
              <w:t>pH、高锰酸盐指数、氨氮、总硬度、硝酸盐、亚硝酸盐、总大肠菌群及镉、砷、铅、汞、铜、锌等重金属</w:t>
            </w:r>
          </w:p>
        </w:tc>
        <w:tc>
          <w:tcPr>
            <w:tcW w:w="1216" w:type="pct"/>
            <w:noWrap w:val="0"/>
            <w:vAlign w:val="center"/>
          </w:tcPr>
          <w:p>
            <w:pPr>
              <w:topLinePunct/>
              <w:adjustRightInd w:val="0"/>
              <w:snapToGrid w:val="0"/>
              <w:spacing w:line="320" w:lineRule="exact"/>
              <w:jc w:val="center"/>
              <w:rPr>
                <w:color w:val="000000"/>
                <w:szCs w:val="21"/>
              </w:rPr>
            </w:pPr>
            <w:r>
              <w:rPr>
                <w:color w:val="000000"/>
                <w:szCs w:val="21"/>
              </w:rPr>
              <w:t>建议每半年监测一次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360" w:type="pct"/>
            <w:noWrap w:val="0"/>
            <w:vAlign w:val="center"/>
          </w:tcPr>
          <w:p>
            <w:pPr>
              <w:topLinePunct/>
              <w:adjustRightInd w:val="0"/>
              <w:snapToGrid w:val="0"/>
              <w:spacing w:line="320" w:lineRule="exact"/>
              <w:jc w:val="center"/>
              <w:rPr>
                <w:color w:val="000000"/>
                <w:szCs w:val="21"/>
              </w:rPr>
            </w:pPr>
            <w:r>
              <w:rPr>
                <w:color w:val="000000"/>
                <w:szCs w:val="21"/>
              </w:rPr>
              <w:t>噪声</w:t>
            </w:r>
          </w:p>
        </w:tc>
        <w:tc>
          <w:tcPr>
            <w:tcW w:w="1761" w:type="pct"/>
            <w:noWrap w:val="0"/>
            <w:vAlign w:val="center"/>
          </w:tcPr>
          <w:p>
            <w:pPr>
              <w:topLinePunct/>
              <w:adjustRightInd w:val="0"/>
              <w:snapToGrid w:val="0"/>
              <w:spacing w:line="320" w:lineRule="exact"/>
              <w:jc w:val="center"/>
              <w:rPr>
                <w:color w:val="000000"/>
                <w:szCs w:val="21"/>
              </w:rPr>
            </w:pPr>
            <w:r>
              <w:rPr>
                <w:color w:val="000000"/>
                <w:szCs w:val="21"/>
              </w:rPr>
              <w:t>四周场界外1m</w:t>
            </w:r>
          </w:p>
        </w:tc>
        <w:tc>
          <w:tcPr>
            <w:tcW w:w="1663" w:type="pct"/>
            <w:noWrap w:val="0"/>
            <w:vAlign w:val="center"/>
          </w:tcPr>
          <w:p>
            <w:pPr>
              <w:topLinePunct/>
              <w:adjustRightInd w:val="0"/>
              <w:snapToGrid w:val="0"/>
              <w:spacing w:line="320" w:lineRule="exact"/>
              <w:jc w:val="center"/>
              <w:rPr>
                <w:color w:val="000000"/>
                <w:szCs w:val="21"/>
              </w:rPr>
            </w:pPr>
            <w:r>
              <w:rPr>
                <w:color w:val="000000"/>
                <w:szCs w:val="21"/>
              </w:rPr>
              <w:t>噪声值</w:t>
            </w:r>
          </w:p>
        </w:tc>
        <w:tc>
          <w:tcPr>
            <w:tcW w:w="1216" w:type="pct"/>
            <w:noWrap w:val="0"/>
            <w:vAlign w:val="center"/>
          </w:tcPr>
          <w:p>
            <w:pPr>
              <w:topLinePunct/>
              <w:adjustRightInd w:val="0"/>
              <w:snapToGrid w:val="0"/>
              <w:spacing w:line="320" w:lineRule="exact"/>
              <w:jc w:val="center"/>
              <w:rPr>
                <w:color w:val="000000"/>
                <w:szCs w:val="21"/>
              </w:rPr>
            </w:pPr>
            <w:r>
              <w:rPr>
                <w:color w:val="000000"/>
                <w:szCs w:val="21"/>
              </w:rPr>
              <w:t>建议每半年监测一次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360" w:type="pct"/>
            <w:noWrap w:val="0"/>
            <w:vAlign w:val="center"/>
          </w:tcPr>
          <w:p>
            <w:pPr>
              <w:topLinePunct/>
              <w:adjustRightInd w:val="0"/>
              <w:snapToGrid w:val="0"/>
              <w:spacing w:line="320" w:lineRule="exact"/>
              <w:jc w:val="center"/>
              <w:rPr>
                <w:color w:val="000000"/>
                <w:szCs w:val="21"/>
              </w:rPr>
            </w:pPr>
            <w:r>
              <w:rPr>
                <w:color w:val="000000"/>
                <w:szCs w:val="21"/>
              </w:rPr>
              <w:t>土壤</w:t>
            </w:r>
          </w:p>
        </w:tc>
        <w:tc>
          <w:tcPr>
            <w:tcW w:w="1761" w:type="pct"/>
            <w:noWrap w:val="0"/>
            <w:vAlign w:val="center"/>
          </w:tcPr>
          <w:p>
            <w:pPr>
              <w:topLinePunct/>
              <w:adjustRightInd w:val="0"/>
              <w:snapToGrid w:val="0"/>
              <w:spacing w:line="320" w:lineRule="exact"/>
              <w:jc w:val="center"/>
              <w:rPr>
                <w:color w:val="000000"/>
                <w:szCs w:val="21"/>
              </w:rPr>
            </w:pPr>
            <w:r>
              <w:rPr>
                <w:color w:val="000000"/>
                <w:szCs w:val="21"/>
              </w:rPr>
              <w:t>配套农田</w:t>
            </w:r>
          </w:p>
        </w:tc>
        <w:tc>
          <w:tcPr>
            <w:tcW w:w="1663" w:type="pct"/>
            <w:noWrap w:val="0"/>
            <w:vAlign w:val="center"/>
          </w:tcPr>
          <w:p>
            <w:pPr>
              <w:topLinePunct/>
              <w:adjustRightInd w:val="0"/>
              <w:snapToGrid w:val="0"/>
              <w:spacing w:line="320" w:lineRule="exact"/>
              <w:jc w:val="center"/>
              <w:rPr>
                <w:color w:val="000000"/>
                <w:szCs w:val="21"/>
              </w:rPr>
            </w:pPr>
            <w:r>
              <w:rPr>
                <w:color w:val="000000"/>
                <w:szCs w:val="21"/>
              </w:rPr>
              <w:t>pH、铜、砷、锌等重金属及氮、磷、钾等土壤养分的跟踪监测</w:t>
            </w:r>
          </w:p>
        </w:tc>
        <w:tc>
          <w:tcPr>
            <w:tcW w:w="1216" w:type="pct"/>
            <w:noWrap w:val="0"/>
            <w:vAlign w:val="center"/>
          </w:tcPr>
          <w:p>
            <w:pPr>
              <w:topLinePunct/>
              <w:adjustRightInd w:val="0"/>
              <w:snapToGrid w:val="0"/>
              <w:spacing w:line="320" w:lineRule="exact"/>
              <w:jc w:val="center"/>
              <w:rPr>
                <w:color w:val="000000"/>
                <w:szCs w:val="21"/>
              </w:rPr>
            </w:pPr>
            <w:r>
              <w:rPr>
                <w:color w:val="000000"/>
                <w:szCs w:val="21"/>
              </w:rPr>
              <w:t>建议每3年监测一次</w:t>
            </w:r>
          </w:p>
        </w:tc>
      </w:tr>
    </w:tbl>
    <w:p>
      <w:pPr>
        <w:widowControl/>
        <w:topLinePunct/>
        <w:spacing w:line="520" w:lineRule="exact"/>
        <w:ind w:firstLine="480" w:firstLineChars="200"/>
        <w:rPr>
          <w:color w:val="000000"/>
          <w:sz w:val="24"/>
        </w:rPr>
      </w:pPr>
      <w:r>
        <w:rPr>
          <w:color w:val="000000"/>
          <w:sz w:val="24"/>
        </w:rPr>
        <w:t>上述监测任务也可委托当地有资质的单位进行监测。监测结果和污染防治措施运行情况等应以报表形式上报</w:t>
      </w:r>
      <w:r>
        <w:rPr>
          <w:rFonts w:hint="eastAsia"/>
          <w:color w:val="000000"/>
          <w:sz w:val="24"/>
        </w:rPr>
        <w:t>正阳县</w:t>
      </w:r>
      <w:r>
        <w:rPr>
          <w:color w:val="000000"/>
          <w:sz w:val="24"/>
        </w:rPr>
        <w:t>环保局备案。另外，建议建设单位对沼液消纳地范围内的地下水、土壤根跟踪监测的结果进行统计分析，了解其变化范围及规律，进一步探索沼液施用的合理方案，以达到沼液长期持续施用、并能够改善土壤环境质量的目的。</w:t>
      </w:r>
    </w:p>
    <w:p>
      <w:pPr>
        <w:keepNext/>
        <w:keepLines/>
        <w:spacing w:before="120" w:after="120" w:line="520" w:lineRule="exact"/>
        <w:outlineLvl w:val="1"/>
        <w:rPr>
          <w:rFonts w:eastAsia="黑体"/>
          <w:kern w:val="0"/>
          <w:sz w:val="28"/>
          <w:szCs w:val="28"/>
          <w:lang w:bidi="ar"/>
        </w:rPr>
      </w:pPr>
      <w:bookmarkStart w:id="550" w:name="_Toc413834603"/>
      <w:bookmarkEnd w:id="550"/>
      <w:bookmarkStart w:id="551" w:name="_Toc472009618"/>
      <w:bookmarkStart w:id="552" w:name="_Toc22991"/>
      <w:r>
        <w:rPr>
          <w:rFonts w:eastAsia="黑体"/>
          <w:kern w:val="0"/>
          <w:sz w:val="28"/>
          <w:szCs w:val="28"/>
          <w:lang w:bidi="ar"/>
        </w:rPr>
        <w:t>7</w:t>
      </w:r>
      <w:bookmarkEnd w:id="551"/>
      <w:r>
        <w:rPr>
          <w:rFonts w:eastAsia="黑体"/>
          <w:kern w:val="0"/>
          <w:sz w:val="28"/>
          <w:szCs w:val="28"/>
          <w:lang w:bidi="ar"/>
        </w:rPr>
        <w:t>.3 环保“三同时”验收一览表</w:t>
      </w:r>
      <w:bookmarkEnd w:id="552"/>
    </w:p>
    <w:p>
      <w:pPr>
        <w:pStyle w:val="14"/>
        <w:widowControl w:val="0"/>
        <w:snapToGrid w:val="0"/>
        <w:spacing w:before="0" w:beforeAutospacing="0" w:after="0" w:afterAutospacing="0" w:line="520" w:lineRule="exact"/>
        <w:ind w:firstLine="480" w:firstLineChars="200"/>
        <w:jc w:val="both"/>
        <w:rPr>
          <w:rFonts w:ascii="Times New Roman" w:hAnsi="Times New Roman" w:eastAsia="宋体" w:cs="Times New Roman"/>
          <w:color w:val="auto"/>
          <w:lang w:bidi="ar"/>
        </w:rPr>
        <w:sectPr>
          <w:headerReference r:id="rId23" w:type="default"/>
          <w:footerReference r:id="rId24" w:type="default"/>
          <w:pgSz w:w="11906" w:h="16838"/>
          <w:pgMar w:top="1588" w:right="1588" w:bottom="1588" w:left="1588" w:header="851" w:footer="992" w:gutter="0"/>
          <w:pgNumType w:fmt="numberInDash" w:start="224"/>
          <w:cols w:space="720" w:num="1"/>
          <w:docGrid w:type="linesAndChars" w:linePitch="312" w:charSpace="0"/>
        </w:sectPr>
      </w:pPr>
      <w:r>
        <w:rPr>
          <w:rFonts w:ascii="Times New Roman" w:hAnsi="Times New Roman" w:eastAsia="宋体" w:cs="Times New Roman"/>
          <w:color w:val="auto"/>
          <w:lang w:bidi="ar"/>
        </w:rPr>
        <w:t>本项目“三同时”竣工验收一览表见表</w:t>
      </w:r>
      <w:r>
        <w:rPr>
          <w:rFonts w:hint="eastAsia" w:ascii="Times New Roman" w:hAnsi="Times New Roman" w:eastAsia="宋体" w:cs="Times New Roman"/>
          <w:color w:val="auto"/>
          <w:lang w:bidi="ar"/>
        </w:rPr>
        <w:t>7.3</w:t>
      </w:r>
      <w:r>
        <w:rPr>
          <w:rFonts w:ascii="Times New Roman" w:hAnsi="Times New Roman" w:eastAsia="宋体" w:cs="Times New Roman"/>
          <w:color w:val="auto"/>
          <w:lang w:bidi="ar"/>
        </w:rPr>
        <w:t>-1：</w:t>
      </w:r>
    </w:p>
    <w:p>
      <w:pPr>
        <w:spacing w:line="500" w:lineRule="exact"/>
        <w:jc w:val="center"/>
        <w:rPr>
          <w:rFonts w:hAnsi="宋体"/>
          <w:b/>
          <w:sz w:val="24"/>
        </w:rPr>
      </w:pPr>
      <w:r>
        <w:rPr>
          <w:rFonts w:hAnsi="宋体"/>
          <w:b/>
          <w:sz w:val="24"/>
        </w:rPr>
        <w:t>表</w:t>
      </w:r>
      <w:r>
        <w:rPr>
          <w:rFonts w:hint="eastAsia" w:hAnsi="宋体"/>
          <w:b/>
          <w:sz w:val="24"/>
        </w:rPr>
        <w:t>7</w:t>
      </w:r>
      <w:r>
        <w:rPr>
          <w:rFonts w:hAnsi="宋体"/>
          <w:b/>
          <w:sz w:val="24"/>
        </w:rPr>
        <w:t>.</w:t>
      </w:r>
      <w:r>
        <w:rPr>
          <w:rFonts w:hint="eastAsia" w:hAnsi="宋体"/>
          <w:b/>
          <w:sz w:val="24"/>
        </w:rPr>
        <w:t>3</w:t>
      </w:r>
      <w:r>
        <w:rPr>
          <w:rFonts w:hAnsi="宋体"/>
          <w:b/>
          <w:sz w:val="24"/>
        </w:rPr>
        <w:t>-1    环境保护“三同时”验收一览表</w:t>
      </w:r>
    </w:p>
    <w:tbl>
      <w:tblPr>
        <w:tblStyle w:val="17"/>
        <w:tblW w:w="0" w:type="auto"/>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417"/>
        <w:gridCol w:w="349"/>
        <w:gridCol w:w="760"/>
        <w:gridCol w:w="1134"/>
        <w:gridCol w:w="1423"/>
        <w:gridCol w:w="1554"/>
        <w:gridCol w:w="1547"/>
        <w:gridCol w:w="721"/>
        <w:gridCol w:w="3227"/>
        <w:gridCol w:w="2746"/>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blHeader/>
          <w:jc w:val="center"/>
        </w:trPr>
        <w:tc>
          <w:tcPr>
            <w:tcW w:w="417" w:type="dxa"/>
            <w:vMerge w:val="restart"/>
            <w:tcBorders>
              <w:top w:val="single" w:color="000000" w:sz="12" w:space="0"/>
              <w:left w:val="single" w:color="000000" w:sz="12" w:space="0"/>
            </w:tcBorders>
            <w:noWrap w:val="0"/>
            <w:vAlign w:val="center"/>
          </w:tcPr>
          <w:p>
            <w:pPr>
              <w:spacing w:line="360" w:lineRule="exact"/>
              <w:jc w:val="center"/>
              <w:rPr>
                <w:b/>
                <w:szCs w:val="21"/>
              </w:rPr>
            </w:pPr>
            <w:r>
              <w:rPr>
                <w:rFonts w:hAnsi="宋体"/>
                <w:b/>
                <w:szCs w:val="21"/>
              </w:rPr>
              <w:t>项目</w:t>
            </w:r>
          </w:p>
        </w:tc>
        <w:tc>
          <w:tcPr>
            <w:tcW w:w="1109" w:type="dxa"/>
            <w:gridSpan w:val="2"/>
            <w:vMerge w:val="restart"/>
            <w:tcBorders>
              <w:top w:val="single" w:color="000000" w:sz="12" w:space="0"/>
            </w:tcBorders>
            <w:noWrap w:val="0"/>
            <w:vAlign w:val="center"/>
          </w:tcPr>
          <w:p>
            <w:pPr>
              <w:spacing w:line="360" w:lineRule="exact"/>
              <w:jc w:val="center"/>
              <w:rPr>
                <w:b/>
                <w:szCs w:val="21"/>
              </w:rPr>
            </w:pPr>
            <w:r>
              <w:rPr>
                <w:rFonts w:hAnsi="宋体"/>
                <w:b/>
                <w:szCs w:val="21"/>
              </w:rPr>
              <w:t>产污环节</w:t>
            </w:r>
          </w:p>
        </w:tc>
        <w:tc>
          <w:tcPr>
            <w:tcW w:w="2557" w:type="dxa"/>
            <w:gridSpan w:val="2"/>
            <w:tcBorders>
              <w:top w:val="single" w:color="000000" w:sz="12" w:space="0"/>
            </w:tcBorders>
            <w:noWrap w:val="0"/>
            <w:vAlign w:val="center"/>
          </w:tcPr>
          <w:p>
            <w:pPr>
              <w:spacing w:line="360" w:lineRule="exact"/>
              <w:jc w:val="center"/>
              <w:rPr>
                <w:b/>
                <w:szCs w:val="21"/>
              </w:rPr>
            </w:pPr>
            <w:r>
              <w:rPr>
                <w:rFonts w:hAnsi="宋体"/>
                <w:b/>
                <w:szCs w:val="21"/>
              </w:rPr>
              <w:t>源强</w:t>
            </w:r>
          </w:p>
        </w:tc>
        <w:tc>
          <w:tcPr>
            <w:tcW w:w="1554" w:type="dxa"/>
            <w:vMerge w:val="restart"/>
            <w:tcBorders>
              <w:top w:val="single" w:color="000000" w:sz="12" w:space="0"/>
            </w:tcBorders>
            <w:noWrap w:val="0"/>
            <w:vAlign w:val="center"/>
          </w:tcPr>
          <w:p>
            <w:pPr>
              <w:spacing w:line="360" w:lineRule="exact"/>
              <w:jc w:val="center"/>
              <w:rPr>
                <w:b/>
                <w:szCs w:val="21"/>
              </w:rPr>
            </w:pPr>
            <w:r>
              <w:rPr>
                <w:rFonts w:hAnsi="宋体"/>
                <w:b/>
                <w:szCs w:val="21"/>
              </w:rPr>
              <w:t>防治措施</w:t>
            </w:r>
          </w:p>
        </w:tc>
        <w:tc>
          <w:tcPr>
            <w:tcW w:w="1547" w:type="dxa"/>
            <w:vMerge w:val="restart"/>
            <w:tcBorders>
              <w:top w:val="single" w:color="000000" w:sz="12" w:space="0"/>
            </w:tcBorders>
            <w:noWrap w:val="0"/>
            <w:vAlign w:val="center"/>
          </w:tcPr>
          <w:p>
            <w:pPr>
              <w:spacing w:line="360" w:lineRule="exact"/>
              <w:jc w:val="center"/>
              <w:rPr>
                <w:b/>
                <w:szCs w:val="21"/>
              </w:rPr>
            </w:pPr>
            <w:r>
              <w:rPr>
                <w:rFonts w:hAnsi="宋体"/>
                <w:b/>
                <w:szCs w:val="21"/>
              </w:rPr>
              <w:t>排放量</w:t>
            </w:r>
            <w:r>
              <w:rPr>
                <w:b/>
                <w:szCs w:val="21"/>
              </w:rPr>
              <w:t>/</w:t>
            </w:r>
            <w:r>
              <w:rPr>
                <w:rFonts w:hAnsi="宋体"/>
                <w:b/>
                <w:szCs w:val="21"/>
              </w:rPr>
              <w:t>浓度</w:t>
            </w:r>
          </w:p>
        </w:tc>
        <w:tc>
          <w:tcPr>
            <w:tcW w:w="3948" w:type="dxa"/>
            <w:gridSpan w:val="2"/>
            <w:vMerge w:val="restart"/>
            <w:tcBorders>
              <w:top w:val="single" w:color="000000" w:sz="12" w:space="0"/>
            </w:tcBorders>
            <w:noWrap w:val="0"/>
            <w:vAlign w:val="center"/>
          </w:tcPr>
          <w:p>
            <w:pPr>
              <w:spacing w:line="360" w:lineRule="exact"/>
              <w:jc w:val="center"/>
              <w:rPr>
                <w:b/>
                <w:szCs w:val="21"/>
              </w:rPr>
            </w:pPr>
            <w:r>
              <w:rPr>
                <w:rFonts w:hAnsi="宋体"/>
                <w:b/>
                <w:szCs w:val="21"/>
              </w:rPr>
              <w:t>验收内容</w:t>
            </w:r>
          </w:p>
        </w:tc>
        <w:tc>
          <w:tcPr>
            <w:tcW w:w="2746" w:type="dxa"/>
            <w:vMerge w:val="restart"/>
            <w:tcBorders>
              <w:top w:val="single" w:color="000000" w:sz="12" w:space="0"/>
              <w:right w:val="single" w:color="000000" w:sz="12" w:space="0"/>
            </w:tcBorders>
            <w:noWrap w:val="0"/>
            <w:vAlign w:val="center"/>
          </w:tcPr>
          <w:p>
            <w:pPr>
              <w:spacing w:line="360" w:lineRule="exact"/>
              <w:jc w:val="center"/>
              <w:rPr>
                <w:b/>
                <w:szCs w:val="21"/>
              </w:rPr>
            </w:pPr>
            <w:r>
              <w:rPr>
                <w:rFonts w:hAnsi="宋体"/>
                <w:b/>
                <w:szCs w:val="21"/>
              </w:rPr>
              <w:t>满足标准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85" w:hRule="atLeast"/>
          <w:tblHeader/>
          <w:jc w:val="center"/>
        </w:trPr>
        <w:tc>
          <w:tcPr>
            <w:tcW w:w="417" w:type="dxa"/>
            <w:vMerge w:val="continue"/>
            <w:tcBorders>
              <w:left w:val="single" w:color="000000" w:sz="12" w:space="0"/>
            </w:tcBorders>
            <w:noWrap w:val="0"/>
            <w:vAlign w:val="center"/>
          </w:tcPr>
          <w:p>
            <w:pPr>
              <w:spacing w:line="360" w:lineRule="exact"/>
              <w:jc w:val="center"/>
              <w:rPr>
                <w:szCs w:val="21"/>
              </w:rPr>
            </w:pPr>
          </w:p>
        </w:tc>
        <w:tc>
          <w:tcPr>
            <w:tcW w:w="1109" w:type="dxa"/>
            <w:gridSpan w:val="2"/>
            <w:vMerge w:val="continue"/>
            <w:noWrap w:val="0"/>
            <w:vAlign w:val="center"/>
          </w:tcPr>
          <w:p>
            <w:pPr>
              <w:spacing w:line="360" w:lineRule="exact"/>
              <w:jc w:val="center"/>
              <w:rPr>
                <w:szCs w:val="21"/>
              </w:rPr>
            </w:pPr>
          </w:p>
        </w:tc>
        <w:tc>
          <w:tcPr>
            <w:tcW w:w="1134" w:type="dxa"/>
            <w:noWrap w:val="0"/>
            <w:vAlign w:val="center"/>
          </w:tcPr>
          <w:p>
            <w:pPr>
              <w:spacing w:line="360" w:lineRule="exact"/>
              <w:jc w:val="center"/>
              <w:rPr>
                <w:szCs w:val="21"/>
              </w:rPr>
            </w:pPr>
            <w:r>
              <w:rPr>
                <w:rFonts w:hAnsi="宋体"/>
                <w:szCs w:val="21"/>
              </w:rPr>
              <w:t>产生量</w:t>
            </w:r>
          </w:p>
        </w:tc>
        <w:tc>
          <w:tcPr>
            <w:tcW w:w="1423" w:type="dxa"/>
            <w:noWrap w:val="0"/>
            <w:vAlign w:val="center"/>
          </w:tcPr>
          <w:p>
            <w:pPr>
              <w:spacing w:line="360" w:lineRule="exact"/>
              <w:jc w:val="center"/>
              <w:rPr>
                <w:szCs w:val="21"/>
              </w:rPr>
            </w:pPr>
            <w:r>
              <w:rPr>
                <w:rFonts w:hAnsi="宋体"/>
                <w:szCs w:val="21"/>
              </w:rPr>
              <w:t>产生浓度</w:t>
            </w:r>
          </w:p>
        </w:tc>
        <w:tc>
          <w:tcPr>
            <w:tcW w:w="1554" w:type="dxa"/>
            <w:vMerge w:val="continue"/>
            <w:noWrap w:val="0"/>
            <w:vAlign w:val="center"/>
          </w:tcPr>
          <w:p>
            <w:pPr>
              <w:spacing w:line="360" w:lineRule="exact"/>
              <w:jc w:val="center"/>
              <w:rPr>
                <w:szCs w:val="21"/>
              </w:rPr>
            </w:pPr>
          </w:p>
        </w:tc>
        <w:tc>
          <w:tcPr>
            <w:tcW w:w="1547" w:type="dxa"/>
            <w:vMerge w:val="continue"/>
            <w:noWrap w:val="0"/>
            <w:vAlign w:val="center"/>
          </w:tcPr>
          <w:p>
            <w:pPr>
              <w:spacing w:line="360" w:lineRule="exact"/>
              <w:jc w:val="center"/>
              <w:rPr>
                <w:szCs w:val="21"/>
              </w:rPr>
            </w:pPr>
          </w:p>
        </w:tc>
        <w:tc>
          <w:tcPr>
            <w:tcW w:w="3948" w:type="dxa"/>
            <w:gridSpan w:val="2"/>
            <w:vMerge w:val="continue"/>
            <w:noWrap w:val="0"/>
            <w:vAlign w:val="center"/>
          </w:tcPr>
          <w:p>
            <w:pPr>
              <w:spacing w:line="360" w:lineRule="exact"/>
              <w:jc w:val="center"/>
              <w:rPr>
                <w:szCs w:val="21"/>
              </w:rPr>
            </w:pPr>
          </w:p>
        </w:tc>
        <w:tc>
          <w:tcPr>
            <w:tcW w:w="2746" w:type="dxa"/>
            <w:vMerge w:val="continue"/>
            <w:tcBorders>
              <w:right w:val="single" w:color="000000" w:sz="12" w:space="0"/>
            </w:tcBorders>
            <w:noWrap w:val="0"/>
            <w:vAlign w:val="center"/>
          </w:tcPr>
          <w:p>
            <w:pPr>
              <w:spacing w:line="360" w:lineRule="exact"/>
              <w:jc w:val="center"/>
              <w:rPr>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1413" w:hRule="atLeast"/>
          <w:jc w:val="center"/>
        </w:trPr>
        <w:tc>
          <w:tcPr>
            <w:tcW w:w="417" w:type="dxa"/>
            <w:vMerge w:val="restart"/>
            <w:tcBorders>
              <w:left w:val="single" w:color="000000" w:sz="12" w:space="0"/>
            </w:tcBorders>
            <w:noWrap w:val="0"/>
            <w:vAlign w:val="center"/>
          </w:tcPr>
          <w:p>
            <w:pPr>
              <w:spacing w:line="360" w:lineRule="exact"/>
              <w:jc w:val="center"/>
              <w:rPr>
                <w:szCs w:val="21"/>
              </w:rPr>
            </w:pPr>
            <w:r>
              <w:rPr>
                <w:rFonts w:hAnsi="宋体"/>
                <w:szCs w:val="21"/>
              </w:rPr>
              <w:t>废水</w:t>
            </w:r>
          </w:p>
        </w:tc>
        <w:tc>
          <w:tcPr>
            <w:tcW w:w="1109" w:type="dxa"/>
            <w:gridSpan w:val="2"/>
            <w:vMerge w:val="restart"/>
            <w:noWrap w:val="0"/>
            <w:vAlign w:val="center"/>
          </w:tcPr>
          <w:p>
            <w:pPr>
              <w:spacing w:line="360" w:lineRule="exact"/>
              <w:jc w:val="center"/>
              <w:rPr>
                <w:szCs w:val="21"/>
              </w:rPr>
            </w:pPr>
            <w:r>
              <w:rPr>
                <w:rFonts w:hAnsi="宋体"/>
                <w:szCs w:val="21"/>
              </w:rPr>
              <w:t>养殖废水</w:t>
            </w:r>
          </w:p>
          <w:p>
            <w:pPr>
              <w:spacing w:line="360" w:lineRule="exact"/>
              <w:jc w:val="center"/>
              <w:rPr>
                <w:szCs w:val="21"/>
              </w:rPr>
            </w:pPr>
            <w:r>
              <w:rPr>
                <w:rFonts w:hAnsi="宋体"/>
                <w:szCs w:val="21"/>
              </w:rPr>
              <w:t>生活污水</w:t>
            </w:r>
          </w:p>
        </w:tc>
        <w:tc>
          <w:tcPr>
            <w:tcW w:w="1134" w:type="dxa"/>
            <w:vMerge w:val="restart"/>
            <w:noWrap w:val="0"/>
            <w:vAlign w:val="center"/>
          </w:tcPr>
          <w:p>
            <w:pPr>
              <w:spacing w:line="360" w:lineRule="exact"/>
              <w:jc w:val="center"/>
              <w:rPr>
                <w:szCs w:val="21"/>
              </w:rPr>
            </w:pPr>
            <w:r>
              <w:rPr>
                <w:rFonts w:hint="eastAsia"/>
                <w:bCs/>
                <w:szCs w:val="21"/>
                <w:lang w:eastAsia="zh-CN"/>
              </w:rPr>
              <w:t>7512.9907</w:t>
            </w:r>
            <w:r>
              <w:rPr>
                <w:szCs w:val="21"/>
              </w:rPr>
              <w:t>m</w:t>
            </w:r>
            <w:r>
              <w:rPr>
                <w:szCs w:val="21"/>
                <w:vertAlign w:val="superscript"/>
              </w:rPr>
              <w:t>3</w:t>
            </w:r>
            <w:r>
              <w:rPr>
                <w:szCs w:val="21"/>
              </w:rPr>
              <w:t>/a</w:t>
            </w:r>
          </w:p>
        </w:tc>
        <w:tc>
          <w:tcPr>
            <w:tcW w:w="1423" w:type="dxa"/>
            <w:vMerge w:val="restart"/>
            <w:noWrap w:val="0"/>
            <w:vAlign w:val="center"/>
          </w:tcPr>
          <w:p>
            <w:pPr>
              <w:spacing w:line="360" w:lineRule="exact"/>
              <w:jc w:val="center"/>
              <w:rPr>
                <w:w w:val="90"/>
                <w:szCs w:val="21"/>
              </w:rPr>
            </w:pPr>
            <w:r>
              <w:rPr>
                <w:w w:val="90"/>
                <w:szCs w:val="21"/>
              </w:rPr>
              <w:t>COD</w:t>
            </w:r>
            <w:r>
              <w:rPr>
                <w:rFonts w:hAnsi="宋体"/>
                <w:w w:val="90"/>
                <w:szCs w:val="21"/>
              </w:rPr>
              <w:t>：</w:t>
            </w:r>
            <w:r>
              <w:rPr>
                <w:rFonts w:hint="eastAsia"/>
                <w:szCs w:val="21"/>
                <w:lang w:eastAsia="zh-CN"/>
              </w:rPr>
              <w:t>18608.369</w:t>
            </w:r>
            <w:r>
              <w:rPr>
                <w:w w:val="90"/>
                <w:szCs w:val="21"/>
              </w:rPr>
              <w:t>mg/L</w:t>
            </w:r>
          </w:p>
          <w:p>
            <w:pPr>
              <w:spacing w:line="360" w:lineRule="exact"/>
              <w:jc w:val="center"/>
              <w:rPr>
                <w:bCs/>
                <w:w w:val="90"/>
                <w:szCs w:val="21"/>
                <w:vertAlign w:val="subscript"/>
              </w:rPr>
            </w:pPr>
            <w:r>
              <w:rPr>
                <w:bCs/>
                <w:w w:val="90"/>
                <w:szCs w:val="21"/>
              </w:rPr>
              <w:t>BOD</w:t>
            </w:r>
            <w:r>
              <w:rPr>
                <w:bCs/>
                <w:w w:val="90"/>
                <w:szCs w:val="21"/>
                <w:vertAlign w:val="subscript"/>
              </w:rPr>
              <w:t>5</w:t>
            </w:r>
            <w:r>
              <w:rPr>
                <w:rFonts w:hAnsi="宋体"/>
                <w:bCs/>
                <w:w w:val="90"/>
                <w:szCs w:val="21"/>
              </w:rPr>
              <w:t>：</w:t>
            </w:r>
            <w:r>
              <w:rPr>
                <w:rFonts w:hint="eastAsia"/>
                <w:szCs w:val="21"/>
                <w:lang w:eastAsia="zh-CN"/>
              </w:rPr>
              <w:t>7635.77</w:t>
            </w:r>
            <w:r>
              <w:rPr>
                <w:w w:val="90"/>
                <w:szCs w:val="21"/>
              </w:rPr>
              <w:t>mg/L</w:t>
            </w:r>
          </w:p>
          <w:p>
            <w:pPr>
              <w:spacing w:line="360" w:lineRule="exact"/>
              <w:jc w:val="center"/>
              <w:rPr>
                <w:bCs/>
                <w:w w:val="90"/>
                <w:szCs w:val="21"/>
              </w:rPr>
            </w:pPr>
            <w:r>
              <w:rPr>
                <w:bCs/>
                <w:w w:val="90"/>
                <w:szCs w:val="21"/>
              </w:rPr>
              <w:t>SS</w:t>
            </w:r>
            <w:r>
              <w:rPr>
                <w:rFonts w:hAnsi="宋体"/>
                <w:bCs/>
                <w:w w:val="90"/>
                <w:szCs w:val="21"/>
              </w:rPr>
              <w:t>：</w:t>
            </w:r>
            <w:r>
              <w:rPr>
                <w:rFonts w:hint="eastAsia"/>
                <w:szCs w:val="21"/>
                <w:lang w:eastAsia="zh-CN"/>
              </w:rPr>
              <w:t>1535.04</w:t>
            </w:r>
            <w:r>
              <w:rPr>
                <w:w w:val="90"/>
                <w:szCs w:val="21"/>
              </w:rPr>
              <w:t>mg/L</w:t>
            </w:r>
          </w:p>
          <w:p>
            <w:pPr>
              <w:spacing w:line="360" w:lineRule="exact"/>
              <w:jc w:val="center"/>
              <w:rPr>
                <w:rFonts w:hint="eastAsia"/>
                <w:szCs w:val="21"/>
              </w:rPr>
            </w:pPr>
            <w:r>
              <w:rPr>
                <w:bCs/>
                <w:w w:val="90"/>
                <w:szCs w:val="21"/>
              </w:rPr>
              <w:t>NH</w:t>
            </w:r>
            <w:r>
              <w:rPr>
                <w:bCs/>
                <w:w w:val="90"/>
                <w:szCs w:val="21"/>
                <w:vertAlign w:val="subscript"/>
              </w:rPr>
              <w:t>3</w:t>
            </w:r>
            <w:r>
              <w:rPr>
                <w:bCs/>
                <w:w w:val="90"/>
                <w:szCs w:val="21"/>
              </w:rPr>
              <w:t>-N</w:t>
            </w:r>
            <w:r>
              <w:rPr>
                <w:rFonts w:hAnsi="宋体"/>
                <w:bCs/>
                <w:w w:val="90"/>
                <w:szCs w:val="21"/>
              </w:rPr>
              <w:t>：</w:t>
            </w:r>
            <w:r>
              <w:rPr>
                <w:rFonts w:hint="eastAsia"/>
                <w:szCs w:val="21"/>
                <w:lang w:eastAsia="zh-CN"/>
              </w:rPr>
              <w:t>1145.91</w:t>
            </w:r>
            <w:r>
              <w:rPr>
                <w:w w:val="90"/>
                <w:szCs w:val="21"/>
              </w:rPr>
              <w:t>mg/L</w:t>
            </w:r>
          </w:p>
        </w:tc>
        <w:tc>
          <w:tcPr>
            <w:tcW w:w="1554" w:type="dxa"/>
            <w:vMerge w:val="restart"/>
            <w:noWrap w:val="0"/>
            <w:vAlign w:val="center"/>
          </w:tcPr>
          <w:p>
            <w:pPr>
              <w:spacing w:line="360" w:lineRule="exact"/>
              <w:jc w:val="center"/>
              <w:rPr>
                <w:szCs w:val="21"/>
              </w:rPr>
            </w:pPr>
            <w:r>
              <w:rPr>
                <w:rFonts w:hAnsi="宋体"/>
                <w:szCs w:val="21"/>
              </w:rPr>
              <w:t>养殖废水与生活污水混合后</w:t>
            </w:r>
            <w:r>
              <w:rPr>
                <w:rFonts w:hint="eastAsia" w:hAnsi="宋体"/>
                <w:szCs w:val="21"/>
              </w:rPr>
              <w:t>进入黑膜沼气池经</w:t>
            </w:r>
            <w:r>
              <w:rPr>
                <w:rFonts w:hAnsi="宋体"/>
                <w:szCs w:val="21"/>
              </w:rPr>
              <w:t>35d</w:t>
            </w:r>
            <w:r>
              <w:rPr>
                <w:rFonts w:hint="eastAsia" w:hAnsi="宋体"/>
                <w:szCs w:val="21"/>
              </w:rPr>
              <w:t>厌氧发酵</w:t>
            </w:r>
            <w:r>
              <w:rPr>
                <w:rFonts w:hAnsi="宋体"/>
                <w:szCs w:val="21"/>
              </w:rPr>
              <w:t>经过配套农肥系统用于农田综合利用</w:t>
            </w:r>
          </w:p>
        </w:tc>
        <w:tc>
          <w:tcPr>
            <w:tcW w:w="1547" w:type="dxa"/>
            <w:vMerge w:val="restart"/>
            <w:noWrap w:val="0"/>
            <w:vAlign w:val="center"/>
          </w:tcPr>
          <w:p>
            <w:pPr>
              <w:spacing w:line="360" w:lineRule="exact"/>
              <w:jc w:val="center"/>
              <w:rPr>
                <w:szCs w:val="21"/>
              </w:rPr>
            </w:pPr>
            <w:r>
              <w:rPr>
                <w:rFonts w:hint="eastAsia" w:hAnsi="宋体"/>
                <w:szCs w:val="21"/>
              </w:rPr>
              <w:t>黑膜</w:t>
            </w:r>
            <w:r>
              <w:rPr>
                <w:rFonts w:hAnsi="宋体"/>
                <w:szCs w:val="21"/>
              </w:rPr>
              <w:t>沼气池出水浓度：</w:t>
            </w:r>
          </w:p>
          <w:p>
            <w:pPr>
              <w:spacing w:line="360" w:lineRule="exact"/>
              <w:jc w:val="center"/>
              <w:rPr>
                <w:szCs w:val="21"/>
              </w:rPr>
            </w:pPr>
            <w:r>
              <w:rPr>
                <w:szCs w:val="21"/>
              </w:rPr>
              <w:t>COD</w:t>
            </w:r>
            <w:r>
              <w:rPr>
                <w:rFonts w:hAnsi="宋体"/>
                <w:szCs w:val="21"/>
              </w:rPr>
              <w:t>：</w:t>
            </w:r>
            <w:r>
              <w:rPr>
                <w:rFonts w:hint="eastAsia"/>
                <w:szCs w:val="21"/>
              </w:rPr>
              <w:t>3</w:t>
            </w:r>
            <w:r>
              <w:rPr>
                <w:szCs w:val="21"/>
              </w:rPr>
              <w:t>000mg/L</w:t>
            </w:r>
          </w:p>
          <w:p>
            <w:pPr>
              <w:spacing w:line="360" w:lineRule="exact"/>
              <w:jc w:val="center"/>
              <w:rPr>
                <w:bCs/>
                <w:szCs w:val="21"/>
                <w:vertAlign w:val="subscript"/>
              </w:rPr>
            </w:pPr>
            <w:r>
              <w:rPr>
                <w:bCs/>
                <w:szCs w:val="21"/>
              </w:rPr>
              <w:t>BOD</w:t>
            </w:r>
            <w:r>
              <w:rPr>
                <w:bCs/>
                <w:szCs w:val="21"/>
                <w:vertAlign w:val="subscript"/>
              </w:rPr>
              <w:t>5</w:t>
            </w:r>
            <w:r>
              <w:rPr>
                <w:rFonts w:hAnsi="宋体"/>
                <w:bCs/>
                <w:szCs w:val="21"/>
              </w:rPr>
              <w:t>：</w:t>
            </w:r>
            <w:r>
              <w:rPr>
                <w:rFonts w:hint="eastAsia"/>
                <w:szCs w:val="21"/>
              </w:rPr>
              <w:t>1400</w:t>
            </w:r>
            <w:r>
              <w:rPr>
                <w:szCs w:val="21"/>
              </w:rPr>
              <w:t>mg/L</w:t>
            </w:r>
          </w:p>
          <w:p>
            <w:pPr>
              <w:spacing w:line="360" w:lineRule="exact"/>
              <w:jc w:val="center"/>
              <w:rPr>
                <w:bCs/>
                <w:szCs w:val="21"/>
              </w:rPr>
            </w:pPr>
            <w:r>
              <w:rPr>
                <w:bCs/>
                <w:szCs w:val="21"/>
              </w:rPr>
              <w:t>SS</w:t>
            </w:r>
            <w:r>
              <w:rPr>
                <w:rFonts w:hAnsi="宋体"/>
                <w:bCs/>
                <w:szCs w:val="21"/>
              </w:rPr>
              <w:t>：</w:t>
            </w:r>
            <w:r>
              <w:rPr>
                <w:szCs w:val="21"/>
              </w:rPr>
              <w:t>2000mg/L</w:t>
            </w:r>
          </w:p>
          <w:p>
            <w:pPr>
              <w:spacing w:line="360" w:lineRule="exact"/>
              <w:jc w:val="center"/>
              <w:rPr>
                <w:rFonts w:hint="eastAsia"/>
                <w:szCs w:val="21"/>
              </w:rPr>
            </w:pPr>
            <w:r>
              <w:rPr>
                <w:bCs/>
                <w:szCs w:val="21"/>
              </w:rPr>
              <w:t>NH</w:t>
            </w:r>
            <w:r>
              <w:rPr>
                <w:bCs/>
                <w:szCs w:val="21"/>
                <w:vertAlign w:val="subscript"/>
              </w:rPr>
              <w:t>3</w:t>
            </w:r>
            <w:r>
              <w:rPr>
                <w:bCs/>
                <w:szCs w:val="21"/>
              </w:rPr>
              <w:t>-N</w:t>
            </w:r>
            <w:r>
              <w:rPr>
                <w:rFonts w:hAnsi="宋体"/>
                <w:bCs/>
                <w:szCs w:val="21"/>
              </w:rPr>
              <w:t>：</w:t>
            </w:r>
            <w:r>
              <w:rPr>
                <w:rFonts w:hint="eastAsia"/>
                <w:szCs w:val="21"/>
              </w:rPr>
              <w:t>9</w:t>
            </w:r>
            <w:r>
              <w:rPr>
                <w:szCs w:val="21"/>
              </w:rPr>
              <w:t>00mg/L</w:t>
            </w:r>
          </w:p>
        </w:tc>
        <w:tc>
          <w:tcPr>
            <w:tcW w:w="721" w:type="dxa"/>
            <w:noWrap w:val="0"/>
            <w:vAlign w:val="center"/>
          </w:tcPr>
          <w:p>
            <w:pPr>
              <w:spacing w:line="360" w:lineRule="exact"/>
              <w:jc w:val="center"/>
              <w:rPr>
                <w:szCs w:val="21"/>
              </w:rPr>
            </w:pPr>
            <w:r>
              <w:rPr>
                <w:rFonts w:hAnsi="宋体"/>
                <w:szCs w:val="21"/>
              </w:rPr>
              <w:t>污水处理设施</w:t>
            </w:r>
          </w:p>
        </w:tc>
        <w:tc>
          <w:tcPr>
            <w:tcW w:w="3227" w:type="dxa"/>
            <w:noWrap w:val="0"/>
            <w:vAlign w:val="center"/>
          </w:tcPr>
          <w:p>
            <w:pPr>
              <w:adjustRightInd w:val="0"/>
              <w:snapToGrid w:val="0"/>
              <w:spacing w:line="360" w:lineRule="exact"/>
              <w:jc w:val="left"/>
              <w:rPr>
                <w:rFonts w:hint="eastAsia"/>
                <w:w w:val="90"/>
                <w:szCs w:val="21"/>
              </w:rPr>
            </w:pPr>
            <w:r>
              <w:rPr>
                <w:rFonts w:hAnsi="宋体"/>
                <w:szCs w:val="21"/>
              </w:rPr>
              <w:t>收集池</w:t>
            </w:r>
            <w:r>
              <w:rPr>
                <w:szCs w:val="21"/>
              </w:rPr>
              <w:t>1</w:t>
            </w:r>
            <w:r>
              <w:rPr>
                <w:rFonts w:hAnsi="宋体"/>
                <w:szCs w:val="21"/>
              </w:rPr>
              <w:t>座</w:t>
            </w:r>
            <w:r>
              <w:rPr>
                <w:rFonts w:hint="eastAsia" w:hAnsi="宋体"/>
                <w:szCs w:val="21"/>
              </w:rPr>
              <w:t>，总容积</w:t>
            </w:r>
            <w:r>
              <w:rPr>
                <w:szCs w:val="21"/>
              </w:rPr>
              <w:t>360m</w:t>
            </w:r>
            <w:r>
              <w:rPr>
                <w:szCs w:val="21"/>
                <w:vertAlign w:val="superscript"/>
              </w:rPr>
              <w:t>3</w:t>
            </w:r>
            <w:r>
              <w:rPr>
                <w:rFonts w:hint="eastAsia" w:hAnsi="宋体"/>
                <w:szCs w:val="21"/>
              </w:rPr>
              <w:t>；黑膜沼气池</w:t>
            </w:r>
            <w:r>
              <w:rPr>
                <w:rFonts w:hAnsi="宋体"/>
                <w:szCs w:val="21"/>
              </w:rPr>
              <w:t>1</w:t>
            </w:r>
            <w:r>
              <w:rPr>
                <w:rFonts w:hint="eastAsia" w:hAnsi="宋体"/>
                <w:szCs w:val="21"/>
              </w:rPr>
              <w:t>个，总容积</w:t>
            </w:r>
            <w:r>
              <w:rPr>
                <w:rFonts w:hAnsi="宋体"/>
                <w:szCs w:val="21"/>
              </w:rPr>
              <w:t>1200</w:t>
            </w:r>
            <w:r>
              <w:rPr>
                <w:rFonts w:hint="eastAsia" w:hAnsi="宋体"/>
                <w:szCs w:val="21"/>
              </w:rPr>
              <w:t>m</w:t>
            </w:r>
            <w:r>
              <w:rPr>
                <w:rFonts w:hint="eastAsia" w:hAnsi="宋体"/>
                <w:szCs w:val="21"/>
                <w:vertAlign w:val="superscript"/>
              </w:rPr>
              <w:t>3</w:t>
            </w:r>
            <w:r>
              <w:rPr>
                <w:rFonts w:hint="eastAsia" w:hAnsi="宋体"/>
                <w:szCs w:val="21"/>
              </w:rPr>
              <w:t>；</w:t>
            </w:r>
            <w:r>
              <w:rPr>
                <w:rFonts w:hAnsi="宋体"/>
                <w:szCs w:val="21"/>
              </w:rPr>
              <w:t>沼液储存池</w:t>
            </w:r>
            <w:r>
              <w:rPr>
                <w:szCs w:val="21"/>
              </w:rPr>
              <w:t>1</w:t>
            </w:r>
            <w:r>
              <w:rPr>
                <w:rFonts w:hAnsi="宋体"/>
                <w:szCs w:val="21"/>
              </w:rPr>
              <w:t>个，总容积</w:t>
            </w:r>
            <w:r>
              <w:rPr>
                <w:szCs w:val="21"/>
              </w:rPr>
              <w:t>6500m</w:t>
            </w:r>
            <w:r>
              <w:rPr>
                <w:szCs w:val="21"/>
                <w:vertAlign w:val="superscript"/>
              </w:rPr>
              <w:t>3</w:t>
            </w:r>
            <w:r>
              <w:rPr>
                <w:rFonts w:hint="eastAsia"/>
                <w:w w:val="90"/>
                <w:szCs w:val="21"/>
              </w:rPr>
              <w:t xml:space="preserve"> </w:t>
            </w:r>
          </w:p>
        </w:tc>
        <w:tc>
          <w:tcPr>
            <w:tcW w:w="2746" w:type="dxa"/>
            <w:vMerge w:val="restart"/>
            <w:tcBorders>
              <w:right w:val="single" w:color="000000" w:sz="12" w:space="0"/>
            </w:tcBorders>
            <w:noWrap w:val="0"/>
            <w:vAlign w:val="center"/>
          </w:tcPr>
          <w:p>
            <w:pPr>
              <w:spacing w:line="360" w:lineRule="exact"/>
              <w:jc w:val="center"/>
              <w:rPr>
                <w:szCs w:val="21"/>
              </w:rPr>
            </w:pPr>
            <w:r>
              <w:rPr>
                <w:rFonts w:hAnsi="宋体"/>
                <w:szCs w:val="21"/>
              </w:rPr>
              <w:t>废水中主要污染物去除效率为COD84%、BOD</w:t>
            </w:r>
            <w:r>
              <w:rPr>
                <w:rFonts w:hint="eastAsia" w:hAnsi="宋体"/>
                <w:szCs w:val="21"/>
              </w:rPr>
              <w:t>81.8</w:t>
            </w:r>
            <w:r>
              <w:rPr>
                <w:rFonts w:hAnsi="宋体"/>
                <w:szCs w:val="21"/>
              </w:rPr>
              <w:t>%、SS87%、氨氮22%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64" w:hRule="atLeast"/>
          <w:jc w:val="center"/>
        </w:trPr>
        <w:tc>
          <w:tcPr>
            <w:tcW w:w="417" w:type="dxa"/>
            <w:vMerge w:val="continue"/>
            <w:tcBorders>
              <w:left w:val="single" w:color="000000" w:sz="12" w:space="0"/>
            </w:tcBorders>
            <w:noWrap w:val="0"/>
            <w:vAlign w:val="center"/>
          </w:tcPr>
          <w:p>
            <w:pPr>
              <w:spacing w:line="360" w:lineRule="exact"/>
              <w:jc w:val="center"/>
              <w:rPr>
                <w:szCs w:val="21"/>
              </w:rPr>
            </w:pPr>
          </w:p>
        </w:tc>
        <w:tc>
          <w:tcPr>
            <w:tcW w:w="1109" w:type="dxa"/>
            <w:gridSpan w:val="2"/>
            <w:vMerge w:val="continue"/>
            <w:noWrap w:val="0"/>
            <w:vAlign w:val="center"/>
          </w:tcPr>
          <w:p>
            <w:pPr>
              <w:spacing w:line="360" w:lineRule="exact"/>
              <w:jc w:val="center"/>
              <w:rPr>
                <w:szCs w:val="21"/>
              </w:rPr>
            </w:pPr>
          </w:p>
        </w:tc>
        <w:tc>
          <w:tcPr>
            <w:tcW w:w="1134" w:type="dxa"/>
            <w:vMerge w:val="continue"/>
            <w:noWrap w:val="0"/>
            <w:vAlign w:val="center"/>
          </w:tcPr>
          <w:p>
            <w:pPr>
              <w:spacing w:line="360" w:lineRule="exact"/>
              <w:jc w:val="center"/>
              <w:rPr>
                <w:szCs w:val="21"/>
              </w:rPr>
            </w:pPr>
          </w:p>
        </w:tc>
        <w:tc>
          <w:tcPr>
            <w:tcW w:w="1423" w:type="dxa"/>
            <w:vMerge w:val="continue"/>
            <w:noWrap w:val="0"/>
            <w:vAlign w:val="center"/>
          </w:tcPr>
          <w:p>
            <w:pPr>
              <w:spacing w:line="360" w:lineRule="exact"/>
              <w:jc w:val="center"/>
              <w:rPr>
                <w:szCs w:val="21"/>
              </w:rPr>
            </w:pPr>
          </w:p>
        </w:tc>
        <w:tc>
          <w:tcPr>
            <w:tcW w:w="1554" w:type="dxa"/>
            <w:vMerge w:val="continue"/>
            <w:noWrap w:val="0"/>
            <w:vAlign w:val="center"/>
          </w:tcPr>
          <w:p>
            <w:pPr>
              <w:spacing w:line="360" w:lineRule="exact"/>
              <w:jc w:val="center"/>
              <w:rPr>
                <w:szCs w:val="21"/>
              </w:rPr>
            </w:pPr>
          </w:p>
        </w:tc>
        <w:tc>
          <w:tcPr>
            <w:tcW w:w="1547" w:type="dxa"/>
            <w:vMerge w:val="continue"/>
            <w:noWrap w:val="0"/>
            <w:vAlign w:val="center"/>
          </w:tcPr>
          <w:p>
            <w:pPr>
              <w:spacing w:line="360" w:lineRule="exact"/>
              <w:jc w:val="center"/>
              <w:rPr>
                <w:szCs w:val="21"/>
              </w:rPr>
            </w:pPr>
          </w:p>
        </w:tc>
        <w:tc>
          <w:tcPr>
            <w:tcW w:w="721" w:type="dxa"/>
            <w:noWrap w:val="0"/>
            <w:vAlign w:val="center"/>
          </w:tcPr>
          <w:p>
            <w:pPr>
              <w:spacing w:line="360" w:lineRule="exact"/>
              <w:jc w:val="center"/>
              <w:rPr>
                <w:szCs w:val="21"/>
              </w:rPr>
            </w:pPr>
            <w:r>
              <w:rPr>
                <w:rFonts w:hint="eastAsia" w:hAnsi="宋体"/>
                <w:szCs w:val="21"/>
              </w:rPr>
              <w:t>施肥</w:t>
            </w:r>
          </w:p>
          <w:p>
            <w:pPr>
              <w:spacing w:line="360" w:lineRule="exact"/>
              <w:jc w:val="center"/>
              <w:rPr>
                <w:szCs w:val="21"/>
              </w:rPr>
            </w:pPr>
            <w:r>
              <w:rPr>
                <w:rFonts w:hAnsi="宋体"/>
                <w:szCs w:val="21"/>
              </w:rPr>
              <w:t>系统</w:t>
            </w:r>
          </w:p>
        </w:tc>
        <w:tc>
          <w:tcPr>
            <w:tcW w:w="3227" w:type="dxa"/>
            <w:noWrap w:val="0"/>
            <w:vAlign w:val="center"/>
          </w:tcPr>
          <w:p>
            <w:pPr>
              <w:spacing w:line="360" w:lineRule="exact"/>
              <w:jc w:val="left"/>
              <w:rPr>
                <w:b/>
                <w:szCs w:val="21"/>
                <w:u w:val="single"/>
              </w:rPr>
            </w:pPr>
            <w:r>
              <w:rPr>
                <w:bCs/>
                <w:color w:val="000000"/>
                <w:szCs w:val="21"/>
              </w:rPr>
              <w:t>全场沼液输送主管网。并在配套农田</w:t>
            </w:r>
            <w:r>
              <w:rPr>
                <w:rFonts w:hint="eastAsia"/>
                <w:bCs/>
                <w:color w:val="000000"/>
                <w:szCs w:val="21"/>
              </w:rPr>
              <w:t>南</w:t>
            </w:r>
            <w:r>
              <w:rPr>
                <w:bCs/>
                <w:color w:val="000000"/>
                <w:szCs w:val="21"/>
              </w:rPr>
              <w:t>侧和东侧方位各设置1口地下水观测井</w:t>
            </w:r>
          </w:p>
        </w:tc>
        <w:tc>
          <w:tcPr>
            <w:tcW w:w="2746" w:type="dxa"/>
            <w:vMerge w:val="continue"/>
            <w:tcBorders>
              <w:right w:val="single" w:color="000000" w:sz="12" w:space="0"/>
            </w:tcBorders>
            <w:noWrap w:val="0"/>
            <w:vAlign w:val="center"/>
          </w:tcPr>
          <w:p>
            <w:pPr>
              <w:spacing w:line="360" w:lineRule="exact"/>
              <w:jc w:val="center"/>
              <w:rPr>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643" w:hRule="atLeast"/>
          <w:jc w:val="center"/>
        </w:trPr>
        <w:tc>
          <w:tcPr>
            <w:tcW w:w="417" w:type="dxa"/>
            <w:vMerge w:val="continue"/>
            <w:tcBorders>
              <w:left w:val="single" w:color="000000" w:sz="12" w:space="0"/>
            </w:tcBorders>
            <w:noWrap w:val="0"/>
            <w:vAlign w:val="center"/>
          </w:tcPr>
          <w:p>
            <w:pPr>
              <w:spacing w:line="360" w:lineRule="exact"/>
              <w:jc w:val="center"/>
              <w:rPr>
                <w:b/>
                <w:szCs w:val="21"/>
                <w:u w:val="single"/>
              </w:rPr>
            </w:pPr>
          </w:p>
        </w:tc>
        <w:tc>
          <w:tcPr>
            <w:tcW w:w="1109" w:type="dxa"/>
            <w:gridSpan w:val="2"/>
            <w:noWrap w:val="0"/>
            <w:vAlign w:val="center"/>
          </w:tcPr>
          <w:p>
            <w:pPr>
              <w:spacing w:line="360" w:lineRule="exact"/>
              <w:jc w:val="center"/>
              <w:rPr>
                <w:szCs w:val="21"/>
              </w:rPr>
            </w:pPr>
            <w:r>
              <w:rPr>
                <w:rFonts w:hAnsi="宋体"/>
                <w:szCs w:val="21"/>
              </w:rPr>
              <w:t>雨水</w:t>
            </w:r>
          </w:p>
        </w:tc>
        <w:tc>
          <w:tcPr>
            <w:tcW w:w="1134" w:type="dxa"/>
            <w:noWrap w:val="0"/>
            <w:vAlign w:val="center"/>
          </w:tcPr>
          <w:p>
            <w:pPr>
              <w:spacing w:line="360" w:lineRule="exact"/>
              <w:jc w:val="center"/>
              <w:rPr>
                <w:rFonts w:hint="eastAsia"/>
                <w:szCs w:val="21"/>
              </w:rPr>
            </w:pPr>
            <w:r>
              <w:rPr>
                <w:rFonts w:hint="eastAsia"/>
                <w:szCs w:val="21"/>
              </w:rPr>
              <w:t>/</w:t>
            </w:r>
          </w:p>
        </w:tc>
        <w:tc>
          <w:tcPr>
            <w:tcW w:w="1423" w:type="dxa"/>
            <w:noWrap w:val="0"/>
            <w:vAlign w:val="center"/>
          </w:tcPr>
          <w:p>
            <w:pPr>
              <w:spacing w:line="360" w:lineRule="exact"/>
              <w:jc w:val="center"/>
              <w:rPr>
                <w:rFonts w:hint="eastAsia"/>
                <w:szCs w:val="21"/>
              </w:rPr>
            </w:pPr>
            <w:r>
              <w:rPr>
                <w:rFonts w:hint="eastAsia"/>
                <w:szCs w:val="21"/>
              </w:rPr>
              <w:t>/</w:t>
            </w:r>
          </w:p>
        </w:tc>
        <w:tc>
          <w:tcPr>
            <w:tcW w:w="1554" w:type="dxa"/>
            <w:noWrap w:val="0"/>
            <w:vAlign w:val="center"/>
          </w:tcPr>
          <w:p>
            <w:pPr>
              <w:spacing w:line="360" w:lineRule="exact"/>
              <w:jc w:val="center"/>
              <w:rPr>
                <w:rFonts w:hint="eastAsia"/>
                <w:szCs w:val="21"/>
              </w:rPr>
            </w:pPr>
            <w:r>
              <w:rPr>
                <w:rFonts w:hint="eastAsia"/>
                <w:szCs w:val="21"/>
              </w:rPr>
              <w:t>/</w:t>
            </w:r>
          </w:p>
        </w:tc>
        <w:tc>
          <w:tcPr>
            <w:tcW w:w="1547" w:type="dxa"/>
            <w:noWrap w:val="0"/>
            <w:vAlign w:val="center"/>
          </w:tcPr>
          <w:p>
            <w:pPr>
              <w:spacing w:line="360" w:lineRule="exact"/>
              <w:jc w:val="center"/>
              <w:rPr>
                <w:rFonts w:hint="eastAsia"/>
                <w:szCs w:val="21"/>
              </w:rPr>
            </w:pPr>
            <w:r>
              <w:rPr>
                <w:rFonts w:hint="eastAsia"/>
                <w:szCs w:val="21"/>
              </w:rPr>
              <w:t>/</w:t>
            </w:r>
          </w:p>
        </w:tc>
        <w:tc>
          <w:tcPr>
            <w:tcW w:w="721" w:type="dxa"/>
            <w:noWrap w:val="0"/>
            <w:vAlign w:val="center"/>
          </w:tcPr>
          <w:p>
            <w:pPr>
              <w:spacing w:line="360" w:lineRule="exact"/>
              <w:jc w:val="center"/>
              <w:rPr>
                <w:szCs w:val="21"/>
              </w:rPr>
            </w:pPr>
            <w:r>
              <w:rPr>
                <w:rFonts w:hAnsi="宋体"/>
                <w:szCs w:val="21"/>
              </w:rPr>
              <w:t>废水管理</w:t>
            </w:r>
          </w:p>
        </w:tc>
        <w:tc>
          <w:tcPr>
            <w:tcW w:w="3227" w:type="dxa"/>
            <w:noWrap w:val="0"/>
            <w:vAlign w:val="center"/>
          </w:tcPr>
          <w:p>
            <w:pPr>
              <w:adjustRightInd w:val="0"/>
              <w:snapToGrid w:val="0"/>
              <w:spacing w:line="360" w:lineRule="exact"/>
              <w:jc w:val="left"/>
              <w:rPr>
                <w:szCs w:val="21"/>
              </w:rPr>
            </w:pPr>
            <w:r>
              <w:rPr>
                <w:rFonts w:hAnsi="宋体"/>
                <w:szCs w:val="21"/>
              </w:rPr>
              <w:t>场区内设置雨、污分流管网；</w:t>
            </w:r>
          </w:p>
          <w:p>
            <w:pPr>
              <w:spacing w:line="360" w:lineRule="exact"/>
              <w:jc w:val="left"/>
              <w:rPr>
                <w:szCs w:val="21"/>
              </w:rPr>
            </w:pPr>
            <w:r>
              <w:rPr>
                <w:rFonts w:hAnsi="宋体"/>
                <w:szCs w:val="21"/>
              </w:rPr>
              <w:t>场区外不得设置排污口</w:t>
            </w:r>
          </w:p>
        </w:tc>
        <w:tc>
          <w:tcPr>
            <w:tcW w:w="2746" w:type="dxa"/>
            <w:tcBorders>
              <w:right w:val="single" w:color="000000" w:sz="12" w:space="0"/>
            </w:tcBorders>
            <w:noWrap w:val="0"/>
            <w:vAlign w:val="center"/>
          </w:tcPr>
          <w:p>
            <w:pPr>
              <w:spacing w:line="360" w:lineRule="exact"/>
              <w:jc w:val="center"/>
              <w:rPr>
                <w:szCs w:val="21"/>
              </w:rPr>
            </w:pPr>
            <w:r>
              <w:rPr>
                <w:rFonts w:hAnsi="宋体"/>
                <w:szCs w:val="21"/>
              </w:rPr>
              <w:t>《畜禽养殖业污染防治技术规范》</w:t>
            </w:r>
            <w:r>
              <w:rPr>
                <w:szCs w:val="21"/>
              </w:rPr>
              <w:t>HJ/T81-2001</w:t>
            </w:r>
            <w:r>
              <w:rPr>
                <w:rFonts w:hAnsi="宋体"/>
                <w:szCs w:val="21"/>
              </w:rPr>
              <w:t>要求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64" w:hRule="atLeast"/>
          <w:jc w:val="center"/>
        </w:trPr>
        <w:tc>
          <w:tcPr>
            <w:tcW w:w="417" w:type="dxa"/>
            <w:vMerge w:val="restart"/>
            <w:tcBorders>
              <w:left w:val="single" w:color="000000" w:sz="12" w:space="0"/>
            </w:tcBorders>
            <w:noWrap w:val="0"/>
            <w:vAlign w:val="center"/>
          </w:tcPr>
          <w:p>
            <w:pPr>
              <w:spacing w:line="360" w:lineRule="exact"/>
              <w:jc w:val="center"/>
              <w:rPr>
                <w:rFonts w:hint="eastAsia" w:hAnsi="宋体"/>
                <w:szCs w:val="21"/>
              </w:rPr>
            </w:pPr>
          </w:p>
          <w:p>
            <w:pPr>
              <w:spacing w:line="360" w:lineRule="exact"/>
              <w:jc w:val="center"/>
              <w:rPr>
                <w:rFonts w:hint="eastAsia" w:hAnsi="宋体"/>
                <w:szCs w:val="21"/>
              </w:rPr>
            </w:pPr>
          </w:p>
          <w:p>
            <w:pPr>
              <w:spacing w:line="360" w:lineRule="exact"/>
              <w:jc w:val="center"/>
              <w:rPr>
                <w:rFonts w:hint="eastAsia" w:hAnsi="宋体"/>
                <w:szCs w:val="21"/>
              </w:rPr>
            </w:pPr>
            <w:r>
              <w:rPr>
                <w:rFonts w:hAnsi="宋体"/>
                <w:szCs w:val="21"/>
              </w:rPr>
              <w:t>废气</w:t>
            </w:r>
          </w:p>
          <w:p>
            <w:pPr>
              <w:spacing w:line="360" w:lineRule="exact"/>
              <w:jc w:val="center"/>
              <w:rPr>
                <w:rFonts w:hint="eastAsia" w:hAnsi="宋体"/>
                <w:szCs w:val="21"/>
              </w:rPr>
            </w:pPr>
          </w:p>
          <w:p>
            <w:pPr>
              <w:spacing w:line="360" w:lineRule="exact"/>
              <w:jc w:val="center"/>
              <w:rPr>
                <w:rFonts w:hint="eastAsia" w:hAnsi="宋体"/>
                <w:szCs w:val="21"/>
              </w:rPr>
            </w:pPr>
          </w:p>
          <w:p>
            <w:pPr>
              <w:spacing w:line="360" w:lineRule="exact"/>
              <w:jc w:val="center"/>
              <w:rPr>
                <w:rFonts w:hint="eastAsia" w:hAnsi="宋体"/>
                <w:szCs w:val="21"/>
              </w:rPr>
            </w:pPr>
          </w:p>
          <w:p>
            <w:pPr>
              <w:spacing w:line="360" w:lineRule="exact"/>
              <w:jc w:val="center"/>
              <w:rPr>
                <w:szCs w:val="21"/>
              </w:rPr>
            </w:pPr>
            <w:r>
              <w:rPr>
                <w:rFonts w:hAnsi="宋体"/>
                <w:szCs w:val="21"/>
              </w:rPr>
              <w:t>废气</w:t>
            </w:r>
          </w:p>
        </w:tc>
        <w:tc>
          <w:tcPr>
            <w:tcW w:w="1109" w:type="dxa"/>
            <w:gridSpan w:val="2"/>
            <w:noWrap w:val="0"/>
            <w:vAlign w:val="center"/>
          </w:tcPr>
          <w:p>
            <w:pPr>
              <w:spacing w:line="360" w:lineRule="exact"/>
              <w:jc w:val="center"/>
              <w:rPr>
                <w:szCs w:val="21"/>
              </w:rPr>
            </w:pPr>
            <w:r>
              <w:rPr>
                <w:rFonts w:hAnsi="宋体"/>
                <w:szCs w:val="21"/>
              </w:rPr>
              <w:t>猪舍</w:t>
            </w:r>
          </w:p>
        </w:tc>
        <w:tc>
          <w:tcPr>
            <w:tcW w:w="2557" w:type="dxa"/>
            <w:gridSpan w:val="2"/>
            <w:vMerge w:val="restart"/>
            <w:noWrap w:val="0"/>
            <w:vAlign w:val="center"/>
          </w:tcPr>
          <w:p>
            <w:pPr>
              <w:spacing w:line="360" w:lineRule="exact"/>
              <w:jc w:val="center"/>
              <w:rPr>
                <w:szCs w:val="21"/>
              </w:rPr>
            </w:pPr>
            <w:r>
              <w:rPr>
                <w:szCs w:val="21"/>
              </w:rPr>
              <w:t>NH</w:t>
            </w:r>
            <w:r>
              <w:rPr>
                <w:szCs w:val="21"/>
                <w:vertAlign w:val="subscript"/>
              </w:rPr>
              <w:t>3</w:t>
            </w:r>
            <w:r>
              <w:rPr>
                <w:szCs w:val="21"/>
              </w:rPr>
              <w:t>:</w:t>
            </w:r>
            <w:r>
              <w:rPr>
                <w:rFonts w:hint="eastAsia"/>
                <w:iCs/>
                <w:szCs w:val="21"/>
                <w:lang w:eastAsia="zh-CN"/>
              </w:rPr>
              <w:t>0.8539</w:t>
            </w:r>
            <w:r>
              <w:rPr>
                <w:szCs w:val="21"/>
              </w:rPr>
              <w:t>t/a</w:t>
            </w:r>
          </w:p>
          <w:p>
            <w:pPr>
              <w:spacing w:line="360" w:lineRule="exact"/>
              <w:jc w:val="center"/>
              <w:rPr>
                <w:szCs w:val="21"/>
              </w:rPr>
            </w:pPr>
            <w:r>
              <w:rPr>
                <w:szCs w:val="21"/>
              </w:rPr>
              <w:t>H</w:t>
            </w:r>
            <w:r>
              <w:rPr>
                <w:szCs w:val="21"/>
                <w:vertAlign w:val="subscript"/>
              </w:rPr>
              <w:t>2</w:t>
            </w:r>
            <w:r>
              <w:rPr>
                <w:szCs w:val="21"/>
              </w:rPr>
              <w:t>S :</w:t>
            </w:r>
            <w:r>
              <w:rPr>
                <w:rFonts w:hint="eastAsia"/>
                <w:iCs/>
                <w:szCs w:val="21"/>
                <w:lang w:eastAsia="zh-CN"/>
              </w:rPr>
              <w:t>0.05838</w:t>
            </w:r>
            <w:r>
              <w:rPr>
                <w:szCs w:val="21"/>
              </w:rPr>
              <w:t>t/a</w:t>
            </w:r>
          </w:p>
        </w:tc>
        <w:tc>
          <w:tcPr>
            <w:tcW w:w="1554" w:type="dxa"/>
            <w:noWrap w:val="0"/>
            <w:vAlign w:val="center"/>
          </w:tcPr>
          <w:p>
            <w:pPr>
              <w:spacing w:line="360" w:lineRule="exact"/>
              <w:jc w:val="center"/>
              <w:rPr>
                <w:rFonts w:hint="eastAsia" w:hAnsi="宋体"/>
                <w:szCs w:val="21"/>
              </w:rPr>
            </w:pPr>
            <w:r>
              <w:rPr>
                <w:rFonts w:hAnsi="宋体"/>
                <w:szCs w:val="21"/>
              </w:rPr>
              <w:t>控制饲养密度、定期冲圈、及时清粪</w:t>
            </w:r>
            <w:r>
              <w:rPr>
                <w:rFonts w:hint="eastAsia" w:hAnsi="宋体"/>
                <w:szCs w:val="21"/>
              </w:rPr>
              <w:t>、</w:t>
            </w:r>
            <w:r>
              <w:rPr>
                <w:rFonts w:hAnsi="宋体"/>
                <w:szCs w:val="21"/>
              </w:rPr>
              <w:t>加强绿化</w:t>
            </w:r>
          </w:p>
        </w:tc>
        <w:tc>
          <w:tcPr>
            <w:tcW w:w="1547" w:type="dxa"/>
            <w:vMerge w:val="restart"/>
            <w:noWrap w:val="0"/>
            <w:vAlign w:val="center"/>
          </w:tcPr>
          <w:p>
            <w:pPr>
              <w:spacing w:line="360" w:lineRule="exact"/>
              <w:jc w:val="center"/>
              <w:rPr>
                <w:szCs w:val="21"/>
              </w:rPr>
            </w:pPr>
            <w:r>
              <w:rPr>
                <w:szCs w:val="21"/>
              </w:rPr>
              <w:t>NH</w:t>
            </w:r>
            <w:r>
              <w:rPr>
                <w:szCs w:val="21"/>
                <w:vertAlign w:val="subscript"/>
              </w:rPr>
              <w:t>3</w:t>
            </w:r>
            <w:r>
              <w:rPr>
                <w:szCs w:val="21"/>
              </w:rPr>
              <w:t>:</w:t>
            </w:r>
            <w:r>
              <w:rPr>
                <w:rFonts w:hint="eastAsia"/>
                <w:szCs w:val="21"/>
                <w:lang w:eastAsia="zh-CN"/>
              </w:rPr>
              <w:t>0.2561</w:t>
            </w:r>
            <w:r>
              <w:rPr>
                <w:szCs w:val="21"/>
              </w:rPr>
              <w:t>t/a H</w:t>
            </w:r>
            <w:r>
              <w:rPr>
                <w:szCs w:val="21"/>
                <w:vertAlign w:val="subscript"/>
              </w:rPr>
              <w:t>2</w:t>
            </w:r>
            <w:r>
              <w:rPr>
                <w:szCs w:val="21"/>
              </w:rPr>
              <w:t>S :</w:t>
            </w:r>
            <w:r>
              <w:rPr>
                <w:rFonts w:hint="eastAsia"/>
                <w:szCs w:val="21"/>
                <w:lang w:eastAsia="zh-CN"/>
              </w:rPr>
              <w:t>0.0175</w:t>
            </w:r>
            <w:r>
              <w:rPr>
                <w:szCs w:val="21"/>
              </w:rPr>
              <w:t xml:space="preserve">t/a </w:t>
            </w:r>
          </w:p>
        </w:tc>
        <w:tc>
          <w:tcPr>
            <w:tcW w:w="3948" w:type="dxa"/>
            <w:gridSpan w:val="2"/>
            <w:noWrap w:val="0"/>
            <w:vAlign w:val="center"/>
          </w:tcPr>
          <w:p>
            <w:pPr>
              <w:tabs>
                <w:tab w:val="right" w:leader="dot" w:pos="8647"/>
              </w:tabs>
              <w:spacing w:line="360" w:lineRule="exact"/>
              <w:jc w:val="center"/>
              <w:rPr>
                <w:szCs w:val="21"/>
              </w:rPr>
            </w:pPr>
            <w:r>
              <w:rPr>
                <w:rFonts w:hAnsi="宋体"/>
                <w:szCs w:val="21"/>
              </w:rPr>
              <w:t>控制饲养密度、采用节水型饮水器、加强通风、全漏缝地板，</w:t>
            </w:r>
            <w:r>
              <w:rPr>
                <w:rFonts w:hint="eastAsia" w:hAnsi="宋体"/>
                <w:szCs w:val="21"/>
              </w:rPr>
              <w:t>喷洒除臭剂，厂区种植吸附</w:t>
            </w:r>
            <w:r>
              <w:rPr>
                <w:rFonts w:hAnsi="宋体"/>
                <w:szCs w:val="21"/>
              </w:rPr>
              <w:t>恶臭气体的绿植，去除效率可达到</w:t>
            </w:r>
            <w:r>
              <w:rPr>
                <w:szCs w:val="21"/>
              </w:rPr>
              <w:t>70%</w:t>
            </w:r>
          </w:p>
        </w:tc>
        <w:tc>
          <w:tcPr>
            <w:tcW w:w="2746" w:type="dxa"/>
            <w:vMerge w:val="restart"/>
            <w:tcBorders>
              <w:right w:val="single" w:color="000000" w:sz="12" w:space="0"/>
            </w:tcBorders>
            <w:noWrap w:val="0"/>
            <w:vAlign w:val="center"/>
          </w:tcPr>
          <w:p>
            <w:pPr>
              <w:spacing w:line="360" w:lineRule="exact"/>
              <w:jc w:val="center"/>
              <w:rPr>
                <w:szCs w:val="21"/>
              </w:rPr>
            </w:pPr>
            <w:r>
              <w:rPr>
                <w:rFonts w:hAnsi="宋体"/>
                <w:szCs w:val="21"/>
              </w:rPr>
              <w:t>《恶臭污染物排放标准》（</w:t>
            </w:r>
            <w:r>
              <w:rPr>
                <w:szCs w:val="21"/>
              </w:rPr>
              <w:t>GB14554-93</w:t>
            </w:r>
            <w:r>
              <w:rPr>
                <w:rFonts w:hAnsi="宋体"/>
                <w:szCs w:val="21"/>
              </w:rPr>
              <w:t>）表</w:t>
            </w:r>
            <w:r>
              <w:rPr>
                <w:szCs w:val="21"/>
              </w:rPr>
              <w:t>1</w:t>
            </w:r>
            <w:r>
              <w:rPr>
                <w:rFonts w:hAnsi="宋体"/>
                <w:szCs w:val="21"/>
              </w:rPr>
              <w:t>厂界标准值中二级标准要求（无组织）：</w:t>
            </w:r>
            <w:r>
              <w:rPr>
                <w:szCs w:val="21"/>
              </w:rPr>
              <w:t>NH</w:t>
            </w:r>
            <w:r>
              <w:rPr>
                <w:szCs w:val="21"/>
                <w:vertAlign w:val="subscript"/>
              </w:rPr>
              <w:t>3</w:t>
            </w:r>
            <w:r>
              <w:rPr>
                <w:szCs w:val="21"/>
              </w:rPr>
              <w:t>≤1.5mg/m</w:t>
            </w:r>
            <w:r>
              <w:rPr>
                <w:szCs w:val="21"/>
                <w:vertAlign w:val="superscript"/>
              </w:rPr>
              <w:t>3</w:t>
            </w:r>
            <w:r>
              <w:rPr>
                <w:rFonts w:hAnsi="宋体"/>
                <w:szCs w:val="21"/>
              </w:rPr>
              <w:t>、</w:t>
            </w:r>
          </w:p>
          <w:p>
            <w:pPr>
              <w:spacing w:line="360" w:lineRule="exact"/>
              <w:jc w:val="center"/>
              <w:rPr>
                <w:szCs w:val="21"/>
              </w:rPr>
            </w:pPr>
            <w:r>
              <w:rPr>
                <w:szCs w:val="21"/>
              </w:rPr>
              <w:t>H</w:t>
            </w:r>
            <w:r>
              <w:rPr>
                <w:szCs w:val="21"/>
                <w:vertAlign w:val="subscript"/>
              </w:rPr>
              <w:t>2</w:t>
            </w:r>
            <w:r>
              <w:rPr>
                <w:szCs w:val="21"/>
              </w:rPr>
              <w:t>S≤0.06mg/m</w:t>
            </w:r>
            <w:r>
              <w:rPr>
                <w:szCs w:val="21"/>
                <w:vertAlign w:val="superscript"/>
              </w:rPr>
              <w:t>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765" w:hRule="atLeast"/>
          <w:jc w:val="center"/>
        </w:trPr>
        <w:tc>
          <w:tcPr>
            <w:tcW w:w="417" w:type="dxa"/>
            <w:vMerge w:val="continue"/>
            <w:tcBorders>
              <w:left w:val="single" w:color="000000" w:sz="12" w:space="0"/>
            </w:tcBorders>
            <w:noWrap w:val="0"/>
            <w:vAlign w:val="center"/>
          </w:tcPr>
          <w:p>
            <w:pPr>
              <w:spacing w:line="360" w:lineRule="exact"/>
              <w:jc w:val="center"/>
              <w:rPr>
                <w:b/>
                <w:szCs w:val="21"/>
                <w:u w:val="single"/>
              </w:rPr>
            </w:pPr>
          </w:p>
        </w:tc>
        <w:tc>
          <w:tcPr>
            <w:tcW w:w="1109" w:type="dxa"/>
            <w:gridSpan w:val="2"/>
            <w:noWrap w:val="0"/>
            <w:vAlign w:val="center"/>
          </w:tcPr>
          <w:p>
            <w:pPr>
              <w:spacing w:line="360" w:lineRule="exact"/>
              <w:jc w:val="center"/>
              <w:rPr>
                <w:rFonts w:hint="eastAsia"/>
                <w:szCs w:val="21"/>
              </w:rPr>
            </w:pPr>
            <w:r>
              <w:rPr>
                <w:rFonts w:hAnsi="宋体"/>
                <w:szCs w:val="21"/>
              </w:rPr>
              <w:t>污水</w:t>
            </w:r>
            <w:r>
              <w:rPr>
                <w:rFonts w:hint="eastAsia" w:hAnsi="宋体"/>
                <w:szCs w:val="21"/>
              </w:rPr>
              <w:t>收集池</w:t>
            </w:r>
          </w:p>
        </w:tc>
        <w:tc>
          <w:tcPr>
            <w:tcW w:w="2557" w:type="dxa"/>
            <w:gridSpan w:val="2"/>
            <w:vMerge w:val="continue"/>
            <w:noWrap w:val="0"/>
            <w:vAlign w:val="center"/>
          </w:tcPr>
          <w:p>
            <w:pPr>
              <w:spacing w:line="360" w:lineRule="exact"/>
              <w:jc w:val="center"/>
              <w:rPr>
                <w:szCs w:val="21"/>
              </w:rPr>
            </w:pPr>
          </w:p>
        </w:tc>
        <w:tc>
          <w:tcPr>
            <w:tcW w:w="1554" w:type="dxa"/>
            <w:noWrap w:val="0"/>
            <w:vAlign w:val="center"/>
          </w:tcPr>
          <w:p>
            <w:pPr>
              <w:spacing w:line="360" w:lineRule="exact"/>
              <w:jc w:val="center"/>
              <w:rPr>
                <w:szCs w:val="21"/>
              </w:rPr>
            </w:pPr>
            <w:r>
              <w:rPr>
                <w:rFonts w:hAnsi="宋体"/>
                <w:szCs w:val="21"/>
              </w:rPr>
              <w:t>喷洒除臭剂</w:t>
            </w:r>
            <w:r>
              <w:rPr>
                <w:rFonts w:hint="eastAsia" w:eastAsia="仿宋_GB2312"/>
                <w:sz w:val="32"/>
                <w:szCs w:val="32"/>
              </w:rPr>
              <w:t>、</w:t>
            </w:r>
            <w:r>
              <w:rPr>
                <w:rFonts w:hAnsi="宋体"/>
                <w:szCs w:val="21"/>
              </w:rPr>
              <w:t>设置绿化带措施</w:t>
            </w:r>
          </w:p>
        </w:tc>
        <w:tc>
          <w:tcPr>
            <w:tcW w:w="1547" w:type="dxa"/>
            <w:vMerge w:val="continue"/>
            <w:noWrap w:val="0"/>
            <w:vAlign w:val="center"/>
          </w:tcPr>
          <w:p>
            <w:pPr>
              <w:spacing w:line="360" w:lineRule="exact"/>
              <w:jc w:val="center"/>
              <w:rPr>
                <w:szCs w:val="21"/>
              </w:rPr>
            </w:pPr>
          </w:p>
        </w:tc>
        <w:tc>
          <w:tcPr>
            <w:tcW w:w="3948" w:type="dxa"/>
            <w:gridSpan w:val="2"/>
            <w:tcBorders>
              <w:bottom w:val="single" w:color="auto" w:sz="4" w:space="0"/>
            </w:tcBorders>
            <w:noWrap w:val="0"/>
            <w:vAlign w:val="center"/>
          </w:tcPr>
          <w:p>
            <w:pPr>
              <w:tabs>
                <w:tab w:val="right" w:leader="dot" w:pos="8647"/>
              </w:tabs>
              <w:spacing w:line="360" w:lineRule="exact"/>
              <w:jc w:val="center"/>
              <w:rPr>
                <w:szCs w:val="21"/>
              </w:rPr>
            </w:pPr>
            <w:r>
              <w:rPr>
                <w:rFonts w:hAnsi="宋体"/>
                <w:szCs w:val="21"/>
              </w:rPr>
              <w:t>收集池</w:t>
            </w:r>
            <w:r>
              <w:rPr>
                <w:rFonts w:hint="eastAsia" w:hAnsi="宋体"/>
                <w:szCs w:val="21"/>
              </w:rPr>
              <w:t>内部</w:t>
            </w:r>
            <w:r>
              <w:rPr>
                <w:rFonts w:hAnsi="宋体"/>
                <w:szCs w:val="21"/>
              </w:rPr>
              <w:t>喷洒除臭剂，除臭效率</w:t>
            </w:r>
            <w:r>
              <w:rPr>
                <w:szCs w:val="21"/>
              </w:rPr>
              <w:t>70%</w:t>
            </w:r>
            <w:r>
              <w:rPr>
                <w:rFonts w:hAnsi="宋体"/>
                <w:szCs w:val="21"/>
              </w:rPr>
              <w:t>，周边绿化</w:t>
            </w:r>
          </w:p>
        </w:tc>
        <w:tc>
          <w:tcPr>
            <w:tcW w:w="2746" w:type="dxa"/>
            <w:vMerge w:val="continue"/>
            <w:tcBorders>
              <w:right w:val="single" w:color="000000" w:sz="12" w:space="0"/>
            </w:tcBorders>
            <w:noWrap w:val="0"/>
            <w:vAlign w:val="center"/>
          </w:tcPr>
          <w:p>
            <w:pPr>
              <w:spacing w:line="360" w:lineRule="exact"/>
              <w:jc w:val="center"/>
              <w:rPr>
                <w:b/>
                <w:szCs w:val="21"/>
                <w:u w:val="singl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64" w:hRule="atLeast"/>
          <w:jc w:val="center"/>
        </w:trPr>
        <w:tc>
          <w:tcPr>
            <w:tcW w:w="417" w:type="dxa"/>
            <w:vMerge w:val="continue"/>
            <w:tcBorders>
              <w:left w:val="single" w:color="000000" w:sz="12" w:space="0"/>
            </w:tcBorders>
            <w:noWrap w:val="0"/>
            <w:vAlign w:val="center"/>
          </w:tcPr>
          <w:p>
            <w:pPr>
              <w:spacing w:line="360" w:lineRule="exact"/>
              <w:jc w:val="center"/>
              <w:rPr>
                <w:b/>
                <w:szCs w:val="21"/>
                <w:u w:val="single"/>
              </w:rPr>
            </w:pPr>
          </w:p>
        </w:tc>
        <w:tc>
          <w:tcPr>
            <w:tcW w:w="1109" w:type="dxa"/>
            <w:gridSpan w:val="2"/>
            <w:noWrap w:val="0"/>
            <w:vAlign w:val="center"/>
          </w:tcPr>
          <w:p>
            <w:pPr>
              <w:spacing w:line="360" w:lineRule="exact"/>
              <w:jc w:val="center"/>
              <w:rPr>
                <w:rFonts w:hint="eastAsia"/>
                <w:szCs w:val="21"/>
              </w:rPr>
            </w:pPr>
            <w:r>
              <w:rPr>
                <w:rFonts w:hint="eastAsia"/>
                <w:szCs w:val="21"/>
              </w:rPr>
              <w:t>固粪堆存区</w:t>
            </w:r>
          </w:p>
        </w:tc>
        <w:tc>
          <w:tcPr>
            <w:tcW w:w="2557" w:type="dxa"/>
            <w:gridSpan w:val="2"/>
            <w:vMerge w:val="continue"/>
            <w:noWrap w:val="0"/>
            <w:vAlign w:val="center"/>
          </w:tcPr>
          <w:p>
            <w:pPr>
              <w:spacing w:line="360" w:lineRule="exact"/>
              <w:jc w:val="center"/>
              <w:rPr>
                <w:szCs w:val="21"/>
              </w:rPr>
            </w:pPr>
          </w:p>
        </w:tc>
        <w:tc>
          <w:tcPr>
            <w:tcW w:w="1554" w:type="dxa"/>
            <w:noWrap w:val="0"/>
            <w:vAlign w:val="center"/>
          </w:tcPr>
          <w:p>
            <w:pPr>
              <w:spacing w:line="360" w:lineRule="exact"/>
              <w:jc w:val="center"/>
              <w:rPr>
                <w:szCs w:val="21"/>
              </w:rPr>
            </w:pPr>
            <w:r>
              <w:rPr>
                <w:rFonts w:hAnsi="宋体"/>
                <w:szCs w:val="21"/>
              </w:rPr>
              <w:t>设置顶棚，</w:t>
            </w:r>
            <w:r>
              <w:rPr>
                <w:rFonts w:hint="eastAsia" w:hAnsi="宋体"/>
                <w:szCs w:val="21"/>
              </w:rPr>
              <w:t>四</w:t>
            </w:r>
            <w:r>
              <w:rPr>
                <w:rFonts w:hAnsi="宋体"/>
                <w:szCs w:val="21"/>
              </w:rPr>
              <w:t>面设置围</w:t>
            </w:r>
            <w:r>
              <w:rPr>
                <w:rFonts w:hint="eastAsia" w:hAnsi="宋体"/>
                <w:szCs w:val="21"/>
              </w:rPr>
              <w:t>墙，</w:t>
            </w:r>
            <w:r>
              <w:rPr>
                <w:rFonts w:hAnsi="宋体"/>
                <w:szCs w:val="21"/>
              </w:rPr>
              <w:t>喷洒除臭剂</w:t>
            </w:r>
          </w:p>
        </w:tc>
        <w:tc>
          <w:tcPr>
            <w:tcW w:w="1547" w:type="dxa"/>
            <w:vMerge w:val="continue"/>
            <w:noWrap w:val="0"/>
            <w:vAlign w:val="center"/>
          </w:tcPr>
          <w:p>
            <w:pPr>
              <w:spacing w:line="360" w:lineRule="exact"/>
              <w:jc w:val="center"/>
              <w:rPr>
                <w:szCs w:val="21"/>
              </w:rPr>
            </w:pPr>
          </w:p>
        </w:tc>
        <w:tc>
          <w:tcPr>
            <w:tcW w:w="3948" w:type="dxa"/>
            <w:gridSpan w:val="2"/>
            <w:tcBorders>
              <w:top w:val="single" w:color="auto" w:sz="4" w:space="0"/>
            </w:tcBorders>
            <w:noWrap w:val="0"/>
            <w:vAlign w:val="center"/>
          </w:tcPr>
          <w:p>
            <w:pPr>
              <w:tabs>
                <w:tab w:val="right" w:leader="dot" w:pos="8647"/>
              </w:tabs>
              <w:adjustRightInd w:val="0"/>
              <w:snapToGrid w:val="0"/>
              <w:spacing w:line="360" w:lineRule="exact"/>
              <w:ind w:firstLine="105" w:firstLineChars="50"/>
              <w:jc w:val="center"/>
              <w:rPr>
                <w:szCs w:val="21"/>
              </w:rPr>
            </w:pPr>
            <w:r>
              <w:rPr>
                <w:rFonts w:hAnsi="宋体"/>
                <w:szCs w:val="21"/>
              </w:rPr>
              <w:t>设置顶棚，</w:t>
            </w:r>
            <w:r>
              <w:rPr>
                <w:rFonts w:hint="eastAsia" w:hAnsi="宋体"/>
                <w:szCs w:val="21"/>
              </w:rPr>
              <w:t>四</w:t>
            </w:r>
            <w:r>
              <w:rPr>
                <w:rFonts w:hAnsi="宋体"/>
                <w:szCs w:val="21"/>
              </w:rPr>
              <w:t>面设置围</w:t>
            </w:r>
            <w:r>
              <w:rPr>
                <w:rFonts w:hint="eastAsia" w:hAnsi="宋体"/>
                <w:szCs w:val="21"/>
              </w:rPr>
              <w:t>墙，</w:t>
            </w:r>
            <w:r>
              <w:rPr>
                <w:rFonts w:hAnsi="宋体"/>
                <w:szCs w:val="21"/>
              </w:rPr>
              <w:t>喷洒除臭剂，除臭效率</w:t>
            </w:r>
            <w:r>
              <w:rPr>
                <w:szCs w:val="21"/>
              </w:rPr>
              <w:t>50%</w:t>
            </w:r>
          </w:p>
        </w:tc>
        <w:tc>
          <w:tcPr>
            <w:tcW w:w="2746" w:type="dxa"/>
            <w:vMerge w:val="continue"/>
            <w:tcBorders>
              <w:right w:val="single" w:color="000000" w:sz="12" w:space="0"/>
            </w:tcBorders>
            <w:noWrap w:val="0"/>
            <w:vAlign w:val="center"/>
          </w:tcPr>
          <w:p>
            <w:pPr>
              <w:spacing w:line="360" w:lineRule="exact"/>
              <w:jc w:val="center"/>
              <w:rPr>
                <w:b/>
                <w:szCs w:val="21"/>
                <w:u w:val="singl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64" w:hRule="atLeast"/>
          <w:jc w:val="center"/>
        </w:trPr>
        <w:tc>
          <w:tcPr>
            <w:tcW w:w="417" w:type="dxa"/>
            <w:vMerge w:val="continue"/>
            <w:tcBorders>
              <w:left w:val="single" w:color="000000" w:sz="12" w:space="0"/>
            </w:tcBorders>
            <w:noWrap w:val="0"/>
            <w:vAlign w:val="center"/>
          </w:tcPr>
          <w:p>
            <w:pPr>
              <w:spacing w:line="360" w:lineRule="exact"/>
              <w:jc w:val="center"/>
              <w:rPr>
                <w:b/>
                <w:szCs w:val="21"/>
                <w:u w:val="single"/>
              </w:rPr>
            </w:pPr>
          </w:p>
        </w:tc>
        <w:tc>
          <w:tcPr>
            <w:tcW w:w="1109" w:type="dxa"/>
            <w:gridSpan w:val="2"/>
            <w:noWrap w:val="0"/>
            <w:vAlign w:val="center"/>
          </w:tcPr>
          <w:p>
            <w:pPr>
              <w:spacing w:line="360" w:lineRule="exact"/>
              <w:jc w:val="center"/>
              <w:rPr>
                <w:szCs w:val="21"/>
              </w:rPr>
            </w:pPr>
            <w:r>
              <w:rPr>
                <w:rFonts w:hAnsi="宋体"/>
                <w:szCs w:val="21"/>
              </w:rPr>
              <w:t>沼液储存池</w:t>
            </w:r>
          </w:p>
        </w:tc>
        <w:tc>
          <w:tcPr>
            <w:tcW w:w="2557" w:type="dxa"/>
            <w:gridSpan w:val="2"/>
            <w:vMerge w:val="continue"/>
            <w:noWrap w:val="0"/>
            <w:vAlign w:val="center"/>
          </w:tcPr>
          <w:p>
            <w:pPr>
              <w:spacing w:line="360" w:lineRule="exact"/>
              <w:jc w:val="center"/>
              <w:rPr>
                <w:szCs w:val="21"/>
              </w:rPr>
            </w:pPr>
          </w:p>
        </w:tc>
        <w:tc>
          <w:tcPr>
            <w:tcW w:w="1554" w:type="dxa"/>
            <w:noWrap w:val="0"/>
            <w:vAlign w:val="center"/>
          </w:tcPr>
          <w:p>
            <w:pPr>
              <w:spacing w:line="360" w:lineRule="exact"/>
              <w:jc w:val="center"/>
              <w:rPr>
                <w:szCs w:val="21"/>
              </w:rPr>
            </w:pPr>
            <w:r>
              <w:rPr>
                <w:rFonts w:hint="eastAsia" w:hAnsi="宋体"/>
                <w:szCs w:val="21"/>
              </w:rPr>
              <w:t>四周喷洒除臭剂、</w:t>
            </w:r>
            <w:r>
              <w:rPr>
                <w:rFonts w:hAnsi="宋体"/>
                <w:szCs w:val="21"/>
              </w:rPr>
              <w:t>设置绿化带</w:t>
            </w:r>
          </w:p>
        </w:tc>
        <w:tc>
          <w:tcPr>
            <w:tcW w:w="1547" w:type="dxa"/>
            <w:vMerge w:val="continue"/>
            <w:noWrap w:val="0"/>
            <w:vAlign w:val="center"/>
          </w:tcPr>
          <w:p>
            <w:pPr>
              <w:spacing w:line="360" w:lineRule="exact"/>
              <w:jc w:val="center"/>
              <w:rPr>
                <w:szCs w:val="21"/>
              </w:rPr>
            </w:pPr>
          </w:p>
        </w:tc>
        <w:tc>
          <w:tcPr>
            <w:tcW w:w="3948" w:type="dxa"/>
            <w:gridSpan w:val="2"/>
            <w:noWrap w:val="0"/>
            <w:vAlign w:val="center"/>
          </w:tcPr>
          <w:p>
            <w:pPr>
              <w:tabs>
                <w:tab w:val="right" w:leader="dot" w:pos="8647"/>
              </w:tabs>
              <w:adjustRightInd w:val="0"/>
              <w:snapToGrid w:val="0"/>
              <w:spacing w:line="360" w:lineRule="exact"/>
              <w:jc w:val="center"/>
              <w:rPr>
                <w:szCs w:val="21"/>
              </w:rPr>
            </w:pPr>
            <w:r>
              <w:rPr>
                <w:rFonts w:hint="eastAsia"/>
                <w:szCs w:val="21"/>
              </w:rPr>
              <w:t>四周</w:t>
            </w:r>
            <w:r>
              <w:rPr>
                <w:szCs w:val="21"/>
              </w:rPr>
              <w:t>喷洒除臭剂，</w:t>
            </w:r>
            <w:r>
              <w:rPr>
                <w:rFonts w:hint="eastAsia"/>
                <w:szCs w:val="21"/>
              </w:rPr>
              <w:t>四周</w:t>
            </w:r>
            <w:r>
              <w:rPr>
                <w:szCs w:val="21"/>
              </w:rPr>
              <w:t>种植吸收臭味的绿植，</w:t>
            </w:r>
            <w:r>
              <w:rPr>
                <w:rFonts w:hint="eastAsia"/>
                <w:szCs w:val="21"/>
              </w:rPr>
              <w:t>恶臭</w:t>
            </w:r>
            <w:r>
              <w:rPr>
                <w:szCs w:val="21"/>
              </w:rPr>
              <w:t>气体去除效率可达到70%</w:t>
            </w:r>
          </w:p>
        </w:tc>
        <w:tc>
          <w:tcPr>
            <w:tcW w:w="2746" w:type="dxa"/>
            <w:vMerge w:val="continue"/>
            <w:tcBorders>
              <w:right w:val="single" w:color="000000" w:sz="12" w:space="0"/>
            </w:tcBorders>
            <w:noWrap w:val="0"/>
            <w:vAlign w:val="center"/>
          </w:tcPr>
          <w:p>
            <w:pPr>
              <w:spacing w:line="360" w:lineRule="exact"/>
              <w:jc w:val="center"/>
              <w:rPr>
                <w:b/>
                <w:szCs w:val="21"/>
                <w:u w:val="singl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417" w:type="dxa"/>
            <w:vMerge w:val="continue"/>
            <w:tcBorders>
              <w:left w:val="single" w:color="000000" w:sz="12" w:space="0"/>
            </w:tcBorders>
            <w:noWrap w:val="0"/>
            <w:vAlign w:val="center"/>
          </w:tcPr>
          <w:p>
            <w:pPr>
              <w:spacing w:line="360" w:lineRule="exact"/>
              <w:jc w:val="center"/>
              <w:rPr>
                <w:b/>
                <w:szCs w:val="21"/>
                <w:u w:val="single"/>
              </w:rPr>
            </w:pPr>
          </w:p>
        </w:tc>
        <w:tc>
          <w:tcPr>
            <w:tcW w:w="1109" w:type="dxa"/>
            <w:gridSpan w:val="2"/>
            <w:noWrap w:val="0"/>
            <w:vAlign w:val="center"/>
          </w:tcPr>
          <w:p>
            <w:pPr>
              <w:spacing w:line="360" w:lineRule="exact"/>
              <w:jc w:val="center"/>
              <w:rPr>
                <w:rFonts w:hint="eastAsia" w:hAnsi="宋体"/>
                <w:szCs w:val="21"/>
              </w:rPr>
            </w:pPr>
            <w:r>
              <w:rPr>
                <w:rFonts w:hint="eastAsia" w:hAnsi="宋体"/>
                <w:szCs w:val="21"/>
              </w:rPr>
              <w:t>火炬燃烧</w:t>
            </w:r>
          </w:p>
        </w:tc>
        <w:tc>
          <w:tcPr>
            <w:tcW w:w="1134" w:type="dxa"/>
            <w:noWrap w:val="0"/>
            <w:vAlign w:val="center"/>
          </w:tcPr>
          <w:p>
            <w:pPr>
              <w:spacing w:line="360" w:lineRule="exact"/>
              <w:jc w:val="center"/>
              <w:rPr>
                <w:bCs/>
                <w:szCs w:val="21"/>
              </w:rPr>
            </w:pPr>
            <w:r>
              <w:rPr>
                <w:szCs w:val="21"/>
              </w:rPr>
              <w:t>SO</w:t>
            </w:r>
            <w:r>
              <w:rPr>
                <w:szCs w:val="21"/>
                <w:vertAlign w:val="subscript"/>
              </w:rPr>
              <w:t>2</w:t>
            </w:r>
            <w:r>
              <w:rPr>
                <w:szCs w:val="21"/>
              </w:rPr>
              <w:t xml:space="preserve"> </w:t>
            </w:r>
            <w:r>
              <w:rPr>
                <w:rFonts w:hint="eastAsia"/>
                <w:szCs w:val="21"/>
                <w:lang w:eastAsia="zh-CN"/>
              </w:rPr>
              <w:t>0.00089</w:t>
            </w:r>
            <w:r>
              <w:rPr>
                <w:bCs/>
                <w:szCs w:val="21"/>
              </w:rPr>
              <w:t>t/a</w:t>
            </w:r>
          </w:p>
          <w:p>
            <w:pPr>
              <w:spacing w:line="360" w:lineRule="exact"/>
              <w:jc w:val="center"/>
              <w:rPr>
                <w:szCs w:val="21"/>
              </w:rPr>
            </w:pPr>
            <w:r>
              <w:rPr>
                <w:bCs/>
                <w:szCs w:val="21"/>
              </w:rPr>
              <w:t>NOx</w:t>
            </w:r>
            <w:r>
              <w:rPr>
                <w:rFonts w:hAnsi="宋体"/>
                <w:bCs/>
                <w:szCs w:val="21"/>
              </w:rPr>
              <w:t>：</w:t>
            </w:r>
            <w:r>
              <w:rPr>
                <w:rFonts w:hint="eastAsia"/>
                <w:bCs/>
                <w:szCs w:val="21"/>
                <w:lang w:eastAsia="zh-CN"/>
              </w:rPr>
              <w:t>0.029</w:t>
            </w:r>
            <w:r>
              <w:rPr>
                <w:bCs/>
                <w:szCs w:val="21"/>
              </w:rPr>
              <w:t>t/a</w:t>
            </w:r>
          </w:p>
        </w:tc>
        <w:tc>
          <w:tcPr>
            <w:tcW w:w="1423" w:type="dxa"/>
            <w:noWrap w:val="0"/>
            <w:vAlign w:val="center"/>
          </w:tcPr>
          <w:p>
            <w:pPr>
              <w:spacing w:line="360" w:lineRule="exact"/>
              <w:jc w:val="center"/>
              <w:rPr>
                <w:rFonts w:hint="eastAsia"/>
                <w:szCs w:val="21"/>
              </w:rPr>
            </w:pPr>
            <w:r>
              <w:rPr>
                <w:rFonts w:hint="eastAsia"/>
                <w:szCs w:val="21"/>
              </w:rPr>
              <w:t>/</w:t>
            </w:r>
          </w:p>
        </w:tc>
        <w:tc>
          <w:tcPr>
            <w:tcW w:w="1554" w:type="dxa"/>
            <w:noWrap w:val="0"/>
            <w:vAlign w:val="center"/>
          </w:tcPr>
          <w:p>
            <w:pPr>
              <w:spacing w:line="360" w:lineRule="exact"/>
              <w:jc w:val="center"/>
              <w:rPr>
                <w:rFonts w:hAnsi="宋体"/>
                <w:szCs w:val="21"/>
              </w:rPr>
            </w:pPr>
            <w:r>
              <w:rPr>
                <w:rFonts w:hint="eastAsia" w:hAnsi="宋体"/>
                <w:bCs/>
                <w:szCs w:val="21"/>
              </w:rPr>
              <w:t>火炬燃烧气</w:t>
            </w:r>
            <w:r>
              <w:rPr>
                <w:rFonts w:hAnsi="宋体"/>
                <w:bCs/>
                <w:szCs w:val="21"/>
              </w:rPr>
              <w:t>+8m高排气筒排放</w:t>
            </w:r>
          </w:p>
        </w:tc>
        <w:tc>
          <w:tcPr>
            <w:tcW w:w="1547" w:type="dxa"/>
            <w:noWrap w:val="0"/>
            <w:vAlign w:val="center"/>
          </w:tcPr>
          <w:p>
            <w:pPr>
              <w:spacing w:line="360" w:lineRule="exact"/>
              <w:jc w:val="center"/>
              <w:rPr>
                <w:bCs/>
                <w:szCs w:val="21"/>
              </w:rPr>
            </w:pPr>
            <w:r>
              <w:rPr>
                <w:szCs w:val="21"/>
              </w:rPr>
              <w:t>SO</w:t>
            </w:r>
            <w:r>
              <w:rPr>
                <w:szCs w:val="21"/>
                <w:vertAlign w:val="subscript"/>
              </w:rPr>
              <w:t>2</w:t>
            </w:r>
            <w:r>
              <w:rPr>
                <w:szCs w:val="21"/>
              </w:rPr>
              <w:t xml:space="preserve"> </w:t>
            </w:r>
            <w:r>
              <w:rPr>
                <w:rFonts w:hint="eastAsia"/>
                <w:szCs w:val="21"/>
                <w:lang w:eastAsia="zh-CN"/>
              </w:rPr>
              <w:t>0.00089</w:t>
            </w:r>
            <w:r>
              <w:rPr>
                <w:bCs/>
                <w:szCs w:val="21"/>
              </w:rPr>
              <w:t>t/a</w:t>
            </w:r>
          </w:p>
          <w:p>
            <w:pPr>
              <w:tabs>
                <w:tab w:val="right" w:leader="dot" w:pos="8647"/>
              </w:tabs>
              <w:adjustRightInd w:val="0"/>
              <w:snapToGrid w:val="0"/>
              <w:spacing w:line="360" w:lineRule="exact"/>
              <w:jc w:val="center"/>
              <w:rPr>
                <w:szCs w:val="21"/>
              </w:rPr>
            </w:pPr>
            <w:r>
              <w:rPr>
                <w:bCs/>
                <w:szCs w:val="21"/>
              </w:rPr>
              <w:t>NOx</w:t>
            </w:r>
            <w:r>
              <w:rPr>
                <w:rFonts w:hAnsi="宋体"/>
                <w:bCs/>
                <w:szCs w:val="21"/>
              </w:rPr>
              <w:t>：</w:t>
            </w:r>
            <w:r>
              <w:rPr>
                <w:rFonts w:hint="eastAsia"/>
                <w:bCs/>
                <w:szCs w:val="21"/>
                <w:lang w:eastAsia="zh-CN"/>
              </w:rPr>
              <w:t>0.029</w:t>
            </w:r>
            <w:r>
              <w:rPr>
                <w:bCs/>
                <w:szCs w:val="21"/>
              </w:rPr>
              <w:t>t/a</w:t>
            </w:r>
          </w:p>
        </w:tc>
        <w:tc>
          <w:tcPr>
            <w:tcW w:w="3948" w:type="dxa"/>
            <w:gridSpan w:val="2"/>
            <w:noWrap w:val="0"/>
            <w:vAlign w:val="center"/>
          </w:tcPr>
          <w:p>
            <w:pPr>
              <w:spacing w:line="360" w:lineRule="exact"/>
              <w:jc w:val="center"/>
              <w:rPr>
                <w:rFonts w:hint="eastAsia"/>
                <w:szCs w:val="21"/>
              </w:rPr>
            </w:pPr>
            <w:r>
              <w:rPr>
                <w:bCs/>
                <w:szCs w:val="21"/>
              </w:rPr>
              <w:t>1根8m高排气筒排放，排放口规范化，设置排放口标志</w:t>
            </w:r>
          </w:p>
        </w:tc>
        <w:tc>
          <w:tcPr>
            <w:tcW w:w="2746" w:type="dxa"/>
            <w:tcBorders>
              <w:right w:val="single" w:color="000000" w:sz="12" w:space="0"/>
            </w:tcBorders>
            <w:noWrap w:val="0"/>
            <w:vAlign w:val="center"/>
          </w:tcPr>
          <w:p>
            <w:pPr>
              <w:spacing w:line="360" w:lineRule="exact"/>
              <w:jc w:val="center"/>
              <w:rPr>
                <w:szCs w:val="21"/>
              </w:rPr>
            </w:pPr>
            <w:r>
              <w:rPr>
                <w:bCs/>
                <w:szCs w:val="21"/>
              </w:rPr>
              <w:t>《</w:t>
            </w:r>
            <w:r>
              <w:rPr>
                <w:rFonts w:hint="eastAsia"/>
                <w:bCs/>
                <w:szCs w:val="21"/>
              </w:rPr>
              <w:t>大气污染物综合排放标准</w:t>
            </w:r>
            <w:r>
              <w:rPr>
                <w:bCs/>
                <w:szCs w:val="21"/>
              </w:rPr>
              <w:t>》</w:t>
            </w:r>
            <w:r>
              <w:rPr>
                <w:rFonts w:hint="eastAsia"/>
                <w:bCs/>
                <w:szCs w:val="21"/>
              </w:rPr>
              <w:t>（GB16297-1996）</w:t>
            </w:r>
            <w:r>
              <w:rPr>
                <w:bCs/>
                <w:szCs w:val="21"/>
              </w:rPr>
              <w:t>相关污染物排放限值要求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340" w:hRule="atLeast"/>
          <w:jc w:val="center"/>
        </w:trPr>
        <w:tc>
          <w:tcPr>
            <w:tcW w:w="417" w:type="dxa"/>
            <w:vMerge w:val="continue"/>
            <w:tcBorders>
              <w:left w:val="single" w:color="000000" w:sz="12" w:space="0"/>
            </w:tcBorders>
            <w:noWrap w:val="0"/>
            <w:vAlign w:val="center"/>
          </w:tcPr>
          <w:p>
            <w:pPr>
              <w:spacing w:line="360" w:lineRule="exact"/>
              <w:jc w:val="center"/>
              <w:rPr>
                <w:b/>
                <w:szCs w:val="21"/>
                <w:u w:val="single"/>
              </w:rPr>
            </w:pPr>
          </w:p>
        </w:tc>
        <w:tc>
          <w:tcPr>
            <w:tcW w:w="1109" w:type="dxa"/>
            <w:gridSpan w:val="2"/>
            <w:noWrap w:val="0"/>
            <w:vAlign w:val="center"/>
          </w:tcPr>
          <w:p>
            <w:pPr>
              <w:spacing w:line="360" w:lineRule="exact"/>
              <w:jc w:val="center"/>
              <w:rPr>
                <w:rFonts w:hint="eastAsia" w:hAnsi="宋体"/>
                <w:szCs w:val="21"/>
              </w:rPr>
            </w:pPr>
            <w:r>
              <w:rPr>
                <w:rFonts w:hint="eastAsia" w:hAnsi="宋体"/>
                <w:szCs w:val="21"/>
              </w:rPr>
              <w:t>食堂油烟</w:t>
            </w:r>
          </w:p>
        </w:tc>
        <w:tc>
          <w:tcPr>
            <w:tcW w:w="1134" w:type="dxa"/>
            <w:noWrap w:val="0"/>
            <w:vAlign w:val="center"/>
          </w:tcPr>
          <w:p>
            <w:pPr>
              <w:spacing w:line="360" w:lineRule="exact"/>
              <w:jc w:val="center"/>
              <w:rPr>
                <w:rFonts w:hint="eastAsia"/>
                <w:szCs w:val="21"/>
              </w:rPr>
            </w:pPr>
            <w:r>
              <w:rPr>
                <w:szCs w:val="21"/>
              </w:rPr>
              <w:t>0.0027</w:t>
            </w:r>
            <w:r>
              <w:rPr>
                <w:rFonts w:hint="eastAsia"/>
                <w:szCs w:val="21"/>
              </w:rPr>
              <w:t>t/a</w:t>
            </w:r>
          </w:p>
        </w:tc>
        <w:tc>
          <w:tcPr>
            <w:tcW w:w="1423" w:type="dxa"/>
            <w:noWrap w:val="0"/>
            <w:vAlign w:val="center"/>
          </w:tcPr>
          <w:p>
            <w:pPr>
              <w:spacing w:line="360" w:lineRule="exact"/>
              <w:jc w:val="center"/>
              <w:rPr>
                <w:szCs w:val="21"/>
              </w:rPr>
            </w:pPr>
            <w:r>
              <w:rPr>
                <w:szCs w:val="21"/>
              </w:rPr>
              <w:t>1.85mg/m</w:t>
            </w:r>
            <w:r>
              <w:rPr>
                <w:szCs w:val="21"/>
                <w:vertAlign w:val="superscript"/>
              </w:rPr>
              <w:t>3</w:t>
            </w:r>
          </w:p>
        </w:tc>
        <w:tc>
          <w:tcPr>
            <w:tcW w:w="1554" w:type="dxa"/>
            <w:noWrap w:val="0"/>
            <w:vAlign w:val="center"/>
          </w:tcPr>
          <w:p>
            <w:pPr>
              <w:spacing w:line="360" w:lineRule="exact"/>
              <w:jc w:val="center"/>
              <w:rPr>
                <w:rFonts w:hint="eastAsia" w:hAnsi="宋体"/>
                <w:szCs w:val="21"/>
              </w:rPr>
            </w:pPr>
            <w:r>
              <w:rPr>
                <w:rFonts w:hint="eastAsia" w:hAnsi="宋体"/>
                <w:szCs w:val="21"/>
              </w:rPr>
              <w:t>油烟净化器</w:t>
            </w:r>
          </w:p>
        </w:tc>
        <w:tc>
          <w:tcPr>
            <w:tcW w:w="1547" w:type="dxa"/>
            <w:noWrap w:val="0"/>
            <w:vAlign w:val="center"/>
          </w:tcPr>
          <w:p>
            <w:pPr>
              <w:spacing w:line="360" w:lineRule="exact"/>
              <w:ind w:firstLine="210" w:firstLineChars="100"/>
              <w:rPr>
                <w:rFonts w:hint="eastAsia"/>
                <w:szCs w:val="21"/>
              </w:rPr>
            </w:pPr>
            <w:r>
              <w:rPr>
                <w:szCs w:val="21"/>
              </w:rPr>
              <w:t>0.0003</w:t>
            </w:r>
            <w:r>
              <w:rPr>
                <w:rFonts w:hint="eastAsia"/>
                <w:szCs w:val="21"/>
              </w:rPr>
              <w:t>t/a</w:t>
            </w:r>
          </w:p>
          <w:p>
            <w:pPr>
              <w:tabs>
                <w:tab w:val="right" w:leader="dot" w:pos="8647"/>
              </w:tabs>
              <w:adjustRightInd w:val="0"/>
              <w:snapToGrid w:val="0"/>
              <w:spacing w:line="360" w:lineRule="exact"/>
              <w:jc w:val="center"/>
              <w:rPr>
                <w:szCs w:val="21"/>
              </w:rPr>
            </w:pPr>
            <w:r>
              <w:rPr>
                <w:rFonts w:hint="eastAsia"/>
                <w:szCs w:val="21"/>
              </w:rPr>
              <w:t>0.</w:t>
            </w:r>
            <w:r>
              <w:rPr>
                <w:szCs w:val="21"/>
              </w:rPr>
              <w:t>19mg/m</w:t>
            </w:r>
            <w:r>
              <w:rPr>
                <w:szCs w:val="21"/>
                <w:vertAlign w:val="superscript"/>
              </w:rPr>
              <w:t>3</w:t>
            </w:r>
          </w:p>
        </w:tc>
        <w:tc>
          <w:tcPr>
            <w:tcW w:w="3948" w:type="dxa"/>
            <w:gridSpan w:val="2"/>
            <w:noWrap w:val="0"/>
            <w:vAlign w:val="center"/>
          </w:tcPr>
          <w:p>
            <w:pPr>
              <w:spacing w:line="360" w:lineRule="exact"/>
              <w:jc w:val="center"/>
              <w:rPr>
                <w:rFonts w:hint="eastAsia" w:hAnsi="宋体"/>
                <w:szCs w:val="21"/>
              </w:rPr>
            </w:pPr>
            <w:r>
              <w:rPr>
                <w:rFonts w:hAnsi="宋体"/>
                <w:szCs w:val="21"/>
              </w:rPr>
              <w:t>安装净化效率不低于90%的油烟净化装置</w:t>
            </w:r>
            <w:r>
              <w:rPr>
                <w:rFonts w:hint="eastAsia" w:hAnsi="宋体"/>
                <w:szCs w:val="21"/>
              </w:rPr>
              <w:t>一套</w:t>
            </w:r>
          </w:p>
        </w:tc>
        <w:tc>
          <w:tcPr>
            <w:tcW w:w="2746" w:type="dxa"/>
            <w:tcBorders>
              <w:right w:val="single" w:color="000000" w:sz="12" w:space="0"/>
            </w:tcBorders>
            <w:noWrap w:val="0"/>
            <w:vAlign w:val="center"/>
          </w:tcPr>
          <w:p>
            <w:pPr>
              <w:spacing w:line="360" w:lineRule="exact"/>
              <w:jc w:val="center"/>
              <w:rPr>
                <w:rFonts w:hAnsi="宋体"/>
                <w:szCs w:val="21"/>
              </w:rPr>
            </w:pPr>
            <w:r>
              <w:rPr>
                <w:rFonts w:hint="eastAsia" w:hAnsi="宋体"/>
                <w:szCs w:val="21"/>
              </w:rPr>
              <w:t>《餐饮业油烟污染物排放标准》</w:t>
            </w:r>
            <w:r>
              <w:rPr>
                <w:rFonts w:hAnsi="宋体"/>
                <w:szCs w:val="21"/>
              </w:rPr>
              <w:t>(DB41/1604—2018)</w:t>
            </w:r>
            <w:r>
              <w:rPr>
                <w:rFonts w:hint="eastAsia" w:hAnsi="宋体"/>
                <w:szCs w:val="21"/>
              </w:rPr>
              <w:t>规定限值油烟</w:t>
            </w:r>
            <w:r>
              <w:rPr>
                <w:rFonts w:hAnsi="宋体"/>
                <w:szCs w:val="21"/>
              </w:rPr>
              <w:t>1.5mg/m</w:t>
            </w:r>
            <w:r>
              <w:rPr>
                <w:rFonts w:hAnsi="宋体"/>
                <w:szCs w:val="21"/>
                <w:vertAlign w:val="superscript"/>
              </w:rPr>
              <w:t>3</w:t>
            </w:r>
            <w:r>
              <w:rPr>
                <w:rFonts w:hint="eastAsia" w:hAnsi="宋体"/>
                <w:szCs w:val="21"/>
              </w:rPr>
              <w:t>要求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417" w:type="dxa"/>
            <w:vMerge w:val="restart"/>
            <w:tcBorders>
              <w:left w:val="single" w:color="000000" w:sz="12" w:space="0"/>
            </w:tcBorders>
            <w:noWrap w:val="0"/>
            <w:vAlign w:val="center"/>
          </w:tcPr>
          <w:p>
            <w:pPr>
              <w:spacing w:line="360" w:lineRule="exact"/>
              <w:jc w:val="center"/>
              <w:rPr>
                <w:szCs w:val="21"/>
              </w:rPr>
            </w:pPr>
            <w:r>
              <w:rPr>
                <w:rFonts w:hAnsi="宋体"/>
                <w:szCs w:val="21"/>
              </w:rPr>
              <w:t>固废</w:t>
            </w:r>
          </w:p>
        </w:tc>
        <w:tc>
          <w:tcPr>
            <w:tcW w:w="1109" w:type="dxa"/>
            <w:gridSpan w:val="2"/>
            <w:noWrap w:val="0"/>
            <w:vAlign w:val="center"/>
          </w:tcPr>
          <w:p>
            <w:pPr>
              <w:spacing w:line="360" w:lineRule="exact"/>
              <w:jc w:val="center"/>
              <w:rPr>
                <w:szCs w:val="21"/>
              </w:rPr>
            </w:pPr>
            <w:r>
              <w:rPr>
                <w:rFonts w:hAnsi="宋体"/>
                <w:szCs w:val="21"/>
              </w:rPr>
              <w:t>猪粪</w:t>
            </w:r>
          </w:p>
        </w:tc>
        <w:tc>
          <w:tcPr>
            <w:tcW w:w="2557" w:type="dxa"/>
            <w:gridSpan w:val="2"/>
            <w:noWrap w:val="0"/>
            <w:vAlign w:val="center"/>
          </w:tcPr>
          <w:p>
            <w:pPr>
              <w:jc w:val="center"/>
              <w:rPr>
                <w:bCs/>
                <w:szCs w:val="21"/>
              </w:rPr>
            </w:pPr>
            <w:r>
              <w:rPr>
                <w:rFonts w:hint="eastAsia"/>
                <w:bCs/>
                <w:szCs w:val="21"/>
                <w:lang w:eastAsia="zh-CN"/>
              </w:rPr>
              <w:t>1549.863</w:t>
            </w:r>
            <w:r>
              <w:rPr>
                <w:bCs/>
                <w:szCs w:val="21"/>
              </w:rPr>
              <w:t>t/a</w:t>
            </w:r>
          </w:p>
        </w:tc>
        <w:tc>
          <w:tcPr>
            <w:tcW w:w="1554" w:type="dxa"/>
            <w:tcBorders>
              <w:bottom w:val="single" w:color="auto" w:sz="4" w:space="0"/>
            </w:tcBorders>
            <w:noWrap w:val="0"/>
            <w:vAlign w:val="center"/>
          </w:tcPr>
          <w:p>
            <w:pPr>
              <w:adjustRightInd w:val="0"/>
              <w:snapToGrid w:val="0"/>
              <w:spacing w:line="360" w:lineRule="exact"/>
              <w:jc w:val="center"/>
              <w:rPr>
                <w:szCs w:val="21"/>
              </w:rPr>
            </w:pPr>
            <w:r>
              <w:rPr>
                <w:rFonts w:hAnsi="宋体"/>
                <w:szCs w:val="21"/>
              </w:rPr>
              <w:t>送至</w:t>
            </w:r>
            <w:r>
              <w:rPr>
                <w:rFonts w:hint="eastAsia"/>
                <w:szCs w:val="21"/>
              </w:rPr>
              <w:t>固粪堆存区</w:t>
            </w:r>
          </w:p>
        </w:tc>
        <w:tc>
          <w:tcPr>
            <w:tcW w:w="1547" w:type="dxa"/>
            <w:vMerge w:val="restart"/>
            <w:noWrap w:val="0"/>
            <w:vAlign w:val="center"/>
          </w:tcPr>
          <w:p>
            <w:pPr>
              <w:spacing w:line="360" w:lineRule="exact"/>
              <w:jc w:val="center"/>
              <w:rPr>
                <w:szCs w:val="21"/>
              </w:rPr>
            </w:pPr>
            <w:r>
              <w:rPr>
                <w:szCs w:val="21"/>
              </w:rPr>
              <w:t>/</w:t>
            </w:r>
          </w:p>
        </w:tc>
        <w:tc>
          <w:tcPr>
            <w:tcW w:w="3948" w:type="dxa"/>
            <w:gridSpan w:val="2"/>
            <w:vMerge w:val="restart"/>
            <w:noWrap w:val="0"/>
            <w:vAlign w:val="center"/>
          </w:tcPr>
          <w:p>
            <w:pPr>
              <w:spacing w:line="360" w:lineRule="exact"/>
              <w:jc w:val="center"/>
              <w:rPr>
                <w:rFonts w:hint="eastAsia"/>
                <w:szCs w:val="21"/>
              </w:rPr>
            </w:pPr>
            <w:r>
              <w:rPr>
                <w:rFonts w:hAnsi="宋体"/>
                <w:szCs w:val="21"/>
              </w:rPr>
              <w:t>场区</w:t>
            </w:r>
            <w:r>
              <w:rPr>
                <w:rFonts w:hint="eastAsia" w:hAnsi="宋体"/>
                <w:szCs w:val="21"/>
              </w:rPr>
              <w:t>暂存场1</w:t>
            </w:r>
            <w:r>
              <w:rPr>
                <w:rFonts w:hAnsi="宋体"/>
                <w:szCs w:val="21"/>
              </w:rPr>
              <w:t>座，顶部有棚，</w:t>
            </w:r>
            <w:r>
              <w:rPr>
                <w:rFonts w:hint="eastAsia" w:hAnsi="宋体"/>
                <w:szCs w:val="21"/>
              </w:rPr>
              <w:t>四</w:t>
            </w:r>
            <w:r>
              <w:rPr>
                <w:rFonts w:hAnsi="宋体"/>
                <w:szCs w:val="21"/>
              </w:rPr>
              <w:t>面设置不低于</w:t>
            </w:r>
            <w:r>
              <w:rPr>
                <w:szCs w:val="21"/>
              </w:rPr>
              <w:t>1m</w:t>
            </w:r>
            <w:r>
              <w:rPr>
                <w:rFonts w:hAnsi="宋体"/>
                <w:szCs w:val="21"/>
              </w:rPr>
              <w:t>高围挡，总占地面积</w:t>
            </w:r>
            <w:r>
              <w:rPr>
                <w:szCs w:val="21"/>
              </w:rPr>
              <w:t>360m</w:t>
            </w:r>
            <w:r>
              <w:rPr>
                <w:szCs w:val="21"/>
                <w:vertAlign w:val="superscript"/>
              </w:rPr>
              <w:t>2</w:t>
            </w:r>
            <w:r>
              <w:rPr>
                <w:rFonts w:hAnsi="宋体"/>
                <w:szCs w:val="21"/>
              </w:rPr>
              <w:t>；</w:t>
            </w:r>
            <w:r>
              <w:rPr>
                <w:rFonts w:hint="eastAsia" w:hAnsi="宋体"/>
                <w:szCs w:val="21"/>
              </w:rPr>
              <w:t>底部水泥硬化</w:t>
            </w:r>
          </w:p>
        </w:tc>
        <w:tc>
          <w:tcPr>
            <w:tcW w:w="2746" w:type="dxa"/>
            <w:vMerge w:val="restart"/>
            <w:tcBorders>
              <w:right w:val="single" w:color="000000" w:sz="12" w:space="0"/>
            </w:tcBorders>
            <w:noWrap w:val="0"/>
            <w:vAlign w:val="center"/>
          </w:tcPr>
          <w:p>
            <w:pPr>
              <w:spacing w:line="360" w:lineRule="exact"/>
              <w:jc w:val="center"/>
              <w:rPr>
                <w:szCs w:val="21"/>
              </w:rPr>
            </w:pPr>
            <w:r>
              <w:rPr>
                <w:rFonts w:hint="eastAsia" w:hAnsi="宋体"/>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417" w:type="dxa"/>
            <w:vMerge w:val="continue"/>
            <w:tcBorders>
              <w:left w:val="single" w:color="000000" w:sz="12" w:space="0"/>
            </w:tcBorders>
            <w:noWrap w:val="0"/>
            <w:vAlign w:val="center"/>
          </w:tcPr>
          <w:p>
            <w:pPr>
              <w:spacing w:line="360" w:lineRule="exact"/>
              <w:jc w:val="center"/>
              <w:rPr>
                <w:szCs w:val="21"/>
              </w:rPr>
            </w:pPr>
          </w:p>
        </w:tc>
        <w:tc>
          <w:tcPr>
            <w:tcW w:w="1109" w:type="dxa"/>
            <w:gridSpan w:val="2"/>
            <w:noWrap w:val="0"/>
            <w:vAlign w:val="center"/>
          </w:tcPr>
          <w:p>
            <w:pPr>
              <w:spacing w:line="360" w:lineRule="exact"/>
              <w:jc w:val="center"/>
              <w:rPr>
                <w:szCs w:val="21"/>
              </w:rPr>
            </w:pPr>
            <w:r>
              <w:rPr>
                <w:rFonts w:hAnsi="宋体"/>
                <w:szCs w:val="21"/>
              </w:rPr>
              <w:t>沼渣</w:t>
            </w:r>
          </w:p>
        </w:tc>
        <w:tc>
          <w:tcPr>
            <w:tcW w:w="2557" w:type="dxa"/>
            <w:gridSpan w:val="2"/>
            <w:noWrap w:val="0"/>
            <w:vAlign w:val="center"/>
          </w:tcPr>
          <w:p>
            <w:pPr>
              <w:jc w:val="center"/>
              <w:rPr>
                <w:szCs w:val="21"/>
              </w:rPr>
            </w:pPr>
            <w:r>
              <w:rPr>
                <w:rFonts w:hint="eastAsia"/>
                <w:bCs/>
                <w:szCs w:val="21"/>
                <w:lang w:eastAsia="zh-CN"/>
              </w:rPr>
              <w:t>309.9726</w:t>
            </w:r>
            <w:r>
              <w:rPr>
                <w:bCs/>
                <w:szCs w:val="21"/>
              </w:rPr>
              <w:t>t/a</w:t>
            </w:r>
          </w:p>
        </w:tc>
        <w:tc>
          <w:tcPr>
            <w:tcW w:w="1554" w:type="dxa"/>
            <w:tcBorders>
              <w:top w:val="single" w:color="auto" w:sz="4" w:space="0"/>
            </w:tcBorders>
            <w:noWrap w:val="0"/>
            <w:vAlign w:val="center"/>
          </w:tcPr>
          <w:p>
            <w:pPr>
              <w:adjustRightInd w:val="0"/>
              <w:snapToGrid w:val="0"/>
              <w:spacing w:line="360" w:lineRule="exact"/>
              <w:jc w:val="center"/>
              <w:rPr>
                <w:rFonts w:hint="eastAsia"/>
                <w:szCs w:val="21"/>
              </w:rPr>
            </w:pPr>
            <w:r>
              <w:rPr>
                <w:rFonts w:hint="eastAsia"/>
                <w:szCs w:val="21"/>
              </w:rPr>
              <w:t>暂存后</w:t>
            </w:r>
            <w:r>
              <w:rPr>
                <w:szCs w:val="21"/>
              </w:rPr>
              <w:t>外售</w:t>
            </w:r>
          </w:p>
        </w:tc>
        <w:tc>
          <w:tcPr>
            <w:tcW w:w="1547" w:type="dxa"/>
            <w:vMerge w:val="continue"/>
            <w:noWrap w:val="0"/>
            <w:vAlign w:val="center"/>
          </w:tcPr>
          <w:p>
            <w:pPr>
              <w:spacing w:line="360" w:lineRule="exact"/>
              <w:jc w:val="center"/>
              <w:rPr>
                <w:szCs w:val="21"/>
              </w:rPr>
            </w:pPr>
          </w:p>
        </w:tc>
        <w:tc>
          <w:tcPr>
            <w:tcW w:w="3948" w:type="dxa"/>
            <w:gridSpan w:val="2"/>
            <w:vMerge w:val="continue"/>
            <w:noWrap w:val="0"/>
            <w:vAlign w:val="center"/>
          </w:tcPr>
          <w:p>
            <w:pPr>
              <w:spacing w:line="360" w:lineRule="exact"/>
              <w:jc w:val="center"/>
              <w:rPr>
                <w:szCs w:val="21"/>
              </w:rPr>
            </w:pPr>
          </w:p>
        </w:tc>
        <w:tc>
          <w:tcPr>
            <w:tcW w:w="2746" w:type="dxa"/>
            <w:vMerge w:val="continue"/>
            <w:tcBorders>
              <w:right w:val="single" w:color="000000" w:sz="12" w:space="0"/>
            </w:tcBorders>
            <w:noWrap w:val="0"/>
            <w:vAlign w:val="center"/>
          </w:tcPr>
          <w:p>
            <w:pPr>
              <w:spacing w:line="360" w:lineRule="exact"/>
              <w:jc w:val="center"/>
              <w:rPr>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417" w:type="dxa"/>
            <w:vMerge w:val="continue"/>
            <w:tcBorders>
              <w:left w:val="single" w:color="000000" w:sz="12" w:space="0"/>
            </w:tcBorders>
            <w:noWrap w:val="0"/>
            <w:vAlign w:val="center"/>
          </w:tcPr>
          <w:p>
            <w:pPr>
              <w:spacing w:line="360" w:lineRule="exact"/>
              <w:jc w:val="center"/>
              <w:rPr>
                <w:szCs w:val="21"/>
              </w:rPr>
            </w:pPr>
          </w:p>
        </w:tc>
        <w:tc>
          <w:tcPr>
            <w:tcW w:w="1109" w:type="dxa"/>
            <w:gridSpan w:val="2"/>
            <w:noWrap w:val="0"/>
            <w:vAlign w:val="center"/>
          </w:tcPr>
          <w:p>
            <w:pPr>
              <w:spacing w:line="360" w:lineRule="exact"/>
              <w:jc w:val="center"/>
              <w:rPr>
                <w:szCs w:val="21"/>
              </w:rPr>
            </w:pPr>
            <w:r>
              <w:rPr>
                <w:rFonts w:hAnsi="宋体"/>
                <w:szCs w:val="21"/>
              </w:rPr>
              <w:t>废脱硫剂</w:t>
            </w:r>
          </w:p>
        </w:tc>
        <w:tc>
          <w:tcPr>
            <w:tcW w:w="2557" w:type="dxa"/>
            <w:gridSpan w:val="2"/>
            <w:noWrap w:val="0"/>
            <w:vAlign w:val="center"/>
          </w:tcPr>
          <w:p>
            <w:pPr>
              <w:spacing w:line="360" w:lineRule="exact"/>
              <w:jc w:val="center"/>
              <w:rPr>
                <w:szCs w:val="21"/>
              </w:rPr>
            </w:pPr>
            <w:r>
              <w:rPr>
                <w:rFonts w:hint="eastAsia"/>
                <w:szCs w:val="21"/>
                <w:lang w:eastAsia="zh-CN"/>
              </w:rPr>
              <w:t>0.043</w:t>
            </w:r>
            <w:r>
              <w:rPr>
                <w:bCs/>
                <w:szCs w:val="21"/>
              </w:rPr>
              <w:t>t/a</w:t>
            </w:r>
          </w:p>
        </w:tc>
        <w:tc>
          <w:tcPr>
            <w:tcW w:w="1554" w:type="dxa"/>
            <w:noWrap w:val="0"/>
            <w:vAlign w:val="center"/>
          </w:tcPr>
          <w:p>
            <w:pPr>
              <w:spacing w:line="360" w:lineRule="exact"/>
              <w:jc w:val="center"/>
              <w:rPr>
                <w:szCs w:val="21"/>
              </w:rPr>
            </w:pPr>
            <w:r>
              <w:rPr>
                <w:rFonts w:hAnsi="宋体"/>
                <w:szCs w:val="21"/>
              </w:rPr>
              <w:t>在场区暂存后定期交由厂家回收</w:t>
            </w:r>
          </w:p>
        </w:tc>
        <w:tc>
          <w:tcPr>
            <w:tcW w:w="1547" w:type="dxa"/>
            <w:noWrap w:val="0"/>
            <w:vAlign w:val="center"/>
          </w:tcPr>
          <w:p>
            <w:pPr>
              <w:spacing w:line="360" w:lineRule="exact"/>
              <w:jc w:val="center"/>
              <w:rPr>
                <w:szCs w:val="21"/>
              </w:rPr>
            </w:pPr>
            <w:r>
              <w:rPr>
                <w:szCs w:val="21"/>
              </w:rPr>
              <w:t>/</w:t>
            </w:r>
          </w:p>
        </w:tc>
        <w:tc>
          <w:tcPr>
            <w:tcW w:w="3948" w:type="dxa"/>
            <w:gridSpan w:val="2"/>
            <w:noWrap w:val="0"/>
            <w:vAlign w:val="center"/>
          </w:tcPr>
          <w:p>
            <w:pPr>
              <w:spacing w:line="360" w:lineRule="exact"/>
              <w:jc w:val="center"/>
              <w:rPr>
                <w:szCs w:val="21"/>
              </w:rPr>
            </w:pPr>
            <w:r>
              <w:rPr>
                <w:rFonts w:hAnsi="宋体"/>
                <w:szCs w:val="21"/>
              </w:rPr>
              <w:t>生产厂家统一回收处置</w:t>
            </w:r>
          </w:p>
        </w:tc>
        <w:tc>
          <w:tcPr>
            <w:tcW w:w="2746" w:type="dxa"/>
            <w:vMerge w:val="restart"/>
            <w:tcBorders>
              <w:right w:val="single" w:color="000000" w:sz="12" w:space="0"/>
            </w:tcBorders>
            <w:noWrap w:val="0"/>
            <w:vAlign w:val="center"/>
          </w:tcPr>
          <w:p>
            <w:pPr>
              <w:spacing w:line="360" w:lineRule="exact"/>
              <w:jc w:val="center"/>
              <w:rPr>
                <w:rFonts w:hint="eastAsia"/>
                <w:szCs w:val="21"/>
              </w:rPr>
            </w:pPr>
            <w:r>
              <w:rPr>
                <w:rFonts w:hAnsi="宋体"/>
                <w:szCs w:val="21"/>
              </w:rPr>
              <w:t>《一般工业固体废物贮存、污染控制标准》（</w:t>
            </w:r>
            <w:r>
              <w:rPr>
                <w:szCs w:val="21"/>
              </w:rPr>
              <w:t>GB18599-2001)2013</w:t>
            </w:r>
            <w:r>
              <w:rPr>
                <w:rFonts w:hint="eastAsia"/>
                <w:szCs w:val="21"/>
              </w:rPr>
              <w:t>年</w:t>
            </w:r>
            <w:r>
              <w:rPr>
                <w:szCs w:val="21"/>
              </w:rPr>
              <w:t>修订</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417" w:type="dxa"/>
            <w:vMerge w:val="continue"/>
            <w:tcBorders>
              <w:left w:val="single" w:color="000000" w:sz="12" w:space="0"/>
            </w:tcBorders>
            <w:noWrap w:val="0"/>
            <w:vAlign w:val="center"/>
          </w:tcPr>
          <w:p>
            <w:pPr>
              <w:spacing w:line="360" w:lineRule="exact"/>
              <w:jc w:val="center"/>
              <w:rPr>
                <w:szCs w:val="21"/>
              </w:rPr>
            </w:pPr>
          </w:p>
        </w:tc>
        <w:tc>
          <w:tcPr>
            <w:tcW w:w="1109" w:type="dxa"/>
            <w:gridSpan w:val="2"/>
            <w:noWrap w:val="0"/>
            <w:vAlign w:val="center"/>
          </w:tcPr>
          <w:p>
            <w:pPr>
              <w:spacing w:line="360" w:lineRule="exact"/>
              <w:jc w:val="center"/>
              <w:rPr>
                <w:szCs w:val="21"/>
              </w:rPr>
            </w:pPr>
            <w:r>
              <w:rPr>
                <w:rFonts w:hAnsi="宋体"/>
                <w:szCs w:val="21"/>
              </w:rPr>
              <w:t>生活垃圾</w:t>
            </w:r>
          </w:p>
        </w:tc>
        <w:tc>
          <w:tcPr>
            <w:tcW w:w="2557" w:type="dxa"/>
            <w:gridSpan w:val="2"/>
            <w:noWrap w:val="0"/>
            <w:vAlign w:val="center"/>
          </w:tcPr>
          <w:p>
            <w:pPr>
              <w:spacing w:line="360" w:lineRule="exact"/>
              <w:jc w:val="center"/>
              <w:rPr>
                <w:szCs w:val="21"/>
              </w:rPr>
            </w:pPr>
            <w:r>
              <w:rPr>
                <w:bCs/>
                <w:szCs w:val="21"/>
              </w:rPr>
              <w:t>1.825t/a</w:t>
            </w:r>
          </w:p>
        </w:tc>
        <w:tc>
          <w:tcPr>
            <w:tcW w:w="1554" w:type="dxa"/>
            <w:noWrap w:val="0"/>
            <w:vAlign w:val="center"/>
          </w:tcPr>
          <w:p>
            <w:pPr>
              <w:spacing w:line="360" w:lineRule="exact"/>
              <w:jc w:val="center"/>
              <w:rPr>
                <w:szCs w:val="21"/>
              </w:rPr>
            </w:pPr>
            <w:r>
              <w:rPr>
                <w:rFonts w:hAnsi="宋体"/>
                <w:szCs w:val="21"/>
              </w:rPr>
              <w:t>生活区设置若干垃圾桶</w:t>
            </w:r>
          </w:p>
        </w:tc>
        <w:tc>
          <w:tcPr>
            <w:tcW w:w="1547" w:type="dxa"/>
            <w:noWrap w:val="0"/>
            <w:vAlign w:val="center"/>
          </w:tcPr>
          <w:p>
            <w:pPr>
              <w:spacing w:line="360" w:lineRule="exact"/>
              <w:jc w:val="center"/>
              <w:rPr>
                <w:szCs w:val="21"/>
              </w:rPr>
            </w:pPr>
            <w:r>
              <w:rPr>
                <w:szCs w:val="21"/>
              </w:rPr>
              <w:t>/</w:t>
            </w:r>
          </w:p>
        </w:tc>
        <w:tc>
          <w:tcPr>
            <w:tcW w:w="3948" w:type="dxa"/>
            <w:gridSpan w:val="2"/>
            <w:noWrap w:val="0"/>
            <w:vAlign w:val="center"/>
          </w:tcPr>
          <w:p>
            <w:pPr>
              <w:spacing w:line="360" w:lineRule="exact"/>
              <w:jc w:val="center"/>
              <w:rPr>
                <w:rFonts w:hint="eastAsia"/>
                <w:szCs w:val="21"/>
              </w:rPr>
            </w:pPr>
            <w:r>
              <w:rPr>
                <w:rFonts w:hAnsi="宋体"/>
                <w:szCs w:val="21"/>
              </w:rPr>
              <w:t>定期由当地环卫部门收运</w:t>
            </w:r>
            <w:r>
              <w:rPr>
                <w:rFonts w:hint="eastAsia" w:hAnsi="宋体"/>
                <w:szCs w:val="21"/>
              </w:rPr>
              <w:t>，</w:t>
            </w:r>
            <w:r>
              <w:rPr>
                <w:rFonts w:hAnsi="宋体"/>
                <w:szCs w:val="21"/>
              </w:rPr>
              <w:t>在明显处设置</w:t>
            </w:r>
            <w:r>
              <w:rPr>
                <w:rFonts w:hint="eastAsia" w:hAnsi="宋体"/>
                <w:szCs w:val="21"/>
              </w:rPr>
              <w:t>固体</w:t>
            </w:r>
            <w:r>
              <w:rPr>
                <w:rFonts w:hAnsi="宋体"/>
                <w:szCs w:val="21"/>
              </w:rPr>
              <w:t>废物的</w:t>
            </w:r>
            <w:r>
              <w:rPr>
                <w:rFonts w:hint="eastAsia" w:hAnsi="宋体"/>
                <w:szCs w:val="21"/>
              </w:rPr>
              <w:t>图形</w:t>
            </w:r>
            <w:r>
              <w:rPr>
                <w:rFonts w:hAnsi="宋体"/>
                <w:szCs w:val="21"/>
              </w:rPr>
              <w:t>标志</w:t>
            </w:r>
          </w:p>
        </w:tc>
        <w:tc>
          <w:tcPr>
            <w:tcW w:w="2746" w:type="dxa"/>
            <w:vMerge w:val="continue"/>
            <w:tcBorders>
              <w:right w:val="single" w:color="000000" w:sz="12" w:space="0"/>
            </w:tcBorders>
            <w:noWrap w:val="0"/>
            <w:vAlign w:val="center"/>
          </w:tcPr>
          <w:p>
            <w:pPr>
              <w:spacing w:line="360" w:lineRule="exact"/>
              <w:jc w:val="center"/>
              <w:rPr>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417" w:type="dxa"/>
            <w:vMerge w:val="continue"/>
            <w:tcBorders>
              <w:left w:val="single" w:color="000000" w:sz="12" w:space="0"/>
            </w:tcBorders>
            <w:noWrap w:val="0"/>
            <w:vAlign w:val="center"/>
          </w:tcPr>
          <w:p>
            <w:pPr>
              <w:spacing w:line="360" w:lineRule="exact"/>
              <w:jc w:val="center"/>
              <w:rPr>
                <w:szCs w:val="21"/>
              </w:rPr>
            </w:pPr>
          </w:p>
        </w:tc>
        <w:tc>
          <w:tcPr>
            <w:tcW w:w="1109" w:type="dxa"/>
            <w:gridSpan w:val="2"/>
            <w:noWrap w:val="0"/>
            <w:vAlign w:val="center"/>
          </w:tcPr>
          <w:p>
            <w:pPr>
              <w:spacing w:line="360" w:lineRule="exact"/>
              <w:jc w:val="center"/>
              <w:rPr>
                <w:szCs w:val="21"/>
              </w:rPr>
            </w:pPr>
            <w:r>
              <w:rPr>
                <w:rFonts w:hAnsi="宋体"/>
                <w:szCs w:val="21"/>
              </w:rPr>
              <w:t>病死猪尸</w:t>
            </w:r>
          </w:p>
        </w:tc>
        <w:tc>
          <w:tcPr>
            <w:tcW w:w="2557" w:type="dxa"/>
            <w:gridSpan w:val="2"/>
            <w:noWrap w:val="0"/>
            <w:vAlign w:val="center"/>
          </w:tcPr>
          <w:p>
            <w:pPr>
              <w:spacing w:line="360" w:lineRule="exact"/>
              <w:jc w:val="center"/>
              <w:rPr>
                <w:szCs w:val="21"/>
              </w:rPr>
            </w:pPr>
            <w:r>
              <w:rPr>
                <w:bCs/>
                <w:szCs w:val="21"/>
              </w:rPr>
              <w:t>7.8t/a</w:t>
            </w:r>
          </w:p>
        </w:tc>
        <w:tc>
          <w:tcPr>
            <w:tcW w:w="1554" w:type="dxa"/>
            <w:noWrap w:val="0"/>
            <w:vAlign w:val="center"/>
          </w:tcPr>
          <w:p>
            <w:pPr>
              <w:spacing w:line="360" w:lineRule="exact"/>
              <w:jc w:val="center"/>
              <w:rPr>
                <w:szCs w:val="21"/>
              </w:rPr>
            </w:pPr>
            <w:r>
              <w:rPr>
                <w:rFonts w:hint="eastAsia" w:hAnsi="宋体"/>
                <w:szCs w:val="21"/>
              </w:rPr>
              <w:t>/</w:t>
            </w:r>
          </w:p>
        </w:tc>
        <w:tc>
          <w:tcPr>
            <w:tcW w:w="1547" w:type="dxa"/>
            <w:noWrap w:val="0"/>
            <w:vAlign w:val="center"/>
          </w:tcPr>
          <w:p>
            <w:pPr>
              <w:spacing w:line="360" w:lineRule="exact"/>
              <w:jc w:val="center"/>
              <w:rPr>
                <w:szCs w:val="21"/>
              </w:rPr>
            </w:pPr>
            <w:r>
              <w:rPr>
                <w:szCs w:val="21"/>
              </w:rPr>
              <w:t>/</w:t>
            </w:r>
          </w:p>
        </w:tc>
        <w:tc>
          <w:tcPr>
            <w:tcW w:w="3948" w:type="dxa"/>
            <w:gridSpan w:val="2"/>
            <w:noWrap w:val="0"/>
            <w:vAlign w:val="center"/>
          </w:tcPr>
          <w:p>
            <w:pPr>
              <w:spacing w:line="360" w:lineRule="exact"/>
              <w:jc w:val="center"/>
              <w:rPr>
                <w:rFonts w:hint="eastAsia"/>
                <w:szCs w:val="21"/>
              </w:rPr>
            </w:pPr>
            <w:r>
              <w:rPr>
                <w:rFonts w:hint="eastAsia"/>
                <w:bCs/>
                <w:szCs w:val="21"/>
              </w:rPr>
              <w:t>送至正阳县畜禽无害化处理中心处理</w:t>
            </w:r>
          </w:p>
        </w:tc>
        <w:tc>
          <w:tcPr>
            <w:tcW w:w="2746" w:type="dxa"/>
            <w:tcBorders>
              <w:right w:val="single" w:color="000000" w:sz="12" w:space="0"/>
            </w:tcBorders>
            <w:noWrap w:val="0"/>
            <w:vAlign w:val="center"/>
          </w:tcPr>
          <w:p>
            <w:pPr>
              <w:spacing w:line="360" w:lineRule="exact"/>
              <w:jc w:val="center"/>
              <w:rPr>
                <w:szCs w:val="21"/>
              </w:rPr>
            </w:pPr>
            <w:r>
              <w:rPr>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417" w:type="dxa"/>
            <w:vMerge w:val="continue"/>
            <w:tcBorders>
              <w:left w:val="single" w:color="000000" w:sz="12" w:space="0"/>
            </w:tcBorders>
            <w:noWrap w:val="0"/>
            <w:vAlign w:val="center"/>
          </w:tcPr>
          <w:p>
            <w:pPr>
              <w:spacing w:line="360" w:lineRule="exact"/>
              <w:jc w:val="center"/>
              <w:rPr>
                <w:szCs w:val="21"/>
              </w:rPr>
            </w:pPr>
          </w:p>
        </w:tc>
        <w:tc>
          <w:tcPr>
            <w:tcW w:w="1109" w:type="dxa"/>
            <w:gridSpan w:val="2"/>
            <w:noWrap w:val="0"/>
            <w:vAlign w:val="center"/>
          </w:tcPr>
          <w:p>
            <w:pPr>
              <w:spacing w:line="360" w:lineRule="exact"/>
              <w:jc w:val="center"/>
              <w:rPr>
                <w:szCs w:val="21"/>
              </w:rPr>
            </w:pPr>
            <w:r>
              <w:rPr>
                <w:rFonts w:hAnsi="宋体"/>
                <w:szCs w:val="21"/>
              </w:rPr>
              <w:t>医疗固废</w:t>
            </w:r>
          </w:p>
        </w:tc>
        <w:tc>
          <w:tcPr>
            <w:tcW w:w="2557" w:type="dxa"/>
            <w:gridSpan w:val="2"/>
            <w:noWrap w:val="0"/>
            <w:vAlign w:val="center"/>
          </w:tcPr>
          <w:p>
            <w:pPr>
              <w:spacing w:line="360" w:lineRule="exact"/>
              <w:jc w:val="center"/>
              <w:rPr>
                <w:bCs/>
                <w:szCs w:val="21"/>
              </w:rPr>
            </w:pPr>
            <w:r>
              <w:rPr>
                <w:rFonts w:hint="eastAsia"/>
                <w:szCs w:val="21"/>
                <w:lang w:eastAsia="zh-CN"/>
              </w:rPr>
              <w:t>0.021</w:t>
            </w:r>
            <w:r>
              <w:rPr>
                <w:bCs/>
                <w:szCs w:val="21"/>
              </w:rPr>
              <w:t>t/a</w:t>
            </w:r>
          </w:p>
        </w:tc>
        <w:tc>
          <w:tcPr>
            <w:tcW w:w="1554" w:type="dxa"/>
            <w:noWrap w:val="0"/>
            <w:vAlign w:val="center"/>
          </w:tcPr>
          <w:p>
            <w:pPr>
              <w:spacing w:line="360" w:lineRule="exact"/>
              <w:jc w:val="center"/>
              <w:rPr>
                <w:rFonts w:hint="eastAsia"/>
                <w:szCs w:val="21"/>
              </w:rPr>
            </w:pPr>
            <w:r>
              <w:rPr>
                <w:rFonts w:hAnsi="宋体"/>
                <w:szCs w:val="21"/>
              </w:rPr>
              <w:t>暂存于危废暂存</w:t>
            </w:r>
            <w:r>
              <w:rPr>
                <w:rFonts w:hint="eastAsia" w:hAnsi="宋体"/>
                <w:szCs w:val="21"/>
              </w:rPr>
              <w:t>池</w:t>
            </w:r>
            <w:r>
              <w:rPr>
                <w:rFonts w:hAnsi="宋体"/>
                <w:szCs w:val="21"/>
              </w:rPr>
              <w:t>，定期</w:t>
            </w:r>
            <w:r>
              <w:rPr>
                <w:rFonts w:hint="eastAsia" w:hAnsi="宋体"/>
                <w:bCs/>
                <w:szCs w:val="21"/>
              </w:rPr>
              <w:t>交由有资质的单位进行处理</w:t>
            </w:r>
          </w:p>
        </w:tc>
        <w:tc>
          <w:tcPr>
            <w:tcW w:w="1547" w:type="dxa"/>
            <w:noWrap w:val="0"/>
            <w:vAlign w:val="center"/>
          </w:tcPr>
          <w:p>
            <w:pPr>
              <w:spacing w:line="360" w:lineRule="exact"/>
              <w:jc w:val="center"/>
              <w:rPr>
                <w:szCs w:val="21"/>
              </w:rPr>
            </w:pPr>
            <w:r>
              <w:rPr>
                <w:szCs w:val="21"/>
              </w:rPr>
              <w:t>/</w:t>
            </w:r>
          </w:p>
        </w:tc>
        <w:tc>
          <w:tcPr>
            <w:tcW w:w="3948" w:type="dxa"/>
            <w:gridSpan w:val="2"/>
            <w:noWrap w:val="0"/>
            <w:vAlign w:val="center"/>
          </w:tcPr>
          <w:p>
            <w:pPr>
              <w:spacing w:line="360" w:lineRule="exact"/>
              <w:jc w:val="center"/>
              <w:rPr>
                <w:szCs w:val="21"/>
              </w:rPr>
            </w:pPr>
            <w:r>
              <w:rPr>
                <w:rFonts w:hAnsi="宋体"/>
                <w:szCs w:val="21"/>
              </w:rPr>
              <w:t>危险废物暂存</w:t>
            </w:r>
            <w:r>
              <w:rPr>
                <w:rFonts w:hint="eastAsia" w:hAnsi="宋体"/>
                <w:szCs w:val="21"/>
              </w:rPr>
              <w:t>间</w:t>
            </w:r>
            <w:r>
              <w:rPr>
                <w:szCs w:val="21"/>
              </w:rPr>
              <w:t>1</w:t>
            </w:r>
            <w:r>
              <w:rPr>
                <w:rFonts w:hAnsi="宋体"/>
                <w:szCs w:val="21"/>
              </w:rPr>
              <w:t>个，具备</w:t>
            </w:r>
            <w:r>
              <w:rPr>
                <w:szCs w:val="21"/>
              </w:rPr>
              <w:t>“</w:t>
            </w:r>
            <w:r>
              <w:rPr>
                <w:rFonts w:hAnsi="宋体"/>
                <w:szCs w:val="21"/>
              </w:rPr>
              <w:t>防渗漏、防扬散、防流失</w:t>
            </w:r>
            <w:r>
              <w:rPr>
                <w:szCs w:val="21"/>
              </w:rPr>
              <w:t>”</w:t>
            </w:r>
            <w:r>
              <w:rPr>
                <w:rFonts w:hAnsi="宋体"/>
                <w:szCs w:val="21"/>
              </w:rPr>
              <w:t>三防措施，在明显处设置危险废物的警示标志</w:t>
            </w:r>
          </w:p>
        </w:tc>
        <w:tc>
          <w:tcPr>
            <w:tcW w:w="2746" w:type="dxa"/>
            <w:tcBorders>
              <w:right w:val="single" w:color="000000" w:sz="12" w:space="0"/>
            </w:tcBorders>
            <w:noWrap w:val="0"/>
            <w:vAlign w:val="center"/>
          </w:tcPr>
          <w:p>
            <w:pPr>
              <w:spacing w:line="360" w:lineRule="exact"/>
              <w:jc w:val="center"/>
              <w:rPr>
                <w:rFonts w:hint="eastAsia"/>
                <w:szCs w:val="21"/>
              </w:rPr>
            </w:pPr>
            <w:r>
              <w:rPr>
                <w:rFonts w:hAnsi="宋体"/>
                <w:szCs w:val="21"/>
              </w:rPr>
              <w:t>《危险废物贮存污染控制标准》（</w:t>
            </w:r>
            <w:r>
              <w:rPr>
                <w:szCs w:val="21"/>
              </w:rPr>
              <w:t>GB18597-2001</w:t>
            </w:r>
            <w:r>
              <w:rPr>
                <w:rFonts w:hAnsi="宋体"/>
                <w:szCs w:val="21"/>
              </w:rPr>
              <w:t>）</w:t>
            </w:r>
            <w:r>
              <w:rPr>
                <w:rFonts w:hint="eastAsia" w:hAnsi="宋体"/>
                <w:szCs w:val="21"/>
              </w:rPr>
              <w:t>2013年</w:t>
            </w:r>
            <w:r>
              <w:rPr>
                <w:rFonts w:hAnsi="宋体"/>
                <w:szCs w:val="21"/>
              </w:rPr>
              <w:t>修订</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417" w:type="dxa"/>
            <w:tcBorders>
              <w:left w:val="single" w:color="000000" w:sz="12" w:space="0"/>
            </w:tcBorders>
            <w:noWrap w:val="0"/>
            <w:vAlign w:val="center"/>
          </w:tcPr>
          <w:p>
            <w:pPr>
              <w:spacing w:line="360" w:lineRule="exact"/>
              <w:jc w:val="center"/>
              <w:rPr>
                <w:szCs w:val="21"/>
              </w:rPr>
            </w:pPr>
            <w:r>
              <w:rPr>
                <w:rFonts w:hAnsi="宋体"/>
                <w:szCs w:val="21"/>
              </w:rPr>
              <w:t>噪声</w:t>
            </w:r>
          </w:p>
        </w:tc>
        <w:tc>
          <w:tcPr>
            <w:tcW w:w="1109" w:type="dxa"/>
            <w:gridSpan w:val="2"/>
            <w:noWrap w:val="0"/>
            <w:vAlign w:val="center"/>
          </w:tcPr>
          <w:p>
            <w:pPr>
              <w:spacing w:line="360" w:lineRule="exact"/>
              <w:jc w:val="center"/>
              <w:rPr>
                <w:rFonts w:hint="eastAsia"/>
                <w:szCs w:val="21"/>
              </w:rPr>
            </w:pPr>
            <w:r>
              <w:rPr>
                <w:rFonts w:hint="eastAsia" w:hAnsi="宋体"/>
                <w:szCs w:val="21"/>
              </w:rPr>
              <w:t>养殖区</w:t>
            </w:r>
          </w:p>
        </w:tc>
        <w:tc>
          <w:tcPr>
            <w:tcW w:w="2557" w:type="dxa"/>
            <w:gridSpan w:val="2"/>
            <w:noWrap w:val="0"/>
            <w:vAlign w:val="center"/>
          </w:tcPr>
          <w:p>
            <w:pPr>
              <w:spacing w:line="360" w:lineRule="exact"/>
              <w:jc w:val="center"/>
              <w:rPr>
                <w:szCs w:val="21"/>
              </w:rPr>
            </w:pPr>
            <w:r>
              <w:rPr>
                <w:bCs/>
                <w:szCs w:val="21"/>
              </w:rPr>
              <w:t>70</w:t>
            </w:r>
            <w:r>
              <w:rPr>
                <w:rFonts w:hAnsi="宋体"/>
                <w:bCs/>
                <w:szCs w:val="21"/>
              </w:rPr>
              <w:t>～</w:t>
            </w:r>
            <w:r>
              <w:rPr>
                <w:bCs/>
                <w:szCs w:val="21"/>
              </w:rPr>
              <w:t>85dB(A)</w:t>
            </w:r>
          </w:p>
        </w:tc>
        <w:tc>
          <w:tcPr>
            <w:tcW w:w="1554" w:type="dxa"/>
            <w:noWrap w:val="0"/>
            <w:vAlign w:val="center"/>
          </w:tcPr>
          <w:p>
            <w:pPr>
              <w:spacing w:line="360" w:lineRule="exact"/>
              <w:jc w:val="center"/>
              <w:rPr>
                <w:szCs w:val="21"/>
              </w:rPr>
            </w:pPr>
            <w:r>
              <w:rPr>
                <w:rFonts w:hAnsi="宋体"/>
                <w:szCs w:val="21"/>
              </w:rPr>
              <w:t>隔声、减振</w:t>
            </w:r>
          </w:p>
        </w:tc>
        <w:tc>
          <w:tcPr>
            <w:tcW w:w="1547" w:type="dxa"/>
            <w:noWrap w:val="0"/>
            <w:vAlign w:val="center"/>
          </w:tcPr>
          <w:p>
            <w:pPr>
              <w:spacing w:line="360" w:lineRule="exact"/>
              <w:jc w:val="center"/>
              <w:rPr>
                <w:szCs w:val="21"/>
              </w:rPr>
            </w:pPr>
            <w:r>
              <w:rPr>
                <w:szCs w:val="21"/>
              </w:rPr>
              <w:t>55</w:t>
            </w:r>
            <w:r>
              <w:rPr>
                <w:rFonts w:hAnsi="宋体"/>
                <w:szCs w:val="21"/>
              </w:rPr>
              <w:t>～</w:t>
            </w:r>
            <w:r>
              <w:rPr>
                <w:szCs w:val="21"/>
              </w:rPr>
              <w:t>65</w:t>
            </w:r>
            <w:r>
              <w:rPr>
                <w:bCs/>
                <w:szCs w:val="21"/>
              </w:rPr>
              <w:t xml:space="preserve"> dB(A)</w:t>
            </w:r>
          </w:p>
        </w:tc>
        <w:tc>
          <w:tcPr>
            <w:tcW w:w="3948" w:type="dxa"/>
            <w:gridSpan w:val="2"/>
            <w:noWrap w:val="0"/>
            <w:vAlign w:val="center"/>
          </w:tcPr>
          <w:p>
            <w:pPr>
              <w:widowControl/>
              <w:tabs>
                <w:tab w:val="right" w:leader="dot" w:pos="8647"/>
              </w:tabs>
              <w:spacing w:line="360" w:lineRule="exact"/>
              <w:jc w:val="center"/>
              <w:rPr>
                <w:szCs w:val="21"/>
              </w:rPr>
            </w:pPr>
            <w:r>
              <w:rPr>
                <w:rFonts w:hAnsi="宋体"/>
                <w:szCs w:val="21"/>
              </w:rPr>
              <w:t>设备基础减振，隔声消声降噪，草地、灌木、乔木等间隔立体绿化</w:t>
            </w:r>
          </w:p>
        </w:tc>
        <w:tc>
          <w:tcPr>
            <w:tcW w:w="2746" w:type="dxa"/>
            <w:tcBorders>
              <w:right w:val="single" w:color="000000" w:sz="12" w:space="0"/>
            </w:tcBorders>
            <w:noWrap w:val="0"/>
            <w:vAlign w:val="center"/>
          </w:tcPr>
          <w:p>
            <w:pPr>
              <w:spacing w:line="360" w:lineRule="exact"/>
              <w:jc w:val="center"/>
              <w:rPr>
                <w:szCs w:val="21"/>
              </w:rPr>
            </w:pPr>
            <w:r>
              <w:rPr>
                <w:rFonts w:hAnsi="宋体"/>
                <w:szCs w:val="21"/>
              </w:rPr>
              <w:t>《工业企业厂界环境噪声排放标准》（</w:t>
            </w:r>
            <w:r>
              <w:rPr>
                <w:szCs w:val="21"/>
              </w:rPr>
              <w:t>GB12348—2008</w:t>
            </w:r>
            <w:r>
              <w:rPr>
                <w:rFonts w:hAnsi="宋体"/>
                <w:szCs w:val="21"/>
              </w:rPr>
              <w:t>）</w:t>
            </w:r>
            <w:r>
              <w:rPr>
                <w:szCs w:val="21"/>
              </w:rPr>
              <w:t>2</w:t>
            </w:r>
            <w:r>
              <w:rPr>
                <w:rFonts w:hAnsi="宋体"/>
                <w:szCs w:val="21"/>
              </w:rPr>
              <w:t>类标准昼间</w:t>
            </w:r>
            <w:r>
              <w:rPr>
                <w:szCs w:val="21"/>
              </w:rPr>
              <w:t>≤60dB</w:t>
            </w:r>
            <w:r>
              <w:rPr>
                <w:rFonts w:hAnsi="宋体"/>
                <w:szCs w:val="21"/>
              </w:rPr>
              <w:t>（</w:t>
            </w:r>
            <w:r>
              <w:rPr>
                <w:szCs w:val="21"/>
              </w:rPr>
              <w:t>A</w:t>
            </w:r>
            <w:r>
              <w:rPr>
                <w:rFonts w:hAnsi="宋体"/>
                <w:szCs w:val="21"/>
              </w:rPr>
              <w:t>）、夜间</w:t>
            </w:r>
            <w:r>
              <w:rPr>
                <w:szCs w:val="21"/>
              </w:rPr>
              <w:t>≤50dB</w:t>
            </w:r>
            <w:r>
              <w:rPr>
                <w:rFonts w:hAnsi="宋体"/>
                <w:szCs w:val="21"/>
              </w:rPr>
              <w:t>（</w:t>
            </w:r>
            <w:r>
              <w:rPr>
                <w:szCs w:val="21"/>
              </w:rPr>
              <w:t>A</w:t>
            </w:r>
            <w:r>
              <w:rPr>
                <w:rFonts w:hAnsi="宋体"/>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417" w:type="dxa"/>
            <w:tcBorders>
              <w:left w:val="single" w:color="000000" w:sz="12" w:space="0"/>
            </w:tcBorders>
            <w:noWrap w:val="0"/>
            <w:vAlign w:val="center"/>
          </w:tcPr>
          <w:p>
            <w:pPr>
              <w:spacing w:line="360" w:lineRule="exact"/>
              <w:jc w:val="center"/>
              <w:rPr>
                <w:szCs w:val="21"/>
              </w:rPr>
            </w:pPr>
            <w:r>
              <w:rPr>
                <w:rFonts w:hAnsi="宋体"/>
                <w:szCs w:val="21"/>
              </w:rPr>
              <w:t>风险</w:t>
            </w:r>
          </w:p>
        </w:tc>
        <w:tc>
          <w:tcPr>
            <w:tcW w:w="1109" w:type="dxa"/>
            <w:gridSpan w:val="2"/>
            <w:noWrap w:val="0"/>
            <w:vAlign w:val="center"/>
          </w:tcPr>
          <w:p>
            <w:pPr>
              <w:spacing w:line="360" w:lineRule="exact"/>
              <w:jc w:val="center"/>
              <w:rPr>
                <w:szCs w:val="21"/>
              </w:rPr>
            </w:pPr>
            <w:r>
              <w:rPr>
                <w:rFonts w:hAnsi="宋体"/>
                <w:szCs w:val="21"/>
              </w:rPr>
              <w:t>沼气储存、利用</w:t>
            </w:r>
          </w:p>
        </w:tc>
        <w:tc>
          <w:tcPr>
            <w:tcW w:w="2557" w:type="dxa"/>
            <w:gridSpan w:val="2"/>
            <w:noWrap w:val="0"/>
            <w:vAlign w:val="center"/>
          </w:tcPr>
          <w:p>
            <w:pPr>
              <w:spacing w:line="360" w:lineRule="exact"/>
              <w:jc w:val="center"/>
              <w:rPr>
                <w:szCs w:val="21"/>
              </w:rPr>
            </w:pPr>
            <w:r>
              <w:rPr>
                <w:szCs w:val="21"/>
              </w:rPr>
              <w:t>/</w:t>
            </w:r>
          </w:p>
        </w:tc>
        <w:tc>
          <w:tcPr>
            <w:tcW w:w="1554" w:type="dxa"/>
            <w:noWrap w:val="0"/>
            <w:vAlign w:val="center"/>
          </w:tcPr>
          <w:p>
            <w:pPr>
              <w:spacing w:line="360" w:lineRule="exact"/>
              <w:jc w:val="center"/>
              <w:rPr>
                <w:szCs w:val="21"/>
              </w:rPr>
            </w:pPr>
            <w:r>
              <w:rPr>
                <w:rFonts w:hAnsi="宋体"/>
                <w:szCs w:val="21"/>
              </w:rPr>
              <w:t>消防器材</w:t>
            </w:r>
          </w:p>
        </w:tc>
        <w:tc>
          <w:tcPr>
            <w:tcW w:w="1547" w:type="dxa"/>
            <w:noWrap w:val="0"/>
            <w:vAlign w:val="center"/>
          </w:tcPr>
          <w:p>
            <w:pPr>
              <w:spacing w:line="360" w:lineRule="exact"/>
              <w:jc w:val="center"/>
              <w:rPr>
                <w:szCs w:val="21"/>
              </w:rPr>
            </w:pPr>
            <w:r>
              <w:rPr>
                <w:szCs w:val="21"/>
              </w:rPr>
              <w:t>/</w:t>
            </w:r>
          </w:p>
        </w:tc>
        <w:tc>
          <w:tcPr>
            <w:tcW w:w="3948" w:type="dxa"/>
            <w:gridSpan w:val="2"/>
            <w:noWrap w:val="0"/>
            <w:vAlign w:val="center"/>
          </w:tcPr>
          <w:p>
            <w:pPr>
              <w:spacing w:line="360" w:lineRule="exact"/>
              <w:jc w:val="center"/>
              <w:rPr>
                <w:szCs w:val="21"/>
              </w:rPr>
            </w:pPr>
            <w:r>
              <w:rPr>
                <w:rFonts w:hAnsi="宋体"/>
                <w:szCs w:val="21"/>
              </w:rPr>
              <w:t>消防器材若干</w:t>
            </w:r>
          </w:p>
        </w:tc>
        <w:tc>
          <w:tcPr>
            <w:tcW w:w="2746" w:type="dxa"/>
            <w:tcBorders>
              <w:right w:val="single" w:color="000000" w:sz="12" w:space="0"/>
            </w:tcBorders>
            <w:noWrap w:val="0"/>
            <w:vAlign w:val="center"/>
          </w:tcPr>
          <w:p>
            <w:pPr>
              <w:spacing w:line="360" w:lineRule="exact"/>
              <w:jc w:val="center"/>
              <w:rPr>
                <w:szCs w:val="21"/>
              </w:rPr>
            </w:pPr>
            <w:r>
              <w:rPr>
                <w:szCs w:val="21"/>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417" w:type="dxa"/>
            <w:vMerge w:val="restart"/>
            <w:tcBorders>
              <w:left w:val="single" w:color="000000" w:sz="12" w:space="0"/>
            </w:tcBorders>
            <w:noWrap w:val="0"/>
            <w:vAlign w:val="center"/>
          </w:tcPr>
          <w:p>
            <w:pPr>
              <w:spacing w:line="360" w:lineRule="exact"/>
              <w:jc w:val="center"/>
              <w:rPr>
                <w:szCs w:val="21"/>
              </w:rPr>
            </w:pPr>
            <w:r>
              <w:rPr>
                <w:rFonts w:hAnsi="宋体"/>
                <w:szCs w:val="21"/>
              </w:rPr>
              <w:t>防渗措施</w:t>
            </w:r>
          </w:p>
        </w:tc>
        <w:tc>
          <w:tcPr>
            <w:tcW w:w="1109" w:type="dxa"/>
            <w:gridSpan w:val="2"/>
            <w:noWrap w:val="0"/>
            <w:vAlign w:val="center"/>
          </w:tcPr>
          <w:p>
            <w:pPr>
              <w:spacing w:line="360" w:lineRule="exact"/>
              <w:jc w:val="center"/>
              <w:rPr>
                <w:szCs w:val="21"/>
              </w:rPr>
            </w:pPr>
            <w:r>
              <w:rPr>
                <w:rFonts w:hAnsi="宋体"/>
                <w:szCs w:val="21"/>
              </w:rPr>
              <w:t>沼液储存池</w:t>
            </w:r>
          </w:p>
        </w:tc>
        <w:tc>
          <w:tcPr>
            <w:tcW w:w="2557" w:type="dxa"/>
            <w:gridSpan w:val="2"/>
            <w:noWrap w:val="0"/>
            <w:vAlign w:val="center"/>
          </w:tcPr>
          <w:p>
            <w:pPr>
              <w:spacing w:line="360" w:lineRule="exact"/>
              <w:jc w:val="center"/>
              <w:rPr>
                <w:szCs w:val="21"/>
              </w:rPr>
            </w:pPr>
            <w:r>
              <w:rPr>
                <w:szCs w:val="21"/>
              </w:rPr>
              <w:t>/</w:t>
            </w:r>
          </w:p>
        </w:tc>
        <w:tc>
          <w:tcPr>
            <w:tcW w:w="1554" w:type="dxa"/>
            <w:noWrap w:val="0"/>
            <w:vAlign w:val="center"/>
          </w:tcPr>
          <w:p>
            <w:pPr>
              <w:spacing w:line="360" w:lineRule="exact"/>
              <w:jc w:val="center"/>
              <w:rPr>
                <w:szCs w:val="21"/>
              </w:rPr>
            </w:pPr>
            <w:r>
              <w:rPr>
                <w:rFonts w:hAnsi="宋体"/>
                <w:szCs w:val="21"/>
              </w:rPr>
              <w:t>做好</w:t>
            </w:r>
            <w:r>
              <w:rPr>
                <w:szCs w:val="21"/>
              </w:rPr>
              <w:t>HDPE</w:t>
            </w:r>
            <w:r>
              <w:rPr>
                <w:rFonts w:hAnsi="宋体"/>
                <w:szCs w:val="21"/>
              </w:rPr>
              <w:t>膜防渗措施</w:t>
            </w:r>
            <w:r>
              <w:rPr>
                <w:szCs w:val="21"/>
              </w:rPr>
              <w:t xml:space="preserve"> </w:t>
            </w:r>
          </w:p>
        </w:tc>
        <w:tc>
          <w:tcPr>
            <w:tcW w:w="1547" w:type="dxa"/>
            <w:noWrap w:val="0"/>
            <w:vAlign w:val="center"/>
          </w:tcPr>
          <w:p>
            <w:pPr>
              <w:spacing w:line="360" w:lineRule="exact"/>
              <w:jc w:val="center"/>
              <w:rPr>
                <w:b/>
                <w:szCs w:val="21"/>
                <w:u w:val="single"/>
              </w:rPr>
            </w:pPr>
            <w:r>
              <w:rPr>
                <w:b/>
                <w:szCs w:val="21"/>
                <w:u w:val="single"/>
              </w:rPr>
              <w:t>/</w:t>
            </w:r>
          </w:p>
        </w:tc>
        <w:tc>
          <w:tcPr>
            <w:tcW w:w="3948" w:type="dxa"/>
            <w:gridSpan w:val="2"/>
            <w:noWrap w:val="0"/>
            <w:vAlign w:val="center"/>
          </w:tcPr>
          <w:p>
            <w:pPr>
              <w:spacing w:line="360" w:lineRule="exact"/>
              <w:jc w:val="center"/>
              <w:rPr>
                <w:szCs w:val="21"/>
              </w:rPr>
            </w:pPr>
            <w:r>
              <w:rPr>
                <w:rFonts w:hAnsi="宋体"/>
                <w:szCs w:val="21"/>
              </w:rPr>
              <w:t>沼液储存池底部和池壁铺设</w:t>
            </w:r>
            <w:r>
              <w:rPr>
                <w:szCs w:val="21"/>
              </w:rPr>
              <w:t>HDPE</w:t>
            </w:r>
            <w:r>
              <w:rPr>
                <w:rFonts w:hAnsi="宋体"/>
                <w:szCs w:val="21"/>
              </w:rPr>
              <w:t>膜</w:t>
            </w:r>
            <w:r>
              <w:rPr>
                <w:rFonts w:hint="eastAsia" w:hAnsi="宋体"/>
                <w:szCs w:val="21"/>
              </w:rPr>
              <w:t>防渗</w:t>
            </w:r>
            <w:r>
              <w:rPr>
                <w:rFonts w:hAnsi="宋体"/>
                <w:szCs w:val="21"/>
              </w:rPr>
              <w:t>，容积</w:t>
            </w:r>
            <w:r>
              <w:rPr>
                <w:szCs w:val="21"/>
              </w:rPr>
              <w:t>6500</w:t>
            </w:r>
            <w:r>
              <w:rPr>
                <w:bCs/>
                <w:szCs w:val="21"/>
              </w:rPr>
              <w:t>m</w:t>
            </w:r>
            <w:r>
              <w:rPr>
                <w:bCs/>
                <w:szCs w:val="21"/>
                <w:vertAlign w:val="superscript"/>
              </w:rPr>
              <w:t>3</w:t>
            </w:r>
            <w:r>
              <w:rPr>
                <w:szCs w:val="21"/>
              </w:rPr>
              <w:t xml:space="preserve"> </w:t>
            </w:r>
            <w:r>
              <w:rPr>
                <w:rFonts w:hint="eastAsia" w:hAnsi="宋体"/>
                <w:szCs w:val="21"/>
              </w:rPr>
              <w:t>，</w:t>
            </w:r>
            <w:r>
              <w:rPr>
                <w:szCs w:val="21"/>
              </w:rPr>
              <w:t xml:space="preserve"> HDPE</w:t>
            </w:r>
            <w:r>
              <w:rPr>
                <w:rFonts w:hAnsi="宋体"/>
                <w:szCs w:val="21"/>
              </w:rPr>
              <w:t>膜渗透系数达到</w:t>
            </w:r>
            <w:r>
              <w:rPr>
                <w:szCs w:val="21"/>
              </w:rPr>
              <w:t>1.0×10</w:t>
            </w:r>
            <w:r>
              <w:rPr>
                <w:szCs w:val="21"/>
                <w:vertAlign w:val="superscript"/>
              </w:rPr>
              <w:t>-10</w:t>
            </w:r>
            <w:r>
              <w:rPr>
                <w:szCs w:val="21"/>
              </w:rPr>
              <w:t>cm/s</w:t>
            </w:r>
            <w:r>
              <w:rPr>
                <w:rFonts w:hAnsi="宋体"/>
                <w:szCs w:val="21"/>
              </w:rPr>
              <w:t>，总的防渗等级达到</w:t>
            </w:r>
            <w:r>
              <w:rPr>
                <w:szCs w:val="21"/>
              </w:rPr>
              <w:t>1.0×10</w:t>
            </w:r>
            <w:r>
              <w:rPr>
                <w:szCs w:val="21"/>
                <w:vertAlign w:val="superscript"/>
              </w:rPr>
              <w:t>-10</w:t>
            </w:r>
            <w:r>
              <w:rPr>
                <w:szCs w:val="21"/>
              </w:rPr>
              <w:t>cm/s</w:t>
            </w:r>
          </w:p>
        </w:tc>
        <w:tc>
          <w:tcPr>
            <w:tcW w:w="2746" w:type="dxa"/>
            <w:vMerge w:val="restart"/>
            <w:tcBorders>
              <w:right w:val="single" w:color="000000" w:sz="12" w:space="0"/>
            </w:tcBorders>
            <w:noWrap w:val="0"/>
            <w:vAlign w:val="center"/>
          </w:tcPr>
          <w:p>
            <w:pPr>
              <w:spacing w:line="360" w:lineRule="exact"/>
              <w:rPr>
                <w:szCs w:val="21"/>
              </w:rPr>
            </w:pPr>
            <w:r>
              <w:rPr>
                <w:rFonts w:hAnsi="宋体"/>
                <w:szCs w:val="21"/>
              </w:rPr>
              <w:t>符合《规模化畜禽养殖场沼气工程设计规范》（</w:t>
            </w:r>
            <w:r>
              <w:rPr>
                <w:szCs w:val="21"/>
              </w:rPr>
              <w:t>NY/T1222</w:t>
            </w:r>
            <w:r>
              <w:rPr>
                <w:rFonts w:hAnsi="宋体"/>
                <w:szCs w:val="21"/>
              </w:rPr>
              <w:t>）和《混凝土结构设计规范》（</w:t>
            </w:r>
            <w:r>
              <w:rPr>
                <w:szCs w:val="21"/>
              </w:rPr>
              <w:t>GB50010</w:t>
            </w:r>
            <w:r>
              <w:rPr>
                <w:rFonts w:hAnsi="宋体"/>
                <w:szCs w:val="21"/>
              </w:rPr>
              <w:t>）的要求，具备</w:t>
            </w:r>
            <w:r>
              <w:rPr>
                <w:szCs w:val="21"/>
              </w:rPr>
              <w:t>“</w:t>
            </w:r>
            <w:r>
              <w:rPr>
                <w:rFonts w:hAnsi="宋体"/>
                <w:szCs w:val="21"/>
              </w:rPr>
              <w:t>防渗、防雨、防溢</w:t>
            </w:r>
            <w:r>
              <w:rPr>
                <w:szCs w:val="21"/>
              </w:rPr>
              <w:t>”</w:t>
            </w:r>
            <w:r>
              <w:rPr>
                <w:rFonts w:hAnsi="宋体"/>
                <w:szCs w:val="21"/>
              </w:rPr>
              <w:t>的三防措施。</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417" w:type="dxa"/>
            <w:vMerge w:val="continue"/>
            <w:tcBorders>
              <w:left w:val="single" w:color="000000" w:sz="12" w:space="0"/>
            </w:tcBorders>
            <w:noWrap w:val="0"/>
            <w:vAlign w:val="center"/>
          </w:tcPr>
          <w:p>
            <w:pPr>
              <w:spacing w:line="360" w:lineRule="exact"/>
              <w:jc w:val="center"/>
              <w:rPr>
                <w:szCs w:val="21"/>
              </w:rPr>
            </w:pPr>
          </w:p>
        </w:tc>
        <w:tc>
          <w:tcPr>
            <w:tcW w:w="349" w:type="dxa"/>
            <w:vMerge w:val="restart"/>
            <w:noWrap w:val="0"/>
            <w:vAlign w:val="center"/>
          </w:tcPr>
          <w:p>
            <w:pPr>
              <w:spacing w:line="360" w:lineRule="exact"/>
              <w:jc w:val="center"/>
              <w:rPr>
                <w:szCs w:val="21"/>
              </w:rPr>
            </w:pPr>
            <w:r>
              <w:rPr>
                <w:rFonts w:hAnsi="宋体"/>
                <w:szCs w:val="21"/>
              </w:rPr>
              <w:t>场区防渗</w:t>
            </w:r>
          </w:p>
        </w:tc>
        <w:tc>
          <w:tcPr>
            <w:tcW w:w="760" w:type="dxa"/>
            <w:noWrap w:val="0"/>
            <w:vAlign w:val="center"/>
          </w:tcPr>
          <w:p>
            <w:pPr>
              <w:spacing w:line="360" w:lineRule="exact"/>
              <w:rPr>
                <w:rFonts w:hint="eastAsia"/>
                <w:szCs w:val="21"/>
              </w:rPr>
            </w:pPr>
            <w:r>
              <w:rPr>
                <w:rFonts w:hint="eastAsia" w:hAnsi="宋体"/>
                <w:szCs w:val="21"/>
              </w:rPr>
              <w:t>收集池</w:t>
            </w:r>
          </w:p>
        </w:tc>
        <w:tc>
          <w:tcPr>
            <w:tcW w:w="2557" w:type="dxa"/>
            <w:gridSpan w:val="2"/>
            <w:noWrap w:val="0"/>
            <w:vAlign w:val="center"/>
          </w:tcPr>
          <w:p>
            <w:pPr>
              <w:spacing w:line="360" w:lineRule="exact"/>
              <w:jc w:val="center"/>
              <w:rPr>
                <w:szCs w:val="21"/>
              </w:rPr>
            </w:pPr>
            <w:r>
              <w:rPr>
                <w:szCs w:val="21"/>
              </w:rPr>
              <w:t>/</w:t>
            </w:r>
          </w:p>
        </w:tc>
        <w:tc>
          <w:tcPr>
            <w:tcW w:w="1554" w:type="dxa"/>
            <w:noWrap w:val="0"/>
            <w:vAlign w:val="center"/>
          </w:tcPr>
          <w:p>
            <w:pPr>
              <w:spacing w:line="360" w:lineRule="exact"/>
              <w:jc w:val="center"/>
              <w:rPr>
                <w:szCs w:val="21"/>
              </w:rPr>
            </w:pPr>
            <w:r>
              <w:rPr>
                <w:rFonts w:hAnsi="宋体"/>
                <w:szCs w:val="21"/>
              </w:rPr>
              <w:t>混凝土防渗措施</w:t>
            </w:r>
            <w:r>
              <w:rPr>
                <w:szCs w:val="21"/>
              </w:rPr>
              <w:t xml:space="preserve"> </w:t>
            </w:r>
          </w:p>
        </w:tc>
        <w:tc>
          <w:tcPr>
            <w:tcW w:w="1547" w:type="dxa"/>
            <w:noWrap w:val="0"/>
            <w:vAlign w:val="center"/>
          </w:tcPr>
          <w:p>
            <w:pPr>
              <w:spacing w:line="360" w:lineRule="exact"/>
              <w:jc w:val="center"/>
              <w:rPr>
                <w:b/>
                <w:szCs w:val="21"/>
                <w:u w:val="single"/>
              </w:rPr>
            </w:pPr>
            <w:r>
              <w:rPr>
                <w:b/>
                <w:szCs w:val="21"/>
                <w:u w:val="single"/>
              </w:rPr>
              <w:t>/</w:t>
            </w:r>
          </w:p>
        </w:tc>
        <w:tc>
          <w:tcPr>
            <w:tcW w:w="3948" w:type="dxa"/>
            <w:gridSpan w:val="2"/>
            <w:noWrap w:val="0"/>
            <w:vAlign w:val="center"/>
          </w:tcPr>
          <w:p>
            <w:pPr>
              <w:spacing w:line="360" w:lineRule="exact"/>
              <w:jc w:val="center"/>
              <w:rPr>
                <w:szCs w:val="21"/>
              </w:rPr>
            </w:pPr>
            <w:r>
              <w:rPr>
                <w:rFonts w:hAnsi="宋体"/>
                <w:szCs w:val="21"/>
              </w:rPr>
              <w:t>污水处理池底部和池壁混凝土，混凝土抗渗标号为</w:t>
            </w:r>
            <w:r>
              <w:rPr>
                <w:szCs w:val="21"/>
              </w:rPr>
              <w:t>P6</w:t>
            </w:r>
            <w:r>
              <w:rPr>
                <w:rFonts w:hAnsi="宋体"/>
                <w:szCs w:val="21"/>
              </w:rPr>
              <w:t>，渗透系数达到</w:t>
            </w:r>
            <w:r>
              <w:rPr>
                <w:szCs w:val="21"/>
              </w:rPr>
              <w:t>1.0×10</w:t>
            </w:r>
            <w:r>
              <w:rPr>
                <w:szCs w:val="21"/>
                <w:vertAlign w:val="superscript"/>
              </w:rPr>
              <w:t>-7</w:t>
            </w:r>
            <w:r>
              <w:rPr>
                <w:szCs w:val="21"/>
              </w:rPr>
              <w:t>cm/s</w:t>
            </w:r>
          </w:p>
          <w:p>
            <w:pPr>
              <w:spacing w:line="360" w:lineRule="exact"/>
              <w:jc w:val="center"/>
              <w:rPr>
                <w:szCs w:val="21"/>
              </w:rPr>
            </w:pPr>
            <w:r>
              <w:rPr>
                <w:rFonts w:hAnsi="宋体"/>
                <w:szCs w:val="21"/>
              </w:rPr>
              <w:t>周边设置雨水导流沟</w:t>
            </w:r>
          </w:p>
        </w:tc>
        <w:tc>
          <w:tcPr>
            <w:tcW w:w="2746" w:type="dxa"/>
            <w:vMerge w:val="continue"/>
            <w:tcBorders>
              <w:right w:val="single" w:color="000000" w:sz="12" w:space="0"/>
            </w:tcBorders>
            <w:noWrap w:val="0"/>
            <w:vAlign w:val="center"/>
          </w:tcPr>
          <w:p>
            <w:pPr>
              <w:spacing w:line="360" w:lineRule="exact"/>
              <w:rPr>
                <w:szCs w:val="21"/>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417" w:type="dxa"/>
            <w:vMerge w:val="continue"/>
            <w:tcBorders>
              <w:left w:val="single" w:color="000000" w:sz="12" w:space="0"/>
            </w:tcBorders>
            <w:noWrap w:val="0"/>
            <w:vAlign w:val="center"/>
          </w:tcPr>
          <w:p>
            <w:pPr>
              <w:spacing w:line="360" w:lineRule="exact"/>
              <w:jc w:val="center"/>
              <w:rPr>
                <w:szCs w:val="21"/>
              </w:rPr>
            </w:pPr>
          </w:p>
        </w:tc>
        <w:tc>
          <w:tcPr>
            <w:tcW w:w="349" w:type="dxa"/>
            <w:vMerge w:val="continue"/>
            <w:noWrap w:val="0"/>
            <w:vAlign w:val="center"/>
          </w:tcPr>
          <w:p>
            <w:pPr>
              <w:spacing w:line="360" w:lineRule="exact"/>
              <w:jc w:val="center"/>
              <w:rPr>
                <w:szCs w:val="21"/>
              </w:rPr>
            </w:pPr>
          </w:p>
        </w:tc>
        <w:tc>
          <w:tcPr>
            <w:tcW w:w="760" w:type="dxa"/>
            <w:noWrap w:val="0"/>
            <w:vAlign w:val="center"/>
          </w:tcPr>
          <w:p>
            <w:pPr>
              <w:spacing w:line="360" w:lineRule="exact"/>
              <w:jc w:val="center"/>
              <w:rPr>
                <w:rFonts w:hint="eastAsia"/>
                <w:szCs w:val="21"/>
              </w:rPr>
            </w:pPr>
            <w:r>
              <w:rPr>
                <w:rFonts w:hAnsi="宋体"/>
                <w:szCs w:val="21"/>
              </w:rPr>
              <w:t>养殖区</w:t>
            </w:r>
            <w:r>
              <w:rPr>
                <w:rFonts w:hint="eastAsia" w:hAnsi="宋体"/>
                <w:szCs w:val="21"/>
              </w:rPr>
              <w:t>、粪道</w:t>
            </w:r>
          </w:p>
        </w:tc>
        <w:tc>
          <w:tcPr>
            <w:tcW w:w="2557" w:type="dxa"/>
            <w:gridSpan w:val="2"/>
            <w:noWrap w:val="0"/>
            <w:vAlign w:val="center"/>
          </w:tcPr>
          <w:p>
            <w:pPr>
              <w:spacing w:line="360" w:lineRule="exact"/>
              <w:jc w:val="center"/>
              <w:rPr>
                <w:szCs w:val="21"/>
              </w:rPr>
            </w:pPr>
            <w:r>
              <w:rPr>
                <w:szCs w:val="21"/>
              </w:rPr>
              <w:t>/</w:t>
            </w:r>
          </w:p>
        </w:tc>
        <w:tc>
          <w:tcPr>
            <w:tcW w:w="1554" w:type="dxa"/>
            <w:noWrap w:val="0"/>
            <w:vAlign w:val="center"/>
          </w:tcPr>
          <w:p>
            <w:pPr>
              <w:spacing w:line="360" w:lineRule="exact"/>
              <w:jc w:val="center"/>
              <w:rPr>
                <w:szCs w:val="21"/>
              </w:rPr>
            </w:pPr>
            <w:r>
              <w:rPr>
                <w:rFonts w:hAnsi="宋体"/>
                <w:szCs w:val="21"/>
              </w:rPr>
              <w:t>混凝土防渗措施</w:t>
            </w:r>
            <w:r>
              <w:rPr>
                <w:szCs w:val="21"/>
              </w:rPr>
              <w:t xml:space="preserve"> </w:t>
            </w:r>
          </w:p>
        </w:tc>
        <w:tc>
          <w:tcPr>
            <w:tcW w:w="1547" w:type="dxa"/>
            <w:noWrap w:val="0"/>
            <w:vAlign w:val="center"/>
          </w:tcPr>
          <w:p>
            <w:pPr>
              <w:spacing w:line="360" w:lineRule="exact"/>
              <w:jc w:val="center"/>
              <w:rPr>
                <w:b/>
                <w:szCs w:val="21"/>
                <w:u w:val="single"/>
              </w:rPr>
            </w:pPr>
            <w:r>
              <w:rPr>
                <w:b/>
                <w:szCs w:val="21"/>
                <w:u w:val="single"/>
              </w:rPr>
              <w:t>/</w:t>
            </w:r>
          </w:p>
        </w:tc>
        <w:tc>
          <w:tcPr>
            <w:tcW w:w="3948" w:type="dxa"/>
            <w:gridSpan w:val="2"/>
            <w:noWrap w:val="0"/>
            <w:vAlign w:val="center"/>
          </w:tcPr>
          <w:p>
            <w:pPr>
              <w:spacing w:line="360" w:lineRule="exact"/>
              <w:jc w:val="center"/>
              <w:rPr>
                <w:szCs w:val="21"/>
              </w:rPr>
            </w:pPr>
            <w:r>
              <w:rPr>
                <w:rFonts w:hAnsi="宋体"/>
                <w:szCs w:val="21"/>
              </w:rPr>
              <w:t>养殖场区底部混凝土，混凝土抗渗标号为</w:t>
            </w:r>
            <w:r>
              <w:rPr>
                <w:szCs w:val="21"/>
              </w:rPr>
              <w:t>P6</w:t>
            </w:r>
            <w:r>
              <w:rPr>
                <w:rFonts w:hAnsi="宋体"/>
                <w:szCs w:val="21"/>
              </w:rPr>
              <w:t>，渗透系数达到</w:t>
            </w:r>
            <w:r>
              <w:rPr>
                <w:szCs w:val="21"/>
              </w:rPr>
              <w:t>1.0×10</w:t>
            </w:r>
            <w:r>
              <w:rPr>
                <w:szCs w:val="21"/>
                <w:vertAlign w:val="superscript"/>
              </w:rPr>
              <w:t>-7</w:t>
            </w:r>
            <w:r>
              <w:rPr>
                <w:szCs w:val="21"/>
              </w:rPr>
              <w:t>cm/s</w:t>
            </w:r>
          </w:p>
        </w:tc>
        <w:tc>
          <w:tcPr>
            <w:tcW w:w="2746" w:type="dxa"/>
            <w:vMerge w:val="restart"/>
            <w:tcBorders>
              <w:right w:val="single" w:color="000000" w:sz="12" w:space="0"/>
            </w:tcBorders>
            <w:noWrap w:val="0"/>
            <w:vAlign w:val="center"/>
          </w:tcPr>
          <w:p>
            <w:pPr>
              <w:spacing w:line="360" w:lineRule="exact"/>
              <w:jc w:val="center"/>
              <w:rPr>
                <w:szCs w:val="21"/>
              </w:rPr>
            </w:pPr>
            <w:r>
              <w:rPr>
                <w:rFonts w:hAnsi="宋体"/>
                <w:szCs w:val="21"/>
              </w:rPr>
              <w:t>满足《畜禽养殖业污染防治技术规范》（</w:t>
            </w:r>
            <w:r>
              <w:rPr>
                <w:szCs w:val="21"/>
              </w:rPr>
              <w:t>HJ/T81</w:t>
            </w:r>
            <w:r>
              <w:rPr>
                <w:rFonts w:hAnsi="宋体"/>
                <w:szCs w:val="21"/>
              </w:rPr>
              <w:t>－</w:t>
            </w:r>
            <w:r>
              <w:rPr>
                <w:szCs w:val="21"/>
              </w:rPr>
              <w:t>2001</w:t>
            </w:r>
            <w:r>
              <w:rPr>
                <w:rFonts w:hAnsi="宋体"/>
                <w:szCs w:val="21"/>
              </w:rPr>
              <w:t>）中畜禽粪便的贮存相关要求，应具备防渗、防风、防雨的</w:t>
            </w:r>
            <w:r>
              <w:rPr>
                <w:szCs w:val="21"/>
              </w:rPr>
              <w:t>“</w:t>
            </w:r>
            <w:r>
              <w:rPr>
                <w:rFonts w:hAnsi="宋体"/>
                <w:szCs w:val="21"/>
              </w:rPr>
              <w:t>三防</w:t>
            </w:r>
            <w:r>
              <w:rPr>
                <w:szCs w:val="21"/>
              </w:rPr>
              <w:t>”</w:t>
            </w:r>
            <w:r>
              <w:rPr>
                <w:rFonts w:hAnsi="宋体"/>
                <w:szCs w:val="21"/>
              </w:rPr>
              <w:t>措施。</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jc w:val="center"/>
        </w:trPr>
        <w:tc>
          <w:tcPr>
            <w:tcW w:w="417" w:type="dxa"/>
            <w:vMerge w:val="continue"/>
            <w:tcBorders>
              <w:left w:val="single" w:color="000000" w:sz="12" w:space="0"/>
              <w:bottom w:val="single" w:color="000000" w:sz="12" w:space="0"/>
            </w:tcBorders>
            <w:noWrap w:val="0"/>
            <w:vAlign w:val="center"/>
          </w:tcPr>
          <w:p>
            <w:pPr>
              <w:spacing w:line="360" w:lineRule="exact"/>
              <w:jc w:val="center"/>
              <w:rPr>
                <w:b/>
                <w:szCs w:val="21"/>
                <w:u w:val="single"/>
              </w:rPr>
            </w:pPr>
          </w:p>
        </w:tc>
        <w:tc>
          <w:tcPr>
            <w:tcW w:w="349" w:type="dxa"/>
            <w:vMerge w:val="continue"/>
            <w:tcBorders>
              <w:bottom w:val="single" w:color="000000" w:sz="12" w:space="0"/>
            </w:tcBorders>
            <w:noWrap w:val="0"/>
            <w:vAlign w:val="center"/>
          </w:tcPr>
          <w:p>
            <w:pPr>
              <w:spacing w:line="360" w:lineRule="exact"/>
              <w:jc w:val="center"/>
              <w:rPr>
                <w:b/>
                <w:szCs w:val="21"/>
                <w:u w:val="single"/>
              </w:rPr>
            </w:pPr>
          </w:p>
        </w:tc>
        <w:tc>
          <w:tcPr>
            <w:tcW w:w="760" w:type="dxa"/>
            <w:tcBorders>
              <w:bottom w:val="single" w:color="000000" w:sz="12" w:space="0"/>
            </w:tcBorders>
            <w:noWrap w:val="0"/>
            <w:vAlign w:val="center"/>
          </w:tcPr>
          <w:p>
            <w:pPr>
              <w:spacing w:line="360" w:lineRule="exact"/>
              <w:jc w:val="center"/>
              <w:rPr>
                <w:rFonts w:hint="eastAsia"/>
                <w:szCs w:val="21"/>
              </w:rPr>
            </w:pPr>
            <w:r>
              <w:rPr>
                <w:rFonts w:hint="eastAsia" w:hAnsi="宋体"/>
                <w:szCs w:val="21"/>
              </w:rPr>
              <w:t>堆肥发酵区</w:t>
            </w:r>
          </w:p>
        </w:tc>
        <w:tc>
          <w:tcPr>
            <w:tcW w:w="2557" w:type="dxa"/>
            <w:gridSpan w:val="2"/>
            <w:tcBorders>
              <w:bottom w:val="single" w:color="000000" w:sz="12" w:space="0"/>
            </w:tcBorders>
            <w:noWrap w:val="0"/>
            <w:vAlign w:val="center"/>
          </w:tcPr>
          <w:p>
            <w:pPr>
              <w:spacing w:line="360" w:lineRule="exact"/>
              <w:jc w:val="center"/>
              <w:rPr>
                <w:szCs w:val="21"/>
              </w:rPr>
            </w:pPr>
            <w:r>
              <w:rPr>
                <w:szCs w:val="21"/>
              </w:rPr>
              <w:t>/</w:t>
            </w:r>
          </w:p>
        </w:tc>
        <w:tc>
          <w:tcPr>
            <w:tcW w:w="1554" w:type="dxa"/>
            <w:tcBorders>
              <w:bottom w:val="single" w:color="000000" w:sz="12" w:space="0"/>
            </w:tcBorders>
            <w:noWrap w:val="0"/>
            <w:vAlign w:val="center"/>
          </w:tcPr>
          <w:p>
            <w:pPr>
              <w:spacing w:line="360" w:lineRule="exact"/>
              <w:jc w:val="center"/>
              <w:rPr>
                <w:szCs w:val="21"/>
              </w:rPr>
            </w:pPr>
            <w:r>
              <w:rPr>
                <w:rFonts w:hAnsi="宋体"/>
                <w:szCs w:val="21"/>
              </w:rPr>
              <w:t>混凝土防渗措施</w:t>
            </w:r>
            <w:r>
              <w:rPr>
                <w:szCs w:val="21"/>
              </w:rPr>
              <w:t xml:space="preserve"> </w:t>
            </w:r>
          </w:p>
        </w:tc>
        <w:tc>
          <w:tcPr>
            <w:tcW w:w="1547" w:type="dxa"/>
            <w:tcBorders>
              <w:bottom w:val="single" w:color="000000" w:sz="12" w:space="0"/>
            </w:tcBorders>
            <w:noWrap w:val="0"/>
            <w:vAlign w:val="center"/>
          </w:tcPr>
          <w:p>
            <w:pPr>
              <w:spacing w:line="360" w:lineRule="exact"/>
              <w:jc w:val="center"/>
              <w:rPr>
                <w:b/>
                <w:szCs w:val="21"/>
                <w:u w:val="single"/>
              </w:rPr>
            </w:pPr>
            <w:r>
              <w:rPr>
                <w:b/>
                <w:szCs w:val="21"/>
                <w:u w:val="single"/>
              </w:rPr>
              <w:t>/</w:t>
            </w:r>
          </w:p>
        </w:tc>
        <w:tc>
          <w:tcPr>
            <w:tcW w:w="3948" w:type="dxa"/>
            <w:gridSpan w:val="2"/>
            <w:tcBorders>
              <w:bottom w:val="single" w:color="000000" w:sz="12" w:space="0"/>
            </w:tcBorders>
            <w:noWrap w:val="0"/>
            <w:vAlign w:val="center"/>
          </w:tcPr>
          <w:p>
            <w:pPr>
              <w:tabs>
                <w:tab w:val="right" w:leader="dot" w:pos="8647"/>
              </w:tabs>
              <w:adjustRightInd w:val="0"/>
              <w:snapToGrid w:val="0"/>
              <w:spacing w:line="360" w:lineRule="exact"/>
              <w:rPr>
                <w:szCs w:val="21"/>
              </w:rPr>
            </w:pPr>
            <w:r>
              <w:rPr>
                <w:rFonts w:hAnsi="宋体"/>
                <w:szCs w:val="21"/>
              </w:rPr>
              <w:t>地面混凝土，混凝土抗渗标号为</w:t>
            </w:r>
            <w:r>
              <w:rPr>
                <w:szCs w:val="21"/>
              </w:rPr>
              <w:t>P6</w:t>
            </w:r>
            <w:r>
              <w:rPr>
                <w:rFonts w:hAnsi="宋体"/>
                <w:szCs w:val="21"/>
              </w:rPr>
              <w:t>，渗透系数达到</w:t>
            </w:r>
            <w:r>
              <w:rPr>
                <w:szCs w:val="21"/>
              </w:rPr>
              <w:t>1.0×10</w:t>
            </w:r>
            <w:r>
              <w:rPr>
                <w:szCs w:val="21"/>
                <w:vertAlign w:val="superscript"/>
              </w:rPr>
              <w:t>-7</w:t>
            </w:r>
            <w:r>
              <w:rPr>
                <w:szCs w:val="21"/>
              </w:rPr>
              <w:t>cm/s</w:t>
            </w:r>
            <w:r>
              <w:rPr>
                <w:rFonts w:hAnsi="宋体"/>
                <w:szCs w:val="21"/>
              </w:rPr>
              <w:t>，顶部设置顶棚，三面设置不低于</w:t>
            </w:r>
            <w:r>
              <w:rPr>
                <w:szCs w:val="21"/>
              </w:rPr>
              <w:t>1m</w:t>
            </w:r>
            <w:r>
              <w:rPr>
                <w:rFonts w:hAnsi="宋体"/>
                <w:szCs w:val="21"/>
              </w:rPr>
              <w:t>高围挡</w:t>
            </w:r>
          </w:p>
        </w:tc>
        <w:tc>
          <w:tcPr>
            <w:tcW w:w="2746" w:type="dxa"/>
            <w:vMerge w:val="continue"/>
            <w:tcBorders>
              <w:bottom w:val="single" w:color="000000" w:sz="12" w:space="0"/>
              <w:right w:val="single" w:color="000000" w:sz="12" w:space="0"/>
            </w:tcBorders>
            <w:noWrap w:val="0"/>
            <w:vAlign w:val="center"/>
          </w:tcPr>
          <w:p>
            <w:pPr>
              <w:spacing w:line="360" w:lineRule="exact"/>
              <w:jc w:val="center"/>
              <w:rPr>
                <w:b/>
                <w:szCs w:val="21"/>
                <w:u w:val="single"/>
              </w:rPr>
            </w:pPr>
          </w:p>
        </w:tc>
      </w:tr>
    </w:tbl>
    <w:p>
      <w:pPr>
        <w:rPr>
          <w:rFonts w:hint="eastAsia"/>
        </w:rPr>
        <w:sectPr>
          <w:pgSz w:w="16838" w:h="11906" w:orient="landscape"/>
          <w:pgMar w:top="1588" w:right="1588" w:bottom="1588" w:left="1588" w:header="851" w:footer="992" w:gutter="0"/>
          <w:pgNumType w:fmt="numberInDash"/>
          <w:cols w:space="720" w:num="1"/>
          <w:docGrid w:type="linesAndChars" w:linePitch="312" w:charSpace="0"/>
        </w:sectPr>
      </w:pPr>
    </w:p>
    <w:p>
      <w:pPr>
        <w:keepNext/>
        <w:keepLines/>
        <w:spacing w:before="100" w:beforeAutospacing="1" w:after="100" w:afterAutospacing="1"/>
        <w:jc w:val="center"/>
        <w:outlineLvl w:val="0"/>
        <w:rPr>
          <w:b/>
          <w:sz w:val="44"/>
          <w:szCs w:val="44"/>
        </w:rPr>
      </w:pPr>
      <w:bookmarkStart w:id="553" w:name="_Toc472009619"/>
      <w:bookmarkEnd w:id="553"/>
      <w:bookmarkStart w:id="554" w:name="_Toc413662186"/>
      <w:bookmarkEnd w:id="554"/>
      <w:bookmarkStart w:id="555" w:name="_Toc15244"/>
      <w:r>
        <w:rPr>
          <w:b/>
          <w:kern w:val="0"/>
          <w:sz w:val="44"/>
          <w:szCs w:val="44"/>
          <w:lang w:bidi="ar"/>
        </w:rPr>
        <w:t>第八章  评价结论</w:t>
      </w:r>
      <w:bookmarkEnd w:id="555"/>
    </w:p>
    <w:p>
      <w:pPr>
        <w:snapToGrid w:val="0"/>
        <w:spacing w:line="520" w:lineRule="exact"/>
        <w:outlineLvl w:val="1"/>
        <w:rPr>
          <w:rFonts w:eastAsia="黑体"/>
          <w:bCs/>
          <w:sz w:val="28"/>
          <w:szCs w:val="28"/>
        </w:rPr>
      </w:pPr>
      <w:bookmarkStart w:id="556" w:name="_Toc413662187"/>
      <w:bookmarkEnd w:id="556"/>
      <w:bookmarkStart w:id="557" w:name="_Toc472009620"/>
      <w:bookmarkStart w:id="558" w:name="_Toc30325"/>
      <w:r>
        <w:rPr>
          <w:rFonts w:eastAsia="黑体"/>
          <w:bCs/>
          <w:sz w:val="28"/>
          <w:szCs w:val="28"/>
        </w:rPr>
        <w:t>8</w:t>
      </w:r>
      <w:bookmarkEnd w:id="557"/>
      <w:r>
        <w:rPr>
          <w:rFonts w:eastAsia="黑体"/>
          <w:bCs/>
          <w:sz w:val="28"/>
          <w:szCs w:val="28"/>
        </w:rPr>
        <w:t>.1项目的建设概况</w:t>
      </w:r>
      <w:bookmarkEnd w:id="558"/>
    </w:p>
    <w:p>
      <w:pPr>
        <w:autoSpaceDE w:val="0"/>
        <w:autoSpaceDN w:val="0"/>
        <w:spacing w:line="520" w:lineRule="exact"/>
        <w:ind w:firstLine="480" w:firstLineChars="200"/>
        <w:textAlignment w:val="baseline"/>
        <w:rPr>
          <w:kern w:val="0"/>
          <w:sz w:val="24"/>
          <w:lang w:bidi="ar"/>
        </w:rPr>
      </w:pPr>
      <w:r>
        <w:rPr>
          <w:rFonts w:hint="eastAsia"/>
          <w:sz w:val="24"/>
          <w:lang w:eastAsia="zh-CN"/>
        </w:rPr>
        <w:t>正阳县鑫鑫向荣大型种猪养殖有限责任公司</w:t>
      </w:r>
      <w:r>
        <w:rPr>
          <w:rFonts w:hint="eastAsia"/>
          <w:sz w:val="24"/>
        </w:rPr>
        <w:t>建设</w:t>
      </w:r>
      <w:r>
        <w:rPr>
          <w:rFonts w:hint="eastAsia"/>
          <w:sz w:val="24"/>
          <w:lang w:eastAsia="zh-CN"/>
        </w:rPr>
        <w:t>年产1.2万头生猪养殖场项目</w:t>
      </w:r>
      <w:r>
        <w:rPr>
          <w:kern w:val="0"/>
          <w:sz w:val="24"/>
          <w:lang w:bidi="ar"/>
        </w:rPr>
        <w:t>位于</w:t>
      </w:r>
      <w:r>
        <w:rPr>
          <w:rFonts w:hint="eastAsia"/>
          <w:sz w:val="24"/>
        </w:rPr>
        <w:t>正阳县</w:t>
      </w:r>
      <w:r>
        <w:rPr>
          <w:rFonts w:hint="eastAsia"/>
          <w:sz w:val="24"/>
          <w:lang w:eastAsia="zh-CN"/>
        </w:rPr>
        <w:t>汝南埠镇</w:t>
      </w:r>
      <w:r>
        <w:rPr>
          <w:kern w:val="0"/>
          <w:sz w:val="24"/>
          <w:lang w:bidi="ar"/>
        </w:rPr>
        <w:t>，建设规模</w:t>
      </w:r>
      <w:r>
        <w:rPr>
          <w:rFonts w:hint="eastAsia"/>
          <w:kern w:val="0"/>
          <w:sz w:val="24"/>
          <w:lang w:bidi="ar"/>
        </w:rPr>
        <w:t>出栏育肥猪1.</w:t>
      </w:r>
      <w:r>
        <w:rPr>
          <w:rFonts w:hint="eastAsia"/>
          <w:kern w:val="0"/>
          <w:sz w:val="24"/>
          <w:lang w:val="en-US" w:eastAsia="zh-CN" w:bidi="ar"/>
        </w:rPr>
        <w:t>2</w:t>
      </w:r>
      <w:r>
        <w:rPr>
          <w:rFonts w:hint="eastAsia"/>
          <w:kern w:val="0"/>
          <w:sz w:val="24"/>
          <w:lang w:bidi="ar"/>
        </w:rPr>
        <w:t>万</w:t>
      </w:r>
      <w:r>
        <w:rPr>
          <w:kern w:val="0"/>
          <w:sz w:val="24"/>
          <w:lang w:bidi="ar"/>
        </w:rPr>
        <w:t>头。建设内容：</w:t>
      </w:r>
      <w:r>
        <w:rPr>
          <w:sz w:val="24"/>
        </w:rPr>
        <w:t>猪舍、废水综合治理沼气工程及配套工程</w:t>
      </w:r>
      <w:r>
        <w:rPr>
          <w:kern w:val="0"/>
          <w:sz w:val="24"/>
          <w:lang w:bidi="ar"/>
        </w:rPr>
        <w:t>；清粪方法采用干清粪工艺；该养殖场总占地面积</w:t>
      </w:r>
      <w:r>
        <w:rPr>
          <w:rFonts w:hint="eastAsia"/>
          <w:kern w:val="0"/>
          <w:sz w:val="24"/>
          <w:lang w:eastAsia="zh-CN" w:bidi="ar"/>
        </w:rPr>
        <w:t>26.7亩</w:t>
      </w:r>
      <w:r>
        <w:rPr>
          <w:kern w:val="0"/>
          <w:sz w:val="24"/>
          <w:lang w:bidi="ar"/>
        </w:rPr>
        <w:t>（</w:t>
      </w:r>
      <w:r>
        <w:rPr>
          <w:rFonts w:hint="eastAsia"/>
          <w:kern w:val="0"/>
          <w:sz w:val="24"/>
          <w:lang w:bidi="ar"/>
        </w:rPr>
        <w:t>约</w:t>
      </w:r>
      <w:r>
        <w:rPr>
          <w:rFonts w:hint="eastAsia"/>
          <w:kern w:val="0"/>
          <w:sz w:val="24"/>
          <w:lang w:eastAsia="zh-CN" w:bidi="ar"/>
        </w:rPr>
        <w:t>17831.57</w:t>
      </w:r>
      <w:r>
        <w:rPr>
          <w:kern w:val="0"/>
          <w:sz w:val="24"/>
          <w:lang w:bidi="ar"/>
        </w:rPr>
        <w:t>m</w:t>
      </w:r>
      <w:r>
        <w:rPr>
          <w:kern w:val="0"/>
          <w:sz w:val="24"/>
          <w:vertAlign w:val="superscript"/>
          <w:lang w:bidi="ar"/>
        </w:rPr>
        <w:t>2</w:t>
      </w:r>
      <w:r>
        <w:rPr>
          <w:kern w:val="0"/>
          <w:sz w:val="24"/>
          <w:lang w:bidi="ar"/>
        </w:rPr>
        <w:t>），总投资</w:t>
      </w:r>
      <w:r>
        <w:rPr>
          <w:rFonts w:hint="eastAsia" w:eastAsia="楷体_GB2312"/>
          <w:spacing w:val="-6"/>
          <w:kern w:val="0"/>
          <w:sz w:val="24"/>
          <w:lang w:eastAsia="zh-CN" w:bidi="ar"/>
        </w:rPr>
        <w:t>900万元</w:t>
      </w:r>
      <w:r>
        <w:rPr>
          <w:kern w:val="0"/>
          <w:sz w:val="24"/>
          <w:lang w:bidi="ar"/>
        </w:rPr>
        <w:t>，企业拟定员工为10人。</w:t>
      </w:r>
    </w:p>
    <w:p>
      <w:pPr>
        <w:pStyle w:val="2"/>
        <w:snapToGrid w:val="0"/>
        <w:spacing w:before="0" w:after="0" w:line="520" w:lineRule="exact"/>
        <w:rPr>
          <w:rFonts w:hint="eastAsia" w:eastAsia="黑体"/>
          <w:b w:val="0"/>
          <w:bCs w:val="0"/>
          <w:sz w:val="24"/>
          <w:szCs w:val="24"/>
        </w:rPr>
      </w:pPr>
      <w:r>
        <w:rPr>
          <w:rFonts w:hint="eastAsia" w:eastAsia="黑体"/>
          <w:b w:val="0"/>
          <w:bCs w:val="0"/>
          <w:sz w:val="24"/>
          <w:szCs w:val="24"/>
        </w:rPr>
        <w:t>8.1.1环境特点</w:t>
      </w:r>
    </w:p>
    <w:p>
      <w:pPr>
        <w:autoSpaceDE w:val="0"/>
        <w:autoSpaceDN w:val="0"/>
        <w:spacing w:line="520" w:lineRule="exact"/>
        <w:ind w:firstLine="480" w:firstLineChars="200"/>
        <w:textAlignment w:val="baseline"/>
        <w:rPr>
          <w:rFonts w:hint="eastAsia"/>
          <w:sz w:val="24"/>
        </w:rPr>
      </w:pPr>
      <w:r>
        <w:rPr>
          <w:rFonts w:hint="eastAsia"/>
          <w:sz w:val="24"/>
        </w:rPr>
        <w:t>本项目位于</w:t>
      </w:r>
      <w:r>
        <w:rPr>
          <w:rFonts w:hint="eastAsia" w:hAnsi="宋体"/>
          <w:snapToGrid w:val="0"/>
          <w:sz w:val="24"/>
          <w:lang w:eastAsia="zh-CN"/>
        </w:rPr>
        <w:t>驻马店市正阳县汝南埠镇大温寺王店</w:t>
      </w:r>
      <w:r>
        <w:rPr>
          <w:rFonts w:hint="eastAsia" w:hAnsi="宋体"/>
          <w:snapToGrid w:val="0"/>
          <w:sz w:val="24"/>
        </w:rPr>
        <w:t>，距离最近的村庄为项目</w:t>
      </w:r>
      <w:r>
        <w:rPr>
          <w:rFonts w:hint="eastAsia"/>
          <w:sz w:val="24"/>
          <w:lang w:val="en-US" w:eastAsia="zh-CN"/>
        </w:rPr>
        <w:t>东南</w:t>
      </w:r>
      <w:r>
        <w:rPr>
          <w:rFonts w:hint="eastAsia"/>
          <w:sz w:val="24"/>
        </w:rPr>
        <w:t>侧</w:t>
      </w:r>
      <w:r>
        <w:rPr>
          <w:rFonts w:hint="eastAsia"/>
          <w:sz w:val="24"/>
          <w:lang w:val="en-US" w:eastAsia="zh-CN"/>
        </w:rPr>
        <w:t>400</w:t>
      </w:r>
      <w:r>
        <w:rPr>
          <w:sz w:val="24"/>
        </w:rPr>
        <w:t>m</w:t>
      </w:r>
      <w:r>
        <w:rPr>
          <w:rFonts w:hint="eastAsia"/>
          <w:sz w:val="24"/>
        </w:rPr>
        <w:t>的</w:t>
      </w:r>
      <w:r>
        <w:rPr>
          <w:rFonts w:hint="eastAsia"/>
          <w:bCs/>
          <w:sz w:val="24"/>
          <w:lang w:val="en-US" w:eastAsia="zh-CN"/>
        </w:rPr>
        <w:t>何李庄</w:t>
      </w:r>
      <w:r>
        <w:rPr>
          <w:rFonts w:hint="eastAsia" w:hAnsi="宋体"/>
          <w:snapToGrid w:val="0"/>
          <w:sz w:val="24"/>
        </w:rPr>
        <w:t>，距离最近的水体为项目</w:t>
      </w:r>
      <w:r>
        <w:rPr>
          <w:rFonts w:hint="eastAsia" w:hAnsi="宋体"/>
          <w:snapToGrid w:val="0"/>
          <w:sz w:val="24"/>
          <w:lang w:val="en-US" w:eastAsia="zh-CN"/>
        </w:rPr>
        <w:t>西北</w:t>
      </w:r>
      <w:r>
        <w:rPr>
          <w:rFonts w:hint="eastAsia" w:hAnsi="宋体"/>
          <w:snapToGrid w:val="0"/>
          <w:sz w:val="24"/>
        </w:rPr>
        <w:t>侧</w:t>
      </w:r>
      <w:r>
        <w:rPr>
          <w:rFonts w:hint="eastAsia" w:hAnsi="宋体"/>
          <w:snapToGrid w:val="0"/>
          <w:sz w:val="24"/>
          <w:lang w:val="en-US" w:eastAsia="zh-CN"/>
        </w:rPr>
        <w:t>2800</w:t>
      </w:r>
      <w:r>
        <w:rPr>
          <w:rFonts w:hint="eastAsia" w:hAnsi="宋体"/>
          <w:snapToGrid w:val="0"/>
          <w:sz w:val="24"/>
        </w:rPr>
        <w:t>m的</w:t>
      </w:r>
      <w:r>
        <w:rPr>
          <w:rFonts w:hint="eastAsia" w:hAnsi="宋体"/>
          <w:snapToGrid w:val="0"/>
          <w:sz w:val="24"/>
          <w:lang w:val="en-US" w:eastAsia="zh-CN"/>
        </w:rPr>
        <w:t>黄大港</w:t>
      </w:r>
      <w:r>
        <w:rPr>
          <w:rFonts w:hint="eastAsia" w:hAnsi="宋体"/>
          <w:snapToGrid w:val="0"/>
          <w:sz w:val="24"/>
        </w:rPr>
        <w:t>（</w:t>
      </w:r>
      <w:r>
        <w:rPr>
          <w:rFonts w:hint="eastAsia" w:hAnsi="宋体"/>
          <w:snapToGrid w:val="0"/>
          <w:sz w:val="24"/>
          <w:lang w:val="en-US" w:eastAsia="zh-CN"/>
        </w:rPr>
        <w:t>黄大港</w:t>
      </w:r>
      <w:r>
        <w:rPr>
          <w:rFonts w:hint="eastAsia" w:hAnsi="宋体"/>
          <w:snapToGrid w:val="0"/>
          <w:sz w:val="24"/>
        </w:rPr>
        <w:t>为</w:t>
      </w:r>
      <w:r>
        <w:rPr>
          <w:rFonts w:hint="eastAsia" w:hAnsi="宋体"/>
          <w:snapToGrid w:val="0"/>
          <w:sz w:val="24"/>
          <w:lang w:val="en-US" w:eastAsia="zh-CN"/>
        </w:rPr>
        <w:t>汝河</w:t>
      </w:r>
      <w:r>
        <w:rPr>
          <w:rFonts w:hint="eastAsia" w:hAnsi="宋体"/>
          <w:snapToGrid w:val="0"/>
          <w:sz w:val="24"/>
        </w:rPr>
        <w:t>支流，</w:t>
      </w:r>
      <w:r>
        <w:rPr>
          <w:rFonts w:hint="eastAsia" w:hAnsi="宋体"/>
          <w:snapToGrid w:val="0"/>
          <w:sz w:val="24"/>
          <w:lang w:val="en-US" w:eastAsia="zh-CN"/>
        </w:rPr>
        <w:t>汝河</w:t>
      </w:r>
      <w:r>
        <w:rPr>
          <w:rFonts w:hint="eastAsia" w:hAnsi="宋体"/>
          <w:snapToGrid w:val="0"/>
          <w:sz w:val="24"/>
        </w:rPr>
        <w:t>为淮河支流），</w:t>
      </w:r>
      <w:r>
        <w:rPr>
          <w:rFonts w:hint="eastAsia"/>
          <w:sz w:val="24"/>
        </w:rPr>
        <w:t>评价范围内无自然保护区、风景名胜区、森林公园、集中式饮用水源保护区等。</w:t>
      </w:r>
    </w:p>
    <w:p>
      <w:pPr>
        <w:pStyle w:val="2"/>
        <w:snapToGrid w:val="0"/>
        <w:spacing w:before="0" w:after="0" w:line="520" w:lineRule="exact"/>
        <w:rPr>
          <w:rFonts w:hint="eastAsia" w:eastAsia="黑体"/>
          <w:b w:val="0"/>
          <w:bCs w:val="0"/>
          <w:sz w:val="24"/>
          <w:szCs w:val="24"/>
        </w:rPr>
      </w:pPr>
      <w:r>
        <w:rPr>
          <w:rFonts w:hint="eastAsia" w:eastAsia="黑体"/>
          <w:b w:val="0"/>
          <w:bCs w:val="0"/>
          <w:sz w:val="24"/>
          <w:szCs w:val="24"/>
        </w:rPr>
        <w:t>8.1.2规划相符性</w:t>
      </w:r>
    </w:p>
    <w:p>
      <w:pPr>
        <w:autoSpaceDE w:val="0"/>
        <w:autoSpaceDN w:val="0"/>
        <w:spacing w:line="520" w:lineRule="exact"/>
        <w:ind w:firstLine="480" w:firstLineChars="200"/>
        <w:textAlignment w:val="baseline"/>
        <w:rPr>
          <w:sz w:val="24"/>
        </w:rPr>
      </w:pPr>
      <w:r>
        <w:rPr>
          <w:rFonts w:hint="eastAsia"/>
          <w:sz w:val="24"/>
        </w:rPr>
        <w:t>（1）产业政策相符性</w:t>
      </w:r>
    </w:p>
    <w:p>
      <w:pPr>
        <w:autoSpaceDE w:val="0"/>
        <w:autoSpaceDN w:val="0"/>
        <w:spacing w:line="520" w:lineRule="exact"/>
        <w:ind w:firstLine="480" w:firstLineChars="200"/>
        <w:textAlignment w:val="baseline"/>
        <w:rPr>
          <w:sz w:val="24"/>
        </w:rPr>
      </w:pPr>
      <w:r>
        <w:rPr>
          <w:sz w:val="24"/>
        </w:rPr>
        <w:t>本项目为生猪规模化养殖建设项目。根据《产业结构调整指导目录（</w:t>
      </w:r>
      <w:r>
        <w:rPr>
          <w:rFonts w:hint="eastAsia"/>
          <w:sz w:val="24"/>
        </w:rPr>
        <w:t>2019年本</w:t>
      </w:r>
      <w:r>
        <w:rPr>
          <w:sz w:val="24"/>
        </w:rPr>
        <w:t>）》，本项目属于第一类鼓励类中“畜禽标准化规模养殖技术开发与应用”，符合国家现行的有关产业政策。</w:t>
      </w:r>
    </w:p>
    <w:p>
      <w:pPr>
        <w:autoSpaceDE w:val="0"/>
        <w:autoSpaceDN w:val="0"/>
        <w:spacing w:line="520" w:lineRule="exact"/>
        <w:ind w:firstLine="480" w:firstLineChars="200"/>
        <w:textAlignment w:val="baseline"/>
        <w:rPr>
          <w:sz w:val="24"/>
        </w:rPr>
      </w:pPr>
      <w:r>
        <w:rPr>
          <w:rFonts w:hint="eastAsia"/>
          <w:sz w:val="24"/>
        </w:rPr>
        <w:t>（2）规划相符性</w:t>
      </w:r>
    </w:p>
    <w:p>
      <w:pPr>
        <w:autoSpaceDE w:val="0"/>
        <w:autoSpaceDN w:val="0"/>
        <w:spacing w:line="520" w:lineRule="exact"/>
        <w:ind w:firstLine="480" w:firstLineChars="200"/>
        <w:textAlignment w:val="baseline"/>
        <w:rPr>
          <w:sz w:val="24"/>
        </w:rPr>
      </w:pPr>
      <w:r>
        <w:rPr>
          <w:rFonts w:hint="eastAsia" w:ascii="宋体" w:hAnsi="宋体"/>
          <w:sz w:val="24"/>
        </w:rPr>
        <w:t>①</w:t>
      </w:r>
      <w:r>
        <w:rPr>
          <w:rFonts w:hint="eastAsia"/>
          <w:sz w:val="24"/>
        </w:rPr>
        <w:t>《正阳县城市总体规划》（2012-2030）</w:t>
      </w:r>
    </w:p>
    <w:p>
      <w:pPr>
        <w:autoSpaceDE w:val="0"/>
        <w:autoSpaceDN w:val="0"/>
        <w:spacing w:line="520" w:lineRule="exact"/>
        <w:ind w:firstLine="480" w:firstLineChars="200"/>
        <w:textAlignment w:val="baseline"/>
        <w:rPr>
          <w:sz w:val="24"/>
        </w:rPr>
      </w:pPr>
      <w:r>
        <w:rPr>
          <w:rFonts w:hint="eastAsia"/>
          <w:sz w:val="24"/>
        </w:rPr>
        <w:t>本项目位于驻马店市正阳县大林镇</w:t>
      </w:r>
      <w:r>
        <w:rPr>
          <w:rFonts w:hint="eastAsia"/>
          <w:sz w:val="24"/>
          <w:lang w:eastAsia="zh-CN"/>
        </w:rPr>
        <w:t>汝南埠镇</w:t>
      </w:r>
      <w:r>
        <w:rPr>
          <w:rFonts w:hint="eastAsia"/>
          <w:sz w:val="24"/>
        </w:rPr>
        <w:t>，依据《正阳县城市总体规划》（2012-2030）可知，本项目不在《正阳县城市总体规划》（2012-2030）范围内，故本项目的建设不违背正阳县城市总体规划。</w:t>
      </w:r>
    </w:p>
    <w:p>
      <w:pPr>
        <w:autoSpaceDE w:val="0"/>
        <w:autoSpaceDN w:val="0"/>
        <w:spacing w:line="520" w:lineRule="exact"/>
        <w:ind w:firstLine="480" w:firstLineChars="200"/>
        <w:textAlignment w:val="baseline"/>
        <w:rPr>
          <w:rFonts w:ascii="宋体" w:hAnsi="宋体"/>
          <w:sz w:val="24"/>
        </w:rPr>
      </w:pPr>
      <w:r>
        <w:rPr>
          <w:rFonts w:hint="eastAsia" w:ascii="宋体" w:hAnsi="宋体"/>
          <w:sz w:val="24"/>
        </w:rPr>
        <w:t>②土地利用总体规划</w:t>
      </w:r>
    </w:p>
    <w:p>
      <w:pPr>
        <w:autoSpaceDE w:val="0"/>
        <w:autoSpaceDN w:val="0"/>
        <w:spacing w:line="520" w:lineRule="exact"/>
        <w:ind w:firstLine="480" w:firstLineChars="200"/>
        <w:textAlignment w:val="baseline"/>
        <w:rPr>
          <w:rFonts w:hint="eastAsia"/>
          <w:sz w:val="24"/>
        </w:rPr>
      </w:pPr>
      <w:r>
        <w:rPr>
          <w:rFonts w:hint="eastAsia" w:ascii="宋体" w:hAnsi="宋体"/>
          <w:sz w:val="24"/>
        </w:rPr>
        <w:t>本项目拟建场址位于</w:t>
      </w:r>
      <w:r>
        <w:rPr>
          <w:rFonts w:hint="eastAsia" w:hAnsi="宋体"/>
          <w:snapToGrid w:val="0"/>
          <w:sz w:val="24"/>
          <w:lang w:eastAsia="zh-CN"/>
        </w:rPr>
        <w:t>汝南埠镇大温寺王店</w:t>
      </w:r>
      <w:r>
        <w:rPr>
          <w:rFonts w:hint="eastAsia" w:ascii="宋体" w:hAnsi="宋体"/>
          <w:sz w:val="24"/>
        </w:rPr>
        <w:t>，根据</w:t>
      </w:r>
      <w:r>
        <w:rPr>
          <w:rFonts w:hint="eastAsia" w:ascii="宋体" w:hAnsi="宋体"/>
          <w:sz w:val="24"/>
          <w:lang w:eastAsia="zh-CN"/>
        </w:rPr>
        <w:t>汝南埠镇国土所</w:t>
      </w:r>
      <w:r>
        <w:rPr>
          <w:rFonts w:hint="eastAsia" w:ascii="宋体" w:hAnsi="宋体"/>
          <w:sz w:val="24"/>
        </w:rPr>
        <w:t>出具的关于本项目的用地情况的证明可知，本项目所在地已调规为一般农田，符合《正阳县</w:t>
      </w:r>
      <w:r>
        <w:rPr>
          <w:rFonts w:hint="eastAsia" w:ascii="宋体" w:hAnsi="宋体"/>
          <w:sz w:val="24"/>
          <w:lang w:eastAsia="zh-CN"/>
        </w:rPr>
        <w:t>汝南埠镇</w:t>
      </w:r>
      <w:r>
        <w:rPr>
          <w:rFonts w:hint="eastAsia" w:ascii="宋体" w:hAnsi="宋体"/>
          <w:sz w:val="24"/>
        </w:rPr>
        <w:t>土地利用总体规划图》（2010-2020）局部图。</w:t>
      </w:r>
    </w:p>
    <w:p>
      <w:pPr>
        <w:autoSpaceDE w:val="0"/>
        <w:autoSpaceDN w:val="0"/>
        <w:spacing w:line="520" w:lineRule="exact"/>
        <w:ind w:firstLine="480" w:firstLineChars="200"/>
        <w:textAlignment w:val="baseline"/>
        <w:rPr>
          <w:rFonts w:hint="eastAsia"/>
          <w:sz w:val="24"/>
        </w:rPr>
      </w:pPr>
      <w:r>
        <w:rPr>
          <w:rFonts w:hint="eastAsia" w:ascii="宋体" w:hAnsi="宋体"/>
          <w:sz w:val="24"/>
        </w:rPr>
        <w:t>③饮用水源地保护区划相符性</w:t>
      </w:r>
    </w:p>
    <w:p>
      <w:pPr>
        <w:autoSpaceDE w:val="0"/>
        <w:autoSpaceDN w:val="0"/>
        <w:spacing w:line="520" w:lineRule="exact"/>
        <w:ind w:firstLine="480" w:firstLineChars="200"/>
        <w:textAlignment w:val="baseline"/>
        <w:rPr>
          <w:rFonts w:hint="eastAsia"/>
          <w:bCs/>
          <w:sz w:val="24"/>
        </w:rPr>
      </w:pPr>
      <w:r>
        <w:rPr>
          <w:rFonts w:hint="eastAsia"/>
          <w:bCs/>
          <w:sz w:val="24"/>
        </w:rPr>
        <w:t>根据河南省人民政府办公厅关于印发“河南省乡镇集中式饮用水水源保护区划的通知”（豫政办〔2016〕23号），以及《</w:t>
      </w:r>
      <w:r>
        <w:rPr>
          <w:bCs/>
          <w:sz w:val="24"/>
        </w:rPr>
        <w:t>驻马店市正阳县乡镇集中式饮用水水源保护区划分技术报告</w:t>
      </w:r>
      <w:r>
        <w:rPr>
          <w:rFonts w:hint="eastAsia"/>
          <w:bCs/>
          <w:sz w:val="24"/>
        </w:rPr>
        <w:t>》划分的结果可知，正阳县</w:t>
      </w:r>
      <w:r>
        <w:rPr>
          <w:rFonts w:hint="eastAsia"/>
          <w:bCs/>
          <w:sz w:val="24"/>
          <w:lang w:eastAsia="zh-CN"/>
        </w:rPr>
        <w:t>汝南埠镇</w:t>
      </w:r>
      <w:r>
        <w:rPr>
          <w:rFonts w:hint="eastAsia"/>
          <w:bCs/>
          <w:sz w:val="24"/>
        </w:rPr>
        <w:t>地下水井共1眼井，一级保护区范围为：取水井外围30米的区域。</w:t>
      </w:r>
    </w:p>
    <w:p>
      <w:pPr>
        <w:pStyle w:val="23"/>
        <w:ind w:firstLine="480"/>
        <w:rPr>
          <w:rFonts w:hint="eastAsia" w:hAnsi="宋体"/>
          <w:bCs/>
          <w:snapToGrid w:val="0"/>
          <w:szCs w:val="24"/>
        </w:rPr>
      </w:pPr>
      <w:r>
        <w:rPr>
          <w:rFonts w:hint="eastAsia" w:hAnsi="宋体"/>
          <w:bCs/>
          <w:snapToGrid w:val="0"/>
          <w:szCs w:val="24"/>
        </w:rPr>
        <w:t>正阳县</w:t>
      </w:r>
      <w:r>
        <w:rPr>
          <w:rFonts w:hint="eastAsia" w:hAnsi="宋体"/>
          <w:snapToGrid w:val="0"/>
          <w:sz w:val="24"/>
          <w:lang w:eastAsia="zh-CN"/>
        </w:rPr>
        <w:t>汝南埠镇</w:t>
      </w:r>
      <w:r>
        <w:rPr>
          <w:rFonts w:hint="eastAsia" w:hAnsi="宋体"/>
          <w:bCs/>
          <w:snapToGrid w:val="0"/>
          <w:szCs w:val="24"/>
        </w:rPr>
        <w:t>地下水井位于</w:t>
      </w:r>
      <w:r>
        <w:rPr>
          <w:rFonts w:hint="eastAsia" w:hAnsi="宋体"/>
          <w:snapToGrid w:val="0"/>
          <w:sz w:val="24"/>
          <w:lang w:eastAsia="zh-CN"/>
        </w:rPr>
        <w:t>汝南埠镇</w:t>
      </w:r>
      <w:r>
        <w:rPr>
          <w:rFonts w:hint="eastAsia" w:hAnsi="宋体"/>
          <w:bCs/>
          <w:snapToGrid w:val="0"/>
          <w:szCs w:val="24"/>
        </w:rPr>
        <w:t>，位于本项目</w:t>
      </w:r>
      <w:r>
        <w:rPr>
          <w:rFonts w:hint="eastAsia" w:hAnsi="宋体"/>
          <w:bCs/>
          <w:snapToGrid w:val="0"/>
          <w:szCs w:val="24"/>
          <w:lang w:val="en-US" w:eastAsia="zh-CN"/>
        </w:rPr>
        <w:t>西北</w:t>
      </w:r>
      <w:r>
        <w:rPr>
          <w:rFonts w:hint="eastAsia" w:hAnsi="宋体"/>
          <w:bCs/>
          <w:snapToGrid w:val="0"/>
          <w:szCs w:val="24"/>
        </w:rPr>
        <w:t>约</w:t>
      </w:r>
      <w:r>
        <w:rPr>
          <w:rFonts w:hint="eastAsia" w:hAnsi="宋体"/>
          <w:bCs/>
          <w:snapToGrid w:val="0"/>
          <w:szCs w:val="24"/>
          <w:lang w:val="en-US" w:eastAsia="zh-CN"/>
        </w:rPr>
        <w:t>3.8</w:t>
      </w:r>
      <w:r>
        <w:rPr>
          <w:rFonts w:hint="eastAsia" w:hAnsi="宋体"/>
          <w:bCs/>
          <w:snapToGrid w:val="0"/>
          <w:szCs w:val="24"/>
        </w:rPr>
        <w:t>km，距离本项目沼液消纳地边界约</w:t>
      </w:r>
      <w:r>
        <w:rPr>
          <w:rFonts w:hint="eastAsia" w:hAnsi="宋体"/>
          <w:bCs/>
          <w:snapToGrid w:val="0"/>
          <w:szCs w:val="24"/>
          <w:lang w:val="en-US" w:eastAsia="zh-CN"/>
        </w:rPr>
        <w:t>3.82</w:t>
      </w:r>
      <w:r>
        <w:rPr>
          <w:rFonts w:hint="eastAsia" w:hAnsi="宋体"/>
          <w:bCs/>
          <w:snapToGrid w:val="0"/>
          <w:szCs w:val="24"/>
        </w:rPr>
        <w:t>km，本项目和沼液消纳地</w:t>
      </w:r>
      <w:r>
        <w:rPr>
          <w:rFonts w:hint="eastAsia"/>
          <w:bCs/>
        </w:rPr>
        <w:t>不在其保护区范围内，</w:t>
      </w:r>
      <w:r>
        <w:rPr>
          <w:rFonts w:hint="eastAsia" w:hAnsi="宋体"/>
          <w:bCs/>
          <w:snapToGrid w:val="0"/>
          <w:szCs w:val="24"/>
        </w:rPr>
        <w:t>符合饮用水源保护规划要求。</w:t>
      </w:r>
    </w:p>
    <w:p>
      <w:pPr>
        <w:autoSpaceDE w:val="0"/>
        <w:autoSpaceDN w:val="0"/>
        <w:spacing w:line="520" w:lineRule="exact"/>
        <w:ind w:firstLine="480" w:firstLineChars="200"/>
        <w:textAlignment w:val="baseline"/>
        <w:rPr>
          <w:rFonts w:ascii="宋体" w:hAnsi="宋体"/>
          <w:sz w:val="24"/>
        </w:rPr>
      </w:pPr>
      <w:r>
        <w:rPr>
          <w:rFonts w:hint="eastAsia" w:ascii="宋体" w:hAnsi="宋体"/>
          <w:sz w:val="24"/>
        </w:rPr>
        <w:t>④与正阳县畜禽养殖禁养区划分方案的相符性</w:t>
      </w:r>
    </w:p>
    <w:p>
      <w:pPr>
        <w:autoSpaceDE w:val="0"/>
        <w:autoSpaceDN w:val="0"/>
        <w:spacing w:line="520" w:lineRule="exact"/>
        <w:ind w:firstLine="480" w:firstLineChars="200"/>
        <w:textAlignment w:val="baseline"/>
        <w:rPr>
          <w:rFonts w:hint="eastAsia"/>
          <w:kern w:val="0"/>
          <w:sz w:val="24"/>
          <w:lang w:bidi="ar"/>
        </w:rPr>
      </w:pPr>
      <w:r>
        <w:rPr>
          <w:rFonts w:hint="eastAsia"/>
          <w:kern w:val="0"/>
          <w:sz w:val="24"/>
          <w:lang w:bidi="ar"/>
        </w:rPr>
        <w:t>对照</w:t>
      </w:r>
      <w:r>
        <w:rPr>
          <w:kern w:val="0"/>
          <w:sz w:val="24"/>
          <w:lang w:bidi="ar"/>
        </w:rPr>
        <w:t>《正阳县人民政府关于印发正阳县畜禽养殖禁养区划分及防治工作方案的通知》</w:t>
      </w:r>
      <w:r>
        <w:rPr>
          <w:rFonts w:hint="eastAsia"/>
          <w:kern w:val="0"/>
          <w:sz w:val="24"/>
          <w:lang w:bidi="ar"/>
        </w:rPr>
        <w:t>本项目不在</w:t>
      </w:r>
      <w:r>
        <w:rPr>
          <w:kern w:val="0"/>
          <w:sz w:val="24"/>
          <w:lang w:bidi="ar"/>
        </w:rPr>
        <w:t>禁养区、限养区范围内，项目建设符合《</w:t>
      </w:r>
      <w:r>
        <w:rPr>
          <w:rFonts w:hint="eastAsia"/>
          <w:kern w:val="0"/>
          <w:sz w:val="24"/>
          <w:lang w:bidi="ar"/>
        </w:rPr>
        <w:t>正阳县</w:t>
      </w:r>
      <w:r>
        <w:rPr>
          <w:kern w:val="0"/>
          <w:sz w:val="24"/>
          <w:lang w:bidi="ar"/>
        </w:rPr>
        <w:t>畜禽养殖禁养区限养区划定方案》要求，项目建设符合选址要求。</w:t>
      </w:r>
    </w:p>
    <w:p>
      <w:pPr>
        <w:autoSpaceDE w:val="0"/>
        <w:autoSpaceDN w:val="0"/>
        <w:spacing w:line="520" w:lineRule="exact"/>
        <w:ind w:firstLine="480" w:firstLineChars="200"/>
        <w:textAlignment w:val="baseline"/>
        <w:rPr>
          <w:kern w:val="0"/>
          <w:sz w:val="24"/>
          <w:lang w:bidi="ar"/>
        </w:rPr>
      </w:pPr>
      <w:r>
        <w:rPr>
          <w:kern w:val="0"/>
          <w:sz w:val="24"/>
          <w:lang w:bidi="ar"/>
        </w:rPr>
        <w:t>综述所述</w:t>
      </w:r>
      <w:r>
        <w:rPr>
          <w:rFonts w:hint="eastAsia"/>
          <w:kern w:val="0"/>
          <w:sz w:val="24"/>
          <w:lang w:bidi="ar"/>
        </w:rPr>
        <w:t>，本</w:t>
      </w:r>
      <w:r>
        <w:rPr>
          <w:kern w:val="0"/>
          <w:sz w:val="24"/>
          <w:lang w:bidi="ar"/>
        </w:rPr>
        <w:t>项目不涉及</w:t>
      </w:r>
      <w:r>
        <w:rPr>
          <w:rFonts w:hint="eastAsia"/>
          <w:kern w:val="0"/>
          <w:sz w:val="24"/>
          <w:lang w:bidi="ar"/>
        </w:rPr>
        <w:t>集中</w:t>
      </w:r>
      <w:r>
        <w:rPr>
          <w:kern w:val="0"/>
          <w:sz w:val="24"/>
          <w:lang w:bidi="ar"/>
        </w:rPr>
        <w:t>居民区、自然保护区、风景名胜区、饮用水源保护区等敏感区域，项目不在禁养区和限养区范围内，符合</w:t>
      </w:r>
      <w:r>
        <w:rPr>
          <w:sz w:val="24"/>
        </w:rPr>
        <w:t>相关规划</w:t>
      </w:r>
      <w:r>
        <w:rPr>
          <w:kern w:val="0"/>
          <w:sz w:val="24"/>
          <w:lang w:bidi="ar"/>
        </w:rPr>
        <w:t>的要求。</w:t>
      </w:r>
    </w:p>
    <w:p>
      <w:pPr>
        <w:snapToGrid w:val="0"/>
        <w:spacing w:line="520" w:lineRule="exact"/>
        <w:outlineLvl w:val="1"/>
        <w:rPr>
          <w:rFonts w:eastAsia="黑体"/>
          <w:bCs/>
          <w:sz w:val="28"/>
          <w:szCs w:val="28"/>
        </w:rPr>
      </w:pPr>
      <w:bookmarkStart w:id="559" w:name="_Toc472009621"/>
      <w:bookmarkEnd w:id="559"/>
      <w:bookmarkStart w:id="560" w:name="_Toc31628"/>
      <w:r>
        <w:rPr>
          <w:rFonts w:eastAsia="黑体"/>
          <w:bCs/>
          <w:sz w:val="28"/>
          <w:szCs w:val="28"/>
        </w:rPr>
        <w:t>8.2 环境质量现状</w:t>
      </w:r>
      <w:bookmarkEnd w:id="560"/>
    </w:p>
    <w:p>
      <w:pPr>
        <w:pStyle w:val="2"/>
        <w:snapToGrid w:val="0"/>
        <w:spacing w:before="0" w:after="0" w:line="520" w:lineRule="exact"/>
        <w:rPr>
          <w:rFonts w:eastAsia="黑体"/>
          <w:b w:val="0"/>
          <w:bCs w:val="0"/>
          <w:sz w:val="24"/>
          <w:szCs w:val="24"/>
        </w:rPr>
      </w:pPr>
      <w:r>
        <w:rPr>
          <w:rFonts w:eastAsia="黑体"/>
          <w:b w:val="0"/>
          <w:bCs w:val="0"/>
          <w:sz w:val="24"/>
          <w:szCs w:val="24"/>
        </w:rPr>
        <w:t>8.2.1 环境空气</w:t>
      </w:r>
    </w:p>
    <w:p>
      <w:pPr>
        <w:pStyle w:val="34"/>
        <w:ind w:firstLine="480"/>
        <w:rPr>
          <w:kern w:val="0"/>
          <w:lang w:bidi="ar"/>
        </w:rPr>
      </w:pPr>
      <w:r>
        <w:t>项目</w:t>
      </w:r>
      <w:r>
        <w:rPr>
          <w:rFonts w:hint="eastAsia"/>
        </w:rPr>
        <w:t>所在</w:t>
      </w:r>
      <w:r>
        <w:t>区域的PM</w:t>
      </w:r>
      <w:r>
        <w:rPr>
          <w:vertAlign w:val="subscript"/>
        </w:rPr>
        <w:t>10</w:t>
      </w:r>
      <w:r>
        <w:t>、PM</w:t>
      </w:r>
      <w:r>
        <w:rPr>
          <w:vertAlign w:val="subscript"/>
        </w:rPr>
        <w:t>2.5</w:t>
      </w:r>
      <w:r>
        <w:rPr>
          <w:rFonts w:hint="eastAsia"/>
        </w:rPr>
        <w:t>、O</w:t>
      </w:r>
      <w:r>
        <w:rPr>
          <w:vertAlign w:val="subscript"/>
        </w:rPr>
        <w:t>3</w:t>
      </w:r>
      <w:r>
        <w:t>不达标，则项目</w:t>
      </w:r>
      <w:r>
        <w:rPr>
          <w:rFonts w:hint="eastAsia"/>
        </w:rPr>
        <w:t>所在</w:t>
      </w:r>
      <w:r>
        <w:t>评价区域环境空气质量不达标</w:t>
      </w:r>
      <w:r>
        <w:rPr>
          <w:rFonts w:hint="eastAsia"/>
          <w:kern w:val="0"/>
          <w:lang w:bidi="ar"/>
        </w:rPr>
        <w:t>。</w:t>
      </w:r>
    </w:p>
    <w:p>
      <w:pPr>
        <w:pStyle w:val="2"/>
        <w:snapToGrid w:val="0"/>
        <w:spacing w:before="0" w:after="0" w:line="520" w:lineRule="exact"/>
        <w:rPr>
          <w:rFonts w:eastAsia="黑体"/>
          <w:b w:val="0"/>
          <w:bCs w:val="0"/>
          <w:sz w:val="24"/>
          <w:szCs w:val="24"/>
        </w:rPr>
      </w:pPr>
      <w:r>
        <w:rPr>
          <w:rFonts w:eastAsia="黑体"/>
          <w:b w:val="0"/>
          <w:bCs w:val="0"/>
          <w:sz w:val="24"/>
          <w:szCs w:val="24"/>
        </w:rPr>
        <w:t>8.2.2 地表水</w:t>
      </w:r>
    </w:p>
    <w:p>
      <w:pPr>
        <w:autoSpaceDE w:val="0"/>
        <w:autoSpaceDN w:val="0"/>
        <w:adjustRightInd w:val="0"/>
        <w:spacing w:line="500" w:lineRule="exact"/>
        <w:ind w:firstLine="480" w:firstLineChars="200"/>
        <w:rPr>
          <w:rFonts w:hAnsi="宋体"/>
          <w:sz w:val="24"/>
        </w:rPr>
      </w:pPr>
      <w:r>
        <w:rPr>
          <w:rFonts w:hint="eastAsia"/>
          <w:kern w:val="0"/>
          <w:sz w:val="24"/>
          <w:lang w:bidi="ar"/>
        </w:rPr>
        <w:t>本</w:t>
      </w:r>
      <w:r>
        <w:rPr>
          <w:kern w:val="0"/>
          <w:sz w:val="24"/>
          <w:lang w:bidi="ar"/>
        </w:rPr>
        <w:t>次监测共设2个监测点位，监测因子为pH、COD、BOD</w:t>
      </w:r>
      <w:r>
        <w:rPr>
          <w:kern w:val="0"/>
          <w:sz w:val="24"/>
          <w:vertAlign w:val="subscript"/>
          <w:lang w:bidi="ar"/>
        </w:rPr>
        <w:t>5</w:t>
      </w:r>
      <w:r>
        <w:rPr>
          <w:kern w:val="0"/>
          <w:sz w:val="24"/>
          <w:lang w:bidi="ar"/>
        </w:rPr>
        <w:t>、NH</w:t>
      </w:r>
      <w:r>
        <w:rPr>
          <w:kern w:val="0"/>
          <w:sz w:val="24"/>
          <w:vertAlign w:val="subscript"/>
          <w:lang w:bidi="ar"/>
        </w:rPr>
        <w:t>3</w:t>
      </w:r>
      <w:r>
        <w:rPr>
          <w:kern w:val="0"/>
          <w:sz w:val="24"/>
          <w:lang w:bidi="ar"/>
        </w:rPr>
        <w:t>-N、TP、粪大肠菌群，根据</w:t>
      </w:r>
      <w:r>
        <w:rPr>
          <w:rFonts w:hAnsi="宋体"/>
          <w:sz w:val="24"/>
        </w:rPr>
        <w:t>可知</w:t>
      </w:r>
      <w:r>
        <w:rPr>
          <w:rFonts w:hint="eastAsia" w:hAnsi="宋体"/>
          <w:sz w:val="24"/>
        </w:rPr>
        <w:t>，监测断面</w:t>
      </w:r>
      <w:r>
        <w:rPr>
          <w:rFonts w:hAnsi="宋体"/>
          <w:sz w:val="24"/>
        </w:rPr>
        <w:t>各监测因子均可满足《地表水环境质量标准》</w:t>
      </w:r>
      <w:r>
        <w:rPr>
          <w:sz w:val="24"/>
        </w:rPr>
        <w:t>GB3838-2002</w:t>
      </w:r>
      <w:r>
        <w:rPr>
          <w:rFonts w:hAnsi="宋体"/>
          <w:sz w:val="24"/>
        </w:rPr>
        <w:t>中</w:t>
      </w:r>
      <w:r>
        <w:rPr>
          <w:rFonts w:hAnsi="宋体"/>
          <w:sz w:val="24"/>
        </w:rPr>
        <w:fldChar w:fldCharType="begin"/>
      </w:r>
      <w:r>
        <w:rPr>
          <w:rFonts w:hAnsi="宋体"/>
          <w:sz w:val="24"/>
        </w:rPr>
        <w:instrText xml:space="preserve"> </w:instrText>
      </w:r>
      <w:r>
        <w:rPr>
          <w:rFonts w:hint="eastAsia" w:hAnsi="宋体"/>
          <w:sz w:val="24"/>
        </w:rPr>
        <w:instrText xml:space="preserve">= 3 \* ROMAN</w:instrText>
      </w:r>
      <w:r>
        <w:rPr>
          <w:rFonts w:hAnsi="宋体"/>
          <w:sz w:val="24"/>
        </w:rPr>
        <w:instrText xml:space="preserve"> </w:instrText>
      </w:r>
      <w:r>
        <w:rPr>
          <w:rFonts w:hAnsi="宋体"/>
          <w:sz w:val="24"/>
        </w:rPr>
        <w:fldChar w:fldCharType="separate"/>
      </w:r>
      <w:r>
        <w:rPr>
          <w:rFonts w:hAnsi="宋体"/>
          <w:sz w:val="24"/>
        </w:rPr>
        <w:t>III</w:t>
      </w:r>
      <w:r>
        <w:rPr>
          <w:rFonts w:hAnsi="宋体"/>
          <w:sz w:val="24"/>
        </w:rPr>
        <w:fldChar w:fldCharType="end"/>
      </w:r>
      <w:r>
        <w:rPr>
          <w:rFonts w:hAnsi="宋体"/>
          <w:sz w:val="24"/>
        </w:rPr>
        <w:t>类水质标准。</w:t>
      </w:r>
    </w:p>
    <w:p>
      <w:pPr>
        <w:pStyle w:val="2"/>
        <w:snapToGrid w:val="0"/>
        <w:spacing w:before="0" w:after="0" w:line="520" w:lineRule="exact"/>
        <w:rPr>
          <w:rFonts w:eastAsia="黑体"/>
          <w:b w:val="0"/>
          <w:bCs w:val="0"/>
          <w:sz w:val="24"/>
          <w:szCs w:val="24"/>
        </w:rPr>
      </w:pPr>
      <w:r>
        <w:rPr>
          <w:rFonts w:eastAsia="黑体"/>
          <w:b w:val="0"/>
          <w:bCs w:val="0"/>
          <w:sz w:val="24"/>
          <w:szCs w:val="24"/>
        </w:rPr>
        <w:t>8.2.3 地下水</w:t>
      </w:r>
    </w:p>
    <w:p>
      <w:pPr>
        <w:autoSpaceDE w:val="0"/>
        <w:autoSpaceDN w:val="0"/>
        <w:adjustRightInd w:val="0"/>
        <w:spacing w:line="520" w:lineRule="exact"/>
        <w:ind w:firstLine="484" w:firstLineChars="202"/>
        <w:jc w:val="left"/>
        <w:rPr>
          <w:sz w:val="24"/>
        </w:rPr>
      </w:pPr>
      <w:r>
        <w:rPr>
          <w:kern w:val="0"/>
          <w:sz w:val="24"/>
          <w:lang w:bidi="ar"/>
        </w:rPr>
        <w:t>本次监测共设置6个监测点位，</w:t>
      </w:r>
      <w:r>
        <w:rPr>
          <w:rFonts w:hint="eastAsia"/>
          <w:bCs/>
          <w:sz w:val="24"/>
        </w:rPr>
        <w:t>1#、2#、3#</w:t>
      </w:r>
      <w:r>
        <w:rPr>
          <w:kern w:val="0"/>
          <w:sz w:val="24"/>
          <w:lang w:bidi="ar"/>
        </w:rPr>
        <w:t>监测因子有</w:t>
      </w:r>
      <w:r>
        <w:rPr>
          <w:rFonts w:hint="eastAsia"/>
          <w:sz w:val="24"/>
        </w:rPr>
        <w:t>钾离子、钠离子、钙离子、镁离子、氯离子、硫酸根离子、pH值、氨氮、硝酸盐、亚硝酸盐、挥发性酚类、氰化物、砷、汞、铬（六价）、总硬度、铅、氟、镉、铁、锰、溶解性总固体、硫酸盐、氯化物、总大肠菌群、细菌总数共29项，同时检测井功能、井深、水位</w:t>
      </w:r>
      <w:r>
        <w:rPr>
          <w:rFonts w:hint="eastAsia"/>
          <w:kern w:val="0"/>
          <w:sz w:val="24"/>
          <w:lang w:bidi="ar"/>
        </w:rPr>
        <w:t>；</w:t>
      </w:r>
      <w:r>
        <w:rPr>
          <w:bCs/>
          <w:sz w:val="24"/>
        </w:rPr>
        <w:t>4</w:t>
      </w:r>
      <w:r>
        <w:rPr>
          <w:rFonts w:hint="eastAsia"/>
          <w:bCs/>
          <w:sz w:val="24"/>
        </w:rPr>
        <w:t>#、</w:t>
      </w:r>
      <w:r>
        <w:rPr>
          <w:bCs/>
          <w:sz w:val="24"/>
        </w:rPr>
        <w:t>5</w:t>
      </w:r>
      <w:r>
        <w:rPr>
          <w:rFonts w:hint="eastAsia"/>
          <w:bCs/>
          <w:sz w:val="24"/>
        </w:rPr>
        <w:t>#、</w:t>
      </w:r>
      <w:r>
        <w:rPr>
          <w:bCs/>
          <w:sz w:val="24"/>
        </w:rPr>
        <w:t>6</w:t>
      </w:r>
      <w:r>
        <w:rPr>
          <w:rFonts w:hint="eastAsia"/>
          <w:bCs/>
          <w:sz w:val="24"/>
        </w:rPr>
        <w:t>#只检测</w:t>
      </w:r>
      <w:r>
        <w:rPr>
          <w:rFonts w:hint="eastAsia"/>
          <w:sz w:val="24"/>
        </w:rPr>
        <w:t>井功能、井深、水位。</w:t>
      </w:r>
      <w:r>
        <w:rPr>
          <w:kern w:val="0"/>
          <w:sz w:val="24"/>
          <w:lang w:bidi="ar"/>
        </w:rPr>
        <w:t>由监测结果可知，各监测点位的各监测因子均符合《地下水质量标准》（GB/T 14848-2017）中的III类标准。</w:t>
      </w:r>
    </w:p>
    <w:p>
      <w:pPr>
        <w:pStyle w:val="2"/>
        <w:snapToGrid w:val="0"/>
        <w:spacing w:before="0" w:after="0" w:line="520" w:lineRule="exact"/>
        <w:rPr>
          <w:rFonts w:eastAsia="黑体"/>
          <w:b w:val="0"/>
          <w:bCs w:val="0"/>
          <w:sz w:val="24"/>
          <w:szCs w:val="24"/>
        </w:rPr>
      </w:pPr>
      <w:r>
        <w:rPr>
          <w:rFonts w:eastAsia="黑体"/>
          <w:b w:val="0"/>
          <w:bCs w:val="0"/>
          <w:sz w:val="24"/>
          <w:szCs w:val="24"/>
        </w:rPr>
        <w:t>8.2.4 声环境</w:t>
      </w:r>
    </w:p>
    <w:p>
      <w:pPr>
        <w:spacing w:line="520" w:lineRule="exact"/>
        <w:ind w:firstLine="480" w:firstLineChars="200"/>
        <w:rPr>
          <w:sz w:val="24"/>
        </w:rPr>
      </w:pPr>
      <w:r>
        <w:rPr>
          <w:kern w:val="0"/>
          <w:sz w:val="24"/>
          <w:lang w:bidi="ar"/>
        </w:rPr>
        <w:t>本次监测分别在项目东、西、南、北设置4个监测点位，监测结果表明，项目各场界均可以满足《声环境质量标准》(GB3096-2008)1类标准（昼间55dB(A)；夜间45dB(A)）要求，声环境现状质量良好。</w:t>
      </w:r>
    </w:p>
    <w:p>
      <w:pPr>
        <w:pStyle w:val="2"/>
        <w:snapToGrid w:val="0"/>
        <w:spacing w:before="0" w:after="0" w:line="520" w:lineRule="exact"/>
        <w:rPr>
          <w:rFonts w:eastAsia="黑体"/>
          <w:b w:val="0"/>
          <w:bCs w:val="0"/>
          <w:sz w:val="24"/>
          <w:szCs w:val="24"/>
        </w:rPr>
      </w:pPr>
      <w:r>
        <w:rPr>
          <w:rFonts w:eastAsia="黑体"/>
          <w:b w:val="0"/>
          <w:bCs w:val="0"/>
          <w:sz w:val="24"/>
          <w:szCs w:val="24"/>
        </w:rPr>
        <w:t>8.2.5土壤</w:t>
      </w:r>
    </w:p>
    <w:p>
      <w:pPr>
        <w:spacing w:line="520" w:lineRule="exact"/>
        <w:ind w:firstLine="480" w:firstLineChars="200"/>
        <w:rPr>
          <w:sz w:val="24"/>
        </w:rPr>
      </w:pPr>
      <w:r>
        <w:rPr>
          <w:kern w:val="0"/>
          <w:sz w:val="24"/>
          <w:lang w:bidi="ar"/>
        </w:rPr>
        <w:t>根据监测报告可知，监测因子pH、汞、镉、砷、铅、锌、铜、铬、镍共9项，均能满足</w:t>
      </w:r>
      <w:r>
        <w:rPr>
          <w:rFonts w:hint="eastAsia"/>
          <w:sz w:val="24"/>
        </w:rPr>
        <w:t>《土壤环境质量 农用地土壤污染风险管控标准（试行）》（GB 15618-2018）中其他类别要求</w:t>
      </w:r>
      <w:r>
        <w:rPr>
          <w:kern w:val="0"/>
          <w:sz w:val="24"/>
          <w:lang w:bidi="ar"/>
        </w:rPr>
        <w:t>。</w:t>
      </w:r>
    </w:p>
    <w:p>
      <w:pPr>
        <w:snapToGrid w:val="0"/>
        <w:spacing w:line="520" w:lineRule="exact"/>
        <w:outlineLvl w:val="1"/>
        <w:rPr>
          <w:rFonts w:eastAsia="黑体"/>
          <w:bCs/>
          <w:sz w:val="28"/>
          <w:szCs w:val="28"/>
        </w:rPr>
      </w:pPr>
      <w:bookmarkStart w:id="561" w:name="_Toc472009622"/>
      <w:bookmarkEnd w:id="561"/>
      <w:bookmarkStart w:id="562" w:name="_Toc2118"/>
      <w:r>
        <w:rPr>
          <w:rFonts w:eastAsia="黑体"/>
          <w:bCs/>
          <w:sz w:val="28"/>
          <w:szCs w:val="28"/>
        </w:rPr>
        <w:t>8.3 污染物排放情况</w:t>
      </w:r>
      <w:bookmarkEnd w:id="562"/>
    </w:p>
    <w:p>
      <w:pPr>
        <w:pStyle w:val="2"/>
        <w:snapToGrid w:val="0"/>
        <w:spacing w:before="0" w:after="0" w:line="520" w:lineRule="exact"/>
        <w:rPr>
          <w:rFonts w:eastAsia="黑体"/>
          <w:b w:val="0"/>
          <w:bCs w:val="0"/>
          <w:sz w:val="24"/>
          <w:szCs w:val="24"/>
        </w:rPr>
      </w:pPr>
      <w:r>
        <w:rPr>
          <w:rFonts w:eastAsia="黑体"/>
          <w:b w:val="0"/>
          <w:bCs w:val="0"/>
          <w:sz w:val="24"/>
          <w:szCs w:val="24"/>
        </w:rPr>
        <w:t>8.3.1 废气</w:t>
      </w:r>
    </w:p>
    <w:p>
      <w:pPr>
        <w:spacing w:line="520" w:lineRule="exact"/>
        <w:ind w:firstLine="480" w:firstLineChars="200"/>
        <w:rPr>
          <w:sz w:val="24"/>
        </w:rPr>
      </w:pPr>
      <w:r>
        <w:rPr>
          <w:sz w:val="24"/>
        </w:rPr>
        <w:t>本项目大气污染物主要为养殖过程、污水处理过程、粪污处理过程、沼液储存池产生的恶臭气体以及沼气</w:t>
      </w:r>
      <w:r>
        <w:rPr>
          <w:rFonts w:hint="eastAsia"/>
          <w:sz w:val="24"/>
        </w:rPr>
        <w:t>燃烧</w:t>
      </w:r>
      <w:r>
        <w:rPr>
          <w:sz w:val="24"/>
        </w:rPr>
        <w:t>。</w:t>
      </w:r>
    </w:p>
    <w:p>
      <w:pPr>
        <w:spacing w:line="520" w:lineRule="exact"/>
        <w:ind w:firstLine="480" w:firstLineChars="200"/>
        <w:rPr>
          <w:sz w:val="24"/>
        </w:rPr>
      </w:pPr>
      <w:r>
        <w:rPr>
          <w:sz w:val="24"/>
        </w:rPr>
        <w:t>项目养殖过程猪舍恶臭经采取控制饲养密度、采用节水型饮水器、全漏缝地板</w:t>
      </w:r>
      <w:r>
        <w:rPr>
          <w:rFonts w:hint="eastAsia"/>
          <w:sz w:val="24"/>
        </w:rPr>
        <w:t>，周边</w:t>
      </w:r>
      <w:r>
        <w:rPr>
          <w:sz w:val="24"/>
        </w:rPr>
        <w:t>喷洒除臭剂，猪舍周围种植吸附恶臭气体的绿植等措施后排放。</w:t>
      </w:r>
    </w:p>
    <w:p>
      <w:pPr>
        <w:spacing w:line="520" w:lineRule="exact"/>
        <w:ind w:firstLine="480" w:firstLineChars="200"/>
        <w:rPr>
          <w:bCs/>
          <w:sz w:val="24"/>
        </w:rPr>
      </w:pPr>
      <w:r>
        <w:rPr>
          <w:sz w:val="24"/>
        </w:rPr>
        <w:t>项目</w:t>
      </w:r>
      <w:r>
        <w:rPr>
          <w:rFonts w:hint="eastAsia"/>
          <w:sz w:val="24"/>
        </w:rPr>
        <w:t>污水处理区</w:t>
      </w:r>
      <w:r>
        <w:rPr>
          <w:sz w:val="24"/>
        </w:rPr>
        <w:t>恶臭气经采取对污水前处理系统收集池</w:t>
      </w:r>
      <w:r>
        <w:rPr>
          <w:rFonts w:hint="eastAsia"/>
          <w:sz w:val="24"/>
        </w:rPr>
        <w:t>内部及周边</w:t>
      </w:r>
      <w:r>
        <w:rPr>
          <w:sz w:val="24"/>
        </w:rPr>
        <w:t>喷洒除臭剂，沼液暂存池周边喷洒除臭剂，四周种植吸附恶臭气体的绿植等措施。</w:t>
      </w:r>
    </w:p>
    <w:p>
      <w:pPr>
        <w:spacing w:line="520" w:lineRule="exact"/>
        <w:ind w:firstLine="480" w:firstLineChars="200"/>
        <w:rPr>
          <w:sz w:val="24"/>
        </w:rPr>
      </w:pPr>
      <w:r>
        <w:rPr>
          <w:sz w:val="24"/>
        </w:rPr>
        <w:t>项目</w:t>
      </w:r>
      <w:r>
        <w:rPr>
          <w:rFonts w:hint="eastAsia"/>
          <w:sz w:val="24"/>
        </w:rPr>
        <w:t>堆肥区</w:t>
      </w:r>
      <w:r>
        <w:rPr>
          <w:sz w:val="24"/>
        </w:rPr>
        <w:t>发酵区恶臭气体经采取</w:t>
      </w:r>
      <w:r>
        <w:rPr>
          <w:rFonts w:hint="eastAsia"/>
          <w:sz w:val="24"/>
        </w:rPr>
        <w:t>喷洒除臭剂</w:t>
      </w:r>
      <w:r>
        <w:rPr>
          <w:sz w:val="24"/>
        </w:rPr>
        <w:t>，设置绿化带处理措施。</w:t>
      </w:r>
    </w:p>
    <w:p>
      <w:pPr>
        <w:widowControl/>
        <w:spacing w:line="520" w:lineRule="exact"/>
        <w:ind w:firstLine="480" w:firstLineChars="200"/>
        <w:rPr>
          <w:color w:val="000000"/>
          <w:sz w:val="24"/>
        </w:rPr>
      </w:pPr>
      <w:r>
        <w:rPr>
          <w:rFonts w:hAnsi="宋体"/>
          <w:sz w:val="24"/>
        </w:rPr>
        <w:t>项目沼气</w:t>
      </w:r>
      <w:r>
        <w:rPr>
          <w:rFonts w:hint="eastAsia" w:hAnsi="宋体"/>
          <w:sz w:val="24"/>
        </w:rPr>
        <w:t>火炬燃烧</w:t>
      </w:r>
      <w:r>
        <w:rPr>
          <w:rFonts w:hAnsi="宋体"/>
          <w:sz w:val="24"/>
        </w:rPr>
        <w:t>年排放废气量为</w:t>
      </w:r>
      <w:r>
        <w:rPr>
          <w:rFonts w:hint="eastAsia"/>
          <w:sz w:val="24"/>
        </w:rPr>
        <w:t>443339.6</w:t>
      </w:r>
      <w:r>
        <w:rPr>
          <w:sz w:val="24"/>
        </w:rPr>
        <w:t>m</w:t>
      </w:r>
      <w:r>
        <w:rPr>
          <w:sz w:val="24"/>
          <w:vertAlign w:val="superscript"/>
        </w:rPr>
        <w:t>3</w:t>
      </w:r>
      <w:r>
        <w:rPr>
          <w:sz w:val="24"/>
        </w:rPr>
        <w:t>/a</w:t>
      </w:r>
      <w:r>
        <w:rPr>
          <w:rFonts w:hAnsi="宋体"/>
          <w:sz w:val="24"/>
        </w:rPr>
        <w:t>，脱硫后的沼气燃烧废气中</w:t>
      </w:r>
      <w:r>
        <w:rPr>
          <w:sz w:val="24"/>
        </w:rPr>
        <w:t>SO</w:t>
      </w:r>
      <w:r>
        <w:rPr>
          <w:sz w:val="24"/>
          <w:vertAlign w:val="subscript"/>
        </w:rPr>
        <w:t>2</w:t>
      </w:r>
      <w:r>
        <w:rPr>
          <w:rFonts w:hAnsi="宋体"/>
          <w:sz w:val="24"/>
        </w:rPr>
        <w:t>排放量</w:t>
      </w:r>
      <w:r>
        <w:rPr>
          <w:rFonts w:hint="eastAsia"/>
          <w:sz w:val="24"/>
          <w:lang w:eastAsia="zh-CN"/>
        </w:rPr>
        <w:t>0.00089</w:t>
      </w:r>
      <w:r>
        <w:rPr>
          <w:sz w:val="24"/>
        </w:rPr>
        <w:t>t/a</w:t>
      </w:r>
      <w:r>
        <w:rPr>
          <w:rFonts w:hAnsi="宋体"/>
          <w:sz w:val="24"/>
        </w:rPr>
        <w:t>、</w:t>
      </w:r>
      <w:r>
        <w:rPr>
          <w:rFonts w:hint="eastAsia" w:hAnsi="宋体"/>
          <w:sz w:val="24"/>
        </w:rPr>
        <w:t>排放速率0.000</w:t>
      </w:r>
      <w:r>
        <w:rPr>
          <w:rFonts w:hint="eastAsia" w:hAnsi="宋体"/>
          <w:sz w:val="24"/>
          <w:lang w:val="en-US" w:eastAsia="zh-CN"/>
        </w:rPr>
        <w:t>6</w:t>
      </w:r>
      <w:r>
        <w:rPr>
          <w:rFonts w:hint="eastAsia" w:hAnsi="宋体"/>
          <w:sz w:val="24"/>
        </w:rPr>
        <w:t>kg/h，</w:t>
      </w:r>
      <w:r>
        <w:rPr>
          <w:rFonts w:hAnsi="宋体"/>
          <w:sz w:val="24"/>
        </w:rPr>
        <w:t>排放浓度为</w:t>
      </w:r>
      <w:r>
        <w:rPr>
          <w:rFonts w:hint="eastAsia"/>
          <w:sz w:val="24"/>
          <w:lang w:val="en-US" w:eastAsia="zh-CN"/>
        </w:rPr>
        <w:t>1.92</w:t>
      </w:r>
      <w:r>
        <w:rPr>
          <w:sz w:val="24"/>
        </w:rPr>
        <w:t>mg/m</w:t>
      </w:r>
      <w:r>
        <w:rPr>
          <w:sz w:val="24"/>
          <w:vertAlign w:val="superscript"/>
        </w:rPr>
        <w:t>3</w:t>
      </w:r>
      <w:r>
        <w:rPr>
          <w:rFonts w:hAnsi="宋体"/>
          <w:sz w:val="24"/>
        </w:rPr>
        <w:t>，</w:t>
      </w:r>
      <w:r>
        <w:rPr>
          <w:iCs/>
          <w:sz w:val="24"/>
        </w:rPr>
        <w:t>NO</w:t>
      </w:r>
      <w:r>
        <w:rPr>
          <w:iCs/>
          <w:sz w:val="24"/>
          <w:vertAlign w:val="subscript"/>
        </w:rPr>
        <w:t>X</w:t>
      </w:r>
      <w:r>
        <w:rPr>
          <w:rFonts w:hAnsi="宋体"/>
          <w:iCs/>
          <w:sz w:val="24"/>
        </w:rPr>
        <w:t>排放量为</w:t>
      </w:r>
      <w:r>
        <w:rPr>
          <w:rFonts w:hint="eastAsia"/>
          <w:iCs/>
          <w:sz w:val="24"/>
          <w:lang w:eastAsia="zh-CN"/>
        </w:rPr>
        <w:t>0.029</w:t>
      </w:r>
      <w:r>
        <w:rPr>
          <w:iCs/>
          <w:sz w:val="24"/>
        </w:rPr>
        <w:t>t/a</w:t>
      </w:r>
      <w:r>
        <w:rPr>
          <w:rFonts w:hAnsi="宋体"/>
          <w:iCs/>
          <w:sz w:val="24"/>
        </w:rPr>
        <w:t>，</w:t>
      </w:r>
      <w:r>
        <w:rPr>
          <w:rFonts w:hint="eastAsia" w:hAnsi="宋体"/>
          <w:iCs/>
          <w:sz w:val="24"/>
        </w:rPr>
        <w:t>排放速率0.0</w:t>
      </w:r>
      <w:r>
        <w:rPr>
          <w:rFonts w:hint="eastAsia" w:hAnsi="宋体"/>
          <w:iCs/>
          <w:sz w:val="24"/>
          <w:lang w:val="en-US" w:eastAsia="zh-CN"/>
        </w:rPr>
        <w:t>16</w:t>
      </w:r>
      <w:r>
        <w:rPr>
          <w:rFonts w:hint="eastAsia" w:hAnsi="宋体"/>
          <w:sz w:val="24"/>
        </w:rPr>
        <w:t>kg/h</w:t>
      </w:r>
      <w:r>
        <w:rPr>
          <w:rFonts w:hint="eastAsia" w:hAnsi="宋体"/>
          <w:iCs/>
          <w:sz w:val="24"/>
        </w:rPr>
        <w:t>，</w:t>
      </w:r>
      <w:r>
        <w:rPr>
          <w:rFonts w:hAnsi="宋体"/>
          <w:iCs/>
          <w:sz w:val="24"/>
        </w:rPr>
        <w:t>排放浓度为</w:t>
      </w:r>
      <w:r>
        <w:rPr>
          <w:rFonts w:hint="eastAsia"/>
          <w:sz w:val="24"/>
          <w:lang w:val="en-US" w:eastAsia="zh-CN"/>
        </w:rPr>
        <w:t>65.37</w:t>
      </w:r>
      <w:r>
        <w:rPr>
          <w:sz w:val="24"/>
        </w:rPr>
        <w:t>mg/m</w:t>
      </w:r>
      <w:r>
        <w:rPr>
          <w:sz w:val="24"/>
          <w:vertAlign w:val="superscript"/>
        </w:rPr>
        <w:t>3</w:t>
      </w:r>
      <w:r>
        <w:rPr>
          <w:rFonts w:hAnsi="宋体"/>
          <w:sz w:val="24"/>
        </w:rPr>
        <w:t>。</w:t>
      </w:r>
      <w:r>
        <w:rPr>
          <w:rFonts w:hAnsi="宋体"/>
          <w:iCs/>
          <w:sz w:val="24"/>
        </w:rPr>
        <w:t>排放烟气</w:t>
      </w:r>
      <w:r>
        <w:rPr>
          <w:rFonts w:hAnsi="宋体"/>
          <w:sz w:val="24"/>
        </w:rPr>
        <w:t>经风机引出后由</w:t>
      </w:r>
      <w:r>
        <w:rPr>
          <w:sz w:val="24"/>
        </w:rPr>
        <w:t>8m</w:t>
      </w:r>
      <w:r>
        <w:rPr>
          <w:rFonts w:hAnsi="宋体"/>
          <w:sz w:val="24"/>
        </w:rPr>
        <w:t>高烟囱排放，满足《大气污染物</w:t>
      </w:r>
      <w:r>
        <w:rPr>
          <w:rFonts w:hint="eastAsia" w:hAnsi="宋体"/>
          <w:sz w:val="24"/>
        </w:rPr>
        <w:t>综合</w:t>
      </w:r>
      <w:r>
        <w:rPr>
          <w:rFonts w:hAnsi="宋体"/>
          <w:sz w:val="24"/>
        </w:rPr>
        <w:t>排放标准》（</w:t>
      </w:r>
      <w:r>
        <w:rPr>
          <w:sz w:val="24"/>
        </w:rPr>
        <w:t>GB16297-1996</w:t>
      </w:r>
      <w:r>
        <w:rPr>
          <w:rFonts w:hAnsi="宋体"/>
          <w:sz w:val="24"/>
        </w:rPr>
        <w:t>）表</w:t>
      </w:r>
      <w:r>
        <w:rPr>
          <w:sz w:val="24"/>
        </w:rPr>
        <w:t>2</w:t>
      </w:r>
      <w:r>
        <w:rPr>
          <w:rFonts w:hAnsi="宋体"/>
          <w:sz w:val="24"/>
        </w:rPr>
        <w:t>标准</w:t>
      </w:r>
      <w:r>
        <w:rPr>
          <w:rFonts w:hint="eastAsia" w:hAnsi="宋体"/>
          <w:sz w:val="24"/>
        </w:rPr>
        <w:t>中</w:t>
      </w:r>
      <w:r>
        <w:rPr>
          <w:rFonts w:hAnsi="宋体"/>
          <w:sz w:val="24"/>
        </w:rPr>
        <w:t>严格</w:t>
      </w:r>
      <w:r>
        <w:rPr>
          <w:rFonts w:hint="eastAsia" w:hAnsi="宋体"/>
          <w:sz w:val="24"/>
        </w:rPr>
        <w:t>50</w:t>
      </w:r>
      <w:r>
        <w:rPr>
          <w:rFonts w:hAnsi="宋体"/>
          <w:sz w:val="24"/>
        </w:rPr>
        <w:t>%要求（</w:t>
      </w:r>
      <w:r>
        <w:rPr>
          <w:sz w:val="24"/>
        </w:rPr>
        <w:t>SO</w:t>
      </w:r>
      <w:r>
        <w:rPr>
          <w:sz w:val="24"/>
          <w:vertAlign w:val="subscript"/>
        </w:rPr>
        <w:t>2</w:t>
      </w:r>
      <w:r>
        <w:rPr>
          <w:sz w:val="24"/>
        </w:rPr>
        <w:t>≤</w:t>
      </w:r>
      <w:r>
        <w:rPr>
          <w:rFonts w:hint="eastAsia"/>
          <w:sz w:val="24"/>
        </w:rPr>
        <w:t>0.853</w:t>
      </w:r>
      <w:r>
        <w:rPr>
          <w:rFonts w:hint="eastAsia" w:hAnsi="宋体"/>
          <w:sz w:val="24"/>
        </w:rPr>
        <w:t>kg/h</w:t>
      </w:r>
      <w:r>
        <w:rPr>
          <w:rFonts w:hint="eastAsia"/>
          <w:sz w:val="24"/>
        </w:rPr>
        <w:t>，</w:t>
      </w:r>
      <w:r>
        <w:rPr>
          <w:iCs/>
          <w:sz w:val="24"/>
        </w:rPr>
        <w:t>NO</w:t>
      </w:r>
      <w:r>
        <w:rPr>
          <w:iCs/>
          <w:sz w:val="24"/>
          <w:vertAlign w:val="subscript"/>
        </w:rPr>
        <w:t>X</w:t>
      </w:r>
      <w:r>
        <w:rPr>
          <w:sz w:val="24"/>
        </w:rPr>
        <w:t>≤</w:t>
      </w:r>
      <w:r>
        <w:rPr>
          <w:rFonts w:hint="eastAsia"/>
          <w:sz w:val="24"/>
        </w:rPr>
        <w:t>0.259</w:t>
      </w:r>
      <w:r>
        <w:rPr>
          <w:rFonts w:hint="eastAsia" w:hAnsi="宋体"/>
          <w:sz w:val="24"/>
        </w:rPr>
        <w:t>kg/h</w:t>
      </w:r>
      <w:r>
        <w:rPr>
          <w:rFonts w:hAnsi="宋体"/>
          <w:sz w:val="24"/>
        </w:rPr>
        <w:t>）</w:t>
      </w:r>
      <w:r>
        <w:rPr>
          <w:color w:val="000000"/>
          <w:sz w:val="24"/>
        </w:rPr>
        <w:t>。</w:t>
      </w:r>
    </w:p>
    <w:p>
      <w:pPr>
        <w:spacing w:line="520" w:lineRule="exact"/>
        <w:ind w:firstLine="480" w:firstLineChars="200"/>
        <w:rPr>
          <w:kern w:val="0"/>
          <w:sz w:val="24"/>
        </w:rPr>
      </w:pPr>
      <w:r>
        <w:rPr>
          <w:kern w:val="0"/>
          <w:sz w:val="24"/>
        </w:rPr>
        <w:t>项目厨房油烟产生浓度为</w:t>
      </w:r>
      <w:r>
        <w:rPr>
          <w:sz w:val="24"/>
        </w:rPr>
        <w:t>1.85mg/m</w:t>
      </w:r>
      <w:r>
        <w:rPr>
          <w:sz w:val="24"/>
          <w:vertAlign w:val="superscript"/>
        </w:rPr>
        <w:t>3</w:t>
      </w:r>
      <w:r>
        <w:rPr>
          <w:kern w:val="0"/>
          <w:sz w:val="24"/>
        </w:rPr>
        <w:t>，产生量约0.0027t/a。建设单位拟安装风量为1000m</w:t>
      </w:r>
      <w:r>
        <w:rPr>
          <w:kern w:val="0"/>
          <w:sz w:val="24"/>
          <w:vertAlign w:val="superscript"/>
        </w:rPr>
        <w:t>3</w:t>
      </w:r>
      <w:r>
        <w:rPr>
          <w:kern w:val="0"/>
          <w:sz w:val="24"/>
        </w:rPr>
        <w:t>/h、净化效率不低于90%的油烟净化装置，经处理后由高于本体建筑物3m的排气筒排放。经计算，处理后厨房油烟年排放量为0.0003t/a，排放浓度为0.19mg/m</w:t>
      </w:r>
      <w:r>
        <w:rPr>
          <w:kern w:val="0"/>
          <w:sz w:val="24"/>
          <w:vertAlign w:val="superscript"/>
        </w:rPr>
        <w:t>3</w:t>
      </w:r>
      <w:r>
        <w:rPr>
          <w:kern w:val="0"/>
          <w:sz w:val="24"/>
        </w:rPr>
        <w:t>，</w:t>
      </w:r>
      <w:r>
        <w:rPr>
          <w:rFonts w:hint="eastAsia"/>
          <w:kern w:val="0"/>
          <w:sz w:val="24"/>
        </w:rPr>
        <w:t>能够满足《餐饮业油烟污染物排放标准》</w:t>
      </w:r>
      <w:r>
        <w:rPr>
          <w:kern w:val="0"/>
          <w:sz w:val="24"/>
        </w:rPr>
        <w:t>(DB41/1604—2018)</w:t>
      </w:r>
      <w:r>
        <w:rPr>
          <w:rFonts w:hint="eastAsia"/>
          <w:kern w:val="0"/>
          <w:sz w:val="24"/>
        </w:rPr>
        <w:t>规定限值油烟</w:t>
      </w:r>
      <w:r>
        <w:rPr>
          <w:kern w:val="0"/>
          <w:sz w:val="24"/>
        </w:rPr>
        <w:t>1.5mg/m</w:t>
      </w:r>
      <w:r>
        <w:rPr>
          <w:kern w:val="0"/>
          <w:sz w:val="24"/>
          <w:vertAlign w:val="superscript"/>
        </w:rPr>
        <w:t>3</w:t>
      </w:r>
      <w:r>
        <w:rPr>
          <w:rFonts w:hint="eastAsia"/>
          <w:kern w:val="0"/>
          <w:sz w:val="24"/>
        </w:rPr>
        <w:t>要求，实现达标排放</w:t>
      </w:r>
      <w:r>
        <w:rPr>
          <w:kern w:val="0"/>
          <w:sz w:val="24"/>
        </w:rPr>
        <w:t>。</w:t>
      </w:r>
    </w:p>
    <w:p>
      <w:pPr>
        <w:pStyle w:val="2"/>
        <w:snapToGrid w:val="0"/>
        <w:spacing w:before="0" w:after="0" w:line="520" w:lineRule="exact"/>
        <w:rPr>
          <w:rFonts w:eastAsia="黑体"/>
          <w:b w:val="0"/>
          <w:bCs w:val="0"/>
          <w:sz w:val="24"/>
          <w:szCs w:val="24"/>
        </w:rPr>
      </w:pPr>
      <w:r>
        <w:rPr>
          <w:rFonts w:eastAsia="黑体"/>
          <w:b w:val="0"/>
          <w:bCs w:val="0"/>
          <w:sz w:val="24"/>
          <w:szCs w:val="24"/>
        </w:rPr>
        <w:t>8.3.2 废水</w:t>
      </w:r>
    </w:p>
    <w:p>
      <w:pPr>
        <w:autoSpaceDE w:val="0"/>
        <w:autoSpaceDN w:val="0"/>
        <w:adjustRightInd w:val="0"/>
        <w:spacing w:line="520" w:lineRule="exact"/>
        <w:ind w:firstLine="480" w:firstLineChars="200"/>
        <w:jc w:val="left"/>
        <w:rPr>
          <w:sz w:val="24"/>
        </w:rPr>
      </w:pPr>
      <w:r>
        <w:rPr>
          <w:kern w:val="0"/>
          <w:sz w:val="24"/>
          <w:lang w:bidi="ar"/>
        </w:rPr>
        <w:t>本项目废水主要为养殖废水和生活废水，</w:t>
      </w:r>
      <w:r>
        <w:rPr>
          <w:rFonts w:hint="eastAsia"/>
          <w:kern w:val="0"/>
          <w:sz w:val="24"/>
          <w:lang w:bidi="ar"/>
        </w:rPr>
        <w:t>废水总量</w:t>
      </w:r>
      <w:r>
        <w:rPr>
          <w:kern w:val="0"/>
          <w:sz w:val="24"/>
          <w:lang w:bidi="ar"/>
        </w:rPr>
        <w:t>为</w:t>
      </w:r>
      <w:r>
        <w:rPr>
          <w:rFonts w:hint="eastAsia"/>
          <w:bCs/>
          <w:sz w:val="24"/>
          <w:lang w:eastAsia="zh-CN"/>
        </w:rPr>
        <w:t>7512.9907</w:t>
      </w:r>
      <w:r>
        <w:rPr>
          <w:bCs/>
          <w:sz w:val="24"/>
        </w:rPr>
        <w:t>m</w:t>
      </w:r>
      <w:r>
        <w:rPr>
          <w:bCs/>
          <w:sz w:val="24"/>
          <w:vertAlign w:val="superscript"/>
        </w:rPr>
        <w:t>3</w:t>
      </w:r>
      <w:r>
        <w:rPr>
          <w:bCs/>
          <w:sz w:val="24"/>
        </w:rPr>
        <w:t>/a，夏季</w:t>
      </w:r>
      <w:r>
        <w:rPr>
          <w:rFonts w:hint="eastAsia"/>
          <w:bCs/>
          <w:sz w:val="24"/>
          <w:lang w:eastAsia="zh-CN"/>
        </w:rPr>
        <w:t>23.18</w:t>
      </w:r>
      <w:r>
        <w:rPr>
          <w:bCs/>
          <w:sz w:val="24"/>
        </w:rPr>
        <w:t>m</w:t>
      </w:r>
      <w:r>
        <w:rPr>
          <w:bCs/>
          <w:sz w:val="24"/>
          <w:vertAlign w:val="superscript"/>
        </w:rPr>
        <w:t>3</w:t>
      </w:r>
      <w:r>
        <w:rPr>
          <w:bCs/>
          <w:sz w:val="24"/>
        </w:rPr>
        <w:t>/d，其他季节</w:t>
      </w:r>
      <w:r>
        <w:rPr>
          <w:rFonts w:hint="eastAsia"/>
          <w:bCs/>
          <w:sz w:val="24"/>
          <w:lang w:eastAsia="zh-CN"/>
        </w:rPr>
        <w:t>14.69</w:t>
      </w:r>
      <w:r>
        <w:rPr>
          <w:bCs/>
          <w:sz w:val="24"/>
        </w:rPr>
        <w:t>m</w:t>
      </w:r>
      <w:r>
        <w:rPr>
          <w:bCs/>
          <w:sz w:val="24"/>
          <w:vertAlign w:val="superscript"/>
        </w:rPr>
        <w:t>3</w:t>
      </w:r>
      <w:r>
        <w:rPr>
          <w:bCs/>
          <w:sz w:val="24"/>
        </w:rPr>
        <w:t>/d</w:t>
      </w:r>
      <w:r>
        <w:rPr>
          <w:rFonts w:hint="eastAsia" w:hAnsi="宋体"/>
          <w:bCs/>
          <w:sz w:val="24"/>
        </w:rPr>
        <w:t>，</w:t>
      </w:r>
      <w:r>
        <w:rPr>
          <w:rFonts w:hint="eastAsia"/>
          <w:kern w:val="0"/>
          <w:sz w:val="24"/>
          <w:lang w:bidi="ar"/>
        </w:rPr>
        <w:t>经</w:t>
      </w:r>
      <w:r>
        <w:rPr>
          <w:kern w:val="0"/>
          <w:sz w:val="24"/>
          <w:lang w:bidi="ar"/>
        </w:rPr>
        <w:t>固液分离后排入</w:t>
      </w:r>
      <w:r>
        <w:rPr>
          <w:rFonts w:hint="eastAsia"/>
          <w:kern w:val="0"/>
          <w:sz w:val="24"/>
          <w:lang w:bidi="ar"/>
        </w:rPr>
        <w:t>黑膜沼气</w:t>
      </w:r>
      <w:r>
        <w:rPr>
          <w:kern w:val="0"/>
          <w:sz w:val="24"/>
          <w:lang w:bidi="ar"/>
        </w:rPr>
        <w:t>工程进行处理。</w:t>
      </w:r>
    </w:p>
    <w:p>
      <w:pPr>
        <w:pStyle w:val="2"/>
        <w:snapToGrid w:val="0"/>
        <w:spacing w:before="0" w:after="0" w:line="520" w:lineRule="exact"/>
        <w:rPr>
          <w:rFonts w:eastAsia="黑体"/>
          <w:b w:val="0"/>
          <w:bCs w:val="0"/>
          <w:sz w:val="24"/>
          <w:szCs w:val="24"/>
        </w:rPr>
      </w:pPr>
      <w:r>
        <w:rPr>
          <w:rFonts w:eastAsia="黑体"/>
          <w:b w:val="0"/>
          <w:bCs w:val="0"/>
          <w:sz w:val="24"/>
          <w:szCs w:val="24"/>
        </w:rPr>
        <w:t>8.3.3 噪声</w:t>
      </w:r>
    </w:p>
    <w:p>
      <w:pPr>
        <w:spacing w:line="500" w:lineRule="exact"/>
        <w:ind w:firstLine="480" w:firstLineChars="200"/>
        <w:rPr>
          <w:sz w:val="24"/>
        </w:rPr>
      </w:pPr>
      <w:r>
        <w:rPr>
          <w:kern w:val="0"/>
          <w:sz w:val="24"/>
          <w:lang w:bidi="ar"/>
        </w:rPr>
        <w:t>本项目噪声主要为猪叫声、猪舍降温配套负压风机、水泵等设备运行噪声，源强为70～80dB(A)。</w:t>
      </w:r>
    </w:p>
    <w:p>
      <w:pPr>
        <w:pStyle w:val="2"/>
        <w:snapToGrid w:val="0"/>
        <w:spacing w:before="0" w:after="0" w:line="520" w:lineRule="exact"/>
        <w:rPr>
          <w:rFonts w:eastAsia="黑体"/>
          <w:b w:val="0"/>
          <w:bCs w:val="0"/>
          <w:sz w:val="24"/>
          <w:szCs w:val="24"/>
        </w:rPr>
      </w:pPr>
      <w:r>
        <w:rPr>
          <w:rFonts w:eastAsia="黑体"/>
          <w:b w:val="0"/>
          <w:bCs w:val="0"/>
          <w:sz w:val="24"/>
          <w:szCs w:val="24"/>
        </w:rPr>
        <w:t>8.3.4 固废</w:t>
      </w:r>
    </w:p>
    <w:p>
      <w:pPr>
        <w:spacing w:line="520" w:lineRule="exact"/>
        <w:ind w:firstLine="480" w:firstLineChars="200"/>
        <w:rPr>
          <w:spacing w:val="-6"/>
          <w:sz w:val="24"/>
        </w:rPr>
      </w:pPr>
      <w:r>
        <w:rPr>
          <w:bCs/>
          <w:sz w:val="24"/>
        </w:rPr>
        <w:t>本项目产生的固体废物主要包括猪粪固形物、厌氧发酵后的沼渣、养殖过程产生的少量病死猪尸、疾病防疫产生的医疗废物、废脱硫剂及职工生活垃圾等。其中医疗废物产生量为</w:t>
      </w:r>
      <w:r>
        <w:rPr>
          <w:rFonts w:hint="eastAsia"/>
          <w:bCs/>
          <w:sz w:val="24"/>
          <w:lang w:eastAsia="zh-CN"/>
        </w:rPr>
        <w:t>0.021</w:t>
      </w:r>
      <w:r>
        <w:rPr>
          <w:bCs/>
          <w:sz w:val="24"/>
        </w:rPr>
        <w:t>t/a，定期交由</w:t>
      </w:r>
      <w:r>
        <w:rPr>
          <w:rFonts w:hint="eastAsia" w:hAnsi="宋体"/>
          <w:sz w:val="24"/>
        </w:rPr>
        <w:t>危废资质的单位处理</w:t>
      </w:r>
      <w:r>
        <w:rPr>
          <w:bCs/>
          <w:sz w:val="24"/>
        </w:rPr>
        <w:t>；病死猪产生量为7.8t/a，</w:t>
      </w:r>
      <w:r>
        <w:rPr>
          <w:rFonts w:hint="eastAsia"/>
          <w:bCs/>
          <w:sz w:val="24"/>
        </w:rPr>
        <w:t>病死猪经冷藏车送至正阳县畜禽</w:t>
      </w:r>
      <w:r>
        <w:rPr>
          <w:bCs/>
          <w:sz w:val="24"/>
        </w:rPr>
        <w:t>无害化处理中心处置；猪粪产生量为</w:t>
      </w:r>
      <w:r>
        <w:rPr>
          <w:rFonts w:hint="eastAsia"/>
          <w:bCs/>
          <w:sz w:val="24"/>
          <w:lang w:eastAsia="zh-CN"/>
        </w:rPr>
        <w:t>1549.863</w:t>
      </w:r>
      <w:r>
        <w:rPr>
          <w:bCs/>
          <w:sz w:val="24"/>
        </w:rPr>
        <w:t>t/a，</w:t>
      </w:r>
      <w:r>
        <w:rPr>
          <w:rFonts w:hint="eastAsia"/>
          <w:bCs/>
          <w:sz w:val="24"/>
        </w:rPr>
        <w:t>用于</w:t>
      </w:r>
      <w:r>
        <w:rPr>
          <w:bCs/>
          <w:sz w:val="24"/>
        </w:rPr>
        <w:t>生产有机肥</w:t>
      </w:r>
      <w:r>
        <w:rPr>
          <w:rFonts w:hint="eastAsia"/>
          <w:bCs/>
          <w:sz w:val="24"/>
        </w:rPr>
        <w:t>基料</w:t>
      </w:r>
      <w:r>
        <w:rPr>
          <w:bCs/>
          <w:sz w:val="24"/>
        </w:rPr>
        <w:t>，沼渣产生量为</w:t>
      </w:r>
      <w:r>
        <w:rPr>
          <w:rFonts w:hint="eastAsia"/>
          <w:bCs/>
          <w:sz w:val="24"/>
          <w:lang w:eastAsia="zh-CN"/>
        </w:rPr>
        <w:t>309.9726</w:t>
      </w:r>
      <w:r>
        <w:rPr>
          <w:bCs/>
          <w:sz w:val="24"/>
        </w:rPr>
        <w:t>t/a，</w:t>
      </w:r>
      <w:r>
        <w:rPr>
          <w:rFonts w:hint="eastAsia"/>
          <w:bCs/>
          <w:sz w:val="24"/>
        </w:rPr>
        <w:t>经干化</w:t>
      </w:r>
      <w:r>
        <w:rPr>
          <w:bCs/>
          <w:sz w:val="24"/>
        </w:rPr>
        <w:t>后作为有机肥</w:t>
      </w:r>
      <w:r>
        <w:rPr>
          <w:rFonts w:hint="eastAsia"/>
          <w:bCs/>
          <w:sz w:val="24"/>
        </w:rPr>
        <w:t>基料</w:t>
      </w:r>
      <w:r>
        <w:rPr>
          <w:bCs/>
          <w:sz w:val="24"/>
        </w:rPr>
        <w:t>外售；废脱硫剂产生量为</w:t>
      </w:r>
      <w:r>
        <w:rPr>
          <w:rFonts w:hint="eastAsia"/>
          <w:bCs/>
          <w:sz w:val="24"/>
          <w:lang w:eastAsia="zh-CN"/>
        </w:rPr>
        <w:t>0.043</w:t>
      </w:r>
      <w:r>
        <w:rPr>
          <w:bCs/>
          <w:sz w:val="24"/>
        </w:rPr>
        <w:t>t/a，由厂家回收；职工生活垃圾产生量为1.825t/a，集中收集后交由环卫部门处置。</w:t>
      </w:r>
    </w:p>
    <w:p>
      <w:pPr>
        <w:snapToGrid w:val="0"/>
        <w:spacing w:line="520" w:lineRule="exact"/>
        <w:outlineLvl w:val="1"/>
        <w:rPr>
          <w:rFonts w:eastAsia="黑体"/>
          <w:bCs/>
          <w:sz w:val="28"/>
          <w:szCs w:val="28"/>
        </w:rPr>
      </w:pPr>
      <w:bookmarkStart w:id="563" w:name="_Toc472009623"/>
      <w:bookmarkEnd w:id="563"/>
      <w:bookmarkStart w:id="564" w:name="_Toc5581"/>
      <w:r>
        <w:rPr>
          <w:rFonts w:eastAsia="黑体"/>
          <w:bCs/>
          <w:sz w:val="28"/>
          <w:szCs w:val="28"/>
        </w:rPr>
        <w:t>8.4 环境保护措施</w:t>
      </w:r>
      <w:bookmarkEnd w:id="564"/>
    </w:p>
    <w:p>
      <w:pPr>
        <w:pStyle w:val="2"/>
        <w:snapToGrid w:val="0"/>
        <w:spacing w:before="0" w:after="0" w:line="520" w:lineRule="exact"/>
        <w:rPr>
          <w:rFonts w:eastAsia="黑体"/>
          <w:b w:val="0"/>
          <w:bCs w:val="0"/>
          <w:sz w:val="24"/>
          <w:szCs w:val="24"/>
        </w:rPr>
      </w:pPr>
      <w:r>
        <w:rPr>
          <w:rFonts w:eastAsia="黑体"/>
          <w:b w:val="0"/>
          <w:bCs w:val="0"/>
          <w:sz w:val="24"/>
          <w:szCs w:val="24"/>
        </w:rPr>
        <w:t>8.4.1 废气</w:t>
      </w:r>
    </w:p>
    <w:p>
      <w:pPr>
        <w:autoSpaceDE w:val="0"/>
        <w:autoSpaceDN w:val="0"/>
        <w:spacing w:line="520" w:lineRule="exact"/>
        <w:ind w:firstLine="480" w:firstLineChars="200"/>
        <w:textAlignment w:val="baseline"/>
        <w:rPr>
          <w:rFonts w:ascii="宋体" w:hAnsi="宋体"/>
          <w:kern w:val="0"/>
          <w:sz w:val="24"/>
        </w:rPr>
      </w:pPr>
      <w:r>
        <w:rPr>
          <w:rFonts w:ascii="宋体" w:hAnsi="宋体"/>
          <w:kern w:val="0"/>
          <w:sz w:val="24"/>
        </w:rPr>
        <w:t>本项目大气污染物主要为养殖过程、污水处理过程、粪污处理过程、沼液储存池产生的恶臭气体、沼气热水</w:t>
      </w:r>
      <w:r>
        <w:rPr>
          <w:rFonts w:hint="eastAsia" w:ascii="宋体" w:hAnsi="宋体"/>
          <w:kern w:val="0"/>
          <w:sz w:val="24"/>
        </w:rPr>
        <w:t>器</w:t>
      </w:r>
      <w:r>
        <w:rPr>
          <w:rFonts w:ascii="宋体" w:hAnsi="宋体"/>
          <w:kern w:val="0"/>
          <w:sz w:val="24"/>
        </w:rPr>
        <w:t>废气。</w:t>
      </w:r>
    </w:p>
    <w:p>
      <w:pPr>
        <w:autoSpaceDE w:val="0"/>
        <w:autoSpaceDN w:val="0"/>
        <w:spacing w:line="520" w:lineRule="exact"/>
        <w:ind w:firstLine="480" w:firstLineChars="200"/>
        <w:textAlignment w:val="baseline"/>
        <w:rPr>
          <w:rFonts w:ascii="宋体" w:hAnsi="宋体"/>
          <w:kern w:val="0"/>
          <w:sz w:val="24"/>
        </w:rPr>
      </w:pPr>
      <w:r>
        <w:rPr>
          <w:rFonts w:ascii="宋体" w:hAnsi="宋体"/>
          <w:kern w:val="0"/>
          <w:sz w:val="24"/>
        </w:rPr>
        <w:t>恶臭气体根据不同产生单元，采取相应的处理方式，① 猪舍：采用节水型饮水器、全漏缝地板并及时清粪；② 污水前处理系统收集调节池喷洒除臭剂，进行场区绿化；③ 堆肥区：喷洒除臭剂，进行场区绿化；</w:t>
      </w:r>
      <w:r>
        <w:rPr>
          <w:rFonts w:ascii="宋体" w:hAnsi="宋体"/>
          <w:kern w:val="0"/>
          <w:sz w:val="24"/>
        </w:rPr>
        <w:fldChar w:fldCharType="begin"/>
      </w:r>
      <w:r>
        <w:rPr>
          <w:rFonts w:ascii="宋体" w:hAnsi="宋体"/>
          <w:kern w:val="0"/>
          <w:sz w:val="24"/>
        </w:rPr>
        <w:instrText xml:space="preserve"> = 4 \* GB3 </w:instrText>
      </w:r>
      <w:r>
        <w:rPr>
          <w:rFonts w:ascii="宋体" w:hAnsi="宋体"/>
          <w:kern w:val="0"/>
          <w:sz w:val="24"/>
        </w:rPr>
        <w:fldChar w:fldCharType="separate"/>
      </w:r>
      <w:r>
        <w:rPr>
          <w:rFonts w:ascii="宋体" w:hAnsi="宋体"/>
          <w:kern w:val="0"/>
          <w:sz w:val="24"/>
        </w:rPr>
        <w:t>④</w:t>
      </w:r>
      <w:r>
        <w:rPr>
          <w:rFonts w:ascii="宋体" w:hAnsi="宋体"/>
          <w:kern w:val="0"/>
          <w:sz w:val="24"/>
        </w:rPr>
        <w:fldChar w:fldCharType="end"/>
      </w:r>
      <w:r>
        <w:rPr>
          <w:rFonts w:ascii="宋体" w:hAnsi="宋体"/>
          <w:kern w:val="0"/>
          <w:sz w:val="24"/>
        </w:rPr>
        <w:t xml:space="preserve"> 沼液储存池四周设置绿化。通过各项防护措施后，预测场界废气均能达标排放，场区周围各敏感目标处可满足《</w:t>
      </w:r>
      <w:r>
        <w:rPr>
          <w:rFonts w:hint="eastAsia" w:ascii="宋体" w:hAnsi="宋体"/>
          <w:kern w:val="0"/>
          <w:sz w:val="24"/>
        </w:rPr>
        <w:t>环境影响评价技术导则 大气环境</w:t>
      </w:r>
      <w:r>
        <w:rPr>
          <w:rFonts w:ascii="宋体" w:hAnsi="宋体"/>
          <w:kern w:val="0"/>
          <w:sz w:val="24"/>
        </w:rPr>
        <w:t>》</w:t>
      </w:r>
      <w:r>
        <w:rPr>
          <w:rFonts w:hint="eastAsia" w:ascii="宋体" w:hAnsi="宋体"/>
          <w:kern w:val="0"/>
          <w:sz w:val="24"/>
        </w:rPr>
        <w:t>（HJ</w:t>
      </w:r>
      <w:r>
        <w:rPr>
          <w:rFonts w:ascii="宋体" w:hAnsi="宋体"/>
          <w:kern w:val="0"/>
          <w:sz w:val="24"/>
        </w:rPr>
        <w:t>2.2-2018</w:t>
      </w:r>
      <w:r>
        <w:rPr>
          <w:rFonts w:hint="eastAsia" w:ascii="宋体" w:hAnsi="宋体"/>
          <w:kern w:val="0"/>
          <w:sz w:val="24"/>
        </w:rPr>
        <w:t>）附录D中“其他污染物空气质量浓度参考限值”</w:t>
      </w:r>
      <w:r>
        <w:rPr>
          <w:rFonts w:ascii="宋体" w:hAnsi="宋体"/>
          <w:kern w:val="0"/>
          <w:sz w:val="24"/>
        </w:rPr>
        <w:t>。</w:t>
      </w:r>
    </w:p>
    <w:p>
      <w:pPr>
        <w:widowControl/>
        <w:spacing w:line="520" w:lineRule="exact"/>
        <w:ind w:firstLine="480" w:firstLineChars="200"/>
        <w:rPr>
          <w:rFonts w:hint="eastAsia"/>
          <w:sz w:val="24"/>
        </w:rPr>
      </w:pPr>
      <w:r>
        <w:rPr>
          <w:sz w:val="24"/>
        </w:rPr>
        <w:t>项目沼气</w:t>
      </w:r>
      <w:r>
        <w:rPr>
          <w:rFonts w:hint="eastAsia"/>
          <w:sz w:val="24"/>
        </w:rPr>
        <w:t>火炬燃烧废气</w:t>
      </w:r>
      <w:r>
        <w:rPr>
          <w:sz w:val="24"/>
        </w:rPr>
        <w:t>由1</w:t>
      </w:r>
      <w:r>
        <w:rPr>
          <w:rFonts w:hint="eastAsia"/>
          <w:sz w:val="24"/>
        </w:rPr>
        <w:t>根</w:t>
      </w:r>
      <w:r>
        <w:rPr>
          <w:sz w:val="24"/>
        </w:rPr>
        <w:t>8m高烟囱排放。</w:t>
      </w:r>
    </w:p>
    <w:p>
      <w:pPr>
        <w:spacing w:line="520" w:lineRule="exact"/>
        <w:ind w:firstLine="480" w:firstLineChars="200"/>
        <w:rPr>
          <w:kern w:val="0"/>
          <w:sz w:val="24"/>
        </w:rPr>
      </w:pPr>
      <w:r>
        <w:rPr>
          <w:kern w:val="0"/>
          <w:sz w:val="24"/>
        </w:rPr>
        <w:t>项目厨房油烟产生浓度为1.85mg/m</w:t>
      </w:r>
      <w:r>
        <w:rPr>
          <w:kern w:val="0"/>
          <w:sz w:val="24"/>
          <w:vertAlign w:val="superscript"/>
        </w:rPr>
        <w:t>3</w:t>
      </w:r>
      <w:r>
        <w:rPr>
          <w:kern w:val="0"/>
          <w:sz w:val="24"/>
        </w:rPr>
        <w:t>，产生量约0.0027t/a。建设单位拟安装风量为1000m</w:t>
      </w:r>
      <w:r>
        <w:rPr>
          <w:kern w:val="0"/>
          <w:sz w:val="24"/>
          <w:vertAlign w:val="superscript"/>
        </w:rPr>
        <w:t>3</w:t>
      </w:r>
      <w:r>
        <w:rPr>
          <w:kern w:val="0"/>
          <w:sz w:val="24"/>
        </w:rPr>
        <w:t>/h、净化效率不低于90%的油烟净化装置，经处理后由高于本体建筑物3m的排气筒排放。经计算，处理后厨房油烟年排放量为0.0003t/a，排放浓度为0.19mg/m</w:t>
      </w:r>
      <w:r>
        <w:rPr>
          <w:kern w:val="0"/>
          <w:sz w:val="24"/>
          <w:vertAlign w:val="superscript"/>
        </w:rPr>
        <w:t>3</w:t>
      </w:r>
      <w:r>
        <w:rPr>
          <w:kern w:val="0"/>
          <w:sz w:val="24"/>
        </w:rPr>
        <w:t>，</w:t>
      </w:r>
      <w:r>
        <w:rPr>
          <w:rFonts w:hint="eastAsia"/>
          <w:kern w:val="0"/>
          <w:sz w:val="24"/>
        </w:rPr>
        <w:t>能够满足《餐饮业油烟污染物排放标准》</w:t>
      </w:r>
      <w:r>
        <w:rPr>
          <w:kern w:val="0"/>
          <w:sz w:val="24"/>
        </w:rPr>
        <w:t>(DB41/1604—2018)</w:t>
      </w:r>
      <w:r>
        <w:rPr>
          <w:rFonts w:hint="eastAsia"/>
          <w:kern w:val="0"/>
          <w:sz w:val="24"/>
        </w:rPr>
        <w:t>规定限值油烟</w:t>
      </w:r>
      <w:r>
        <w:rPr>
          <w:kern w:val="0"/>
          <w:sz w:val="24"/>
        </w:rPr>
        <w:t>1.5mg/m</w:t>
      </w:r>
      <w:r>
        <w:rPr>
          <w:kern w:val="0"/>
          <w:sz w:val="24"/>
          <w:vertAlign w:val="superscript"/>
        </w:rPr>
        <w:t>3</w:t>
      </w:r>
      <w:r>
        <w:rPr>
          <w:rFonts w:hint="eastAsia"/>
          <w:kern w:val="0"/>
          <w:sz w:val="24"/>
        </w:rPr>
        <w:t>要求，实现达标排放</w:t>
      </w:r>
      <w:r>
        <w:rPr>
          <w:kern w:val="0"/>
          <w:sz w:val="24"/>
        </w:rPr>
        <w:t>。</w:t>
      </w:r>
    </w:p>
    <w:p>
      <w:pPr>
        <w:pStyle w:val="2"/>
        <w:snapToGrid w:val="0"/>
        <w:spacing w:before="0" w:after="0" w:line="520" w:lineRule="exact"/>
        <w:rPr>
          <w:rFonts w:eastAsia="黑体"/>
          <w:b w:val="0"/>
          <w:bCs w:val="0"/>
          <w:sz w:val="24"/>
          <w:szCs w:val="24"/>
        </w:rPr>
      </w:pPr>
      <w:r>
        <w:rPr>
          <w:rFonts w:eastAsia="黑体"/>
          <w:b w:val="0"/>
          <w:bCs w:val="0"/>
          <w:sz w:val="24"/>
          <w:szCs w:val="24"/>
        </w:rPr>
        <w:t>8.4.2 废水</w:t>
      </w:r>
    </w:p>
    <w:p>
      <w:pPr>
        <w:autoSpaceDE w:val="0"/>
        <w:autoSpaceDN w:val="0"/>
        <w:adjustRightInd w:val="0"/>
        <w:spacing w:line="520" w:lineRule="exact"/>
        <w:ind w:firstLine="480" w:firstLineChars="200"/>
        <w:jc w:val="left"/>
        <w:rPr>
          <w:sz w:val="24"/>
        </w:rPr>
      </w:pPr>
      <w:r>
        <w:rPr>
          <w:kern w:val="0"/>
          <w:sz w:val="24"/>
          <w:lang w:bidi="ar"/>
        </w:rPr>
        <w:t>本项目废水主要为养殖废水和生活废水</w:t>
      </w:r>
      <w:r>
        <w:rPr>
          <w:rFonts w:hint="eastAsia"/>
          <w:kern w:val="0"/>
          <w:sz w:val="24"/>
          <w:lang w:bidi="ar"/>
        </w:rPr>
        <w:t>总量</w:t>
      </w:r>
      <w:r>
        <w:rPr>
          <w:kern w:val="0"/>
          <w:sz w:val="24"/>
          <w:lang w:bidi="ar"/>
        </w:rPr>
        <w:t>为</w:t>
      </w:r>
      <w:r>
        <w:rPr>
          <w:rFonts w:hint="eastAsia"/>
          <w:bCs/>
          <w:sz w:val="24"/>
          <w:lang w:eastAsia="zh-CN"/>
        </w:rPr>
        <w:t>7512.9907</w:t>
      </w:r>
      <w:r>
        <w:rPr>
          <w:bCs/>
          <w:sz w:val="24"/>
        </w:rPr>
        <w:t>m</w:t>
      </w:r>
      <w:r>
        <w:rPr>
          <w:bCs/>
          <w:sz w:val="24"/>
          <w:vertAlign w:val="superscript"/>
        </w:rPr>
        <w:t>3</w:t>
      </w:r>
      <w:r>
        <w:rPr>
          <w:bCs/>
          <w:sz w:val="24"/>
        </w:rPr>
        <w:t>/a，夏季</w:t>
      </w:r>
      <w:r>
        <w:rPr>
          <w:rFonts w:hint="eastAsia"/>
          <w:bCs/>
          <w:sz w:val="24"/>
          <w:lang w:eastAsia="zh-CN"/>
        </w:rPr>
        <w:t>23.18</w:t>
      </w:r>
      <w:r>
        <w:rPr>
          <w:bCs/>
          <w:sz w:val="24"/>
        </w:rPr>
        <w:t>m</w:t>
      </w:r>
      <w:r>
        <w:rPr>
          <w:bCs/>
          <w:sz w:val="24"/>
          <w:vertAlign w:val="superscript"/>
        </w:rPr>
        <w:t>3</w:t>
      </w:r>
      <w:r>
        <w:rPr>
          <w:bCs/>
          <w:sz w:val="24"/>
        </w:rPr>
        <w:t>/d，其他季节</w:t>
      </w:r>
      <w:r>
        <w:rPr>
          <w:rFonts w:hint="eastAsia"/>
          <w:bCs/>
          <w:sz w:val="24"/>
          <w:lang w:eastAsia="zh-CN"/>
        </w:rPr>
        <w:t>14.69</w:t>
      </w:r>
      <w:r>
        <w:rPr>
          <w:bCs/>
          <w:sz w:val="24"/>
        </w:rPr>
        <w:t>m</w:t>
      </w:r>
      <w:r>
        <w:rPr>
          <w:bCs/>
          <w:sz w:val="24"/>
          <w:vertAlign w:val="superscript"/>
        </w:rPr>
        <w:t>3</w:t>
      </w:r>
      <w:r>
        <w:rPr>
          <w:bCs/>
          <w:sz w:val="24"/>
        </w:rPr>
        <w:t>/d</w:t>
      </w:r>
      <w:r>
        <w:rPr>
          <w:rFonts w:hint="eastAsia" w:hAnsi="宋体"/>
          <w:bCs/>
          <w:sz w:val="24"/>
        </w:rPr>
        <w:t>，</w:t>
      </w:r>
      <w:r>
        <w:rPr>
          <w:kern w:val="0"/>
          <w:sz w:val="24"/>
          <w:lang w:bidi="ar"/>
        </w:rPr>
        <w:t>项目废水经场区污水处理工程进行处理，该污水处理工程采用</w:t>
      </w:r>
      <w:r>
        <w:rPr>
          <w:rFonts w:hint="eastAsia"/>
          <w:kern w:val="0"/>
          <w:sz w:val="24"/>
          <w:lang w:bidi="ar"/>
        </w:rPr>
        <w:t>黑膜沼气池</w:t>
      </w:r>
      <w:r>
        <w:rPr>
          <w:kern w:val="0"/>
          <w:sz w:val="24"/>
          <w:lang w:bidi="ar"/>
        </w:rPr>
        <w:t>的处理工艺。经处理后废水成为液态</w:t>
      </w:r>
      <w:r>
        <w:rPr>
          <w:rFonts w:hint="eastAsia"/>
          <w:kern w:val="0"/>
          <w:sz w:val="24"/>
          <w:lang w:bidi="ar"/>
        </w:rPr>
        <w:t>农</w:t>
      </w:r>
      <w:r>
        <w:rPr>
          <w:kern w:val="0"/>
          <w:sz w:val="24"/>
          <w:lang w:bidi="ar"/>
        </w:rPr>
        <w:t>肥，达到《粪便无害化卫生标准》（GB7959-87），全部用于还田。</w:t>
      </w:r>
    </w:p>
    <w:p>
      <w:pPr>
        <w:spacing w:line="500" w:lineRule="exact"/>
        <w:ind w:firstLine="480" w:firstLineChars="200"/>
        <w:rPr>
          <w:sz w:val="24"/>
        </w:rPr>
      </w:pPr>
      <w:r>
        <w:rPr>
          <w:kern w:val="0"/>
          <w:sz w:val="24"/>
          <w:lang w:bidi="ar"/>
        </w:rPr>
        <w:t>经上述措施处理后，废水实现资源化利用不排入地表水体，措施可行。</w:t>
      </w:r>
    </w:p>
    <w:p>
      <w:pPr>
        <w:pStyle w:val="2"/>
        <w:snapToGrid w:val="0"/>
        <w:spacing w:before="0" w:after="0" w:line="520" w:lineRule="exact"/>
        <w:rPr>
          <w:rFonts w:eastAsia="黑体"/>
          <w:b w:val="0"/>
          <w:bCs w:val="0"/>
          <w:sz w:val="24"/>
          <w:szCs w:val="24"/>
        </w:rPr>
      </w:pPr>
      <w:r>
        <w:rPr>
          <w:rFonts w:eastAsia="黑体"/>
          <w:b w:val="0"/>
          <w:bCs w:val="0"/>
          <w:sz w:val="24"/>
          <w:szCs w:val="24"/>
        </w:rPr>
        <w:t>8.4.3 噪声</w:t>
      </w:r>
    </w:p>
    <w:p>
      <w:pPr>
        <w:spacing w:line="500" w:lineRule="exact"/>
        <w:ind w:firstLine="480" w:firstLineChars="200"/>
        <w:rPr>
          <w:sz w:val="24"/>
        </w:rPr>
      </w:pPr>
      <w:r>
        <w:rPr>
          <w:kern w:val="0"/>
          <w:sz w:val="24"/>
          <w:lang w:bidi="ar"/>
        </w:rPr>
        <w:t>噪声主要为猪叫声、猪舍降温配套负压风机、水泵、气泵等设备运行时产生的噪声，根据类比调查，其源强为65～80 dB(A)。在采取相应的隔声减振措施后，经距离衰减各场界噪声均能够满足《工业企业厂界环境噪声排放标准》（GB12348—2008）2类标准（昼间55dB(A)；夜间45dB(A)）要求。</w:t>
      </w:r>
    </w:p>
    <w:p>
      <w:pPr>
        <w:pStyle w:val="2"/>
        <w:snapToGrid w:val="0"/>
        <w:spacing w:before="0" w:after="0" w:line="520" w:lineRule="exact"/>
        <w:rPr>
          <w:rFonts w:eastAsia="黑体"/>
          <w:b w:val="0"/>
          <w:bCs w:val="0"/>
          <w:sz w:val="24"/>
          <w:szCs w:val="24"/>
        </w:rPr>
      </w:pPr>
      <w:r>
        <w:rPr>
          <w:rFonts w:eastAsia="黑体"/>
          <w:b w:val="0"/>
          <w:bCs w:val="0"/>
          <w:sz w:val="24"/>
          <w:szCs w:val="24"/>
        </w:rPr>
        <w:t>8.4.4 固体废物</w:t>
      </w:r>
    </w:p>
    <w:p>
      <w:pPr>
        <w:spacing w:line="520" w:lineRule="exact"/>
        <w:ind w:firstLine="480" w:firstLineChars="200"/>
        <w:rPr>
          <w:spacing w:val="-6"/>
          <w:sz w:val="24"/>
        </w:rPr>
      </w:pPr>
      <w:bookmarkStart w:id="565" w:name="_Toc472009624"/>
      <w:bookmarkEnd w:id="565"/>
      <w:r>
        <w:rPr>
          <w:bCs/>
          <w:sz w:val="24"/>
        </w:rPr>
        <w:t>本项目产生的固体废物主要包括猪粪固形物、厌氧发酵后的沼渣、养殖过程产生的少量病死猪尸、疾病防疫产生的医疗废物、废脱硫剂及职工生活垃圾等。其中医疗废物产生量为</w:t>
      </w:r>
      <w:r>
        <w:rPr>
          <w:rFonts w:hint="eastAsia"/>
          <w:bCs/>
          <w:sz w:val="24"/>
          <w:lang w:eastAsia="zh-CN"/>
        </w:rPr>
        <w:t>0.021</w:t>
      </w:r>
      <w:r>
        <w:rPr>
          <w:bCs/>
          <w:sz w:val="24"/>
        </w:rPr>
        <w:t>t/a，</w:t>
      </w:r>
      <w:r>
        <w:rPr>
          <w:rFonts w:hAnsi="宋体"/>
          <w:bCs/>
          <w:sz w:val="24"/>
        </w:rPr>
        <w:t>定期交由</w:t>
      </w:r>
      <w:r>
        <w:rPr>
          <w:rFonts w:hint="eastAsia" w:hAnsi="宋体"/>
          <w:sz w:val="24"/>
        </w:rPr>
        <w:t>危废资质的单位处理</w:t>
      </w:r>
      <w:r>
        <w:rPr>
          <w:bCs/>
          <w:sz w:val="24"/>
        </w:rPr>
        <w:t>；病死猪尸产生量为7.8t/a，</w:t>
      </w:r>
      <w:r>
        <w:rPr>
          <w:rFonts w:hint="eastAsia"/>
          <w:bCs/>
          <w:sz w:val="24"/>
        </w:rPr>
        <w:t>病死猪经冷藏车送至正阳县畜禽</w:t>
      </w:r>
      <w:r>
        <w:rPr>
          <w:bCs/>
          <w:sz w:val="24"/>
        </w:rPr>
        <w:t>无害化处理中心处置；猪粪产生量为</w:t>
      </w:r>
      <w:r>
        <w:rPr>
          <w:rFonts w:hint="eastAsia"/>
          <w:bCs/>
          <w:sz w:val="24"/>
          <w:lang w:eastAsia="zh-CN"/>
        </w:rPr>
        <w:t>1549.863</w:t>
      </w:r>
      <w:r>
        <w:rPr>
          <w:bCs/>
          <w:sz w:val="24"/>
        </w:rPr>
        <w:t>t/a，</w:t>
      </w:r>
      <w:r>
        <w:rPr>
          <w:rFonts w:hint="eastAsia"/>
          <w:bCs/>
          <w:sz w:val="24"/>
        </w:rPr>
        <w:t>用于</w:t>
      </w:r>
      <w:r>
        <w:rPr>
          <w:bCs/>
          <w:sz w:val="24"/>
        </w:rPr>
        <w:t>生产有机肥</w:t>
      </w:r>
      <w:r>
        <w:rPr>
          <w:rFonts w:hint="eastAsia"/>
          <w:bCs/>
          <w:sz w:val="24"/>
        </w:rPr>
        <w:t>基料</w:t>
      </w:r>
      <w:r>
        <w:rPr>
          <w:bCs/>
          <w:sz w:val="24"/>
        </w:rPr>
        <w:t>，沼渣产生量为</w:t>
      </w:r>
      <w:r>
        <w:rPr>
          <w:rFonts w:hint="eastAsia"/>
          <w:bCs/>
          <w:sz w:val="24"/>
          <w:lang w:eastAsia="zh-CN"/>
        </w:rPr>
        <w:t>309.9726</w:t>
      </w:r>
      <w:r>
        <w:rPr>
          <w:bCs/>
          <w:sz w:val="24"/>
        </w:rPr>
        <w:t>t/a，</w:t>
      </w:r>
      <w:r>
        <w:rPr>
          <w:rFonts w:hint="eastAsia"/>
          <w:bCs/>
          <w:sz w:val="24"/>
        </w:rPr>
        <w:t>经干化</w:t>
      </w:r>
      <w:r>
        <w:rPr>
          <w:bCs/>
          <w:sz w:val="24"/>
        </w:rPr>
        <w:t>后作为有机肥</w:t>
      </w:r>
      <w:r>
        <w:rPr>
          <w:rFonts w:hint="eastAsia"/>
          <w:bCs/>
          <w:sz w:val="24"/>
        </w:rPr>
        <w:t>基料</w:t>
      </w:r>
      <w:r>
        <w:rPr>
          <w:bCs/>
          <w:sz w:val="24"/>
        </w:rPr>
        <w:t>外售；废脱硫剂产生量为</w:t>
      </w:r>
      <w:r>
        <w:rPr>
          <w:rFonts w:hint="eastAsia"/>
          <w:bCs/>
          <w:sz w:val="24"/>
          <w:lang w:eastAsia="zh-CN"/>
        </w:rPr>
        <w:t>0.043</w:t>
      </w:r>
      <w:r>
        <w:rPr>
          <w:bCs/>
          <w:sz w:val="24"/>
        </w:rPr>
        <w:t>t/a，由厂家回收；职工生活垃圾产生量为1.825t/a，集中收集后交由环卫部门处置。</w:t>
      </w:r>
    </w:p>
    <w:p>
      <w:pPr>
        <w:snapToGrid w:val="0"/>
        <w:spacing w:line="520" w:lineRule="exact"/>
        <w:outlineLvl w:val="1"/>
        <w:rPr>
          <w:rFonts w:eastAsia="黑体"/>
          <w:bCs/>
          <w:sz w:val="28"/>
          <w:szCs w:val="28"/>
        </w:rPr>
      </w:pPr>
      <w:bookmarkStart w:id="566" w:name="_Toc31495"/>
      <w:r>
        <w:rPr>
          <w:rFonts w:eastAsia="黑体"/>
          <w:bCs/>
          <w:sz w:val="28"/>
          <w:szCs w:val="28"/>
        </w:rPr>
        <w:t>8.5环境影响分析</w:t>
      </w:r>
      <w:bookmarkEnd w:id="566"/>
    </w:p>
    <w:p>
      <w:pPr>
        <w:pStyle w:val="2"/>
        <w:snapToGrid w:val="0"/>
        <w:spacing w:before="0" w:after="0" w:line="520" w:lineRule="exact"/>
        <w:rPr>
          <w:rFonts w:eastAsia="黑体"/>
          <w:b w:val="0"/>
          <w:bCs w:val="0"/>
          <w:sz w:val="24"/>
          <w:szCs w:val="24"/>
        </w:rPr>
      </w:pPr>
      <w:r>
        <w:rPr>
          <w:rFonts w:eastAsia="黑体"/>
          <w:b w:val="0"/>
          <w:bCs w:val="0"/>
          <w:sz w:val="24"/>
          <w:szCs w:val="24"/>
        </w:rPr>
        <w:t>8.5.1地表水</w:t>
      </w:r>
    </w:p>
    <w:p>
      <w:pPr>
        <w:spacing w:line="520" w:lineRule="exact"/>
        <w:ind w:firstLine="480" w:firstLineChars="200"/>
        <w:rPr>
          <w:bCs/>
          <w:sz w:val="24"/>
          <w:u w:val="single"/>
        </w:rPr>
      </w:pPr>
      <w:r>
        <w:rPr>
          <w:sz w:val="24"/>
          <w:lang w:bidi="ar"/>
        </w:rPr>
        <w:t>本项目废水主要为养殖废水和生活废水，</w:t>
      </w:r>
      <w:r>
        <w:rPr>
          <w:kern w:val="0"/>
          <w:sz w:val="24"/>
          <w:lang w:bidi="ar"/>
        </w:rPr>
        <w:t>本项目废水主要为养殖废水和生活废水</w:t>
      </w:r>
      <w:r>
        <w:rPr>
          <w:rFonts w:hint="eastAsia"/>
          <w:kern w:val="0"/>
          <w:sz w:val="24"/>
          <w:lang w:bidi="ar"/>
        </w:rPr>
        <w:t>总量</w:t>
      </w:r>
      <w:r>
        <w:rPr>
          <w:kern w:val="0"/>
          <w:sz w:val="24"/>
          <w:lang w:bidi="ar"/>
        </w:rPr>
        <w:t>为</w:t>
      </w:r>
      <w:r>
        <w:rPr>
          <w:rFonts w:hint="eastAsia"/>
          <w:bCs/>
          <w:sz w:val="24"/>
          <w:lang w:eastAsia="zh-CN"/>
        </w:rPr>
        <w:t>7512.9907</w:t>
      </w:r>
      <w:r>
        <w:rPr>
          <w:bCs/>
          <w:sz w:val="24"/>
        </w:rPr>
        <w:t>m</w:t>
      </w:r>
      <w:r>
        <w:rPr>
          <w:bCs/>
          <w:sz w:val="24"/>
          <w:vertAlign w:val="superscript"/>
        </w:rPr>
        <w:t>3</w:t>
      </w:r>
      <w:r>
        <w:rPr>
          <w:bCs/>
          <w:sz w:val="24"/>
        </w:rPr>
        <w:t>/a，夏季</w:t>
      </w:r>
      <w:r>
        <w:rPr>
          <w:rFonts w:hint="eastAsia"/>
          <w:bCs/>
          <w:sz w:val="24"/>
          <w:lang w:eastAsia="zh-CN"/>
        </w:rPr>
        <w:t>23.18</w:t>
      </w:r>
      <w:r>
        <w:rPr>
          <w:bCs/>
          <w:sz w:val="24"/>
        </w:rPr>
        <w:t>m</w:t>
      </w:r>
      <w:r>
        <w:rPr>
          <w:bCs/>
          <w:sz w:val="24"/>
          <w:vertAlign w:val="superscript"/>
        </w:rPr>
        <w:t>3</w:t>
      </w:r>
      <w:r>
        <w:rPr>
          <w:bCs/>
          <w:sz w:val="24"/>
        </w:rPr>
        <w:t>/d，其他季节</w:t>
      </w:r>
      <w:r>
        <w:rPr>
          <w:rFonts w:hint="eastAsia"/>
          <w:bCs/>
          <w:sz w:val="24"/>
          <w:lang w:eastAsia="zh-CN"/>
        </w:rPr>
        <w:t>14.69</w:t>
      </w:r>
      <w:r>
        <w:rPr>
          <w:bCs/>
          <w:sz w:val="24"/>
        </w:rPr>
        <w:t>m</w:t>
      </w:r>
      <w:r>
        <w:rPr>
          <w:bCs/>
          <w:sz w:val="24"/>
          <w:vertAlign w:val="superscript"/>
        </w:rPr>
        <w:t>3</w:t>
      </w:r>
      <w:r>
        <w:rPr>
          <w:bCs/>
          <w:sz w:val="24"/>
        </w:rPr>
        <w:t>/d</w:t>
      </w:r>
      <w:r>
        <w:rPr>
          <w:rFonts w:hAnsi="宋体"/>
          <w:bCs/>
          <w:sz w:val="24"/>
        </w:rPr>
        <w:t>。</w:t>
      </w:r>
      <w:r>
        <w:rPr>
          <w:sz w:val="24"/>
          <w:lang w:bidi="ar"/>
        </w:rPr>
        <w:t>项目废水经场区污水处理工程进行处理，该污水处理工程采用“</w:t>
      </w:r>
      <w:r>
        <w:rPr>
          <w:rFonts w:hint="eastAsia"/>
          <w:sz w:val="24"/>
          <w:lang w:bidi="ar"/>
        </w:rPr>
        <w:t>黑膜沼气池</w:t>
      </w:r>
      <w:r>
        <w:rPr>
          <w:sz w:val="24"/>
          <w:lang w:bidi="ar"/>
        </w:rPr>
        <w:t>”的处理工艺。经处理后废水成为液态</w:t>
      </w:r>
      <w:r>
        <w:rPr>
          <w:rFonts w:hint="eastAsia"/>
          <w:sz w:val="24"/>
          <w:lang w:bidi="ar"/>
        </w:rPr>
        <w:t>农肥</w:t>
      </w:r>
      <w:r>
        <w:rPr>
          <w:sz w:val="24"/>
          <w:lang w:bidi="ar"/>
        </w:rPr>
        <w:t>，达到《粪便无害化卫生标准》（GB7959-87），全部用于还田。因此本项目运营期产生的养殖废水，对周边环境的影响不大。</w:t>
      </w:r>
    </w:p>
    <w:p>
      <w:pPr>
        <w:pStyle w:val="2"/>
        <w:spacing w:before="0" w:after="0" w:line="520" w:lineRule="exact"/>
        <w:rPr>
          <w:rFonts w:eastAsia="黑体"/>
          <w:b w:val="0"/>
          <w:sz w:val="24"/>
          <w:szCs w:val="24"/>
        </w:rPr>
      </w:pPr>
      <w:r>
        <w:rPr>
          <w:rFonts w:eastAsia="黑体"/>
          <w:b w:val="0"/>
          <w:sz w:val="24"/>
          <w:szCs w:val="24"/>
        </w:rPr>
        <w:t>8.5.2环境空气</w:t>
      </w:r>
    </w:p>
    <w:p>
      <w:pPr>
        <w:adjustRightInd w:val="0"/>
        <w:snapToGrid w:val="0"/>
        <w:spacing w:line="520" w:lineRule="exact"/>
        <w:ind w:firstLine="480" w:firstLineChars="200"/>
        <w:rPr>
          <w:sz w:val="24"/>
          <w:lang w:bidi="ar"/>
        </w:rPr>
      </w:pPr>
      <w:r>
        <w:rPr>
          <w:rFonts w:hint="eastAsia"/>
          <w:sz w:val="24"/>
          <w:lang w:bidi="ar"/>
        </w:rPr>
        <w:t>（1）项目</w:t>
      </w:r>
      <w:r>
        <w:rPr>
          <w:sz w:val="24"/>
          <w:lang w:bidi="ar"/>
        </w:rPr>
        <w:t>大气污染物无组织排放核算见下表。</w:t>
      </w:r>
    </w:p>
    <w:p>
      <w:pPr>
        <w:adjustRightInd w:val="0"/>
        <w:snapToGrid w:val="0"/>
        <w:spacing w:line="520" w:lineRule="exact"/>
        <w:ind w:firstLine="480" w:firstLineChars="200"/>
        <w:rPr>
          <w:rFonts w:hint="eastAsia"/>
          <w:kern w:val="0"/>
          <w:sz w:val="24"/>
          <w:lang w:bidi="ar"/>
        </w:rPr>
      </w:pPr>
      <w:r>
        <w:rPr>
          <w:rFonts w:hint="eastAsia"/>
          <w:kern w:val="0"/>
          <w:sz w:val="24"/>
          <w:lang w:bidi="ar"/>
        </w:rPr>
        <w:t>大气污染物无组织排放核算及全场污染物年排放量核算情况</w:t>
      </w:r>
      <w:r>
        <w:rPr>
          <w:kern w:val="0"/>
          <w:sz w:val="24"/>
          <w:lang w:bidi="ar"/>
        </w:rPr>
        <w:t>：</w:t>
      </w:r>
    </w:p>
    <w:p>
      <w:pPr>
        <w:spacing w:line="520" w:lineRule="exact"/>
        <w:ind w:firstLine="480" w:firstLineChars="200"/>
        <w:jc w:val="center"/>
        <w:rPr>
          <w:b/>
          <w:kern w:val="0"/>
          <w:sz w:val="24"/>
          <w:lang w:bidi="ar"/>
        </w:rPr>
      </w:pPr>
      <w:r>
        <w:rPr>
          <w:b/>
          <w:kern w:val="0"/>
          <w:sz w:val="24"/>
          <w:lang w:bidi="ar"/>
        </w:rPr>
        <w:t>表8-1   大气污染物无组织排放量核算表</w:t>
      </w:r>
    </w:p>
    <w:tbl>
      <w:tblPr>
        <w:tblStyle w:val="17"/>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508"/>
        <w:gridCol w:w="755"/>
        <w:gridCol w:w="912"/>
        <w:gridCol w:w="902"/>
        <w:gridCol w:w="1618"/>
        <w:gridCol w:w="1943"/>
        <w:gridCol w:w="1176"/>
        <w:gridCol w:w="113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509" w:type="dxa"/>
            <w:vMerge w:val="restart"/>
            <w:noWrap w:val="0"/>
            <w:vAlign w:val="center"/>
          </w:tcPr>
          <w:p>
            <w:pPr>
              <w:jc w:val="center"/>
              <w:rPr>
                <w:kern w:val="0"/>
                <w:szCs w:val="21"/>
                <w:lang w:bidi="ar"/>
              </w:rPr>
            </w:pPr>
            <w:r>
              <w:rPr>
                <w:kern w:val="0"/>
                <w:szCs w:val="21"/>
                <w:lang w:bidi="ar"/>
              </w:rPr>
              <w:t>序号</w:t>
            </w:r>
          </w:p>
        </w:tc>
        <w:tc>
          <w:tcPr>
            <w:tcW w:w="755" w:type="dxa"/>
            <w:vMerge w:val="restart"/>
            <w:noWrap w:val="0"/>
            <w:vAlign w:val="center"/>
          </w:tcPr>
          <w:p>
            <w:pPr>
              <w:jc w:val="center"/>
              <w:rPr>
                <w:kern w:val="0"/>
                <w:szCs w:val="21"/>
                <w:lang w:bidi="ar"/>
              </w:rPr>
            </w:pPr>
            <w:r>
              <w:rPr>
                <w:kern w:val="0"/>
                <w:szCs w:val="21"/>
                <w:lang w:bidi="ar"/>
              </w:rPr>
              <w:t>排放口编号</w:t>
            </w:r>
          </w:p>
        </w:tc>
        <w:tc>
          <w:tcPr>
            <w:tcW w:w="912" w:type="dxa"/>
            <w:vMerge w:val="restart"/>
            <w:noWrap w:val="0"/>
            <w:vAlign w:val="center"/>
          </w:tcPr>
          <w:p>
            <w:pPr>
              <w:jc w:val="center"/>
              <w:rPr>
                <w:kern w:val="0"/>
                <w:szCs w:val="21"/>
                <w:lang w:bidi="ar"/>
              </w:rPr>
            </w:pPr>
            <w:r>
              <w:rPr>
                <w:kern w:val="0"/>
                <w:szCs w:val="21"/>
                <w:lang w:bidi="ar"/>
              </w:rPr>
              <w:t>产污环节</w:t>
            </w:r>
          </w:p>
        </w:tc>
        <w:tc>
          <w:tcPr>
            <w:tcW w:w="902" w:type="dxa"/>
            <w:vMerge w:val="restart"/>
            <w:noWrap w:val="0"/>
            <w:vAlign w:val="center"/>
          </w:tcPr>
          <w:p>
            <w:pPr>
              <w:jc w:val="center"/>
              <w:rPr>
                <w:kern w:val="0"/>
                <w:szCs w:val="21"/>
                <w:lang w:bidi="ar"/>
              </w:rPr>
            </w:pPr>
            <w:r>
              <w:rPr>
                <w:kern w:val="0"/>
                <w:szCs w:val="21"/>
                <w:lang w:bidi="ar"/>
              </w:rPr>
              <w:t>污染物</w:t>
            </w:r>
          </w:p>
        </w:tc>
        <w:tc>
          <w:tcPr>
            <w:tcW w:w="1619" w:type="dxa"/>
            <w:vMerge w:val="restart"/>
            <w:noWrap w:val="0"/>
            <w:vAlign w:val="center"/>
          </w:tcPr>
          <w:p>
            <w:pPr>
              <w:jc w:val="center"/>
              <w:rPr>
                <w:kern w:val="0"/>
                <w:szCs w:val="21"/>
                <w:lang w:bidi="ar"/>
              </w:rPr>
            </w:pPr>
            <w:r>
              <w:rPr>
                <w:kern w:val="0"/>
                <w:szCs w:val="21"/>
                <w:lang w:bidi="ar"/>
              </w:rPr>
              <w:t>主要污染防治措施</w:t>
            </w:r>
          </w:p>
        </w:tc>
        <w:tc>
          <w:tcPr>
            <w:tcW w:w="3119" w:type="dxa"/>
            <w:gridSpan w:val="2"/>
            <w:noWrap w:val="0"/>
            <w:vAlign w:val="center"/>
          </w:tcPr>
          <w:p>
            <w:pPr>
              <w:jc w:val="center"/>
              <w:rPr>
                <w:kern w:val="0"/>
                <w:szCs w:val="21"/>
                <w:lang w:bidi="ar"/>
              </w:rPr>
            </w:pPr>
            <w:r>
              <w:rPr>
                <w:kern w:val="0"/>
                <w:szCs w:val="21"/>
                <w:lang w:bidi="ar"/>
              </w:rPr>
              <w:t>国家</w:t>
            </w:r>
            <w:r>
              <w:rPr>
                <w:rFonts w:hint="eastAsia"/>
                <w:kern w:val="0"/>
                <w:szCs w:val="21"/>
                <w:lang w:bidi="ar"/>
              </w:rPr>
              <w:t>或</w:t>
            </w:r>
            <w:r>
              <w:rPr>
                <w:kern w:val="0"/>
                <w:szCs w:val="21"/>
                <w:lang w:bidi="ar"/>
              </w:rPr>
              <w:t>地方污染物排放标准</w:t>
            </w:r>
          </w:p>
        </w:tc>
        <w:tc>
          <w:tcPr>
            <w:tcW w:w="1132" w:type="dxa"/>
            <w:vMerge w:val="restart"/>
            <w:noWrap w:val="0"/>
            <w:vAlign w:val="center"/>
          </w:tcPr>
          <w:p>
            <w:pPr>
              <w:jc w:val="center"/>
              <w:rPr>
                <w:kern w:val="0"/>
                <w:szCs w:val="21"/>
                <w:lang w:bidi="ar"/>
              </w:rPr>
            </w:pPr>
            <w:r>
              <w:rPr>
                <w:kern w:val="0"/>
                <w:szCs w:val="21"/>
                <w:lang w:bidi="ar"/>
              </w:rPr>
              <w:t>核算年排放量（t/a）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509" w:type="dxa"/>
            <w:vMerge w:val="continue"/>
            <w:noWrap w:val="0"/>
            <w:vAlign w:val="center"/>
          </w:tcPr>
          <w:p>
            <w:pPr>
              <w:jc w:val="center"/>
              <w:rPr>
                <w:kern w:val="0"/>
                <w:szCs w:val="21"/>
                <w:lang w:bidi="ar"/>
              </w:rPr>
            </w:pPr>
          </w:p>
        </w:tc>
        <w:tc>
          <w:tcPr>
            <w:tcW w:w="755" w:type="dxa"/>
            <w:vMerge w:val="continue"/>
            <w:noWrap w:val="0"/>
            <w:vAlign w:val="center"/>
          </w:tcPr>
          <w:p>
            <w:pPr>
              <w:jc w:val="center"/>
              <w:rPr>
                <w:kern w:val="0"/>
                <w:szCs w:val="21"/>
                <w:lang w:bidi="ar"/>
              </w:rPr>
            </w:pPr>
          </w:p>
        </w:tc>
        <w:tc>
          <w:tcPr>
            <w:tcW w:w="912" w:type="dxa"/>
            <w:vMerge w:val="continue"/>
            <w:noWrap w:val="0"/>
            <w:vAlign w:val="center"/>
          </w:tcPr>
          <w:p>
            <w:pPr>
              <w:jc w:val="center"/>
              <w:rPr>
                <w:kern w:val="0"/>
                <w:szCs w:val="21"/>
                <w:lang w:bidi="ar"/>
              </w:rPr>
            </w:pPr>
          </w:p>
        </w:tc>
        <w:tc>
          <w:tcPr>
            <w:tcW w:w="902" w:type="dxa"/>
            <w:vMerge w:val="continue"/>
            <w:noWrap w:val="0"/>
            <w:vAlign w:val="center"/>
          </w:tcPr>
          <w:p>
            <w:pPr>
              <w:jc w:val="center"/>
              <w:rPr>
                <w:kern w:val="0"/>
                <w:szCs w:val="21"/>
                <w:lang w:bidi="ar"/>
              </w:rPr>
            </w:pPr>
          </w:p>
        </w:tc>
        <w:tc>
          <w:tcPr>
            <w:tcW w:w="1619" w:type="dxa"/>
            <w:vMerge w:val="continue"/>
            <w:noWrap w:val="0"/>
            <w:vAlign w:val="center"/>
          </w:tcPr>
          <w:p>
            <w:pPr>
              <w:jc w:val="center"/>
              <w:rPr>
                <w:kern w:val="0"/>
                <w:szCs w:val="21"/>
                <w:lang w:bidi="ar"/>
              </w:rPr>
            </w:pPr>
          </w:p>
        </w:tc>
        <w:tc>
          <w:tcPr>
            <w:tcW w:w="1943" w:type="dxa"/>
            <w:noWrap w:val="0"/>
            <w:vAlign w:val="center"/>
          </w:tcPr>
          <w:p>
            <w:pPr>
              <w:jc w:val="center"/>
              <w:rPr>
                <w:kern w:val="0"/>
                <w:szCs w:val="21"/>
                <w:lang w:bidi="ar"/>
              </w:rPr>
            </w:pPr>
            <w:r>
              <w:rPr>
                <w:kern w:val="0"/>
                <w:szCs w:val="21"/>
                <w:lang w:bidi="ar"/>
              </w:rPr>
              <w:t>标准名称</w:t>
            </w:r>
          </w:p>
        </w:tc>
        <w:tc>
          <w:tcPr>
            <w:tcW w:w="1176" w:type="dxa"/>
            <w:noWrap w:val="0"/>
            <w:vAlign w:val="center"/>
          </w:tcPr>
          <w:p>
            <w:pPr>
              <w:jc w:val="center"/>
              <w:rPr>
                <w:rFonts w:hint="eastAsia"/>
                <w:kern w:val="0"/>
                <w:szCs w:val="21"/>
                <w:lang w:bidi="ar"/>
              </w:rPr>
            </w:pPr>
            <w:r>
              <w:rPr>
                <w:kern w:val="0"/>
                <w:szCs w:val="21"/>
                <w:lang w:bidi="ar"/>
              </w:rPr>
              <w:t>浓度值</w:t>
            </w:r>
            <w:r>
              <w:rPr>
                <w:rFonts w:hint="eastAsia"/>
                <w:kern w:val="0"/>
                <w:szCs w:val="21"/>
                <w:lang w:bidi="ar"/>
              </w:rPr>
              <w:t>/</w:t>
            </w:r>
            <w:r>
              <w:rPr>
                <w:szCs w:val="21"/>
              </w:rPr>
              <w:t>µg/m</w:t>
            </w:r>
            <w:r>
              <w:rPr>
                <w:szCs w:val="21"/>
                <w:vertAlign w:val="superscript"/>
              </w:rPr>
              <w:t>3</w:t>
            </w:r>
          </w:p>
        </w:tc>
        <w:tc>
          <w:tcPr>
            <w:tcW w:w="1132" w:type="dxa"/>
            <w:vMerge w:val="continue"/>
            <w:noWrap w:val="0"/>
            <w:vAlign w:val="center"/>
          </w:tcPr>
          <w:p>
            <w:pPr>
              <w:jc w:val="center"/>
              <w:rPr>
                <w:kern w:val="0"/>
                <w:szCs w:val="21"/>
                <w:lang w:bidi="ar"/>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548" w:hRule="atLeast"/>
          <w:jc w:val="center"/>
        </w:trPr>
        <w:tc>
          <w:tcPr>
            <w:tcW w:w="509" w:type="dxa"/>
            <w:vMerge w:val="restart"/>
            <w:noWrap w:val="0"/>
            <w:vAlign w:val="center"/>
          </w:tcPr>
          <w:p>
            <w:pPr>
              <w:jc w:val="center"/>
              <w:rPr>
                <w:kern w:val="0"/>
                <w:szCs w:val="21"/>
                <w:lang w:bidi="ar"/>
              </w:rPr>
            </w:pPr>
            <w:r>
              <w:rPr>
                <w:rFonts w:hint="eastAsia"/>
                <w:kern w:val="0"/>
                <w:szCs w:val="21"/>
                <w:lang w:bidi="ar"/>
              </w:rPr>
              <w:t>1有组织</w:t>
            </w:r>
          </w:p>
        </w:tc>
        <w:tc>
          <w:tcPr>
            <w:tcW w:w="755" w:type="dxa"/>
            <w:vMerge w:val="restart"/>
            <w:noWrap w:val="0"/>
            <w:vAlign w:val="center"/>
          </w:tcPr>
          <w:p>
            <w:pPr>
              <w:jc w:val="center"/>
              <w:rPr>
                <w:rFonts w:hint="eastAsia"/>
                <w:kern w:val="0"/>
                <w:szCs w:val="21"/>
                <w:lang w:bidi="ar"/>
              </w:rPr>
            </w:pPr>
            <w:r>
              <w:rPr>
                <w:rFonts w:hint="eastAsia"/>
                <w:kern w:val="0"/>
                <w:szCs w:val="21"/>
                <w:lang w:bidi="ar"/>
              </w:rPr>
              <w:t>沼气燃烧</w:t>
            </w:r>
          </w:p>
        </w:tc>
        <w:tc>
          <w:tcPr>
            <w:tcW w:w="912" w:type="dxa"/>
            <w:vMerge w:val="restart"/>
            <w:noWrap w:val="0"/>
            <w:vAlign w:val="center"/>
          </w:tcPr>
          <w:p>
            <w:pPr>
              <w:jc w:val="center"/>
              <w:rPr>
                <w:rFonts w:hint="eastAsia"/>
                <w:kern w:val="0"/>
                <w:szCs w:val="21"/>
                <w:lang w:bidi="ar"/>
              </w:rPr>
            </w:pPr>
            <w:r>
              <w:rPr>
                <w:rFonts w:hint="eastAsia"/>
                <w:kern w:val="0"/>
                <w:szCs w:val="21"/>
                <w:lang w:bidi="ar"/>
              </w:rPr>
              <w:t>火炬燃烧</w:t>
            </w:r>
          </w:p>
        </w:tc>
        <w:tc>
          <w:tcPr>
            <w:tcW w:w="902" w:type="dxa"/>
            <w:noWrap w:val="0"/>
            <w:vAlign w:val="center"/>
          </w:tcPr>
          <w:p>
            <w:pPr>
              <w:jc w:val="center"/>
              <w:rPr>
                <w:kern w:val="0"/>
                <w:szCs w:val="21"/>
                <w:lang w:bidi="ar"/>
              </w:rPr>
            </w:pPr>
            <w:r>
              <w:rPr>
                <w:rFonts w:hint="eastAsia"/>
                <w:kern w:val="0"/>
                <w:szCs w:val="21"/>
                <w:lang w:bidi="ar"/>
              </w:rPr>
              <w:t>SO</w:t>
            </w:r>
            <w:r>
              <w:rPr>
                <w:kern w:val="0"/>
                <w:szCs w:val="21"/>
                <w:vertAlign w:val="subscript"/>
                <w:lang w:bidi="ar"/>
              </w:rPr>
              <w:t>2</w:t>
            </w:r>
          </w:p>
        </w:tc>
        <w:tc>
          <w:tcPr>
            <w:tcW w:w="1619" w:type="dxa"/>
            <w:vMerge w:val="restart"/>
            <w:noWrap w:val="0"/>
            <w:vAlign w:val="center"/>
          </w:tcPr>
          <w:p>
            <w:pPr>
              <w:jc w:val="center"/>
              <w:rPr>
                <w:rFonts w:hint="eastAsia"/>
                <w:kern w:val="0"/>
                <w:szCs w:val="21"/>
                <w:lang w:bidi="ar"/>
              </w:rPr>
            </w:pPr>
            <w:r>
              <w:rPr>
                <w:rFonts w:hint="eastAsia"/>
                <w:kern w:val="0"/>
                <w:szCs w:val="21"/>
                <w:lang w:bidi="ar"/>
              </w:rPr>
              <w:t>合理利用</w:t>
            </w:r>
            <w:r>
              <w:rPr>
                <w:kern w:val="0"/>
                <w:szCs w:val="21"/>
                <w:lang w:bidi="ar"/>
              </w:rPr>
              <w:t>，燃烧废</w:t>
            </w:r>
            <w:r>
              <w:rPr>
                <w:rFonts w:hint="eastAsia"/>
                <w:kern w:val="0"/>
                <w:szCs w:val="21"/>
                <w:lang w:bidi="ar"/>
              </w:rPr>
              <w:t>由1根8m高排气筒外婆</w:t>
            </w:r>
          </w:p>
        </w:tc>
        <w:tc>
          <w:tcPr>
            <w:tcW w:w="1943" w:type="dxa"/>
            <w:vMerge w:val="restart"/>
            <w:noWrap w:val="0"/>
            <w:vAlign w:val="center"/>
          </w:tcPr>
          <w:p>
            <w:pPr>
              <w:jc w:val="center"/>
              <w:rPr>
                <w:kern w:val="0"/>
                <w:szCs w:val="21"/>
                <w:lang w:bidi="ar"/>
              </w:rPr>
            </w:pPr>
            <w:r>
              <w:rPr>
                <w:kern w:val="0"/>
                <w:szCs w:val="21"/>
                <w:lang w:bidi="ar"/>
              </w:rPr>
              <w:t>《大气污染物</w:t>
            </w:r>
            <w:r>
              <w:rPr>
                <w:rFonts w:hint="eastAsia"/>
                <w:kern w:val="0"/>
                <w:szCs w:val="21"/>
                <w:lang w:bidi="ar"/>
              </w:rPr>
              <w:t>综合</w:t>
            </w:r>
            <w:r>
              <w:rPr>
                <w:kern w:val="0"/>
                <w:szCs w:val="21"/>
                <w:lang w:bidi="ar"/>
              </w:rPr>
              <w:t>排放标准》（GB16297-1996）</w:t>
            </w:r>
          </w:p>
          <w:p>
            <w:pPr>
              <w:jc w:val="center"/>
              <w:rPr>
                <w:kern w:val="0"/>
                <w:szCs w:val="21"/>
                <w:lang w:bidi="ar"/>
              </w:rPr>
            </w:pPr>
            <w:r>
              <w:rPr>
                <w:kern w:val="0"/>
                <w:szCs w:val="21"/>
                <w:lang w:bidi="ar"/>
              </w:rPr>
              <w:t>表2</w:t>
            </w:r>
            <w:r>
              <w:rPr>
                <w:rFonts w:hint="eastAsia"/>
                <w:kern w:val="0"/>
                <w:szCs w:val="21"/>
                <w:lang w:bidi="ar"/>
              </w:rPr>
              <w:t>限制要求</w:t>
            </w:r>
            <w:r>
              <w:rPr>
                <w:kern w:val="0"/>
                <w:szCs w:val="21"/>
                <w:lang w:bidi="ar"/>
              </w:rPr>
              <w:t xml:space="preserve"> </w:t>
            </w:r>
          </w:p>
        </w:tc>
        <w:tc>
          <w:tcPr>
            <w:tcW w:w="1176" w:type="dxa"/>
            <w:noWrap w:val="0"/>
            <w:vAlign w:val="center"/>
          </w:tcPr>
          <w:p>
            <w:pPr>
              <w:jc w:val="center"/>
              <w:rPr>
                <w:rFonts w:hint="default" w:eastAsia="宋体"/>
                <w:color w:val="000000"/>
                <w:lang w:val="en-US" w:eastAsia="zh-CN"/>
              </w:rPr>
            </w:pPr>
            <w:r>
              <w:rPr>
                <w:rFonts w:hint="eastAsia"/>
                <w:szCs w:val="21"/>
                <w:lang w:val="en-US" w:eastAsia="zh-CN"/>
              </w:rPr>
              <w:t>400</w:t>
            </w:r>
          </w:p>
        </w:tc>
        <w:tc>
          <w:tcPr>
            <w:tcW w:w="1132"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kern w:val="0"/>
                <w:szCs w:val="21"/>
                <w:lang w:eastAsia="zh-CN" w:bidi="ar"/>
              </w:rPr>
            </w:pPr>
            <w:r>
              <w:rPr>
                <w:rFonts w:hint="eastAsia"/>
                <w:szCs w:val="21"/>
                <w:lang w:eastAsia="zh-CN" w:bidi="ar"/>
              </w:rPr>
              <w:t>0.00089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509" w:type="dxa"/>
            <w:vMerge w:val="continue"/>
            <w:noWrap w:val="0"/>
            <w:vAlign w:val="center"/>
          </w:tcPr>
          <w:p>
            <w:pPr>
              <w:jc w:val="center"/>
              <w:rPr>
                <w:rFonts w:hint="eastAsia"/>
                <w:kern w:val="0"/>
                <w:szCs w:val="21"/>
                <w:lang w:bidi="ar"/>
              </w:rPr>
            </w:pPr>
          </w:p>
        </w:tc>
        <w:tc>
          <w:tcPr>
            <w:tcW w:w="755" w:type="dxa"/>
            <w:vMerge w:val="continue"/>
            <w:noWrap w:val="0"/>
            <w:vAlign w:val="center"/>
          </w:tcPr>
          <w:p>
            <w:pPr>
              <w:jc w:val="center"/>
              <w:rPr>
                <w:rFonts w:hint="eastAsia"/>
                <w:kern w:val="0"/>
                <w:szCs w:val="21"/>
                <w:lang w:bidi="ar"/>
              </w:rPr>
            </w:pPr>
          </w:p>
        </w:tc>
        <w:tc>
          <w:tcPr>
            <w:tcW w:w="912" w:type="dxa"/>
            <w:vMerge w:val="continue"/>
            <w:noWrap w:val="0"/>
            <w:vAlign w:val="center"/>
          </w:tcPr>
          <w:p>
            <w:pPr>
              <w:jc w:val="center"/>
              <w:rPr>
                <w:rFonts w:hint="eastAsia"/>
                <w:kern w:val="0"/>
                <w:szCs w:val="21"/>
                <w:lang w:bidi="ar"/>
              </w:rPr>
            </w:pPr>
          </w:p>
        </w:tc>
        <w:tc>
          <w:tcPr>
            <w:tcW w:w="902" w:type="dxa"/>
            <w:noWrap w:val="0"/>
            <w:vAlign w:val="center"/>
          </w:tcPr>
          <w:p>
            <w:pPr>
              <w:jc w:val="center"/>
              <w:rPr>
                <w:kern w:val="0"/>
                <w:szCs w:val="21"/>
                <w:lang w:bidi="ar"/>
              </w:rPr>
            </w:pPr>
            <w:r>
              <w:rPr>
                <w:rFonts w:hint="eastAsia"/>
                <w:kern w:val="0"/>
                <w:szCs w:val="21"/>
                <w:lang w:bidi="ar"/>
              </w:rPr>
              <w:t>NO</w:t>
            </w:r>
            <w:r>
              <w:rPr>
                <w:rFonts w:hint="eastAsia"/>
                <w:kern w:val="0"/>
                <w:szCs w:val="21"/>
                <w:vertAlign w:val="subscript"/>
                <w:lang w:bidi="ar"/>
              </w:rPr>
              <w:t>x</w:t>
            </w:r>
          </w:p>
        </w:tc>
        <w:tc>
          <w:tcPr>
            <w:tcW w:w="1619" w:type="dxa"/>
            <w:vMerge w:val="continue"/>
            <w:noWrap w:val="0"/>
            <w:vAlign w:val="center"/>
          </w:tcPr>
          <w:p>
            <w:pPr>
              <w:jc w:val="center"/>
              <w:rPr>
                <w:kern w:val="0"/>
                <w:szCs w:val="21"/>
                <w:lang w:bidi="ar"/>
              </w:rPr>
            </w:pPr>
          </w:p>
        </w:tc>
        <w:tc>
          <w:tcPr>
            <w:tcW w:w="1943" w:type="dxa"/>
            <w:vMerge w:val="continue"/>
            <w:noWrap w:val="0"/>
            <w:vAlign w:val="center"/>
          </w:tcPr>
          <w:p>
            <w:pPr>
              <w:jc w:val="center"/>
              <w:rPr>
                <w:kern w:val="0"/>
                <w:szCs w:val="21"/>
                <w:lang w:bidi="ar"/>
              </w:rPr>
            </w:pPr>
          </w:p>
        </w:tc>
        <w:tc>
          <w:tcPr>
            <w:tcW w:w="1176" w:type="dxa"/>
            <w:noWrap w:val="0"/>
            <w:vAlign w:val="center"/>
          </w:tcPr>
          <w:p>
            <w:pPr>
              <w:jc w:val="center"/>
              <w:rPr>
                <w:rFonts w:hint="default" w:eastAsia="宋体"/>
                <w:color w:val="000000"/>
                <w:lang w:val="en-US" w:eastAsia="zh-CN"/>
              </w:rPr>
            </w:pPr>
            <w:r>
              <w:rPr>
                <w:rFonts w:hint="eastAsia"/>
                <w:spacing w:val="-4"/>
                <w:szCs w:val="21"/>
                <w:lang w:val="en-US" w:eastAsia="zh-CN"/>
              </w:rPr>
              <w:t>120</w:t>
            </w:r>
          </w:p>
        </w:tc>
        <w:tc>
          <w:tcPr>
            <w:tcW w:w="1132"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kern w:val="0"/>
                <w:szCs w:val="21"/>
                <w:lang w:bidi="ar"/>
              </w:rPr>
            </w:pPr>
            <w:r>
              <w:rPr>
                <w:rFonts w:hint="eastAsia"/>
                <w:szCs w:val="21"/>
                <w:lang w:val="en-US" w:eastAsia="zh-CN" w:bidi="ar"/>
              </w:rPr>
              <w:t>0.029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509" w:type="dxa"/>
            <w:vMerge w:val="restart"/>
            <w:noWrap w:val="0"/>
            <w:vAlign w:val="center"/>
          </w:tcPr>
          <w:p>
            <w:pPr>
              <w:jc w:val="center"/>
              <w:rPr>
                <w:kern w:val="0"/>
                <w:szCs w:val="21"/>
                <w:lang w:bidi="ar"/>
              </w:rPr>
            </w:pPr>
            <w:r>
              <w:rPr>
                <w:kern w:val="0"/>
                <w:szCs w:val="21"/>
                <w:lang w:bidi="ar"/>
              </w:rPr>
              <w:t>2</w:t>
            </w:r>
            <w:r>
              <w:rPr>
                <w:rFonts w:hint="eastAsia"/>
                <w:kern w:val="0"/>
                <w:szCs w:val="21"/>
                <w:lang w:bidi="ar"/>
              </w:rPr>
              <w:t>无组织</w:t>
            </w:r>
          </w:p>
        </w:tc>
        <w:tc>
          <w:tcPr>
            <w:tcW w:w="755" w:type="dxa"/>
            <w:vMerge w:val="restart"/>
            <w:noWrap w:val="0"/>
            <w:vAlign w:val="center"/>
          </w:tcPr>
          <w:p>
            <w:pPr>
              <w:jc w:val="center"/>
              <w:rPr>
                <w:kern w:val="0"/>
                <w:szCs w:val="21"/>
                <w:lang w:bidi="ar"/>
              </w:rPr>
            </w:pPr>
            <w:r>
              <w:rPr>
                <w:rFonts w:hint="eastAsia"/>
                <w:kern w:val="0"/>
                <w:szCs w:val="21"/>
                <w:lang w:bidi="ar"/>
              </w:rPr>
              <w:t>养殖场</w:t>
            </w:r>
          </w:p>
        </w:tc>
        <w:tc>
          <w:tcPr>
            <w:tcW w:w="912" w:type="dxa"/>
            <w:vMerge w:val="restart"/>
            <w:noWrap w:val="0"/>
            <w:vAlign w:val="center"/>
          </w:tcPr>
          <w:p>
            <w:pPr>
              <w:jc w:val="center"/>
              <w:rPr>
                <w:szCs w:val="21"/>
              </w:rPr>
            </w:pPr>
            <w:r>
              <w:rPr>
                <w:szCs w:val="21"/>
              </w:rPr>
              <w:t>养殖</w:t>
            </w:r>
            <w:r>
              <w:rPr>
                <w:rFonts w:hint="eastAsia"/>
                <w:szCs w:val="21"/>
              </w:rPr>
              <w:t>、</w:t>
            </w:r>
            <w:r>
              <w:rPr>
                <w:szCs w:val="21"/>
              </w:rPr>
              <w:t>固粪及污水处理过程</w:t>
            </w:r>
          </w:p>
        </w:tc>
        <w:tc>
          <w:tcPr>
            <w:tcW w:w="902" w:type="dxa"/>
            <w:noWrap w:val="0"/>
            <w:vAlign w:val="center"/>
          </w:tcPr>
          <w:p>
            <w:pPr>
              <w:jc w:val="center"/>
              <w:rPr>
                <w:kern w:val="0"/>
                <w:szCs w:val="21"/>
                <w:lang w:bidi="ar"/>
              </w:rPr>
            </w:pPr>
            <w:r>
              <w:rPr>
                <w:szCs w:val="21"/>
              </w:rPr>
              <w:t>NH</w:t>
            </w:r>
            <w:r>
              <w:rPr>
                <w:szCs w:val="21"/>
                <w:vertAlign w:val="subscript"/>
              </w:rPr>
              <w:t>3</w:t>
            </w:r>
          </w:p>
        </w:tc>
        <w:tc>
          <w:tcPr>
            <w:tcW w:w="1619" w:type="dxa"/>
            <w:vMerge w:val="restart"/>
            <w:noWrap w:val="0"/>
            <w:vAlign w:val="center"/>
          </w:tcPr>
          <w:p>
            <w:pPr>
              <w:jc w:val="center"/>
              <w:rPr>
                <w:kern w:val="0"/>
                <w:szCs w:val="21"/>
                <w:lang w:bidi="ar"/>
              </w:rPr>
            </w:pPr>
            <w:r>
              <w:rPr>
                <w:szCs w:val="21"/>
              </w:rPr>
              <w:t>控制养殖密度、及时清粪、</w:t>
            </w:r>
            <w:r>
              <w:rPr>
                <w:rFonts w:hint="eastAsia"/>
                <w:szCs w:val="21"/>
              </w:rPr>
              <w:t>沼液储存池</w:t>
            </w:r>
            <w:r>
              <w:rPr>
                <w:szCs w:val="21"/>
              </w:rPr>
              <w:t>密闭、喷洒除臭剂、</w:t>
            </w:r>
            <w:r>
              <w:rPr>
                <w:rFonts w:hint="eastAsia"/>
                <w:szCs w:val="21"/>
              </w:rPr>
              <w:t>种植</w:t>
            </w:r>
            <w:r>
              <w:rPr>
                <w:szCs w:val="21"/>
              </w:rPr>
              <w:t>吸附恶臭绿植</w:t>
            </w:r>
          </w:p>
        </w:tc>
        <w:tc>
          <w:tcPr>
            <w:tcW w:w="1943" w:type="dxa"/>
            <w:vMerge w:val="restart"/>
            <w:noWrap w:val="0"/>
            <w:vAlign w:val="center"/>
          </w:tcPr>
          <w:p>
            <w:pPr>
              <w:jc w:val="center"/>
              <w:rPr>
                <w:kern w:val="0"/>
                <w:szCs w:val="21"/>
                <w:lang w:bidi="ar"/>
              </w:rPr>
            </w:pPr>
            <w:r>
              <w:rPr>
                <w:szCs w:val="21"/>
              </w:rPr>
              <w:t>《恶臭污染物排放标准》表1中二级</w:t>
            </w:r>
          </w:p>
        </w:tc>
        <w:tc>
          <w:tcPr>
            <w:tcW w:w="1176" w:type="dxa"/>
            <w:noWrap w:val="0"/>
            <w:vAlign w:val="center"/>
          </w:tcPr>
          <w:p>
            <w:pPr>
              <w:jc w:val="center"/>
              <w:rPr>
                <w:kern w:val="0"/>
                <w:szCs w:val="21"/>
                <w:lang w:bidi="ar"/>
              </w:rPr>
            </w:pPr>
            <w:r>
              <w:rPr>
                <w:kern w:val="0"/>
                <w:szCs w:val="21"/>
                <w:lang w:bidi="ar"/>
              </w:rPr>
              <w:t>1500</w:t>
            </w:r>
          </w:p>
        </w:tc>
        <w:tc>
          <w:tcPr>
            <w:tcW w:w="1132" w:type="dxa"/>
            <w:noWrap w:val="0"/>
            <w:vAlign w:val="center"/>
          </w:tcPr>
          <w:p>
            <w:pPr>
              <w:spacing w:line="260" w:lineRule="exact"/>
              <w:jc w:val="center"/>
              <w:rPr>
                <w:rFonts w:hint="eastAsia" w:eastAsia="宋体"/>
                <w:kern w:val="0"/>
                <w:szCs w:val="21"/>
                <w:lang w:eastAsia="zh-CN" w:bidi="ar"/>
              </w:rPr>
            </w:pPr>
            <w:r>
              <w:rPr>
                <w:rFonts w:hint="eastAsia"/>
                <w:snapToGrid w:val="0"/>
                <w:spacing w:val="-4"/>
                <w:szCs w:val="21"/>
                <w:lang w:eastAsia="zh-CN"/>
              </w:rPr>
              <w:t>0.2561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509" w:type="dxa"/>
            <w:vMerge w:val="continue"/>
            <w:noWrap w:val="0"/>
            <w:vAlign w:val="center"/>
          </w:tcPr>
          <w:p>
            <w:pPr>
              <w:jc w:val="center"/>
              <w:rPr>
                <w:kern w:val="0"/>
                <w:szCs w:val="21"/>
                <w:lang w:bidi="ar"/>
              </w:rPr>
            </w:pPr>
          </w:p>
        </w:tc>
        <w:tc>
          <w:tcPr>
            <w:tcW w:w="755" w:type="dxa"/>
            <w:vMerge w:val="continue"/>
            <w:noWrap w:val="0"/>
            <w:vAlign w:val="center"/>
          </w:tcPr>
          <w:p>
            <w:pPr>
              <w:jc w:val="center"/>
              <w:rPr>
                <w:kern w:val="0"/>
                <w:szCs w:val="21"/>
                <w:lang w:bidi="ar"/>
              </w:rPr>
            </w:pPr>
          </w:p>
        </w:tc>
        <w:tc>
          <w:tcPr>
            <w:tcW w:w="912" w:type="dxa"/>
            <w:vMerge w:val="continue"/>
            <w:noWrap w:val="0"/>
            <w:vAlign w:val="center"/>
          </w:tcPr>
          <w:p>
            <w:pPr>
              <w:jc w:val="center"/>
              <w:rPr>
                <w:szCs w:val="21"/>
              </w:rPr>
            </w:pPr>
          </w:p>
        </w:tc>
        <w:tc>
          <w:tcPr>
            <w:tcW w:w="902" w:type="dxa"/>
            <w:noWrap w:val="0"/>
            <w:vAlign w:val="center"/>
          </w:tcPr>
          <w:p>
            <w:pPr>
              <w:jc w:val="center"/>
              <w:rPr>
                <w:kern w:val="0"/>
                <w:szCs w:val="21"/>
                <w:lang w:bidi="ar"/>
              </w:rPr>
            </w:pPr>
            <w:r>
              <w:rPr>
                <w:rFonts w:hint="eastAsia"/>
                <w:kern w:val="0"/>
                <w:szCs w:val="21"/>
                <w:lang w:bidi="ar"/>
              </w:rPr>
              <w:t>H</w:t>
            </w:r>
            <w:r>
              <w:rPr>
                <w:rFonts w:hint="eastAsia"/>
                <w:kern w:val="0"/>
                <w:szCs w:val="21"/>
                <w:vertAlign w:val="subscript"/>
                <w:lang w:bidi="ar"/>
              </w:rPr>
              <w:t>2</w:t>
            </w:r>
            <w:r>
              <w:rPr>
                <w:rFonts w:hint="eastAsia"/>
                <w:kern w:val="0"/>
                <w:szCs w:val="21"/>
                <w:lang w:bidi="ar"/>
              </w:rPr>
              <w:t>S</w:t>
            </w:r>
          </w:p>
        </w:tc>
        <w:tc>
          <w:tcPr>
            <w:tcW w:w="1619" w:type="dxa"/>
            <w:vMerge w:val="continue"/>
            <w:noWrap w:val="0"/>
            <w:vAlign w:val="center"/>
          </w:tcPr>
          <w:p>
            <w:pPr>
              <w:jc w:val="center"/>
              <w:rPr>
                <w:kern w:val="0"/>
                <w:szCs w:val="21"/>
                <w:lang w:bidi="ar"/>
              </w:rPr>
            </w:pPr>
          </w:p>
        </w:tc>
        <w:tc>
          <w:tcPr>
            <w:tcW w:w="1943" w:type="dxa"/>
            <w:vMerge w:val="continue"/>
            <w:noWrap w:val="0"/>
            <w:vAlign w:val="center"/>
          </w:tcPr>
          <w:p>
            <w:pPr>
              <w:jc w:val="center"/>
              <w:rPr>
                <w:kern w:val="0"/>
                <w:szCs w:val="21"/>
                <w:lang w:bidi="ar"/>
              </w:rPr>
            </w:pPr>
          </w:p>
        </w:tc>
        <w:tc>
          <w:tcPr>
            <w:tcW w:w="1176" w:type="dxa"/>
            <w:noWrap w:val="0"/>
            <w:vAlign w:val="center"/>
          </w:tcPr>
          <w:p>
            <w:pPr>
              <w:jc w:val="center"/>
              <w:rPr>
                <w:kern w:val="0"/>
                <w:szCs w:val="21"/>
                <w:lang w:bidi="ar"/>
              </w:rPr>
            </w:pPr>
            <w:r>
              <w:rPr>
                <w:kern w:val="0"/>
                <w:szCs w:val="21"/>
                <w:lang w:bidi="ar"/>
              </w:rPr>
              <w:t>60</w:t>
            </w:r>
          </w:p>
        </w:tc>
        <w:tc>
          <w:tcPr>
            <w:tcW w:w="1132" w:type="dxa"/>
            <w:noWrap w:val="0"/>
            <w:vAlign w:val="center"/>
          </w:tcPr>
          <w:p>
            <w:pPr>
              <w:spacing w:line="260" w:lineRule="exact"/>
              <w:jc w:val="center"/>
              <w:rPr>
                <w:rFonts w:hint="eastAsia" w:eastAsia="宋体"/>
                <w:kern w:val="0"/>
                <w:szCs w:val="21"/>
                <w:lang w:eastAsia="zh-CN" w:bidi="ar"/>
              </w:rPr>
            </w:pPr>
            <w:r>
              <w:rPr>
                <w:rFonts w:hint="eastAsia"/>
                <w:snapToGrid w:val="0"/>
                <w:spacing w:val="-4"/>
                <w:szCs w:val="21"/>
                <w:lang w:eastAsia="zh-CN"/>
              </w:rPr>
              <w:t>0.0175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8948" w:type="dxa"/>
            <w:gridSpan w:val="8"/>
            <w:noWrap w:val="0"/>
            <w:vAlign w:val="center"/>
          </w:tcPr>
          <w:p>
            <w:pPr>
              <w:jc w:val="center"/>
              <w:rPr>
                <w:rFonts w:hint="eastAsia"/>
                <w:kern w:val="0"/>
                <w:szCs w:val="21"/>
                <w:lang w:bidi="ar"/>
              </w:rPr>
            </w:pPr>
            <w:r>
              <w:rPr>
                <w:rFonts w:hint="eastAsia"/>
                <w:kern w:val="0"/>
                <w:szCs w:val="21"/>
                <w:lang w:bidi="ar"/>
              </w:rPr>
              <w:t>无组织</w:t>
            </w:r>
            <w:r>
              <w:rPr>
                <w:kern w:val="0"/>
                <w:szCs w:val="21"/>
                <w:lang w:bidi="ar"/>
              </w:rPr>
              <w:t>排放总计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078" w:type="dxa"/>
            <w:gridSpan w:val="4"/>
            <w:vMerge w:val="restart"/>
            <w:noWrap w:val="0"/>
            <w:vAlign w:val="center"/>
          </w:tcPr>
          <w:p>
            <w:pPr>
              <w:jc w:val="center"/>
              <w:rPr>
                <w:rFonts w:hint="eastAsia"/>
                <w:kern w:val="0"/>
                <w:szCs w:val="21"/>
                <w:lang w:bidi="ar"/>
              </w:rPr>
            </w:pPr>
            <w:r>
              <w:rPr>
                <w:rFonts w:hint="eastAsia"/>
                <w:kern w:val="0"/>
                <w:szCs w:val="21"/>
                <w:lang w:bidi="ar"/>
              </w:rPr>
              <w:t>无组织</w:t>
            </w:r>
            <w:r>
              <w:rPr>
                <w:kern w:val="0"/>
                <w:szCs w:val="21"/>
                <w:lang w:bidi="ar"/>
              </w:rPr>
              <w:t>排放总计</w:t>
            </w:r>
          </w:p>
        </w:tc>
        <w:tc>
          <w:tcPr>
            <w:tcW w:w="3562" w:type="dxa"/>
            <w:gridSpan w:val="2"/>
            <w:noWrap w:val="0"/>
            <w:vAlign w:val="center"/>
          </w:tcPr>
          <w:p>
            <w:pPr>
              <w:jc w:val="center"/>
              <w:rPr>
                <w:kern w:val="0"/>
                <w:szCs w:val="21"/>
                <w:lang w:bidi="ar"/>
              </w:rPr>
            </w:pPr>
            <w:r>
              <w:rPr>
                <w:szCs w:val="21"/>
              </w:rPr>
              <w:t>NH</w:t>
            </w:r>
            <w:r>
              <w:rPr>
                <w:szCs w:val="21"/>
                <w:vertAlign w:val="subscript"/>
              </w:rPr>
              <w:t>3</w:t>
            </w:r>
          </w:p>
        </w:tc>
        <w:tc>
          <w:tcPr>
            <w:tcW w:w="2308" w:type="dxa"/>
            <w:gridSpan w:val="2"/>
            <w:noWrap w:val="0"/>
            <w:vAlign w:val="center"/>
          </w:tcPr>
          <w:p>
            <w:pPr>
              <w:spacing w:line="260" w:lineRule="exact"/>
              <w:jc w:val="center"/>
              <w:rPr>
                <w:rFonts w:hint="eastAsia" w:eastAsia="宋体"/>
                <w:kern w:val="0"/>
                <w:szCs w:val="21"/>
                <w:lang w:eastAsia="zh-CN" w:bidi="ar"/>
              </w:rPr>
            </w:pPr>
            <w:r>
              <w:rPr>
                <w:rFonts w:hint="eastAsia"/>
                <w:snapToGrid w:val="0"/>
                <w:spacing w:val="-4"/>
                <w:szCs w:val="21"/>
                <w:lang w:eastAsia="zh-CN"/>
              </w:rPr>
              <w:t>0.2561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078" w:type="dxa"/>
            <w:gridSpan w:val="4"/>
            <w:vMerge w:val="continue"/>
            <w:noWrap w:val="0"/>
            <w:vAlign w:val="center"/>
          </w:tcPr>
          <w:p>
            <w:pPr>
              <w:jc w:val="center"/>
              <w:rPr>
                <w:rFonts w:hint="eastAsia"/>
                <w:kern w:val="0"/>
                <w:szCs w:val="21"/>
                <w:lang w:bidi="ar"/>
              </w:rPr>
            </w:pPr>
          </w:p>
        </w:tc>
        <w:tc>
          <w:tcPr>
            <w:tcW w:w="3562" w:type="dxa"/>
            <w:gridSpan w:val="2"/>
            <w:noWrap w:val="0"/>
            <w:vAlign w:val="center"/>
          </w:tcPr>
          <w:p>
            <w:pPr>
              <w:jc w:val="center"/>
              <w:rPr>
                <w:kern w:val="0"/>
                <w:szCs w:val="21"/>
                <w:lang w:bidi="ar"/>
              </w:rPr>
            </w:pPr>
            <w:r>
              <w:rPr>
                <w:rFonts w:hint="eastAsia"/>
                <w:kern w:val="0"/>
                <w:szCs w:val="21"/>
                <w:lang w:bidi="ar"/>
              </w:rPr>
              <w:t>H</w:t>
            </w:r>
            <w:r>
              <w:rPr>
                <w:rFonts w:hint="eastAsia"/>
                <w:kern w:val="0"/>
                <w:szCs w:val="21"/>
                <w:vertAlign w:val="subscript"/>
                <w:lang w:bidi="ar"/>
              </w:rPr>
              <w:t>2</w:t>
            </w:r>
            <w:r>
              <w:rPr>
                <w:rFonts w:hint="eastAsia"/>
                <w:kern w:val="0"/>
                <w:szCs w:val="21"/>
                <w:lang w:bidi="ar"/>
              </w:rPr>
              <w:t>S</w:t>
            </w:r>
          </w:p>
        </w:tc>
        <w:tc>
          <w:tcPr>
            <w:tcW w:w="2308" w:type="dxa"/>
            <w:gridSpan w:val="2"/>
            <w:noWrap w:val="0"/>
            <w:vAlign w:val="center"/>
          </w:tcPr>
          <w:p>
            <w:pPr>
              <w:spacing w:line="260" w:lineRule="exact"/>
              <w:jc w:val="center"/>
              <w:rPr>
                <w:rFonts w:hint="eastAsia" w:eastAsia="宋体"/>
                <w:kern w:val="0"/>
                <w:szCs w:val="21"/>
                <w:lang w:eastAsia="zh-CN" w:bidi="ar"/>
              </w:rPr>
            </w:pPr>
            <w:r>
              <w:rPr>
                <w:rFonts w:hint="eastAsia"/>
                <w:snapToGrid w:val="0"/>
                <w:spacing w:val="-4"/>
                <w:szCs w:val="21"/>
                <w:lang w:eastAsia="zh-CN"/>
              </w:rPr>
              <w:t>0.0175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078" w:type="dxa"/>
            <w:gridSpan w:val="4"/>
            <w:vMerge w:val="restart"/>
            <w:noWrap w:val="0"/>
            <w:vAlign w:val="center"/>
          </w:tcPr>
          <w:p>
            <w:pPr>
              <w:jc w:val="center"/>
              <w:rPr>
                <w:rFonts w:hint="eastAsia"/>
                <w:kern w:val="0"/>
                <w:szCs w:val="21"/>
                <w:lang w:bidi="ar"/>
              </w:rPr>
            </w:pPr>
            <w:r>
              <w:rPr>
                <w:rFonts w:hint="eastAsia"/>
                <w:kern w:val="0"/>
                <w:szCs w:val="21"/>
                <w:lang w:bidi="ar"/>
              </w:rPr>
              <w:t>有组织</w:t>
            </w:r>
            <w:r>
              <w:rPr>
                <w:kern w:val="0"/>
                <w:szCs w:val="21"/>
                <w:lang w:bidi="ar"/>
              </w:rPr>
              <w:t>排放总计</w:t>
            </w:r>
          </w:p>
        </w:tc>
        <w:tc>
          <w:tcPr>
            <w:tcW w:w="3562" w:type="dxa"/>
            <w:gridSpan w:val="2"/>
            <w:noWrap w:val="0"/>
            <w:vAlign w:val="center"/>
          </w:tcPr>
          <w:p>
            <w:pPr>
              <w:jc w:val="center"/>
              <w:rPr>
                <w:kern w:val="0"/>
                <w:szCs w:val="21"/>
                <w:lang w:bidi="ar"/>
              </w:rPr>
            </w:pPr>
            <w:r>
              <w:rPr>
                <w:rFonts w:hint="eastAsia"/>
                <w:kern w:val="0"/>
                <w:szCs w:val="21"/>
                <w:lang w:bidi="ar"/>
              </w:rPr>
              <w:t>SO</w:t>
            </w:r>
            <w:r>
              <w:rPr>
                <w:kern w:val="0"/>
                <w:szCs w:val="21"/>
                <w:vertAlign w:val="subscript"/>
                <w:lang w:bidi="ar"/>
              </w:rPr>
              <w:t>2</w:t>
            </w:r>
          </w:p>
        </w:tc>
        <w:tc>
          <w:tcPr>
            <w:tcW w:w="2308" w:type="dxa"/>
            <w:gridSpan w:val="2"/>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kern w:val="0"/>
                <w:szCs w:val="21"/>
                <w:lang w:eastAsia="zh-CN" w:bidi="ar"/>
              </w:rPr>
            </w:pPr>
            <w:r>
              <w:rPr>
                <w:rFonts w:hint="eastAsia"/>
                <w:szCs w:val="21"/>
                <w:lang w:eastAsia="zh-CN" w:bidi="ar"/>
              </w:rPr>
              <w:t>0.00089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078" w:type="dxa"/>
            <w:gridSpan w:val="4"/>
            <w:vMerge w:val="continue"/>
            <w:noWrap w:val="0"/>
            <w:vAlign w:val="center"/>
          </w:tcPr>
          <w:p>
            <w:pPr>
              <w:jc w:val="center"/>
              <w:rPr>
                <w:rFonts w:hint="eastAsia"/>
                <w:kern w:val="0"/>
                <w:szCs w:val="21"/>
                <w:lang w:bidi="ar"/>
              </w:rPr>
            </w:pPr>
          </w:p>
        </w:tc>
        <w:tc>
          <w:tcPr>
            <w:tcW w:w="3562" w:type="dxa"/>
            <w:gridSpan w:val="2"/>
            <w:noWrap w:val="0"/>
            <w:vAlign w:val="center"/>
          </w:tcPr>
          <w:p>
            <w:pPr>
              <w:jc w:val="center"/>
              <w:rPr>
                <w:kern w:val="0"/>
                <w:szCs w:val="21"/>
                <w:lang w:bidi="ar"/>
              </w:rPr>
            </w:pPr>
            <w:r>
              <w:rPr>
                <w:rFonts w:hint="eastAsia"/>
                <w:kern w:val="0"/>
                <w:szCs w:val="21"/>
                <w:lang w:bidi="ar"/>
              </w:rPr>
              <w:t>NO</w:t>
            </w:r>
            <w:r>
              <w:rPr>
                <w:rFonts w:hint="eastAsia"/>
                <w:kern w:val="0"/>
                <w:szCs w:val="21"/>
                <w:vertAlign w:val="subscript"/>
                <w:lang w:bidi="ar"/>
              </w:rPr>
              <w:t>x</w:t>
            </w:r>
          </w:p>
        </w:tc>
        <w:tc>
          <w:tcPr>
            <w:tcW w:w="2308" w:type="dxa"/>
            <w:gridSpan w:val="2"/>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kern w:val="0"/>
                <w:szCs w:val="21"/>
                <w:lang w:bidi="ar"/>
              </w:rPr>
            </w:pPr>
            <w:r>
              <w:rPr>
                <w:rFonts w:hint="eastAsia"/>
                <w:szCs w:val="21"/>
                <w:lang w:val="en-US" w:eastAsia="zh-CN" w:bidi="ar"/>
              </w:rPr>
              <w:t>0.029</w:t>
            </w:r>
          </w:p>
        </w:tc>
      </w:tr>
    </w:tbl>
    <w:p>
      <w:pPr>
        <w:spacing w:line="520" w:lineRule="exact"/>
        <w:ind w:firstLine="480" w:firstLineChars="200"/>
        <w:jc w:val="center"/>
        <w:rPr>
          <w:rFonts w:hint="eastAsia"/>
          <w:b/>
          <w:kern w:val="0"/>
          <w:sz w:val="24"/>
          <w:lang w:bidi="ar"/>
        </w:rPr>
      </w:pPr>
      <w:r>
        <w:rPr>
          <w:b/>
          <w:kern w:val="0"/>
          <w:sz w:val="24"/>
          <w:lang w:bidi="ar"/>
        </w:rPr>
        <w:t>表8-2   大气污染物</w:t>
      </w:r>
      <w:r>
        <w:rPr>
          <w:rFonts w:hint="eastAsia"/>
          <w:b/>
          <w:kern w:val="0"/>
          <w:sz w:val="24"/>
          <w:lang w:bidi="ar"/>
        </w:rPr>
        <w:t>年</w:t>
      </w:r>
      <w:r>
        <w:rPr>
          <w:b/>
          <w:kern w:val="0"/>
          <w:sz w:val="24"/>
          <w:lang w:bidi="ar"/>
        </w:rPr>
        <w:t>排放量核算表</w:t>
      </w:r>
    </w:p>
    <w:tbl>
      <w:tblPr>
        <w:tblStyle w:val="1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982"/>
        <w:gridCol w:w="2982"/>
        <w:gridCol w:w="298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982" w:type="dxa"/>
            <w:noWrap w:val="0"/>
            <w:vAlign w:val="center"/>
          </w:tcPr>
          <w:p>
            <w:pPr>
              <w:jc w:val="center"/>
              <w:rPr>
                <w:rFonts w:hint="eastAsia"/>
                <w:kern w:val="0"/>
                <w:szCs w:val="21"/>
                <w:lang w:bidi="ar"/>
              </w:rPr>
            </w:pPr>
            <w:r>
              <w:rPr>
                <w:rFonts w:hint="eastAsia"/>
                <w:kern w:val="0"/>
                <w:szCs w:val="21"/>
                <w:lang w:bidi="ar"/>
              </w:rPr>
              <w:t>序号</w:t>
            </w:r>
          </w:p>
        </w:tc>
        <w:tc>
          <w:tcPr>
            <w:tcW w:w="2982" w:type="dxa"/>
            <w:noWrap w:val="0"/>
            <w:vAlign w:val="center"/>
          </w:tcPr>
          <w:p>
            <w:pPr>
              <w:jc w:val="center"/>
              <w:rPr>
                <w:rFonts w:hint="eastAsia"/>
                <w:kern w:val="0"/>
                <w:szCs w:val="21"/>
                <w:lang w:bidi="ar"/>
              </w:rPr>
            </w:pPr>
            <w:r>
              <w:rPr>
                <w:rFonts w:hint="eastAsia"/>
                <w:kern w:val="0"/>
                <w:szCs w:val="21"/>
                <w:lang w:bidi="ar"/>
              </w:rPr>
              <w:t>污染物</w:t>
            </w:r>
          </w:p>
        </w:tc>
        <w:tc>
          <w:tcPr>
            <w:tcW w:w="2982" w:type="dxa"/>
            <w:noWrap w:val="0"/>
            <w:vAlign w:val="center"/>
          </w:tcPr>
          <w:p>
            <w:pPr>
              <w:jc w:val="center"/>
              <w:rPr>
                <w:rFonts w:hint="eastAsia"/>
                <w:kern w:val="0"/>
                <w:szCs w:val="21"/>
                <w:lang w:bidi="ar"/>
              </w:rPr>
            </w:pPr>
            <w:r>
              <w:rPr>
                <w:rFonts w:hint="eastAsia"/>
                <w:kern w:val="0"/>
                <w:szCs w:val="21"/>
                <w:lang w:bidi="ar"/>
              </w:rPr>
              <w:t>年排放量（t/a）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982" w:type="dxa"/>
            <w:noWrap w:val="0"/>
            <w:vAlign w:val="center"/>
          </w:tcPr>
          <w:p>
            <w:pPr>
              <w:jc w:val="center"/>
              <w:rPr>
                <w:rFonts w:hint="eastAsia"/>
                <w:bCs/>
                <w:kern w:val="0"/>
                <w:szCs w:val="21"/>
                <w:lang w:bidi="ar"/>
              </w:rPr>
            </w:pPr>
            <w:r>
              <w:rPr>
                <w:rFonts w:hint="eastAsia"/>
                <w:bCs/>
                <w:kern w:val="0"/>
                <w:szCs w:val="21"/>
                <w:lang w:bidi="ar"/>
              </w:rPr>
              <w:t>1</w:t>
            </w:r>
          </w:p>
        </w:tc>
        <w:tc>
          <w:tcPr>
            <w:tcW w:w="2982" w:type="dxa"/>
            <w:noWrap w:val="0"/>
            <w:vAlign w:val="center"/>
          </w:tcPr>
          <w:p>
            <w:pPr>
              <w:jc w:val="center"/>
              <w:rPr>
                <w:bCs/>
                <w:kern w:val="0"/>
                <w:szCs w:val="21"/>
                <w:lang w:bidi="ar"/>
              </w:rPr>
            </w:pPr>
            <w:r>
              <w:rPr>
                <w:bCs/>
                <w:szCs w:val="21"/>
              </w:rPr>
              <w:t>SO</w:t>
            </w:r>
            <w:r>
              <w:rPr>
                <w:bCs/>
                <w:szCs w:val="21"/>
                <w:vertAlign w:val="subscript"/>
              </w:rPr>
              <w:t>2</w:t>
            </w:r>
          </w:p>
        </w:tc>
        <w:tc>
          <w:tcPr>
            <w:tcW w:w="2982"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eastAsia="宋体"/>
                <w:bCs/>
                <w:kern w:val="0"/>
                <w:szCs w:val="21"/>
                <w:lang w:eastAsia="zh-CN" w:bidi="ar"/>
              </w:rPr>
            </w:pPr>
            <w:r>
              <w:rPr>
                <w:rFonts w:hint="eastAsia"/>
                <w:szCs w:val="21"/>
                <w:lang w:eastAsia="zh-CN" w:bidi="ar"/>
              </w:rPr>
              <w:t>0.00089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982" w:type="dxa"/>
            <w:noWrap w:val="0"/>
            <w:vAlign w:val="center"/>
          </w:tcPr>
          <w:p>
            <w:pPr>
              <w:jc w:val="center"/>
              <w:rPr>
                <w:rFonts w:hint="eastAsia"/>
                <w:bCs/>
                <w:kern w:val="0"/>
                <w:szCs w:val="21"/>
                <w:lang w:bidi="ar"/>
              </w:rPr>
            </w:pPr>
            <w:r>
              <w:rPr>
                <w:rFonts w:hint="eastAsia"/>
                <w:bCs/>
                <w:kern w:val="0"/>
                <w:szCs w:val="21"/>
                <w:lang w:bidi="ar"/>
              </w:rPr>
              <w:t>2</w:t>
            </w:r>
          </w:p>
        </w:tc>
        <w:tc>
          <w:tcPr>
            <w:tcW w:w="2982" w:type="dxa"/>
            <w:noWrap w:val="0"/>
            <w:vAlign w:val="center"/>
          </w:tcPr>
          <w:p>
            <w:pPr>
              <w:jc w:val="center"/>
              <w:rPr>
                <w:bCs/>
                <w:kern w:val="0"/>
                <w:szCs w:val="21"/>
                <w:lang w:bidi="ar"/>
              </w:rPr>
            </w:pPr>
            <w:r>
              <w:rPr>
                <w:bCs/>
                <w:szCs w:val="21"/>
              </w:rPr>
              <w:t>NO</w:t>
            </w:r>
            <w:r>
              <w:rPr>
                <w:bCs/>
                <w:szCs w:val="21"/>
                <w:vertAlign w:val="subscript"/>
              </w:rPr>
              <w:t>2</w:t>
            </w:r>
          </w:p>
        </w:tc>
        <w:tc>
          <w:tcPr>
            <w:tcW w:w="2982" w:type="dxa"/>
            <w:noWrap w:val="0"/>
            <w:vAlign w:val="center"/>
          </w:tcPr>
          <w:p>
            <w:pPr>
              <w:keepNext w:val="0"/>
              <w:keepLines w:val="0"/>
              <w:pageBreakBefore w:val="0"/>
              <w:widowControl w:val="0"/>
              <w:kinsoku/>
              <w:wordWrap/>
              <w:overflowPunct/>
              <w:topLinePunct w:val="0"/>
              <w:autoSpaceDE/>
              <w:autoSpaceDN/>
              <w:bidi w:val="0"/>
              <w:adjustRightInd/>
              <w:snapToGrid/>
              <w:jc w:val="center"/>
              <w:textAlignment w:val="auto"/>
              <w:rPr>
                <w:bCs/>
                <w:kern w:val="0"/>
                <w:szCs w:val="21"/>
                <w:lang w:bidi="ar"/>
              </w:rPr>
            </w:pPr>
            <w:r>
              <w:rPr>
                <w:rFonts w:hint="eastAsia"/>
                <w:szCs w:val="21"/>
                <w:lang w:val="en-US" w:eastAsia="zh-CN" w:bidi="ar"/>
              </w:rPr>
              <w:t>0.029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982" w:type="dxa"/>
            <w:noWrap w:val="0"/>
            <w:vAlign w:val="center"/>
          </w:tcPr>
          <w:p>
            <w:pPr>
              <w:jc w:val="center"/>
              <w:rPr>
                <w:rFonts w:hint="eastAsia"/>
                <w:bCs/>
                <w:kern w:val="0"/>
                <w:szCs w:val="21"/>
                <w:lang w:bidi="ar"/>
              </w:rPr>
            </w:pPr>
            <w:r>
              <w:rPr>
                <w:rFonts w:hint="eastAsia"/>
                <w:bCs/>
                <w:kern w:val="0"/>
                <w:szCs w:val="21"/>
                <w:lang w:bidi="ar"/>
              </w:rPr>
              <w:t>3</w:t>
            </w:r>
          </w:p>
        </w:tc>
        <w:tc>
          <w:tcPr>
            <w:tcW w:w="2982" w:type="dxa"/>
            <w:noWrap w:val="0"/>
            <w:vAlign w:val="center"/>
          </w:tcPr>
          <w:p>
            <w:pPr>
              <w:jc w:val="center"/>
              <w:rPr>
                <w:bCs/>
                <w:kern w:val="0"/>
                <w:szCs w:val="21"/>
                <w:lang w:bidi="ar"/>
              </w:rPr>
            </w:pPr>
            <w:r>
              <w:rPr>
                <w:bCs/>
                <w:szCs w:val="21"/>
              </w:rPr>
              <w:t>NH</w:t>
            </w:r>
            <w:r>
              <w:rPr>
                <w:bCs/>
                <w:szCs w:val="21"/>
                <w:vertAlign w:val="subscript"/>
              </w:rPr>
              <w:t>3</w:t>
            </w:r>
          </w:p>
        </w:tc>
        <w:tc>
          <w:tcPr>
            <w:tcW w:w="2982" w:type="dxa"/>
            <w:noWrap w:val="0"/>
            <w:vAlign w:val="center"/>
          </w:tcPr>
          <w:p>
            <w:pPr>
              <w:spacing w:line="260" w:lineRule="exact"/>
              <w:jc w:val="center"/>
              <w:rPr>
                <w:rFonts w:hint="eastAsia" w:eastAsia="宋体"/>
                <w:bCs/>
                <w:kern w:val="0"/>
                <w:szCs w:val="21"/>
                <w:lang w:eastAsia="zh-CN" w:bidi="ar"/>
              </w:rPr>
            </w:pPr>
            <w:r>
              <w:rPr>
                <w:rFonts w:hint="eastAsia"/>
                <w:snapToGrid w:val="0"/>
                <w:spacing w:val="-4"/>
                <w:szCs w:val="21"/>
                <w:lang w:eastAsia="zh-CN"/>
              </w:rPr>
              <w:t>0.2561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54" w:hRule="atLeast"/>
        </w:trPr>
        <w:tc>
          <w:tcPr>
            <w:tcW w:w="2982" w:type="dxa"/>
            <w:noWrap w:val="0"/>
            <w:vAlign w:val="center"/>
          </w:tcPr>
          <w:p>
            <w:pPr>
              <w:jc w:val="center"/>
              <w:rPr>
                <w:rFonts w:hint="eastAsia"/>
                <w:bCs/>
                <w:kern w:val="0"/>
                <w:szCs w:val="21"/>
                <w:lang w:bidi="ar"/>
              </w:rPr>
            </w:pPr>
            <w:r>
              <w:rPr>
                <w:rFonts w:hint="eastAsia"/>
                <w:bCs/>
                <w:kern w:val="0"/>
                <w:szCs w:val="21"/>
                <w:lang w:bidi="ar"/>
              </w:rPr>
              <w:t>4</w:t>
            </w:r>
          </w:p>
        </w:tc>
        <w:tc>
          <w:tcPr>
            <w:tcW w:w="2982" w:type="dxa"/>
            <w:noWrap w:val="0"/>
            <w:vAlign w:val="center"/>
          </w:tcPr>
          <w:p>
            <w:pPr>
              <w:jc w:val="center"/>
              <w:rPr>
                <w:bCs/>
                <w:kern w:val="0"/>
                <w:szCs w:val="21"/>
                <w:lang w:bidi="ar"/>
              </w:rPr>
            </w:pPr>
            <w:r>
              <w:rPr>
                <w:rFonts w:hint="eastAsia"/>
                <w:bCs/>
                <w:kern w:val="0"/>
                <w:szCs w:val="21"/>
                <w:lang w:bidi="ar"/>
              </w:rPr>
              <w:t>H</w:t>
            </w:r>
            <w:r>
              <w:rPr>
                <w:rFonts w:hint="eastAsia"/>
                <w:bCs/>
                <w:kern w:val="0"/>
                <w:szCs w:val="21"/>
                <w:vertAlign w:val="subscript"/>
                <w:lang w:bidi="ar"/>
              </w:rPr>
              <w:t>2</w:t>
            </w:r>
            <w:r>
              <w:rPr>
                <w:rFonts w:hint="eastAsia"/>
                <w:bCs/>
                <w:kern w:val="0"/>
                <w:szCs w:val="21"/>
                <w:lang w:bidi="ar"/>
              </w:rPr>
              <w:t>S</w:t>
            </w:r>
          </w:p>
        </w:tc>
        <w:tc>
          <w:tcPr>
            <w:tcW w:w="2982" w:type="dxa"/>
            <w:noWrap w:val="0"/>
            <w:vAlign w:val="center"/>
          </w:tcPr>
          <w:p>
            <w:pPr>
              <w:spacing w:line="260" w:lineRule="exact"/>
              <w:jc w:val="center"/>
              <w:rPr>
                <w:rFonts w:hint="eastAsia" w:eastAsia="宋体"/>
                <w:bCs/>
                <w:kern w:val="0"/>
                <w:szCs w:val="21"/>
                <w:lang w:eastAsia="zh-CN" w:bidi="ar"/>
              </w:rPr>
            </w:pPr>
            <w:r>
              <w:rPr>
                <w:rFonts w:hint="eastAsia"/>
                <w:snapToGrid w:val="0"/>
                <w:spacing w:val="-4"/>
                <w:szCs w:val="21"/>
                <w:lang w:eastAsia="zh-CN"/>
              </w:rPr>
              <w:t>0.0175</w:t>
            </w:r>
          </w:p>
        </w:tc>
      </w:tr>
    </w:tbl>
    <w:p>
      <w:pPr>
        <w:spacing w:line="500" w:lineRule="exact"/>
        <w:ind w:left="360"/>
        <w:rPr>
          <w:b/>
          <w:sz w:val="24"/>
          <w:vertAlign w:val="superscript"/>
        </w:rPr>
      </w:pPr>
      <w:r>
        <w:rPr>
          <w:kern w:val="0"/>
          <w:sz w:val="24"/>
          <w:lang w:bidi="ar"/>
        </w:rPr>
        <w:t>（3）经计算，本项目无组织排放单元无需设置大气环境防护距离；</w:t>
      </w:r>
    </w:p>
    <w:p>
      <w:pPr>
        <w:spacing w:line="520" w:lineRule="exact"/>
        <w:ind w:firstLine="360" w:firstLineChars="150"/>
        <w:rPr>
          <w:sz w:val="24"/>
        </w:rPr>
      </w:pPr>
      <w:r>
        <w:rPr>
          <w:kern w:val="0"/>
          <w:sz w:val="24"/>
          <w:lang w:bidi="ar"/>
        </w:rPr>
        <w:t>（4）经计算，本项目最终的防护距离为500m，防护距离内</w:t>
      </w:r>
      <w:r>
        <w:rPr>
          <w:rFonts w:hint="eastAsia"/>
          <w:kern w:val="0"/>
          <w:sz w:val="24"/>
          <w:lang w:bidi="ar"/>
        </w:rPr>
        <w:t>无</w:t>
      </w:r>
      <w:r>
        <w:rPr>
          <w:kern w:val="0"/>
          <w:sz w:val="24"/>
          <w:lang w:bidi="ar"/>
        </w:rPr>
        <w:t>人口集中区、医院、学校等敏感点存在，满足项目防护距离要求，同时评价建议在该防护距离内不得建设敏感点。</w:t>
      </w:r>
    </w:p>
    <w:p>
      <w:pPr>
        <w:pStyle w:val="2"/>
        <w:spacing w:before="0" w:after="0" w:line="520" w:lineRule="exact"/>
        <w:rPr>
          <w:rFonts w:eastAsia="黑体"/>
          <w:b w:val="0"/>
          <w:sz w:val="24"/>
          <w:szCs w:val="24"/>
        </w:rPr>
      </w:pPr>
      <w:r>
        <w:rPr>
          <w:rFonts w:eastAsia="黑体"/>
          <w:b w:val="0"/>
          <w:sz w:val="24"/>
          <w:szCs w:val="24"/>
        </w:rPr>
        <w:t>8.5.3噪声</w:t>
      </w:r>
    </w:p>
    <w:p>
      <w:pPr>
        <w:spacing w:line="520" w:lineRule="exact"/>
        <w:ind w:firstLine="480" w:firstLineChars="200"/>
        <w:rPr>
          <w:sz w:val="24"/>
        </w:rPr>
      </w:pPr>
      <w:r>
        <w:rPr>
          <w:kern w:val="0"/>
          <w:sz w:val="24"/>
          <w:lang w:bidi="ar"/>
        </w:rPr>
        <w:t>建设项目实施后，通过对高噪声源采取隔声、减振、距离衰减等降噪措施后，各场界噪声可满足《工业企业厂界环境噪声排放标准》（GB12348-2008） 2类标准（昼间60B(A)；夜间50dB(A)）要求。</w:t>
      </w:r>
    </w:p>
    <w:p>
      <w:pPr>
        <w:pStyle w:val="2"/>
        <w:spacing w:before="0" w:after="0" w:line="520" w:lineRule="exact"/>
        <w:rPr>
          <w:rFonts w:eastAsia="黑体"/>
          <w:b w:val="0"/>
          <w:sz w:val="24"/>
          <w:szCs w:val="24"/>
        </w:rPr>
      </w:pPr>
      <w:r>
        <w:rPr>
          <w:rFonts w:eastAsia="黑体"/>
          <w:b w:val="0"/>
          <w:sz w:val="24"/>
          <w:szCs w:val="24"/>
        </w:rPr>
        <w:t>8.5.4固体废物</w:t>
      </w:r>
    </w:p>
    <w:p>
      <w:pPr>
        <w:spacing w:line="520" w:lineRule="exact"/>
        <w:ind w:firstLine="480" w:firstLineChars="200"/>
        <w:rPr>
          <w:sz w:val="24"/>
        </w:rPr>
      </w:pPr>
      <w:r>
        <w:rPr>
          <w:bCs/>
          <w:sz w:val="24"/>
        </w:rPr>
        <w:t>本项目产生的固体废物主要包括疾病防疫产生的医疗废物、养殖过程产生的少量病死猪尸、猪粪固形物、厌氧发酵后的沼渣、废脱硫剂</w:t>
      </w:r>
      <w:r>
        <w:rPr>
          <w:sz w:val="24"/>
        </w:rPr>
        <w:t>及</w:t>
      </w:r>
      <w:r>
        <w:rPr>
          <w:bCs/>
          <w:sz w:val="24"/>
        </w:rPr>
        <w:t>职工生活垃圾等。</w:t>
      </w:r>
      <w:r>
        <w:rPr>
          <w:sz w:val="24"/>
        </w:rPr>
        <w:t>项目产生的固体废物均得到合理处理、处置，不会对周围环境造成二次污染。</w:t>
      </w:r>
    </w:p>
    <w:p>
      <w:pPr>
        <w:snapToGrid w:val="0"/>
        <w:spacing w:line="520" w:lineRule="exact"/>
        <w:outlineLvl w:val="1"/>
        <w:rPr>
          <w:rFonts w:eastAsia="黑体"/>
          <w:bCs/>
          <w:sz w:val="28"/>
          <w:szCs w:val="28"/>
        </w:rPr>
      </w:pPr>
      <w:bookmarkStart w:id="567" w:name="_Toc472009625"/>
      <w:bookmarkEnd w:id="567"/>
      <w:bookmarkStart w:id="568" w:name="_Toc26394"/>
      <w:r>
        <w:rPr>
          <w:rFonts w:eastAsia="黑体"/>
          <w:bCs/>
          <w:sz w:val="28"/>
          <w:szCs w:val="28"/>
        </w:rPr>
        <w:t>8.6 风险评价结论</w:t>
      </w:r>
      <w:bookmarkEnd w:id="568"/>
    </w:p>
    <w:p>
      <w:pPr>
        <w:adjustRightInd w:val="0"/>
        <w:snapToGrid w:val="0"/>
        <w:spacing w:line="520" w:lineRule="exact"/>
        <w:ind w:firstLine="480" w:firstLineChars="200"/>
        <w:rPr>
          <w:sz w:val="24"/>
        </w:rPr>
      </w:pPr>
      <w:bookmarkStart w:id="569" w:name="_Toc472009626"/>
      <w:bookmarkEnd w:id="569"/>
      <w:r>
        <w:rPr>
          <w:sz w:val="24"/>
        </w:rPr>
        <w:t>本项目涉及的危险化学品为沼气。本项目环境风险主要表现在</w:t>
      </w:r>
      <w:r>
        <w:rPr>
          <w:kern w:val="0"/>
          <w:sz w:val="24"/>
        </w:rPr>
        <w:t>沼气泄漏引起中毒</w:t>
      </w:r>
      <w:r>
        <w:rPr>
          <w:sz w:val="24"/>
        </w:rPr>
        <w:t>。建设单位应针对本项目存在的风险隐患，严格落实本评价提出的防范措施，加强环境风险管理。</w:t>
      </w:r>
    </w:p>
    <w:p>
      <w:pPr>
        <w:adjustRightInd w:val="0"/>
        <w:snapToGrid w:val="0"/>
        <w:spacing w:line="520" w:lineRule="exact"/>
        <w:ind w:firstLine="480" w:firstLineChars="200"/>
        <w:rPr>
          <w:sz w:val="24"/>
        </w:rPr>
      </w:pPr>
      <w:r>
        <w:rPr>
          <w:sz w:val="24"/>
        </w:rPr>
        <w:t>本评价认为，只要企业严格按评价提出的风险防范措施与管理要求实施，建立应急预案机制，并接受当地政府等有关部门的监督检查，减少发生事故发生的概率，通过有效的风险防范措施后，本评价认为项目的环境风险在可接受水平。</w:t>
      </w:r>
    </w:p>
    <w:p>
      <w:pPr>
        <w:snapToGrid w:val="0"/>
        <w:spacing w:line="520" w:lineRule="exact"/>
        <w:outlineLvl w:val="1"/>
        <w:rPr>
          <w:rFonts w:eastAsia="黑体"/>
          <w:bCs/>
          <w:sz w:val="28"/>
          <w:szCs w:val="28"/>
        </w:rPr>
      </w:pPr>
      <w:bookmarkStart w:id="570" w:name="_Toc16395"/>
      <w:r>
        <w:rPr>
          <w:rFonts w:eastAsia="黑体"/>
          <w:bCs/>
          <w:sz w:val="28"/>
          <w:szCs w:val="28"/>
        </w:rPr>
        <w:t>8.7总量控制</w:t>
      </w:r>
      <w:bookmarkEnd w:id="570"/>
    </w:p>
    <w:p>
      <w:pPr>
        <w:adjustRightInd w:val="0"/>
        <w:snapToGrid w:val="0"/>
        <w:spacing w:line="500" w:lineRule="exact"/>
        <w:ind w:firstLine="480" w:firstLineChars="200"/>
        <w:rPr>
          <w:kern w:val="0"/>
          <w:sz w:val="24"/>
          <w:lang w:bidi="ar"/>
        </w:rPr>
      </w:pPr>
      <w:r>
        <w:rPr>
          <w:rFonts w:hint="eastAsia"/>
          <w:kern w:val="0"/>
          <w:sz w:val="24"/>
          <w:lang w:bidi="ar"/>
        </w:rPr>
        <w:t>本项目脱硫后的沼气火炬燃烧废气经1根8m高排气筒排放，建议项目SO</w:t>
      </w:r>
      <w:r>
        <w:rPr>
          <w:rFonts w:hint="eastAsia"/>
          <w:kern w:val="0"/>
          <w:sz w:val="24"/>
          <w:vertAlign w:val="subscript"/>
          <w:lang w:bidi="ar"/>
        </w:rPr>
        <w:t>2</w:t>
      </w:r>
      <w:r>
        <w:rPr>
          <w:rFonts w:hint="eastAsia"/>
          <w:kern w:val="0"/>
          <w:sz w:val="24"/>
          <w:lang w:bidi="ar"/>
        </w:rPr>
        <w:t>和NO</w:t>
      </w:r>
      <w:r>
        <w:rPr>
          <w:rFonts w:hint="eastAsia"/>
          <w:kern w:val="0"/>
          <w:sz w:val="24"/>
          <w:vertAlign w:val="subscript"/>
          <w:lang w:bidi="ar"/>
        </w:rPr>
        <w:t>X</w:t>
      </w:r>
      <w:r>
        <w:rPr>
          <w:rFonts w:hint="eastAsia"/>
          <w:kern w:val="0"/>
          <w:sz w:val="24"/>
          <w:lang w:bidi="ar"/>
        </w:rPr>
        <w:t>总量控制指标分别为</w:t>
      </w:r>
      <w:r>
        <w:rPr>
          <w:rFonts w:hint="eastAsia"/>
          <w:kern w:val="0"/>
          <w:sz w:val="24"/>
          <w:lang w:eastAsia="zh-CN" w:bidi="ar"/>
        </w:rPr>
        <w:t>0.00089</w:t>
      </w:r>
      <w:r>
        <w:rPr>
          <w:rFonts w:hint="eastAsia"/>
          <w:kern w:val="0"/>
          <w:sz w:val="24"/>
          <w:lang w:bidi="ar"/>
        </w:rPr>
        <w:t>t/a和</w:t>
      </w:r>
      <w:r>
        <w:rPr>
          <w:rFonts w:hint="eastAsia"/>
          <w:kern w:val="0"/>
          <w:sz w:val="24"/>
          <w:lang w:eastAsia="zh-CN" w:bidi="ar"/>
        </w:rPr>
        <w:t>0.029</w:t>
      </w:r>
      <w:r>
        <w:rPr>
          <w:rFonts w:hint="eastAsia"/>
          <w:kern w:val="0"/>
          <w:sz w:val="24"/>
          <w:lang w:bidi="ar"/>
        </w:rPr>
        <w:t>t/a。</w:t>
      </w:r>
    </w:p>
    <w:p>
      <w:pPr>
        <w:adjustRightInd w:val="0"/>
        <w:snapToGrid w:val="0"/>
        <w:spacing w:line="500" w:lineRule="exact"/>
        <w:ind w:firstLine="480" w:firstLineChars="200"/>
        <w:rPr>
          <w:rFonts w:hint="eastAsia"/>
          <w:kern w:val="0"/>
          <w:sz w:val="24"/>
          <w:highlight w:val="yellow"/>
          <w:lang w:bidi="ar"/>
        </w:rPr>
      </w:pPr>
      <w:r>
        <w:rPr>
          <w:rFonts w:hint="eastAsia" w:hAnsi="宋体"/>
          <w:sz w:val="24"/>
        </w:rPr>
        <w:t>项目废水经沼气化处理后，沼液用于农田施肥，全部综合利用、不外排，无废水总量控制指标。</w:t>
      </w:r>
    </w:p>
    <w:p>
      <w:pPr>
        <w:adjustRightInd w:val="0"/>
        <w:snapToGrid w:val="0"/>
        <w:spacing w:line="500" w:lineRule="exact"/>
        <w:ind w:firstLine="480" w:firstLineChars="200"/>
        <w:rPr>
          <w:kern w:val="0"/>
          <w:sz w:val="24"/>
          <w:lang w:bidi="ar"/>
        </w:rPr>
      </w:pPr>
      <w:r>
        <w:rPr>
          <w:bCs/>
          <w:kern w:val="0"/>
          <w:sz w:val="24"/>
          <w:lang w:bidi="ar"/>
        </w:rPr>
        <w:t>全场</w:t>
      </w:r>
      <w:r>
        <w:rPr>
          <w:kern w:val="0"/>
          <w:sz w:val="24"/>
          <w:lang w:bidi="ar"/>
        </w:rPr>
        <w:t>总量控制指标为SO</w:t>
      </w:r>
      <w:r>
        <w:rPr>
          <w:kern w:val="0"/>
          <w:sz w:val="24"/>
          <w:vertAlign w:val="subscript"/>
          <w:lang w:bidi="ar"/>
        </w:rPr>
        <w:t>2</w:t>
      </w:r>
      <w:r>
        <w:rPr>
          <w:kern w:val="0"/>
          <w:sz w:val="24"/>
          <w:lang w:bidi="ar"/>
        </w:rPr>
        <w:t>：</w:t>
      </w:r>
      <w:r>
        <w:rPr>
          <w:rFonts w:hint="eastAsia"/>
          <w:kern w:val="0"/>
          <w:sz w:val="24"/>
          <w:lang w:eastAsia="zh-CN" w:bidi="ar"/>
        </w:rPr>
        <w:t>0.00089</w:t>
      </w:r>
      <w:r>
        <w:rPr>
          <w:kern w:val="0"/>
          <w:sz w:val="24"/>
          <w:lang w:bidi="ar"/>
        </w:rPr>
        <w:t>t/a、NOx：</w:t>
      </w:r>
      <w:r>
        <w:rPr>
          <w:rFonts w:hint="eastAsia"/>
          <w:kern w:val="0"/>
          <w:sz w:val="24"/>
          <w:lang w:eastAsia="zh-CN" w:bidi="ar"/>
        </w:rPr>
        <w:t>0.029</w:t>
      </w:r>
      <w:r>
        <w:rPr>
          <w:kern w:val="0"/>
          <w:sz w:val="24"/>
          <w:lang w:bidi="ar"/>
        </w:rPr>
        <w:t>t/a。</w:t>
      </w:r>
    </w:p>
    <w:p>
      <w:pPr>
        <w:snapToGrid w:val="0"/>
        <w:spacing w:line="520" w:lineRule="exact"/>
        <w:outlineLvl w:val="1"/>
        <w:rPr>
          <w:rFonts w:eastAsia="黑体"/>
          <w:bCs/>
          <w:sz w:val="28"/>
          <w:szCs w:val="28"/>
        </w:rPr>
      </w:pPr>
      <w:bookmarkStart w:id="571" w:name="_Toc472009627"/>
      <w:bookmarkEnd w:id="571"/>
      <w:bookmarkStart w:id="572" w:name="_Toc19557"/>
      <w:r>
        <w:rPr>
          <w:rFonts w:eastAsia="黑体"/>
          <w:bCs/>
          <w:sz w:val="28"/>
          <w:szCs w:val="28"/>
        </w:rPr>
        <w:t>8.8公众意见采纳情况</w:t>
      </w:r>
      <w:bookmarkEnd w:id="572"/>
    </w:p>
    <w:p>
      <w:pPr>
        <w:spacing w:line="500" w:lineRule="exact"/>
        <w:ind w:firstLine="480" w:firstLineChars="200"/>
        <w:rPr>
          <w:kern w:val="0"/>
          <w:sz w:val="24"/>
          <w:lang w:bidi="ar"/>
        </w:rPr>
      </w:pPr>
      <w:r>
        <w:rPr>
          <w:kern w:val="0"/>
          <w:sz w:val="24"/>
          <w:lang w:bidi="ar"/>
        </w:rPr>
        <w:t>公众参与调查结果表明，参与调查的公众对项目的建设给予肯定</w:t>
      </w:r>
      <w:r>
        <w:rPr>
          <w:rFonts w:hint="eastAsia"/>
          <w:kern w:val="0"/>
          <w:sz w:val="24"/>
          <w:lang w:bidi="ar"/>
        </w:rPr>
        <w:t>，100%的公众对本项目表示支持，无人反对本项目的建设</w:t>
      </w:r>
      <w:r>
        <w:rPr>
          <w:kern w:val="0"/>
          <w:sz w:val="24"/>
          <w:lang w:bidi="ar"/>
        </w:rPr>
        <w:t>，同意本项目选址和建设。</w:t>
      </w:r>
    </w:p>
    <w:p>
      <w:pPr>
        <w:spacing w:line="600" w:lineRule="exact"/>
        <w:ind w:firstLine="480" w:firstLineChars="200"/>
        <w:rPr>
          <w:rFonts w:eastAsia="仿宋_GB2312"/>
          <w:spacing w:val="-6"/>
          <w:sz w:val="32"/>
          <w:szCs w:val="32"/>
        </w:rPr>
      </w:pPr>
      <w:r>
        <w:rPr>
          <w:b/>
          <w:kern w:val="0"/>
          <w:sz w:val="24"/>
          <w:lang w:bidi="ar"/>
        </w:rPr>
        <w:t>综上，</w:t>
      </w:r>
      <w:r>
        <w:rPr>
          <w:rFonts w:hint="eastAsia"/>
          <w:b/>
          <w:sz w:val="24"/>
          <w:lang w:eastAsia="zh-CN"/>
        </w:rPr>
        <w:t>正阳县鑫鑫向荣大型种猪养殖有限责任公司</w:t>
      </w:r>
      <w:r>
        <w:rPr>
          <w:rFonts w:hint="eastAsia"/>
          <w:b/>
          <w:sz w:val="24"/>
        </w:rPr>
        <w:t>建设</w:t>
      </w:r>
      <w:r>
        <w:rPr>
          <w:rFonts w:hint="eastAsia"/>
          <w:b/>
          <w:sz w:val="24"/>
          <w:lang w:eastAsia="zh-CN"/>
        </w:rPr>
        <w:t>年产1.2万头生猪养殖场项目</w:t>
      </w:r>
      <w:r>
        <w:rPr>
          <w:b/>
          <w:kern w:val="0"/>
          <w:sz w:val="24"/>
          <w:lang w:bidi="ar"/>
        </w:rPr>
        <w:t>符合国家产业政策，项目不涉及自然保护区、风景名胜区、饮用水源保护区等敏感区域，项目选址可行，通过认真落实评价所提各项环保治理措施，工程排放的各类污染物对周围环境影响可以接受，可以实现其经济效益、社会效益和环境效益的协调发展。环境风险可接受，项目能够被绝大多数公众认可，从环保角度分析，本工程建设是可行的。</w:t>
      </w:r>
    </w:p>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sectPr>
          <w:pgSz w:w="11906" w:h="16838"/>
          <w:pgMar w:top="1588" w:right="1588" w:bottom="1588" w:left="1588" w:header="851" w:footer="992" w:gutter="0"/>
          <w:pgNumType w:fmt="numberInDash"/>
          <w:cols w:space="720" w:num="1"/>
          <w:docGrid w:type="linesAndChars" w:linePitch="312" w:charSpace="0"/>
        </w:sectPr>
      </w:pPr>
    </w:p>
    <w:p>
      <w:pPr>
        <w:adjustRightInd w:val="0"/>
        <w:snapToGrid w:val="0"/>
        <w:spacing w:line="520" w:lineRule="exact"/>
        <w:ind w:firstLine="420" w:firstLineChars="200"/>
        <w:rPr>
          <w:rFonts w:eastAsia="黑体"/>
          <w:bCs/>
        </w:rPr>
      </w:pPr>
      <w:r>
        <w:rPr>
          <w:rFonts w:eastAsia="黑体"/>
          <w:bCs/>
        </w:rPr>
        <w:t>附表1                              建设项目大气环境影响评价自查表</w:t>
      </w:r>
    </w:p>
    <w:tbl>
      <w:tblPr>
        <w:tblStyle w:val="17"/>
        <w:tblW w:w="0" w:type="auto"/>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81"/>
        <w:gridCol w:w="2313"/>
        <w:gridCol w:w="1497"/>
        <w:gridCol w:w="551"/>
        <w:gridCol w:w="160"/>
        <w:gridCol w:w="182"/>
        <w:gridCol w:w="35"/>
        <w:gridCol w:w="315"/>
        <w:gridCol w:w="222"/>
        <w:gridCol w:w="398"/>
        <w:gridCol w:w="850"/>
        <w:gridCol w:w="291"/>
        <w:gridCol w:w="115"/>
        <w:gridCol w:w="107"/>
        <w:gridCol w:w="864"/>
        <w:gridCol w:w="91"/>
        <w:gridCol w:w="989"/>
        <w:gridCol w:w="380"/>
        <w:gridCol w:w="118"/>
        <w:gridCol w:w="1053"/>
        <w:gridCol w:w="1107"/>
        <w:gridCol w:w="74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3294" w:type="dxa"/>
            <w:gridSpan w:val="2"/>
            <w:tcBorders>
              <w:top w:val="single" w:color="auto" w:sz="12" w:space="0"/>
              <w:left w:val="single" w:color="auto" w:sz="12" w:space="0"/>
              <w:bottom w:val="single" w:color="auto" w:sz="4" w:space="0"/>
              <w:right w:val="single" w:color="auto" w:sz="4" w:space="0"/>
            </w:tcBorders>
            <w:noWrap w:val="0"/>
            <w:vAlign w:val="center"/>
          </w:tcPr>
          <w:p>
            <w:pPr>
              <w:spacing w:line="360" w:lineRule="exact"/>
              <w:jc w:val="center"/>
              <w:rPr>
                <w:szCs w:val="21"/>
              </w:rPr>
            </w:pPr>
            <w:r>
              <w:rPr>
                <w:szCs w:val="21"/>
              </w:rPr>
              <w:t>工作内容</w:t>
            </w:r>
          </w:p>
        </w:tc>
        <w:tc>
          <w:tcPr>
            <w:tcW w:w="10074" w:type="dxa"/>
            <w:gridSpan w:val="20"/>
            <w:tcBorders>
              <w:top w:val="single" w:color="auto" w:sz="12"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自查项目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981" w:type="dxa"/>
            <w:vMerge w:val="restart"/>
            <w:tcBorders>
              <w:top w:val="single" w:color="auto" w:sz="4" w:space="0"/>
              <w:left w:val="single" w:color="auto" w:sz="12" w:space="0"/>
              <w:right w:val="single" w:color="auto" w:sz="4" w:space="0"/>
            </w:tcBorders>
            <w:noWrap w:val="0"/>
            <w:vAlign w:val="center"/>
          </w:tcPr>
          <w:p>
            <w:pPr>
              <w:spacing w:line="360" w:lineRule="exact"/>
              <w:jc w:val="center"/>
              <w:rPr>
                <w:szCs w:val="21"/>
              </w:rPr>
            </w:pPr>
            <w:r>
              <w:rPr>
                <w:szCs w:val="21"/>
              </w:rPr>
              <w:t>评价等级与评价范围</w:t>
            </w: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评价等级</w:t>
            </w:r>
          </w:p>
        </w:tc>
        <w:tc>
          <w:tcPr>
            <w:tcW w:w="2390"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一级□</w:t>
            </w:r>
          </w:p>
        </w:tc>
        <w:tc>
          <w:tcPr>
            <w:tcW w:w="4277" w:type="dxa"/>
            <w:gridSpan w:val="11"/>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eastAsia="Times New Roman"/>
                <w:szCs w:val="21"/>
              </w:rPr>
            </w:pPr>
            <w:r>
              <w:rPr>
                <w:szCs w:val="21"/>
              </w:rPr>
              <w:t>二级</w:t>
            </w:r>
            <w:r>
              <w:rPr>
                <w:rFonts w:eastAsia="仿宋"/>
                <w:szCs w:val="21"/>
              </w:rPr>
              <w:t>√</w:t>
            </w:r>
          </w:p>
        </w:tc>
        <w:tc>
          <w:tcPr>
            <w:tcW w:w="3407" w:type="dxa"/>
            <w:gridSpan w:val="5"/>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三级□</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81" w:type="dxa"/>
            <w:vMerge w:val="continue"/>
            <w:tcBorders>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评价范围</w:t>
            </w:r>
          </w:p>
        </w:tc>
        <w:tc>
          <w:tcPr>
            <w:tcW w:w="2390"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边长=50km□</w:t>
            </w:r>
          </w:p>
        </w:tc>
        <w:tc>
          <w:tcPr>
            <w:tcW w:w="4277" w:type="dxa"/>
            <w:gridSpan w:val="11"/>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eastAsia="Times New Roman"/>
                <w:szCs w:val="21"/>
              </w:rPr>
            </w:pPr>
            <w:r>
              <w:rPr>
                <w:szCs w:val="21"/>
              </w:rPr>
              <w:t>边长 5～50km□</w:t>
            </w:r>
          </w:p>
        </w:tc>
        <w:tc>
          <w:tcPr>
            <w:tcW w:w="3407" w:type="dxa"/>
            <w:gridSpan w:val="5"/>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边长=5 km</w:t>
            </w:r>
            <w:r>
              <w:rPr>
                <w:rFonts w:eastAsia="仿宋"/>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81" w:type="dxa"/>
            <w:vMerge w:val="restart"/>
            <w:tcBorders>
              <w:top w:val="single" w:color="auto" w:sz="4" w:space="0"/>
              <w:left w:val="single" w:color="auto" w:sz="12" w:space="0"/>
              <w:right w:val="single" w:color="auto" w:sz="4" w:space="0"/>
            </w:tcBorders>
            <w:noWrap w:val="0"/>
            <w:vAlign w:val="center"/>
          </w:tcPr>
          <w:p>
            <w:pPr>
              <w:spacing w:line="360" w:lineRule="exact"/>
              <w:jc w:val="center"/>
              <w:rPr>
                <w:szCs w:val="21"/>
              </w:rPr>
            </w:pPr>
            <w:r>
              <w:rPr>
                <w:szCs w:val="21"/>
              </w:rPr>
              <w:t>评价因子</w:t>
            </w: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SO</w:t>
            </w:r>
            <w:r>
              <w:rPr>
                <w:szCs w:val="21"/>
                <w:vertAlign w:val="subscript"/>
              </w:rPr>
              <w:t>2</w:t>
            </w:r>
            <w:r>
              <w:rPr>
                <w:szCs w:val="21"/>
              </w:rPr>
              <w:t xml:space="preserve"> +NO</w:t>
            </w:r>
            <w:r>
              <w:rPr>
                <w:i/>
                <w:iCs/>
                <w:szCs w:val="21"/>
              </w:rPr>
              <w:t xml:space="preserve">x </w:t>
            </w:r>
            <w:r>
              <w:rPr>
                <w:szCs w:val="21"/>
              </w:rPr>
              <w:t>排放量</w:t>
            </w:r>
          </w:p>
        </w:tc>
        <w:tc>
          <w:tcPr>
            <w:tcW w:w="2962" w:type="dxa"/>
            <w:gridSpan w:val="7"/>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eastAsia="Times New Roman"/>
                <w:szCs w:val="21"/>
              </w:rPr>
            </w:pPr>
            <w:r>
              <w:rPr>
                <w:szCs w:val="21"/>
              </w:rPr>
              <w:t>≥ 2000t/a□</w:t>
            </w:r>
          </w:p>
        </w:tc>
        <w:tc>
          <w:tcPr>
            <w:tcW w:w="4085" w:type="dxa"/>
            <w:gridSpan w:val="9"/>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eastAsia="Times New Roman"/>
                <w:szCs w:val="21"/>
              </w:rPr>
            </w:pPr>
            <w:r>
              <w:rPr>
                <w:szCs w:val="21"/>
              </w:rPr>
              <w:t>500 ~ 2000t/a□</w:t>
            </w:r>
          </w:p>
        </w:tc>
        <w:tc>
          <w:tcPr>
            <w:tcW w:w="3027" w:type="dxa"/>
            <w:gridSpan w:val="4"/>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＜500 t/a</w:t>
            </w:r>
            <w:r>
              <w:rPr>
                <w:rFonts w:eastAsia="仿宋"/>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81" w:type="dxa"/>
            <w:vMerge w:val="continue"/>
            <w:tcBorders>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评价因子</w:t>
            </w:r>
          </w:p>
        </w:tc>
        <w:tc>
          <w:tcPr>
            <w:tcW w:w="6667" w:type="dxa"/>
            <w:gridSpan w:val="15"/>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基本污染物 ( 颗粒物、NO</w:t>
            </w:r>
            <w:r>
              <w:rPr>
                <w:szCs w:val="21"/>
                <w:vertAlign w:val="subscript"/>
              </w:rPr>
              <w:t>2</w:t>
            </w:r>
            <w:r>
              <w:rPr>
                <w:szCs w:val="21"/>
              </w:rPr>
              <w:t>、SO</w:t>
            </w:r>
            <w:r>
              <w:rPr>
                <w:szCs w:val="21"/>
                <w:vertAlign w:val="subscript"/>
              </w:rPr>
              <w:t>2</w:t>
            </w:r>
            <w:r>
              <w:rPr>
                <w:szCs w:val="21"/>
              </w:rPr>
              <w:t>)</w:t>
            </w:r>
          </w:p>
          <w:p>
            <w:pPr>
              <w:spacing w:line="360" w:lineRule="exact"/>
              <w:jc w:val="center"/>
              <w:rPr>
                <w:rFonts w:eastAsia="Times New Roman"/>
                <w:szCs w:val="21"/>
              </w:rPr>
            </w:pPr>
            <w:r>
              <w:rPr>
                <w:szCs w:val="21"/>
              </w:rPr>
              <w:t>其他污染物 (  NH</w:t>
            </w:r>
            <w:r>
              <w:rPr>
                <w:szCs w:val="21"/>
                <w:vertAlign w:val="subscript"/>
              </w:rPr>
              <w:t>3</w:t>
            </w:r>
            <w:r>
              <w:rPr>
                <w:szCs w:val="21"/>
              </w:rPr>
              <w:t>、H</w:t>
            </w:r>
            <w:r>
              <w:rPr>
                <w:szCs w:val="21"/>
                <w:vertAlign w:val="subscript"/>
              </w:rPr>
              <w:t>2</w:t>
            </w:r>
            <w:r>
              <w:rPr>
                <w:szCs w:val="21"/>
              </w:rPr>
              <w:t>S )</w:t>
            </w:r>
          </w:p>
        </w:tc>
        <w:tc>
          <w:tcPr>
            <w:tcW w:w="3407" w:type="dxa"/>
            <w:gridSpan w:val="5"/>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包括二次 PM</w:t>
            </w:r>
            <w:r>
              <w:rPr>
                <w:szCs w:val="21"/>
                <w:vertAlign w:val="subscript"/>
              </w:rPr>
              <w:t>2.5</w:t>
            </w:r>
            <w:r>
              <w:rPr>
                <w:szCs w:val="21"/>
              </w:rPr>
              <w:t>□</w:t>
            </w:r>
          </w:p>
          <w:p>
            <w:pPr>
              <w:spacing w:line="360" w:lineRule="exact"/>
              <w:jc w:val="center"/>
              <w:rPr>
                <w:rFonts w:eastAsia="Times New Roman"/>
                <w:szCs w:val="21"/>
              </w:rPr>
            </w:pPr>
            <w:r>
              <w:rPr>
                <w:szCs w:val="21"/>
              </w:rPr>
              <w:t>不包括二次 PM</w:t>
            </w:r>
            <w:r>
              <w:rPr>
                <w:szCs w:val="21"/>
                <w:vertAlign w:val="subscript"/>
              </w:rPr>
              <w:t>2.5</w:t>
            </w:r>
            <w:r>
              <w:rPr>
                <w:rFonts w:eastAsia="仿宋"/>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81" w:type="dxa"/>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r>
              <w:rPr>
                <w:szCs w:val="21"/>
              </w:rPr>
              <w:t>评价标准</w:t>
            </w: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评价标准</w:t>
            </w:r>
          </w:p>
        </w:tc>
        <w:tc>
          <w:tcPr>
            <w:tcW w:w="2390"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国家标准</w:t>
            </w:r>
            <w:r>
              <w:rPr>
                <w:rFonts w:eastAsia="仿宋"/>
                <w:szCs w:val="21"/>
              </w:rPr>
              <w:t>√</w:t>
            </w:r>
          </w:p>
        </w:tc>
        <w:tc>
          <w:tcPr>
            <w:tcW w:w="1820"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地方标准 □</w:t>
            </w:r>
          </w:p>
        </w:tc>
        <w:tc>
          <w:tcPr>
            <w:tcW w:w="4008" w:type="dxa"/>
            <w:gridSpan w:val="9"/>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eastAsia="Times New Roman"/>
                <w:szCs w:val="21"/>
              </w:rPr>
            </w:pPr>
            <w:r>
              <w:rPr>
                <w:szCs w:val="21"/>
              </w:rPr>
              <w:t xml:space="preserve">附录 D </w:t>
            </w:r>
            <w:r>
              <w:rPr>
                <w:rFonts w:eastAsia="仿宋"/>
                <w:szCs w:val="21"/>
              </w:rPr>
              <w:t>√</w:t>
            </w:r>
          </w:p>
        </w:tc>
        <w:tc>
          <w:tcPr>
            <w:tcW w:w="1856" w:type="dxa"/>
            <w:gridSpan w:val="2"/>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其他标准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81" w:type="dxa"/>
            <w:vMerge w:val="restart"/>
            <w:tcBorders>
              <w:top w:val="single" w:color="auto" w:sz="4" w:space="0"/>
              <w:left w:val="single" w:color="auto" w:sz="12" w:space="0"/>
              <w:right w:val="single" w:color="auto" w:sz="4" w:space="0"/>
            </w:tcBorders>
            <w:noWrap w:val="0"/>
            <w:vAlign w:val="center"/>
          </w:tcPr>
          <w:p>
            <w:pPr>
              <w:spacing w:line="360" w:lineRule="exact"/>
              <w:jc w:val="center"/>
              <w:rPr>
                <w:szCs w:val="21"/>
              </w:rPr>
            </w:pPr>
            <w:r>
              <w:rPr>
                <w:szCs w:val="21"/>
              </w:rPr>
              <w:t>现状评价</w:t>
            </w: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环境功能区</w:t>
            </w:r>
          </w:p>
        </w:tc>
        <w:tc>
          <w:tcPr>
            <w:tcW w:w="2390"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一类区□</w:t>
            </w:r>
          </w:p>
        </w:tc>
        <w:tc>
          <w:tcPr>
            <w:tcW w:w="4277" w:type="dxa"/>
            <w:gridSpan w:val="11"/>
            <w:tcBorders>
              <w:top w:val="single" w:color="auto" w:sz="4" w:space="0"/>
              <w:left w:val="single" w:color="auto" w:sz="4" w:space="0"/>
              <w:bottom w:val="single" w:color="auto" w:sz="4" w:space="0"/>
            </w:tcBorders>
            <w:noWrap w:val="0"/>
            <w:vAlign w:val="center"/>
          </w:tcPr>
          <w:p>
            <w:pPr>
              <w:spacing w:line="360" w:lineRule="exact"/>
              <w:jc w:val="center"/>
              <w:rPr>
                <w:rFonts w:eastAsia="Times New Roman"/>
                <w:szCs w:val="21"/>
              </w:rPr>
            </w:pPr>
            <w:r>
              <w:rPr>
                <w:szCs w:val="21"/>
              </w:rPr>
              <w:t>二类区</w:t>
            </w:r>
            <w:r>
              <w:rPr>
                <w:rFonts w:eastAsia="仿宋"/>
                <w:szCs w:val="21"/>
              </w:rPr>
              <w:t>√</w:t>
            </w:r>
          </w:p>
        </w:tc>
        <w:tc>
          <w:tcPr>
            <w:tcW w:w="3407" w:type="dxa"/>
            <w:gridSpan w:val="5"/>
            <w:tcBorders>
              <w:top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一类区和二类区□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81"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评价基准年</w:t>
            </w:r>
          </w:p>
        </w:tc>
        <w:tc>
          <w:tcPr>
            <w:tcW w:w="10074" w:type="dxa"/>
            <w:gridSpan w:val="20"/>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（2019）年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81"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环境空气质量现状调查数据来源</w:t>
            </w:r>
          </w:p>
        </w:tc>
        <w:tc>
          <w:tcPr>
            <w:tcW w:w="2390"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长期例行监测数据□</w:t>
            </w:r>
          </w:p>
        </w:tc>
        <w:tc>
          <w:tcPr>
            <w:tcW w:w="4277" w:type="dxa"/>
            <w:gridSpan w:val="11"/>
            <w:tcBorders>
              <w:top w:val="single" w:color="auto" w:sz="4" w:space="0"/>
              <w:left w:val="single" w:color="auto" w:sz="4" w:space="0"/>
              <w:bottom w:val="single" w:color="auto" w:sz="4" w:space="0"/>
            </w:tcBorders>
            <w:noWrap w:val="0"/>
            <w:vAlign w:val="center"/>
          </w:tcPr>
          <w:p>
            <w:pPr>
              <w:spacing w:line="360" w:lineRule="exact"/>
              <w:jc w:val="center"/>
              <w:rPr>
                <w:rFonts w:eastAsia="Times New Roman"/>
                <w:szCs w:val="21"/>
              </w:rPr>
            </w:pPr>
            <w:r>
              <w:rPr>
                <w:szCs w:val="21"/>
              </w:rPr>
              <w:t>主管部门发布的数据</w:t>
            </w:r>
            <w:r>
              <w:rPr>
                <w:rFonts w:eastAsia="仿宋"/>
                <w:szCs w:val="21"/>
              </w:rPr>
              <w:t>√</w:t>
            </w:r>
          </w:p>
        </w:tc>
        <w:tc>
          <w:tcPr>
            <w:tcW w:w="3407" w:type="dxa"/>
            <w:gridSpan w:val="5"/>
            <w:tcBorders>
              <w:top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现状补充监测</w:t>
            </w:r>
            <w:r>
              <w:rPr>
                <w:rFonts w:eastAsia="仿宋"/>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81" w:type="dxa"/>
            <w:vMerge w:val="continue"/>
            <w:tcBorders>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现状评价</w:t>
            </w:r>
          </w:p>
        </w:tc>
        <w:tc>
          <w:tcPr>
            <w:tcW w:w="4501" w:type="dxa"/>
            <w:gridSpan w:val="10"/>
            <w:tcBorders>
              <w:top w:val="single" w:color="auto" w:sz="4" w:space="0"/>
              <w:left w:val="single" w:color="auto" w:sz="4" w:space="0"/>
              <w:bottom w:val="single" w:color="auto" w:sz="4" w:space="0"/>
            </w:tcBorders>
            <w:noWrap w:val="0"/>
            <w:vAlign w:val="center"/>
          </w:tcPr>
          <w:p>
            <w:pPr>
              <w:spacing w:line="360" w:lineRule="exact"/>
              <w:jc w:val="center"/>
              <w:rPr>
                <w:rFonts w:eastAsia="Times New Roman"/>
                <w:szCs w:val="21"/>
              </w:rPr>
            </w:pPr>
            <w:r>
              <w:rPr>
                <w:szCs w:val="21"/>
              </w:rPr>
              <w:t>达标区□</w:t>
            </w:r>
          </w:p>
        </w:tc>
        <w:tc>
          <w:tcPr>
            <w:tcW w:w="5573" w:type="dxa"/>
            <w:gridSpan w:val="10"/>
            <w:tcBorders>
              <w:right w:val="single" w:color="auto" w:sz="12" w:space="0"/>
            </w:tcBorders>
            <w:noWrap w:val="0"/>
            <w:vAlign w:val="center"/>
          </w:tcPr>
          <w:p>
            <w:pPr>
              <w:spacing w:line="360" w:lineRule="exact"/>
              <w:jc w:val="center"/>
              <w:rPr>
                <w:rFonts w:eastAsia="Times New Roman"/>
                <w:szCs w:val="21"/>
              </w:rPr>
            </w:pPr>
            <w:r>
              <w:rPr>
                <w:szCs w:val="21"/>
              </w:rPr>
              <w:t>不达标区</w:t>
            </w:r>
            <w:r>
              <w:rPr>
                <w:rFonts w:eastAsia="仿宋"/>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81" w:type="dxa"/>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r>
              <w:rPr>
                <w:szCs w:val="21"/>
              </w:rPr>
              <w:t>污染源调查</w:t>
            </w: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调查内容</w:t>
            </w:r>
          </w:p>
        </w:tc>
        <w:tc>
          <w:tcPr>
            <w:tcW w:w="2740"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本项目正常排放源</w:t>
            </w:r>
            <w:r>
              <w:rPr>
                <w:rFonts w:eastAsia="仿宋"/>
                <w:szCs w:val="21"/>
              </w:rPr>
              <w:t>√</w:t>
            </w:r>
          </w:p>
          <w:p>
            <w:pPr>
              <w:spacing w:line="360" w:lineRule="exact"/>
              <w:jc w:val="center"/>
              <w:rPr>
                <w:szCs w:val="21"/>
              </w:rPr>
            </w:pPr>
            <w:r>
              <w:rPr>
                <w:szCs w:val="21"/>
              </w:rPr>
              <w:t>本项目非正常排放源□</w:t>
            </w:r>
          </w:p>
          <w:p>
            <w:pPr>
              <w:spacing w:line="360" w:lineRule="exact"/>
              <w:jc w:val="center"/>
              <w:rPr>
                <w:szCs w:val="21"/>
              </w:rPr>
            </w:pPr>
            <w:r>
              <w:rPr>
                <w:szCs w:val="21"/>
              </w:rPr>
              <w:t>现有污染源 □</w:t>
            </w:r>
          </w:p>
        </w:tc>
        <w:tc>
          <w:tcPr>
            <w:tcW w:w="1761"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拟替代的污染源□</w:t>
            </w:r>
          </w:p>
        </w:tc>
        <w:tc>
          <w:tcPr>
            <w:tcW w:w="3717" w:type="dxa"/>
            <w:gridSpan w:val="8"/>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eastAsia="Times New Roman"/>
                <w:szCs w:val="21"/>
              </w:rPr>
            </w:pPr>
            <w:r>
              <w:rPr>
                <w:szCs w:val="21"/>
              </w:rPr>
              <w:t>其他在建、拟建项目污染源</w:t>
            </w:r>
            <w:r>
              <w:rPr>
                <w:szCs w:val="21"/>
              </w:rPr>
              <w:sym w:font="Wingdings 2" w:char="0052"/>
            </w:r>
          </w:p>
        </w:tc>
        <w:tc>
          <w:tcPr>
            <w:tcW w:w="1856" w:type="dxa"/>
            <w:gridSpan w:val="2"/>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区域污染源□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81" w:type="dxa"/>
            <w:vMerge w:val="restart"/>
            <w:tcBorders>
              <w:top w:val="single" w:color="auto" w:sz="4" w:space="0"/>
              <w:left w:val="single" w:color="auto" w:sz="12" w:space="0"/>
              <w:right w:val="single" w:color="auto" w:sz="4" w:space="0"/>
            </w:tcBorders>
            <w:noWrap w:val="0"/>
            <w:vAlign w:val="center"/>
          </w:tcPr>
          <w:p>
            <w:pPr>
              <w:spacing w:line="360" w:lineRule="exact"/>
              <w:jc w:val="center"/>
              <w:rPr>
                <w:szCs w:val="21"/>
              </w:rPr>
            </w:pPr>
            <w:r>
              <w:rPr>
                <w:szCs w:val="21"/>
              </w:rPr>
              <w:t>大气环境影响预测与评价</w:t>
            </w: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预测模型</w:t>
            </w:r>
          </w:p>
        </w:tc>
        <w:tc>
          <w:tcPr>
            <w:tcW w:w="1497"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AERMOD</w:t>
            </w:r>
            <w:r>
              <w:rPr>
                <w:rFonts w:eastAsia="仿宋"/>
                <w:szCs w:val="21"/>
              </w:rPr>
              <w:t>√</w:t>
            </w:r>
          </w:p>
        </w:tc>
        <w:tc>
          <w:tcPr>
            <w:tcW w:w="1243"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ADMS□</w:t>
            </w:r>
          </w:p>
        </w:tc>
        <w:tc>
          <w:tcPr>
            <w:tcW w:w="1761"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AUSTAL2000□</w:t>
            </w:r>
          </w:p>
        </w:tc>
        <w:tc>
          <w:tcPr>
            <w:tcW w:w="2166"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EDMS/AEDT□</w:t>
            </w:r>
          </w:p>
        </w:tc>
        <w:tc>
          <w:tcPr>
            <w:tcW w:w="1551"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CALPUFF□</w:t>
            </w:r>
          </w:p>
        </w:tc>
        <w:tc>
          <w:tcPr>
            <w:tcW w:w="1107"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网格模型□</w:t>
            </w:r>
          </w:p>
        </w:tc>
        <w:tc>
          <w:tcPr>
            <w:tcW w:w="749" w:type="dxa"/>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其他□</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81"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预测范围</w:t>
            </w:r>
          </w:p>
        </w:tc>
        <w:tc>
          <w:tcPr>
            <w:tcW w:w="2740"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边长≥ 50km□</w:t>
            </w:r>
          </w:p>
        </w:tc>
        <w:tc>
          <w:tcPr>
            <w:tcW w:w="5478" w:type="dxa"/>
            <w:gridSpan w:val="12"/>
            <w:tcBorders>
              <w:top w:val="single" w:color="auto" w:sz="4" w:space="0"/>
              <w:left w:val="single" w:color="auto" w:sz="4" w:space="0"/>
              <w:bottom w:val="single" w:color="auto" w:sz="4" w:space="0"/>
            </w:tcBorders>
            <w:noWrap w:val="0"/>
            <w:vAlign w:val="center"/>
          </w:tcPr>
          <w:p>
            <w:pPr>
              <w:spacing w:line="360" w:lineRule="exact"/>
              <w:jc w:val="center"/>
              <w:rPr>
                <w:rFonts w:eastAsia="Times New Roman"/>
                <w:szCs w:val="21"/>
              </w:rPr>
            </w:pPr>
            <w:r>
              <w:rPr>
                <w:szCs w:val="21"/>
              </w:rPr>
              <w:t>边长 5～50km□</w:t>
            </w:r>
          </w:p>
        </w:tc>
        <w:tc>
          <w:tcPr>
            <w:tcW w:w="1856" w:type="dxa"/>
            <w:gridSpan w:val="2"/>
            <w:tcBorders>
              <w:right w:val="single" w:color="auto" w:sz="12" w:space="0"/>
            </w:tcBorders>
            <w:noWrap w:val="0"/>
            <w:vAlign w:val="center"/>
          </w:tcPr>
          <w:p>
            <w:pPr>
              <w:spacing w:line="360" w:lineRule="exact"/>
              <w:jc w:val="center"/>
              <w:rPr>
                <w:rFonts w:eastAsia="Times New Roman"/>
                <w:szCs w:val="21"/>
              </w:rPr>
            </w:pPr>
            <w:r>
              <w:rPr>
                <w:szCs w:val="21"/>
              </w:rPr>
              <w:t>边长= 5 km</w:t>
            </w:r>
            <w:r>
              <w:rPr>
                <w:rFonts w:eastAsia="仿宋"/>
                <w:szCs w:val="21"/>
              </w:rPr>
              <w:t>√</w:t>
            </w:r>
            <w:r>
              <w:rPr>
                <w:szCs w:val="21"/>
              </w:rPr>
              <w:t xml:space="preserve">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981"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预测因子</w:t>
            </w:r>
          </w:p>
        </w:tc>
        <w:tc>
          <w:tcPr>
            <w:tcW w:w="4723" w:type="dxa"/>
            <w:gridSpan w:val="12"/>
            <w:tcBorders>
              <w:top w:val="single" w:color="auto" w:sz="4" w:space="0"/>
              <w:left w:val="single" w:color="auto" w:sz="4" w:space="0"/>
              <w:bottom w:val="single" w:color="auto" w:sz="4" w:space="0"/>
            </w:tcBorders>
            <w:noWrap w:val="0"/>
            <w:vAlign w:val="center"/>
          </w:tcPr>
          <w:p>
            <w:pPr>
              <w:spacing w:line="360" w:lineRule="exact"/>
              <w:jc w:val="center"/>
              <w:rPr>
                <w:rFonts w:eastAsia="Times New Roman"/>
                <w:szCs w:val="21"/>
              </w:rPr>
            </w:pPr>
            <w:r>
              <w:rPr>
                <w:szCs w:val="21"/>
              </w:rPr>
              <w:t>预测因子(颗粒物、SO</w:t>
            </w:r>
            <w:r>
              <w:rPr>
                <w:szCs w:val="21"/>
                <w:vertAlign w:val="subscript"/>
              </w:rPr>
              <w:t>2</w:t>
            </w:r>
            <w:r>
              <w:rPr>
                <w:szCs w:val="21"/>
              </w:rPr>
              <w:t>、NO</w:t>
            </w:r>
            <w:r>
              <w:rPr>
                <w:i/>
                <w:iCs/>
                <w:szCs w:val="21"/>
              </w:rPr>
              <w:t>x、</w:t>
            </w:r>
            <w:r>
              <w:rPr>
                <w:szCs w:val="21"/>
              </w:rPr>
              <w:t>NH</w:t>
            </w:r>
            <w:r>
              <w:rPr>
                <w:szCs w:val="21"/>
                <w:vertAlign w:val="subscript"/>
              </w:rPr>
              <w:t>3</w:t>
            </w:r>
            <w:r>
              <w:rPr>
                <w:szCs w:val="21"/>
              </w:rPr>
              <w:t>、H</w:t>
            </w:r>
            <w:r>
              <w:rPr>
                <w:szCs w:val="21"/>
                <w:vertAlign w:val="subscript"/>
              </w:rPr>
              <w:t>2</w:t>
            </w:r>
            <w:r>
              <w:rPr>
                <w:szCs w:val="21"/>
              </w:rPr>
              <w:t>S)</w:t>
            </w:r>
          </w:p>
        </w:tc>
        <w:tc>
          <w:tcPr>
            <w:tcW w:w="5351" w:type="dxa"/>
            <w:gridSpan w:val="8"/>
            <w:tcBorders>
              <w:right w:val="single" w:color="auto" w:sz="12" w:space="0"/>
            </w:tcBorders>
            <w:noWrap w:val="0"/>
            <w:vAlign w:val="center"/>
          </w:tcPr>
          <w:p>
            <w:pPr>
              <w:spacing w:line="360" w:lineRule="exact"/>
              <w:jc w:val="center"/>
              <w:rPr>
                <w:szCs w:val="21"/>
              </w:rPr>
            </w:pPr>
            <w:r>
              <w:rPr>
                <w:szCs w:val="21"/>
              </w:rPr>
              <w:t>包括二次 PM</w:t>
            </w:r>
            <w:r>
              <w:rPr>
                <w:szCs w:val="21"/>
                <w:vertAlign w:val="subscript"/>
              </w:rPr>
              <w:t>2.5</w:t>
            </w:r>
            <w:r>
              <w:rPr>
                <w:szCs w:val="21"/>
              </w:rPr>
              <w:t xml:space="preserve"> □</w:t>
            </w:r>
          </w:p>
          <w:p>
            <w:pPr>
              <w:spacing w:line="360" w:lineRule="exact"/>
              <w:jc w:val="center"/>
              <w:rPr>
                <w:rFonts w:eastAsia="Times New Roman"/>
                <w:szCs w:val="21"/>
              </w:rPr>
            </w:pPr>
            <w:r>
              <w:rPr>
                <w:szCs w:val="21"/>
              </w:rPr>
              <w:t>不包括二次 PM</w:t>
            </w:r>
            <w:r>
              <w:rPr>
                <w:szCs w:val="21"/>
                <w:vertAlign w:val="subscript"/>
              </w:rPr>
              <w:t>2.5</w:t>
            </w:r>
            <w:r>
              <w:rPr>
                <w:szCs w:val="21"/>
              </w:rPr>
              <w:t xml:space="preserve"> </w:t>
            </w:r>
            <w:r>
              <w:rPr>
                <w:rFonts w:eastAsia="仿宋"/>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981"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正常排放短期浓度贡献值</w:t>
            </w:r>
          </w:p>
        </w:tc>
        <w:tc>
          <w:tcPr>
            <w:tcW w:w="4723" w:type="dxa"/>
            <w:gridSpan w:val="12"/>
            <w:tcBorders>
              <w:top w:val="single" w:color="auto" w:sz="4" w:space="0"/>
              <w:left w:val="single" w:color="auto" w:sz="4" w:space="0"/>
            </w:tcBorders>
            <w:noWrap w:val="0"/>
            <w:vAlign w:val="center"/>
          </w:tcPr>
          <w:p>
            <w:pPr>
              <w:spacing w:line="360" w:lineRule="exact"/>
              <w:jc w:val="center"/>
              <w:rPr>
                <w:rFonts w:eastAsia="Times New Roman"/>
                <w:szCs w:val="21"/>
              </w:rPr>
            </w:pPr>
            <w:r>
              <w:rPr>
                <w:szCs w:val="21"/>
              </w:rPr>
              <w:t>C</w:t>
            </w:r>
            <w:r>
              <w:rPr>
                <w:szCs w:val="21"/>
                <w:vertAlign w:val="subscript"/>
              </w:rPr>
              <w:t>本项目</w:t>
            </w:r>
            <w:r>
              <w:rPr>
                <w:szCs w:val="21"/>
              </w:rPr>
              <w:t>最大占标率≤100%</w:t>
            </w:r>
            <w:r>
              <w:rPr>
                <w:rFonts w:eastAsia="仿宋"/>
                <w:szCs w:val="21"/>
              </w:rPr>
              <w:t>√</w:t>
            </w:r>
          </w:p>
        </w:tc>
        <w:tc>
          <w:tcPr>
            <w:tcW w:w="5351" w:type="dxa"/>
            <w:gridSpan w:val="8"/>
            <w:tcBorders>
              <w:right w:val="single" w:color="auto" w:sz="12" w:space="0"/>
            </w:tcBorders>
            <w:noWrap w:val="0"/>
            <w:vAlign w:val="center"/>
          </w:tcPr>
          <w:p>
            <w:pPr>
              <w:spacing w:line="360" w:lineRule="exact"/>
              <w:jc w:val="center"/>
              <w:rPr>
                <w:rFonts w:eastAsia="Times New Roman"/>
                <w:szCs w:val="21"/>
              </w:rPr>
            </w:pPr>
            <w:r>
              <w:rPr>
                <w:szCs w:val="21"/>
              </w:rPr>
              <w:t>C</w:t>
            </w:r>
            <w:r>
              <w:rPr>
                <w:szCs w:val="21"/>
                <w:vertAlign w:val="subscript"/>
              </w:rPr>
              <w:t>本项目</w:t>
            </w:r>
            <w:r>
              <w:rPr>
                <w:szCs w:val="21"/>
              </w:rPr>
              <w:t>最大占标率＞100%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99" w:hRule="atLeast"/>
        </w:trPr>
        <w:tc>
          <w:tcPr>
            <w:tcW w:w="981"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313" w:type="dxa"/>
            <w:vMerge w:val="restart"/>
            <w:tcBorders>
              <w:top w:val="single" w:color="auto" w:sz="4" w:space="0"/>
              <w:left w:val="single" w:color="auto" w:sz="4" w:space="0"/>
              <w:right w:val="single" w:color="auto" w:sz="4" w:space="0"/>
            </w:tcBorders>
            <w:noWrap w:val="0"/>
            <w:vAlign w:val="center"/>
          </w:tcPr>
          <w:p>
            <w:pPr>
              <w:spacing w:line="360" w:lineRule="exact"/>
              <w:jc w:val="center"/>
              <w:rPr>
                <w:szCs w:val="21"/>
              </w:rPr>
            </w:pPr>
            <w:r>
              <w:rPr>
                <w:szCs w:val="21"/>
              </w:rPr>
              <w:t>正常排放年均浓度贡献值</w:t>
            </w:r>
          </w:p>
        </w:tc>
        <w:tc>
          <w:tcPr>
            <w:tcW w:w="2048" w:type="dxa"/>
            <w:gridSpan w:val="2"/>
            <w:tcBorders>
              <w:top w:val="single" w:color="auto" w:sz="4" w:space="0"/>
              <w:left w:val="single" w:color="auto" w:sz="4" w:space="0"/>
              <w:bottom w:val="single" w:color="auto" w:sz="4" w:space="0"/>
            </w:tcBorders>
            <w:noWrap w:val="0"/>
            <w:vAlign w:val="center"/>
          </w:tcPr>
          <w:p>
            <w:pPr>
              <w:spacing w:line="360" w:lineRule="exact"/>
              <w:jc w:val="center"/>
              <w:rPr>
                <w:szCs w:val="21"/>
              </w:rPr>
            </w:pPr>
            <w:r>
              <w:rPr>
                <w:szCs w:val="21"/>
              </w:rPr>
              <w:t>一类区</w:t>
            </w:r>
          </w:p>
        </w:tc>
        <w:tc>
          <w:tcPr>
            <w:tcW w:w="2675" w:type="dxa"/>
            <w:gridSpan w:val="10"/>
            <w:tcBorders>
              <w:top w:val="single" w:color="auto" w:sz="4" w:space="0"/>
              <w:left w:val="single" w:color="auto" w:sz="4" w:space="0"/>
              <w:bottom w:val="single" w:color="auto" w:sz="4" w:space="0"/>
            </w:tcBorders>
            <w:noWrap w:val="0"/>
            <w:vAlign w:val="center"/>
          </w:tcPr>
          <w:p>
            <w:pPr>
              <w:spacing w:line="360" w:lineRule="exact"/>
              <w:jc w:val="center"/>
              <w:rPr>
                <w:szCs w:val="21"/>
              </w:rPr>
            </w:pPr>
            <w:r>
              <w:rPr>
                <w:szCs w:val="21"/>
              </w:rPr>
              <w:t>C</w:t>
            </w:r>
            <w:r>
              <w:rPr>
                <w:szCs w:val="21"/>
                <w:vertAlign w:val="subscript"/>
              </w:rPr>
              <w:t>本项目</w:t>
            </w:r>
            <w:r>
              <w:rPr>
                <w:szCs w:val="21"/>
              </w:rPr>
              <w:t>最大占标率≤10%□</w:t>
            </w:r>
          </w:p>
        </w:tc>
        <w:tc>
          <w:tcPr>
            <w:tcW w:w="5351" w:type="dxa"/>
            <w:gridSpan w:val="8"/>
            <w:tcBorders>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C</w:t>
            </w:r>
            <w:r>
              <w:rPr>
                <w:szCs w:val="21"/>
                <w:vertAlign w:val="subscript"/>
              </w:rPr>
              <w:t>本项目</w:t>
            </w:r>
            <w:r>
              <w:rPr>
                <w:szCs w:val="21"/>
              </w:rPr>
              <w:t>最大占标率＞10%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5" w:hRule="atLeast"/>
        </w:trPr>
        <w:tc>
          <w:tcPr>
            <w:tcW w:w="981"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313" w:type="dxa"/>
            <w:vMerge w:val="continue"/>
            <w:tcBorders>
              <w:left w:val="single" w:color="auto" w:sz="4" w:space="0"/>
              <w:bottom w:val="single" w:color="auto" w:sz="4" w:space="0"/>
              <w:right w:val="single" w:color="auto" w:sz="4" w:space="0"/>
            </w:tcBorders>
            <w:noWrap w:val="0"/>
            <w:vAlign w:val="center"/>
          </w:tcPr>
          <w:p>
            <w:pPr>
              <w:spacing w:line="360" w:lineRule="exact"/>
              <w:jc w:val="center"/>
              <w:rPr>
                <w:szCs w:val="21"/>
              </w:rPr>
            </w:pPr>
          </w:p>
        </w:tc>
        <w:tc>
          <w:tcPr>
            <w:tcW w:w="2048" w:type="dxa"/>
            <w:gridSpan w:val="2"/>
            <w:tcBorders>
              <w:top w:val="single" w:color="auto" w:sz="4" w:space="0"/>
              <w:left w:val="single" w:color="auto" w:sz="4" w:space="0"/>
            </w:tcBorders>
            <w:noWrap w:val="0"/>
            <w:vAlign w:val="center"/>
          </w:tcPr>
          <w:p>
            <w:pPr>
              <w:spacing w:line="360" w:lineRule="exact"/>
              <w:jc w:val="center"/>
              <w:rPr>
                <w:szCs w:val="21"/>
              </w:rPr>
            </w:pPr>
            <w:r>
              <w:rPr>
                <w:szCs w:val="21"/>
              </w:rPr>
              <w:t>二类区</w:t>
            </w:r>
          </w:p>
        </w:tc>
        <w:tc>
          <w:tcPr>
            <w:tcW w:w="2675" w:type="dxa"/>
            <w:gridSpan w:val="10"/>
            <w:tcBorders>
              <w:top w:val="single" w:color="auto" w:sz="4" w:space="0"/>
              <w:left w:val="single" w:color="auto" w:sz="4" w:space="0"/>
            </w:tcBorders>
            <w:noWrap w:val="0"/>
            <w:vAlign w:val="center"/>
          </w:tcPr>
          <w:p>
            <w:pPr>
              <w:spacing w:line="360" w:lineRule="exact"/>
              <w:jc w:val="center"/>
              <w:rPr>
                <w:szCs w:val="21"/>
              </w:rPr>
            </w:pPr>
            <w:r>
              <w:rPr>
                <w:szCs w:val="21"/>
              </w:rPr>
              <w:t>C</w:t>
            </w:r>
            <w:r>
              <w:rPr>
                <w:szCs w:val="21"/>
                <w:vertAlign w:val="subscript"/>
              </w:rPr>
              <w:t>本项目</w:t>
            </w:r>
            <w:r>
              <w:rPr>
                <w:szCs w:val="21"/>
              </w:rPr>
              <w:t>最大占标率≤30%</w:t>
            </w:r>
            <w:r>
              <w:rPr>
                <w:rFonts w:eastAsia="仿宋"/>
                <w:szCs w:val="21"/>
              </w:rPr>
              <w:t>√</w:t>
            </w:r>
          </w:p>
        </w:tc>
        <w:tc>
          <w:tcPr>
            <w:tcW w:w="5351" w:type="dxa"/>
            <w:gridSpan w:val="8"/>
            <w:tcBorders>
              <w:top w:val="single" w:color="auto" w:sz="4" w:space="0"/>
              <w:right w:val="single" w:color="auto" w:sz="12" w:space="0"/>
            </w:tcBorders>
            <w:noWrap w:val="0"/>
            <w:vAlign w:val="center"/>
          </w:tcPr>
          <w:p>
            <w:pPr>
              <w:spacing w:line="360" w:lineRule="exact"/>
              <w:jc w:val="center"/>
              <w:rPr>
                <w:rFonts w:eastAsia="Times New Roman"/>
                <w:szCs w:val="21"/>
              </w:rPr>
            </w:pPr>
            <w:r>
              <w:rPr>
                <w:szCs w:val="21"/>
              </w:rPr>
              <w:t>C</w:t>
            </w:r>
            <w:r>
              <w:rPr>
                <w:szCs w:val="21"/>
                <w:vertAlign w:val="subscript"/>
              </w:rPr>
              <w:t>本项目</w:t>
            </w:r>
            <w:r>
              <w:rPr>
                <w:szCs w:val="21"/>
              </w:rPr>
              <w:t>最大占标率＞30%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981"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非正常排放 1h 浓度贡献值</w:t>
            </w:r>
          </w:p>
        </w:tc>
        <w:tc>
          <w:tcPr>
            <w:tcW w:w="2425" w:type="dxa"/>
            <w:gridSpan w:val="5"/>
            <w:tcBorders>
              <w:left w:val="single" w:color="auto" w:sz="4" w:space="0"/>
            </w:tcBorders>
            <w:noWrap w:val="0"/>
            <w:vAlign w:val="center"/>
          </w:tcPr>
          <w:p>
            <w:pPr>
              <w:spacing w:line="360" w:lineRule="exact"/>
              <w:jc w:val="center"/>
              <w:rPr>
                <w:szCs w:val="21"/>
              </w:rPr>
            </w:pPr>
            <w:r>
              <w:rPr>
                <w:szCs w:val="21"/>
              </w:rPr>
              <w:t>非正常持续时长（1）h</w:t>
            </w:r>
          </w:p>
        </w:tc>
        <w:tc>
          <w:tcPr>
            <w:tcW w:w="3253" w:type="dxa"/>
            <w:gridSpan w:val="9"/>
            <w:tcBorders>
              <w:left w:val="single" w:color="auto" w:sz="4" w:space="0"/>
            </w:tcBorders>
            <w:noWrap w:val="0"/>
            <w:vAlign w:val="center"/>
          </w:tcPr>
          <w:p>
            <w:pPr>
              <w:spacing w:line="360" w:lineRule="exact"/>
              <w:jc w:val="center"/>
              <w:rPr>
                <w:szCs w:val="21"/>
              </w:rPr>
            </w:pPr>
            <w:r>
              <w:rPr>
                <w:szCs w:val="21"/>
              </w:rPr>
              <w:t>C</w:t>
            </w:r>
            <w:r>
              <w:rPr>
                <w:szCs w:val="21"/>
                <w:vertAlign w:val="subscript"/>
              </w:rPr>
              <w:t>非正常</w:t>
            </w:r>
            <w:r>
              <w:rPr>
                <w:szCs w:val="21"/>
              </w:rPr>
              <w:t>占标率≤100%</w:t>
            </w:r>
            <w:r>
              <w:rPr>
                <w:rFonts w:eastAsia="仿宋"/>
                <w:szCs w:val="21"/>
              </w:rPr>
              <w:t>√</w:t>
            </w:r>
          </w:p>
        </w:tc>
        <w:tc>
          <w:tcPr>
            <w:tcW w:w="4396" w:type="dxa"/>
            <w:gridSpan w:val="6"/>
            <w:tcBorders>
              <w:left w:val="single" w:color="auto" w:sz="4" w:space="0"/>
              <w:right w:val="single" w:color="auto" w:sz="12" w:space="0"/>
            </w:tcBorders>
            <w:noWrap w:val="0"/>
            <w:vAlign w:val="center"/>
          </w:tcPr>
          <w:p>
            <w:pPr>
              <w:spacing w:line="360" w:lineRule="exact"/>
              <w:jc w:val="center"/>
              <w:rPr>
                <w:szCs w:val="21"/>
              </w:rPr>
            </w:pPr>
            <w:r>
              <w:rPr>
                <w:szCs w:val="21"/>
              </w:rPr>
              <w:t>C</w:t>
            </w:r>
            <w:r>
              <w:rPr>
                <w:szCs w:val="21"/>
                <w:vertAlign w:val="subscript"/>
              </w:rPr>
              <w:t>非正常</w:t>
            </w:r>
            <w:r>
              <w:rPr>
                <w:szCs w:val="21"/>
              </w:rPr>
              <w:t>占标率＞100%□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981"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保证率日平均浓度和年平均浓度叠加值</w:t>
            </w:r>
          </w:p>
        </w:tc>
        <w:tc>
          <w:tcPr>
            <w:tcW w:w="4210" w:type="dxa"/>
            <w:gridSpan w:val="9"/>
            <w:tcBorders>
              <w:left w:val="single" w:color="auto" w:sz="4" w:space="0"/>
            </w:tcBorders>
            <w:noWrap w:val="0"/>
            <w:vAlign w:val="center"/>
          </w:tcPr>
          <w:p>
            <w:pPr>
              <w:spacing w:line="360" w:lineRule="exact"/>
              <w:jc w:val="center"/>
              <w:rPr>
                <w:szCs w:val="21"/>
              </w:rPr>
            </w:pPr>
            <w:r>
              <w:rPr>
                <w:szCs w:val="21"/>
              </w:rPr>
              <w:t>C</w:t>
            </w:r>
            <w:r>
              <w:rPr>
                <w:szCs w:val="21"/>
                <w:vertAlign w:val="subscript"/>
              </w:rPr>
              <w:t>叠加</w:t>
            </w:r>
            <w:r>
              <w:rPr>
                <w:szCs w:val="21"/>
              </w:rPr>
              <w:t>达标</w:t>
            </w:r>
            <w:r>
              <w:rPr>
                <w:rFonts w:eastAsia="仿宋"/>
                <w:szCs w:val="21"/>
              </w:rPr>
              <w:t>√</w:t>
            </w:r>
          </w:p>
        </w:tc>
        <w:tc>
          <w:tcPr>
            <w:tcW w:w="5864" w:type="dxa"/>
            <w:gridSpan w:val="11"/>
            <w:tcBorders>
              <w:right w:val="single" w:color="auto" w:sz="12" w:space="0"/>
            </w:tcBorders>
            <w:noWrap w:val="0"/>
            <w:vAlign w:val="center"/>
          </w:tcPr>
          <w:p>
            <w:pPr>
              <w:spacing w:line="360" w:lineRule="exact"/>
              <w:jc w:val="center"/>
              <w:rPr>
                <w:szCs w:val="21"/>
              </w:rPr>
            </w:pPr>
            <w:r>
              <w:rPr>
                <w:szCs w:val="21"/>
              </w:rPr>
              <w:t>C</w:t>
            </w:r>
            <w:r>
              <w:rPr>
                <w:szCs w:val="21"/>
                <w:vertAlign w:val="subscript"/>
              </w:rPr>
              <w:t>叠加</w:t>
            </w:r>
            <w:r>
              <w:rPr>
                <w:szCs w:val="21"/>
              </w:rPr>
              <w:t>不达标□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981" w:type="dxa"/>
            <w:vMerge w:val="continue"/>
            <w:tcBorders>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区域环境质量的整体变化情况</w:t>
            </w:r>
          </w:p>
        </w:tc>
        <w:tc>
          <w:tcPr>
            <w:tcW w:w="5587" w:type="dxa"/>
            <w:gridSpan w:val="13"/>
            <w:tcBorders>
              <w:left w:val="single" w:color="auto" w:sz="4" w:space="0"/>
            </w:tcBorders>
            <w:noWrap w:val="0"/>
            <w:vAlign w:val="center"/>
          </w:tcPr>
          <w:p>
            <w:pPr>
              <w:spacing w:line="360" w:lineRule="exact"/>
              <w:jc w:val="center"/>
              <w:rPr>
                <w:rFonts w:eastAsia="Times New Roman"/>
                <w:szCs w:val="21"/>
              </w:rPr>
            </w:pPr>
            <w:r>
              <w:rPr>
                <w:szCs w:val="21"/>
              </w:rPr>
              <w:t>k ≤-20%□</w:t>
            </w:r>
          </w:p>
        </w:tc>
        <w:tc>
          <w:tcPr>
            <w:tcW w:w="4487" w:type="dxa"/>
            <w:gridSpan w:val="7"/>
            <w:tcBorders>
              <w:right w:val="single" w:color="auto" w:sz="12" w:space="0"/>
            </w:tcBorders>
            <w:noWrap w:val="0"/>
            <w:vAlign w:val="center"/>
          </w:tcPr>
          <w:p>
            <w:pPr>
              <w:spacing w:line="360" w:lineRule="exact"/>
              <w:jc w:val="center"/>
              <w:rPr>
                <w:szCs w:val="21"/>
              </w:rPr>
            </w:pPr>
            <w:r>
              <w:rPr>
                <w:szCs w:val="21"/>
              </w:rPr>
              <w:t>k ＞-20%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981" w:type="dxa"/>
            <w:vMerge w:val="restart"/>
            <w:tcBorders>
              <w:top w:val="single" w:color="auto" w:sz="4" w:space="0"/>
              <w:left w:val="single" w:color="auto" w:sz="12" w:space="0"/>
              <w:right w:val="single" w:color="auto" w:sz="4" w:space="0"/>
            </w:tcBorders>
            <w:noWrap w:val="0"/>
            <w:vAlign w:val="center"/>
          </w:tcPr>
          <w:p>
            <w:pPr>
              <w:spacing w:line="360" w:lineRule="exact"/>
              <w:jc w:val="center"/>
              <w:rPr>
                <w:szCs w:val="21"/>
              </w:rPr>
            </w:pPr>
            <w:r>
              <w:rPr>
                <w:szCs w:val="21"/>
              </w:rPr>
              <w:t>环境监测计划</w:t>
            </w:r>
          </w:p>
        </w:tc>
        <w:tc>
          <w:tcPr>
            <w:tcW w:w="2313" w:type="dxa"/>
            <w:tcBorders>
              <w:top w:val="single" w:color="auto" w:sz="4" w:space="0"/>
              <w:left w:val="single" w:color="auto" w:sz="4" w:space="0"/>
              <w:right w:val="single" w:color="auto" w:sz="4" w:space="0"/>
            </w:tcBorders>
            <w:noWrap w:val="0"/>
            <w:vAlign w:val="center"/>
          </w:tcPr>
          <w:p>
            <w:pPr>
              <w:spacing w:line="360" w:lineRule="exact"/>
              <w:jc w:val="center"/>
              <w:rPr>
                <w:szCs w:val="21"/>
              </w:rPr>
            </w:pPr>
            <w:r>
              <w:rPr>
                <w:szCs w:val="21"/>
              </w:rPr>
              <w:t>污染源监测</w:t>
            </w:r>
          </w:p>
        </w:tc>
        <w:tc>
          <w:tcPr>
            <w:tcW w:w="3360" w:type="dxa"/>
            <w:gridSpan w:val="8"/>
            <w:tcBorders>
              <w:left w:val="single" w:color="auto" w:sz="4" w:space="0"/>
            </w:tcBorders>
            <w:noWrap w:val="0"/>
            <w:vAlign w:val="center"/>
          </w:tcPr>
          <w:p>
            <w:pPr>
              <w:spacing w:line="360" w:lineRule="exact"/>
              <w:jc w:val="center"/>
              <w:rPr>
                <w:szCs w:val="21"/>
              </w:rPr>
            </w:pPr>
            <w:r>
              <w:rPr>
                <w:szCs w:val="21"/>
              </w:rPr>
              <w:t>监测因子：（颗粒物、</w:t>
            </w:r>
            <w:r>
              <w:rPr>
                <w:bCs/>
                <w:szCs w:val="21"/>
              </w:rPr>
              <w:t>SO</w:t>
            </w:r>
            <w:r>
              <w:rPr>
                <w:bCs/>
                <w:szCs w:val="21"/>
                <w:vertAlign w:val="subscript"/>
              </w:rPr>
              <w:t>2</w:t>
            </w:r>
            <w:r>
              <w:rPr>
                <w:bCs/>
                <w:szCs w:val="21"/>
              </w:rPr>
              <w:t>、NO</w:t>
            </w:r>
            <w:r>
              <w:rPr>
                <w:bCs/>
                <w:szCs w:val="21"/>
                <w:vertAlign w:val="subscript"/>
              </w:rPr>
              <w:t>X</w:t>
            </w:r>
            <w:r>
              <w:rPr>
                <w:bCs/>
                <w:szCs w:val="21"/>
              </w:rPr>
              <w:t>、</w:t>
            </w:r>
            <w:r>
              <w:rPr>
                <w:szCs w:val="21"/>
              </w:rPr>
              <w:t>H</w:t>
            </w:r>
            <w:r>
              <w:rPr>
                <w:szCs w:val="21"/>
                <w:vertAlign w:val="subscript"/>
              </w:rPr>
              <w:t>2</w:t>
            </w:r>
            <w:r>
              <w:rPr>
                <w:szCs w:val="21"/>
              </w:rPr>
              <w:t>S、NH</w:t>
            </w:r>
            <w:r>
              <w:rPr>
                <w:szCs w:val="21"/>
                <w:vertAlign w:val="subscript"/>
              </w:rPr>
              <w:t>3</w:t>
            </w:r>
            <w:r>
              <w:rPr>
                <w:szCs w:val="21"/>
              </w:rPr>
              <w:t>）</w:t>
            </w:r>
          </w:p>
        </w:tc>
        <w:tc>
          <w:tcPr>
            <w:tcW w:w="3307" w:type="dxa"/>
            <w:gridSpan w:val="7"/>
            <w:tcBorders>
              <w:left w:val="single" w:color="auto" w:sz="4" w:space="0"/>
            </w:tcBorders>
            <w:noWrap w:val="0"/>
            <w:vAlign w:val="center"/>
          </w:tcPr>
          <w:p>
            <w:pPr>
              <w:spacing w:line="360" w:lineRule="exact"/>
              <w:jc w:val="center"/>
              <w:rPr>
                <w:szCs w:val="21"/>
              </w:rPr>
            </w:pPr>
            <w:r>
              <w:rPr>
                <w:szCs w:val="21"/>
              </w:rPr>
              <w:t>有组织废气监测 □</w:t>
            </w:r>
          </w:p>
          <w:p>
            <w:pPr>
              <w:spacing w:line="360" w:lineRule="exact"/>
              <w:jc w:val="center"/>
              <w:rPr>
                <w:rFonts w:eastAsia="Times New Roman"/>
                <w:szCs w:val="21"/>
              </w:rPr>
            </w:pPr>
            <w:r>
              <w:rPr>
                <w:szCs w:val="21"/>
              </w:rPr>
              <w:t>无组织废气监测</w:t>
            </w:r>
            <w:r>
              <w:rPr>
                <w:rFonts w:eastAsia="仿宋"/>
                <w:szCs w:val="21"/>
              </w:rPr>
              <w:t>√</w:t>
            </w:r>
          </w:p>
        </w:tc>
        <w:tc>
          <w:tcPr>
            <w:tcW w:w="3407" w:type="dxa"/>
            <w:gridSpan w:val="5"/>
            <w:tcBorders>
              <w:left w:val="single" w:color="auto" w:sz="4" w:space="0"/>
              <w:right w:val="single" w:color="auto" w:sz="12" w:space="0"/>
            </w:tcBorders>
            <w:noWrap w:val="0"/>
            <w:vAlign w:val="center"/>
          </w:tcPr>
          <w:p>
            <w:pPr>
              <w:spacing w:line="360" w:lineRule="exact"/>
              <w:jc w:val="center"/>
              <w:rPr>
                <w:szCs w:val="21"/>
              </w:rPr>
            </w:pPr>
            <w:r>
              <w:rPr>
                <w:szCs w:val="21"/>
              </w:rPr>
              <w:t>无监测□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981" w:type="dxa"/>
            <w:vMerge w:val="continue"/>
            <w:tcBorders>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313" w:type="dxa"/>
            <w:tcBorders>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环境质量监测</w:t>
            </w:r>
          </w:p>
        </w:tc>
        <w:tc>
          <w:tcPr>
            <w:tcW w:w="3360" w:type="dxa"/>
            <w:gridSpan w:val="8"/>
            <w:tcBorders>
              <w:left w:val="single" w:color="auto" w:sz="4" w:space="0"/>
            </w:tcBorders>
            <w:noWrap w:val="0"/>
            <w:vAlign w:val="center"/>
          </w:tcPr>
          <w:p>
            <w:pPr>
              <w:spacing w:line="360" w:lineRule="exact"/>
              <w:jc w:val="center"/>
              <w:rPr>
                <w:szCs w:val="21"/>
              </w:rPr>
            </w:pPr>
            <w:r>
              <w:rPr>
                <w:szCs w:val="21"/>
              </w:rPr>
              <w:t>监测因子：（</w:t>
            </w:r>
            <w:r>
              <w:rPr>
                <w:bCs/>
                <w:szCs w:val="21"/>
              </w:rPr>
              <w:t>PM</w:t>
            </w:r>
            <w:r>
              <w:rPr>
                <w:bCs/>
                <w:szCs w:val="21"/>
                <w:vertAlign w:val="subscript"/>
              </w:rPr>
              <w:t>2.5</w:t>
            </w:r>
            <w:r>
              <w:rPr>
                <w:bCs/>
                <w:szCs w:val="21"/>
              </w:rPr>
              <w:t>、PM</w:t>
            </w:r>
            <w:r>
              <w:rPr>
                <w:bCs/>
                <w:szCs w:val="21"/>
                <w:vertAlign w:val="subscript"/>
              </w:rPr>
              <w:t>10</w:t>
            </w:r>
            <w:r>
              <w:rPr>
                <w:bCs/>
                <w:szCs w:val="21"/>
              </w:rPr>
              <w:t>、SO</w:t>
            </w:r>
            <w:r>
              <w:rPr>
                <w:bCs/>
                <w:szCs w:val="21"/>
                <w:vertAlign w:val="subscript"/>
              </w:rPr>
              <w:t>2</w:t>
            </w:r>
            <w:r>
              <w:rPr>
                <w:bCs/>
                <w:szCs w:val="21"/>
              </w:rPr>
              <w:t>、NO</w:t>
            </w:r>
            <w:r>
              <w:rPr>
                <w:bCs/>
                <w:szCs w:val="21"/>
                <w:vertAlign w:val="subscript"/>
              </w:rPr>
              <w:t>2</w:t>
            </w:r>
            <w:r>
              <w:rPr>
                <w:bCs/>
                <w:szCs w:val="21"/>
              </w:rPr>
              <w:t>、</w:t>
            </w:r>
            <w:r>
              <w:rPr>
                <w:szCs w:val="21"/>
              </w:rPr>
              <w:t>H</w:t>
            </w:r>
            <w:r>
              <w:rPr>
                <w:szCs w:val="21"/>
                <w:vertAlign w:val="subscript"/>
              </w:rPr>
              <w:t>2</w:t>
            </w:r>
            <w:r>
              <w:rPr>
                <w:szCs w:val="21"/>
              </w:rPr>
              <w:t>S、NH</w:t>
            </w:r>
            <w:r>
              <w:rPr>
                <w:szCs w:val="21"/>
                <w:vertAlign w:val="subscript"/>
              </w:rPr>
              <w:t>3</w:t>
            </w:r>
            <w:r>
              <w:rPr>
                <w:szCs w:val="21"/>
              </w:rPr>
              <w:t>）</w:t>
            </w:r>
          </w:p>
        </w:tc>
        <w:tc>
          <w:tcPr>
            <w:tcW w:w="3307" w:type="dxa"/>
            <w:gridSpan w:val="7"/>
            <w:tcBorders>
              <w:left w:val="single" w:color="auto" w:sz="4" w:space="0"/>
            </w:tcBorders>
            <w:noWrap w:val="0"/>
            <w:vAlign w:val="center"/>
          </w:tcPr>
          <w:p>
            <w:pPr>
              <w:spacing w:line="360" w:lineRule="exact"/>
              <w:jc w:val="center"/>
              <w:rPr>
                <w:rFonts w:eastAsia="Times New Roman"/>
                <w:szCs w:val="21"/>
              </w:rPr>
            </w:pPr>
            <w:r>
              <w:rPr>
                <w:szCs w:val="21"/>
              </w:rPr>
              <w:t>监测点位数（2</w:t>
            </w:r>
            <w:r>
              <w:rPr>
                <w:rFonts w:eastAsia="Times New Roman"/>
                <w:szCs w:val="21"/>
              </w:rPr>
              <w:t xml:space="preserve"> </w:t>
            </w:r>
            <w:r>
              <w:rPr>
                <w:szCs w:val="21"/>
              </w:rPr>
              <w:t>）</w:t>
            </w:r>
          </w:p>
        </w:tc>
        <w:tc>
          <w:tcPr>
            <w:tcW w:w="3407" w:type="dxa"/>
            <w:gridSpan w:val="5"/>
            <w:tcBorders>
              <w:left w:val="single" w:color="auto" w:sz="4" w:space="0"/>
              <w:right w:val="single" w:color="auto" w:sz="12" w:space="0"/>
            </w:tcBorders>
            <w:noWrap w:val="0"/>
            <w:vAlign w:val="center"/>
          </w:tcPr>
          <w:p>
            <w:pPr>
              <w:spacing w:line="360" w:lineRule="exact"/>
              <w:jc w:val="center"/>
              <w:rPr>
                <w:szCs w:val="21"/>
              </w:rPr>
            </w:pPr>
            <w:r>
              <w:rPr>
                <w:szCs w:val="21"/>
              </w:rPr>
              <w:t>无监测□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981" w:type="dxa"/>
            <w:vMerge w:val="restart"/>
            <w:tcBorders>
              <w:top w:val="single" w:color="auto" w:sz="4" w:space="0"/>
              <w:left w:val="single" w:color="auto" w:sz="12" w:space="0"/>
              <w:right w:val="single" w:color="auto" w:sz="4" w:space="0"/>
            </w:tcBorders>
            <w:noWrap w:val="0"/>
            <w:vAlign w:val="center"/>
          </w:tcPr>
          <w:p>
            <w:pPr>
              <w:spacing w:line="360" w:lineRule="exact"/>
              <w:jc w:val="center"/>
              <w:rPr>
                <w:szCs w:val="21"/>
              </w:rPr>
            </w:pPr>
            <w:r>
              <w:rPr>
                <w:szCs w:val="21"/>
              </w:rPr>
              <w:t>评价结论</w:t>
            </w: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环境影响</w:t>
            </w:r>
          </w:p>
        </w:tc>
        <w:tc>
          <w:tcPr>
            <w:tcW w:w="10074" w:type="dxa"/>
            <w:gridSpan w:val="20"/>
            <w:tcBorders>
              <w:left w:val="single" w:color="auto" w:sz="4" w:space="0"/>
              <w:right w:val="single" w:color="auto" w:sz="12" w:space="0"/>
            </w:tcBorders>
            <w:noWrap w:val="0"/>
            <w:vAlign w:val="center"/>
          </w:tcPr>
          <w:p>
            <w:pPr>
              <w:spacing w:line="360" w:lineRule="exact"/>
              <w:jc w:val="center"/>
              <w:rPr>
                <w:szCs w:val="21"/>
              </w:rPr>
            </w:pPr>
            <w:r>
              <w:rPr>
                <w:szCs w:val="21"/>
              </w:rPr>
              <w:t>可以接受</w:t>
            </w:r>
            <w:r>
              <w:rPr>
                <w:rFonts w:eastAsia="仿宋"/>
                <w:szCs w:val="21"/>
              </w:rPr>
              <w:t>√</w:t>
            </w:r>
            <w:r>
              <w:rPr>
                <w:szCs w:val="21"/>
              </w:rPr>
              <w:t>不可以接受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981"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大气环境防护距离</w:t>
            </w:r>
          </w:p>
        </w:tc>
        <w:tc>
          <w:tcPr>
            <w:tcW w:w="10074" w:type="dxa"/>
            <w:gridSpan w:val="20"/>
            <w:tcBorders>
              <w:left w:val="single" w:color="auto" w:sz="4" w:space="0"/>
              <w:right w:val="single" w:color="auto" w:sz="12" w:space="0"/>
            </w:tcBorders>
            <w:noWrap w:val="0"/>
            <w:vAlign w:val="center"/>
          </w:tcPr>
          <w:p>
            <w:pPr>
              <w:spacing w:line="360" w:lineRule="exact"/>
              <w:jc w:val="center"/>
              <w:rPr>
                <w:szCs w:val="21"/>
              </w:rPr>
            </w:pPr>
            <w:r>
              <w:rPr>
                <w:szCs w:val="21"/>
              </w:rPr>
              <w:t>距（</w:t>
            </w:r>
            <w:r>
              <w:rPr>
                <w:rFonts w:hint="eastAsia"/>
                <w:szCs w:val="21"/>
              </w:rPr>
              <w:t>北</w:t>
            </w:r>
            <w:r>
              <w:rPr>
                <w:szCs w:val="21"/>
              </w:rPr>
              <w:t>） 厂界最远（0）m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981" w:type="dxa"/>
            <w:vMerge w:val="continue"/>
            <w:tcBorders>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313"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污染源年排放量</w:t>
            </w:r>
          </w:p>
        </w:tc>
        <w:tc>
          <w:tcPr>
            <w:tcW w:w="2208" w:type="dxa"/>
            <w:gridSpan w:val="3"/>
            <w:tcBorders>
              <w:left w:val="single" w:color="auto" w:sz="4" w:space="0"/>
            </w:tcBorders>
            <w:noWrap w:val="0"/>
            <w:vAlign w:val="center"/>
          </w:tcPr>
          <w:p>
            <w:pPr>
              <w:spacing w:line="360" w:lineRule="exact"/>
              <w:jc w:val="center"/>
              <w:rPr>
                <w:szCs w:val="21"/>
              </w:rPr>
            </w:pPr>
            <w:r>
              <w:rPr>
                <w:szCs w:val="21"/>
              </w:rPr>
              <w:t>SO</w:t>
            </w:r>
            <w:r>
              <w:rPr>
                <w:szCs w:val="21"/>
                <w:vertAlign w:val="subscript"/>
              </w:rPr>
              <w:t>2</w:t>
            </w:r>
            <w:r>
              <w:rPr>
                <w:szCs w:val="21"/>
              </w:rPr>
              <w:t>:（</w:t>
            </w:r>
            <w:r>
              <w:rPr>
                <w:rFonts w:hint="eastAsia"/>
                <w:szCs w:val="21"/>
                <w:lang w:eastAsia="zh-CN"/>
              </w:rPr>
              <w:t>0.00089</w:t>
            </w:r>
            <w:r>
              <w:rPr>
                <w:szCs w:val="21"/>
              </w:rPr>
              <w:t>）t/a</w:t>
            </w:r>
          </w:p>
        </w:tc>
        <w:tc>
          <w:tcPr>
            <w:tcW w:w="2408" w:type="dxa"/>
            <w:gridSpan w:val="8"/>
            <w:tcBorders>
              <w:left w:val="single" w:color="auto" w:sz="4" w:space="0"/>
            </w:tcBorders>
            <w:noWrap w:val="0"/>
            <w:vAlign w:val="center"/>
          </w:tcPr>
          <w:p>
            <w:pPr>
              <w:spacing w:line="360" w:lineRule="exact"/>
              <w:jc w:val="center"/>
              <w:rPr>
                <w:szCs w:val="21"/>
              </w:rPr>
            </w:pPr>
            <w:r>
              <w:rPr>
                <w:szCs w:val="21"/>
              </w:rPr>
              <w:t>NOx:（</w:t>
            </w:r>
            <w:r>
              <w:rPr>
                <w:rFonts w:hint="eastAsia"/>
                <w:szCs w:val="21"/>
                <w:lang w:eastAsia="zh-CN"/>
              </w:rPr>
              <w:t>0.029</w:t>
            </w:r>
            <w:r>
              <w:rPr>
                <w:szCs w:val="21"/>
              </w:rPr>
              <w:t>）t/a</w:t>
            </w:r>
          </w:p>
        </w:tc>
        <w:tc>
          <w:tcPr>
            <w:tcW w:w="2549" w:type="dxa"/>
            <w:gridSpan w:val="6"/>
            <w:noWrap w:val="0"/>
            <w:vAlign w:val="center"/>
          </w:tcPr>
          <w:p>
            <w:pPr>
              <w:spacing w:line="360" w:lineRule="exact"/>
              <w:jc w:val="center"/>
              <w:rPr>
                <w:rFonts w:eastAsia="Times New Roman"/>
                <w:szCs w:val="21"/>
              </w:rPr>
            </w:pPr>
            <w:r>
              <w:rPr>
                <w:szCs w:val="21"/>
              </w:rPr>
              <w:t>颗粒物</w:t>
            </w:r>
            <w:r>
              <w:rPr>
                <w:rFonts w:eastAsia="Times New Roman"/>
                <w:szCs w:val="21"/>
              </w:rPr>
              <w:t>:</w:t>
            </w:r>
            <w:r>
              <w:rPr>
                <w:szCs w:val="21"/>
              </w:rPr>
              <w:t>（/）</w:t>
            </w:r>
            <w:r>
              <w:rPr>
                <w:rFonts w:eastAsia="Times New Roman"/>
                <w:szCs w:val="21"/>
              </w:rPr>
              <w:t>t/a</w:t>
            </w:r>
          </w:p>
        </w:tc>
        <w:tc>
          <w:tcPr>
            <w:tcW w:w="2909" w:type="dxa"/>
            <w:gridSpan w:val="3"/>
            <w:tcBorders>
              <w:right w:val="single" w:color="auto" w:sz="12" w:space="0"/>
            </w:tcBorders>
            <w:noWrap w:val="0"/>
            <w:vAlign w:val="center"/>
          </w:tcPr>
          <w:p>
            <w:pPr>
              <w:spacing w:line="360" w:lineRule="exact"/>
              <w:jc w:val="center"/>
              <w:rPr>
                <w:szCs w:val="21"/>
              </w:rPr>
            </w:pPr>
            <w:r>
              <w:rPr>
                <w:szCs w:val="21"/>
              </w:rPr>
              <w:t>VOCs:（0）t/a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13368" w:type="dxa"/>
            <w:gridSpan w:val="22"/>
            <w:tcBorders>
              <w:top w:val="single" w:color="auto" w:sz="4" w:space="0"/>
              <w:left w:val="single" w:color="auto" w:sz="12" w:space="0"/>
              <w:bottom w:val="single" w:color="auto" w:sz="12" w:space="0"/>
              <w:right w:val="single" w:color="auto" w:sz="12" w:space="0"/>
            </w:tcBorders>
            <w:noWrap w:val="0"/>
            <w:vAlign w:val="center"/>
          </w:tcPr>
          <w:p>
            <w:pPr>
              <w:spacing w:line="360" w:lineRule="exact"/>
              <w:jc w:val="center"/>
              <w:rPr>
                <w:szCs w:val="21"/>
              </w:rPr>
            </w:pPr>
            <w:r>
              <w:rPr>
                <w:szCs w:val="21"/>
              </w:rPr>
              <w:t>注：“□”为勾选，填“√”；“（）”为内容填写项</w:t>
            </w:r>
          </w:p>
        </w:tc>
      </w:tr>
    </w:tbl>
    <w:p>
      <w:pPr>
        <w:autoSpaceDE w:val="0"/>
        <w:autoSpaceDN w:val="0"/>
        <w:adjustRightInd w:val="0"/>
        <w:rPr>
          <w:b/>
        </w:rPr>
      </w:pPr>
    </w:p>
    <w:p>
      <w:pPr>
        <w:autoSpaceDE w:val="0"/>
        <w:autoSpaceDN w:val="0"/>
        <w:adjustRightInd w:val="0"/>
        <w:rPr>
          <w:b/>
        </w:rPr>
      </w:pPr>
    </w:p>
    <w:p>
      <w:pPr>
        <w:autoSpaceDE w:val="0"/>
        <w:autoSpaceDN w:val="0"/>
        <w:adjustRightInd w:val="0"/>
        <w:rPr>
          <w:b/>
        </w:rPr>
      </w:pPr>
    </w:p>
    <w:p>
      <w:pPr>
        <w:autoSpaceDE w:val="0"/>
        <w:autoSpaceDN w:val="0"/>
        <w:adjustRightInd w:val="0"/>
        <w:rPr>
          <w:b/>
        </w:rPr>
      </w:pPr>
    </w:p>
    <w:p>
      <w:pPr>
        <w:pStyle w:val="16"/>
      </w:pPr>
    </w:p>
    <w:p>
      <w:pPr>
        <w:adjustRightInd w:val="0"/>
        <w:snapToGrid w:val="0"/>
        <w:spacing w:line="520" w:lineRule="exact"/>
        <w:ind w:firstLine="420" w:firstLineChars="200"/>
      </w:pPr>
      <w:r>
        <w:rPr>
          <w:rFonts w:eastAsia="黑体"/>
        </w:rPr>
        <w:t>附表2                                 地表水环境影响评价自查表</w:t>
      </w:r>
    </w:p>
    <w:tbl>
      <w:tblPr>
        <w:tblStyle w:val="17"/>
        <w:tblW w:w="0" w:type="auto"/>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34"/>
        <w:gridCol w:w="2694"/>
        <w:gridCol w:w="2690"/>
        <w:gridCol w:w="428"/>
        <w:gridCol w:w="709"/>
        <w:gridCol w:w="810"/>
        <w:gridCol w:w="326"/>
        <w:gridCol w:w="997"/>
        <w:gridCol w:w="134"/>
        <w:gridCol w:w="569"/>
        <w:gridCol w:w="540"/>
        <w:gridCol w:w="166"/>
        <w:gridCol w:w="995"/>
        <w:gridCol w:w="281"/>
        <w:gridCol w:w="149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228" w:type="dxa"/>
            <w:gridSpan w:val="2"/>
            <w:tcBorders>
              <w:top w:val="single" w:color="auto" w:sz="12" w:space="0"/>
              <w:left w:val="single" w:color="auto" w:sz="12" w:space="0"/>
              <w:bottom w:val="single" w:color="auto" w:sz="4" w:space="0"/>
              <w:right w:val="single" w:color="auto" w:sz="4" w:space="0"/>
            </w:tcBorders>
            <w:noWrap w:val="0"/>
            <w:vAlign w:val="center"/>
          </w:tcPr>
          <w:p>
            <w:pPr>
              <w:spacing w:line="360" w:lineRule="exact"/>
              <w:jc w:val="center"/>
              <w:rPr>
                <w:szCs w:val="21"/>
              </w:rPr>
            </w:pPr>
            <w:r>
              <w:rPr>
                <w:szCs w:val="21"/>
              </w:rPr>
              <w:t>工作内容</w:t>
            </w:r>
          </w:p>
        </w:tc>
        <w:tc>
          <w:tcPr>
            <w:tcW w:w="10140" w:type="dxa"/>
            <w:gridSpan w:val="13"/>
            <w:tcBorders>
              <w:top w:val="single" w:color="auto" w:sz="12"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自查项目</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restart"/>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r>
              <w:rPr>
                <w:szCs w:val="21"/>
              </w:rPr>
              <w:t>影响识别</w:t>
            </w:r>
          </w:p>
        </w:tc>
        <w:tc>
          <w:tcPr>
            <w:tcW w:w="2694"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影响类型</w:t>
            </w:r>
          </w:p>
        </w:tc>
        <w:tc>
          <w:tcPr>
            <w:tcW w:w="10140" w:type="dxa"/>
            <w:gridSpan w:val="13"/>
            <w:tcBorders>
              <w:top w:val="single" w:color="auto" w:sz="4" w:space="0"/>
              <w:left w:val="single" w:color="auto" w:sz="4" w:space="0"/>
              <w:bottom w:val="single" w:color="auto" w:sz="4" w:space="0"/>
              <w:right w:val="single" w:color="auto" w:sz="12" w:space="0"/>
            </w:tcBorders>
            <w:noWrap w:val="0"/>
            <w:vAlign w:val="center"/>
          </w:tcPr>
          <w:p>
            <w:pPr>
              <w:spacing w:line="360" w:lineRule="exact"/>
              <w:rPr>
                <w:rFonts w:eastAsia="Times New Roman"/>
                <w:szCs w:val="21"/>
              </w:rPr>
            </w:pPr>
            <w:r>
              <w:rPr>
                <w:szCs w:val="21"/>
              </w:rPr>
              <w:t>水污染影响型</w:t>
            </w:r>
            <w:r>
              <w:rPr>
                <w:rFonts w:eastAsia="仿宋"/>
                <w:szCs w:val="21"/>
              </w:rPr>
              <w:t>√</w:t>
            </w:r>
            <w:r>
              <w:rPr>
                <w:szCs w:val="21"/>
              </w:rPr>
              <w:t>；水文要素影响型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水环境保护目标</w:t>
            </w:r>
          </w:p>
        </w:tc>
        <w:tc>
          <w:tcPr>
            <w:tcW w:w="10140" w:type="dxa"/>
            <w:gridSpan w:val="13"/>
            <w:tcBorders>
              <w:top w:val="single" w:color="auto" w:sz="4" w:space="0"/>
              <w:left w:val="single" w:color="auto" w:sz="4" w:space="0"/>
              <w:bottom w:val="single" w:color="auto" w:sz="4" w:space="0"/>
              <w:right w:val="single" w:color="auto" w:sz="12" w:space="0"/>
            </w:tcBorders>
            <w:noWrap w:val="0"/>
            <w:vAlign w:val="center"/>
          </w:tcPr>
          <w:p>
            <w:pPr>
              <w:spacing w:line="360" w:lineRule="exact"/>
              <w:rPr>
                <w:szCs w:val="21"/>
              </w:rPr>
            </w:pPr>
            <w:r>
              <w:rPr>
                <w:szCs w:val="21"/>
              </w:rPr>
              <w:t>饮用水水源保护区 □； 饮用水取水口 □； 涉水的自然保护区 □； 重要湿地 □；</w:t>
            </w:r>
          </w:p>
          <w:p>
            <w:pPr>
              <w:spacing w:line="360" w:lineRule="exact"/>
              <w:rPr>
                <w:rFonts w:eastAsia="Times New Roman"/>
                <w:szCs w:val="21"/>
              </w:rPr>
            </w:pPr>
            <w:r>
              <w:rPr>
                <w:szCs w:val="21"/>
              </w:rPr>
              <w:t>重点保护与珍稀水生生物的栖息地 □； 重要水生生物的自然产卵场及索饵场、越冬场和洄游通道、 天然渔场等渔业水体 □； 涉水的风景名胜区 □； 其他</w:t>
            </w:r>
            <w:r>
              <w:rPr>
                <w:rFonts w:eastAsia="仿宋"/>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vMerge w:val="restart"/>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影响途径</w:t>
            </w:r>
          </w:p>
        </w:tc>
        <w:tc>
          <w:tcPr>
            <w:tcW w:w="5960"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rPr>
                <w:szCs w:val="21"/>
              </w:rPr>
            </w:pPr>
            <w:r>
              <w:rPr>
                <w:szCs w:val="21"/>
              </w:rPr>
              <w:t>水污染影响型</w:t>
            </w:r>
          </w:p>
        </w:tc>
        <w:tc>
          <w:tcPr>
            <w:tcW w:w="4180" w:type="dxa"/>
            <w:gridSpan w:val="7"/>
            <w:tcBorders>
              <w:top w:val="single" w:color="auto" w:sz="4" w:space="0"/>
              <w:left w:val="single" w:color="auto" w:sz="4" w:space="0"/>
              <w:bottom w:val="single" w:color="auto" w:sz="4" w:space="0"/>
              <w:right w:val="single" w:color="auto" w:sz="12" w:space="0"/>
            </w:tcBorders>
            <w:noWrap w:val="0"/>
            <w:vAlign w:val="center"/>
          </w:tcPr>
          <w:p>
            <w:pPr>
              <w:spacing w:line="360" w:lineRule="exact"/>
              <w:rPr>
                <w:szCs w:val="21"/>
              </w:rPr>
            </w:pPr>
            <w:r>
              <w:rPr>
                <w:szCs w:val="21"/>
              </w:rPr>
              <w:t>水文要素影响型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vMerge w:val="continue"/>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p>
        </w:tc>
        <w:tc>
          <w:tcPr>
            <w:tcW w:w="5960"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rPr>
                <w:rFonts w:eastAsia="Times New Roman"/>
                <w:szCs w:val="21"/>
              </w:rPr>
            </w:pPr>
            <w:r>
              <w:rPr>
                <w:szCs w:val="21"/>
              </w:rPr>
              <w:t>直接排放 □； 间接排放 □； 其他</w:t>
            </w:r>
            <w:r>
              <w:rPr>
                <w:rFonts w:eastAsia="仿宋"/>
                <w:szCs w:val="21"/>
              </w:rPr>
              <w:t>√</w:t>
            </w:r>
          </w:p>
        </w:tc>
        <w:tc>
          <w:tcPr>
            <w:tcW w:w="4180" w:type="dxa"/>
            <w:gridSpan w:val="7"/>
            <w:tcBorders>
              <w:top w:val="single" w:color="auto" w:sz="4" w:space="0"/>
              <w:left w:val="single" w:color="auto" w:sz="4" w:space="0"/>
              <w:bottom w:val="single" w:color="auto" w:sz="4" w:space="0"/>
              <w:right w:val="single" w:color="auto" w:sz="12" w:space="0"/>
            </w:tcBorders>
            <w:noWrap w:val="0"/>
            <w:vAlign w:val="center"/>
          </w:tcPr>
          <w:p>
            <w:pPr>
              <w:spacing w:line="360" w:lineRule="exact"/>
              <w:rPr>
                <w:rFonts w:eastAsia="Times New Roman"/>
                <w:szCs w:val="21"/>
              </w:rPr>
            </w:pPr>
            <w:r>
              <w:rPr>
                <w:szCs w:val="21"/>
              </w:rPr>
              <w:t>水温 □； 径流 □； 水域面积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影响因子</w:t>
            </w:r>
          </w:p>
        </w:tc>
        <w:tc>
          <w:tcPr>
            <w:tcW w:w="5960"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rPr>
                <w:szCs w:val="21"/>
              </w:rPr>
            </w:pPr>
            <w:r>
              <w:rPr>
                <w:szCs w:val="21"/>
              </w:rPr>
              <w:t>持久性污染物 □； 有毒有害污染物 □； 非持久性污染物</w:t>
            </w:r>
            <w:r>
              <w:rPr>
                <w:rFonts w:eastAsia="仿宋"/>
                <w:szCs w:val="21"/>
              </w:rPr>
              <w:t>√</w:t>
            </w:r>
            <w:r>
              <w:rPr>
                <w:szCs w:val="21"/>
              </w:rPr>
              <w:t>；pH 值 □； 热污染 □； 富营养化 □； 其他 □</w:t>
            </w:r>
          </w:p>
        </w:tc>
        <w:tc>
          <w:tcPr>
            <w:tcW w:w="4180" w:type="dxa"/>
            <w:gridSpan w:val="7"/>
            <w:tcBorders>
              <w:top w:val="single" w:color="auto" w:sz="4" w:space="0"/>
              <w:left w:val="single" w:color="auto" w:sz="4" w:space="0"/>
              <w:bottom w:val="single" w:color="auto" w:sz="4" w:space="0"/>
              <w:right w:val="single" w:color="auto" w:sz="12" w:space="0"/>
            </w:tcBorders>
            <w:noWrap w:val="0"/>
            <w:vAlign w:val="center"/>
          </w:tcPr>
          <w:p>
            <w:pPr>
              <w:spacing w:line="360" w:lineRule="exact"/>
              <w:rPr>
                <w:szCs w:val="21"/>
              </w:rPr>
            </w:pPr>
            <w:r>
              <w:rPr>
                <w:szCs w:val="21"/>
              </w:rPr>
              <w:t>水温 □； 水位（水深） □； 流速 □； 流量 □； 其他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228" w:type="dxa"/>
            <w:gridSpan w:val="2"/>
            <w:vMerge w:val="restart"/>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r>
              <w:rPr>
                <w:szCs w:val="21"/>
              </w:rPr>
              <w:t>评价等级</w:t>
            </w:r>
          </w:p>
        </w:tc>
        <w:tc>
          <w:tcPr>
            <w:tcW w:w="5960"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eastAsia="Times New Roman"/>
                <w:szCs w:val="21"/>
              </w:rPr>
            </w:pPr>
            <w:r>
              <w:rPr>
                <w:szCs w:val="21"/>
              </w:rPr>
              <w:t>水污染影响型</w:t>
            </w:r>
          </w:p>
        </w:tc>
        <w:tc>
          <w:tcPr>
            <w:tcW w:w="4180" w:type="dxa"/>
            <w:gridSpan w:val="7"/>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水文要素影响型</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228" w:type="dxa"/>
            <w:gridSpan w:val="2"/>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5960"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rPr>
                <w:rFonts w:eastAsia="Times New Roman"/>
                <w:szCs w:val="21"/>
              </w:rPr>
            </w:pPr>
            <w:r>
              <w:rPr>
                <w:szCs w:val="21"/>
              </w:rPr>
              <w:t xml:space="preserve">一级 □； 二级 □； 三级 A □； 三级 B </w:t>
            </w:r>
            <w:r>
              <w:rPr>
                <w:rFonts w:eastAsia="仿宋"/>
                <w:szCs w:val="21"/>
              </w:rPr>
              <w:t>√</w:t>
            </w:r>
          </w:p>
        </w:tc>
        <w:tc>
          <w:tcPr>
            <w:tcW w:w="4180" w:type="dxa"/>
            <w:gridSpan w:val="7"/>
            <w:tcBorders>
              <w:top w:val="single" w:color="auto" w:sz="4" w:space="0"/>
              <w:left w:val="single" w:color="auto" w:sz="4" w:space="0"/>
              <w:bottom w:val="single" w:color="auto" w:sz="4" w:space="0"/>
              <w:right w:val="single" w:color="auto" w:sz="12" w:space="0"/>
            </w:tcBorders>
            <w:noWrap w:val="0"/>
            <w:vAlign w:val="center"/>
          </w:tcPr>
          <w:p>
            <w:pPr>
              <w:spacing w:line="360" w:lineRule="exact"/>
              <w:rPr>
                <w:rFonts w:eastAsia="Times New Roman"/>
                <w:szCs w:val="21"/>
              </w:rPr>
            </w:pPr>
            <w:r>
              <w:rPr>
                <w:szCs w:val="21"/>
              </w:rPr>
              <w:t>一级 □； 二级 □； 三级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restart"/>
            <w:tcBorders>
              <w:top w:val="single" w:color="auto" w:sz="4" w:space="0"/>
              <w:left w:val="single" w:color="auto" w:sz="12" w:space="0"/>
              <w:right w:val="single" w:color="auto" w:sz="4" w:space="0"/>
            </w:tcBorders>
            <w:noWrap w:val="0"/>
            <w:vAlign w:val="center"/>
          </w:tcPr>
          <w:p>
            <w:pPr>
              <w:spacing w:line="360" w:lineRule="exact"/>
              <w:jc w:val="center"/>
              <w:rPr>
                <w:szCs w:val="21"/>
              </w:rPr>
            </w:pPr>
            <w:r>
              <w:rPr>
                <w:szCs w:val="21"/>
              </w:rPr>
              <w:t>现状调查</w:t>
            </w:r>
          </w:p>
        </w:tc>
        <w:tc>
          <w:tcPr>
            <w:tcW w:w="2694" w:type="dxa"/>
            <w:vMerge w:val="restart"/>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区域污染源</w:t>
            </w:r>
          </w:p>
        </w:tc>
        <w:tc>
          <w:tcPr>
            <w:tcW w:w="5960"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调查项目</w:t>
            </w:r>
          </w:p>
        </w:tc>
        <w:tc>
          <w:tcPr>
            <w:tcW w:w="4180" w:type="dxa"/>
            <w:gridSpan w:val="7"/>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数据来源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694" w:type="dxa"/>
            <w:vMerge w:val="continue"/>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p>
        </w:tc>
        <w:tc>
          <w:tcPr>
            <w:tcW w:w="3827"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exact"/>
              <w:rPr>
                <w:szCs w:val="21"/>
              </w:rPr>
            </w:pPr>
            <w:r>
              <w:rPr>
                <w:szCs w:val="21"/>
              </w:rPr>
              <w:t>已建 □； 在建 □； 拟建 □；其他 □</w:t>
            </w:r>
          </w:p>
        </w:tc>
        <w:tc>
          <w:tcPr>
            <w:tcW w:w="2133"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exact"/>
              <w:rPr>
                <w:szCs w:val="21"/>
              </w:rPr>
            </w:pPr>
            <w:r>
              <w:rPr>
                <w:szCs w:val="21"/>
              </w:rPr>
              <w:t>拟替代的污染源 □</w:t>
            </w:r>
          </w:p>
        </w:tc>
        <w:tc>
          <w:tcPr>
            <w:tcW w:w="4180" w:type="dxa"/>
            <w:gridSpan w:val="7"/>
            <w:tcBorders>
              <w:top w:val="single" w:color="auto" w:sz="4" w:space="0"/>
              <w:left w:val="single" w:color="auto" w:sz="4" w:space="0"/>
              <w:bottom w:val="single" w:color="auto" w:sz="4" w:space="0"/>
              <w:right w:val="single" w:color="auto" w:sz="12" w:space="0"/>
            </w:tcBorders>
            <w:noWrap w:val="0"/>
            <w:vAlign w:val="center"/>
          </w:tcPr>
          <w:p>
            <w:pPr>
              <w:spacing w:line="360" w:lineRule="exact"/>
              <w:rPr>
                <w:szCs w:val="21"/>
              </w:rPr>
            </w:pPr>
            <w:r>
              <w:rPr>
                <w:szCs w:val="21"/>
              </w:rPr>
              <w:t>排污许可证 □；环评 □；环保验收 □； 既有实测 □；现场监测 □；入河排放口数据 □；其他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694" w:type="dxa"/>
            <w:vMerge w:val="restart"/>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受影响水体水环境质量</w:t>
            </w:r>
          </w:p>
        </w:tc>
        <w:tc>
          <w:tcPr>
            <w:tcW w:w="5960"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调查时期</w:t>
            </w:r>
          </w:p>
        </w:tc>
        <w:tc>
          <w:tcPr>
            <w:tcW w:w="4180" w:type="dxa"/>
            <w:gridSpan w:val="7"/>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数据来源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694" w:type="dxa"/>
            <w:vMerge w:val="continue"/>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p>
        </w:tc>
        <w:tc>
          <w:tcPr>
            <w:tcW w:w="5960"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rPr>
                <w:szCs w:val="21"/>
              </w:rPr>
            </w:pPr>
            <w:r>
              <w:rPr>
                <w:szCs w:val="21"/>
              </w:rPr>
              <w:t>丰水期 □； 平水期 □； 枯水期 □； 冰封期 □</w:t>
            </w:r>
          </w:p>
          <w:p>
            <w:pPr>
              <w:spacing w:line="360" w:lineRule="exact"/>
              <w:rPr>
                <w:rFonts w:eastAsia="Times New Roman"/>
                <w:szCs w:val="21"/>
              </w:rPr>
            </w:pPr>
            <w:r>
              <w:rPr>
                <w:szCs w:val="21"/>
              </w:rPr>
              <w:t>春季 □； 夏季 □； 秋季 □； 冬季 □</w:t>
            </w:r>
          </w:p>
        </w:tc>
        <w:tc>
          <w:tcPr>
            <w:tcW w:w="4180" w:type="dxa"/>
            <w:gridSpan w:val="7"/>
            <w:tcBorders>
              <w:top w:val="single" w:color="auto" w:sz="4" w:space="0"/>
              <w:left w:val="single" w:color="auto" w:sz="4" w:space="0"/>
              <w:bottom w:val="single" w:color="auto" w:sz="4" w:space="0"/>
              <w:right w:val="single" w:color="auto" w:sz="12" w:space="0"/>
            </w:tcBorders>
            <w:noWrap w:val="0"/>
            <w:vAlign w:val="center"/>
          </w:tcPr>
          <w:p>
            <w:pPr>
              <w:spacing w:line="360" w:lineRule="exact"/>
              <w:rPr>
                <w:rFonts w:eastAsia="Times New Roman"/>
                <w:szCs w:val="21"/>
              </w:rPr>
            </w:pPr>
            <w:r>
              <w:rPr>
                <w:szCs w:val="21"/>
              </w:rPr>
              <w:t>生态环境保护主管部门 □；补充监测 □； 其他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694"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区域水资源开发利用状况</w:t>
            </w:r>
          </w:p>
        </w:tc>
        <w:tc>
          <w:tcPr>
            <w:tcW w:w="10140" w:type="dxa"/>
            <w:gridSpan w:val="13"/>
            <w:tcBorders>
              <w:top w:val="single" w:color="auto" w:sz="4" w:space="0"/>
              <w:left w:val="single" w:color="auto" w:sz="4" w:space="0"/>
              <w:bottom w:val="single" w:color="auto" w:sz="4" w:space="0"/>
              <w:right w:val="single" w:color="auto" w:sz="12" w:space="0"/>
            </w:tcBorders>
            <w:noWrap w:val="0"/>
            <w:vAlign w:val="center"/>
          </w:tcPr>
          <w:p>
            <w:pPr>
              <w:spacing w:line="360" w:lineRule="exact"/>
              <w:rPr>
                <w:rFonts w:eastAsia="Times New Roman"/>
                <w:szCs w:val="21"/>
              </w:rPr>
            </w:pPr>
            <w:r>
              <w:rPr>
                <w:szCs w:val="21"/>
              </w:rPr>
              <w:t>未开发 □； 开发量 40%以下 □； 开发量 40%以上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694" w:type="dxa"/>
            <w:vMerge w:val="restart"/>
            <w:tcBorders>
              <w:top w:val="single" w:color="auto" w:sz="4" w:space="0"/>
              <w:left w:val="single" w:color="auto" w:sz="4" w:space="0"/>
              <w:right w:val="single" w:color="auto" w:sz="4" w:space="0"/>
            </w:tcBorders>
            <w:noWrap w:val="0"/>
            <w:vAlign w:val="center"/>
          </w:tcPr>
          <w:p>
            <w:pPr>
              <w:spacing w:line="360" w:lineRule="exact"/>
              <w:jc w:val="center"/>
              <w:rPr>
                <w:szCs w:val="21"/>
              </w:rPr>
            </w:pPr>
            <w:r>
              <w:rPr>
                <w:szCs w:val="21"/>
              </w:rPr>
              <w:t>水文情势调查</w:t>
            </w:r>
          </w:p>
        </w:tc>
        <w:tc>
          <w:tcPr>
            <w:tcW w:w="5960"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调查时期</w:t>
            </w:r>
          </w:p>
        </w:tc>
        <w:tc>
          <w:tcPr>
            <w:tcW w:w="4180" w:type="dxa"/>
            <w:gridSpan w:val="7"/>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数据来源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694" w:type="dxa"/>
            <w:vMerge w:val="continue"/>
            <w:tcBorders>
              <w:left w:val="single" w:color="auto" w:sz="4" w:space="0"/>
              <w:bottom w:val="single" w:color="auto" w:sz="4" w:space="0"/>
              <w:right w:val="single" w:color="auto" w:sz="4" w:space="0"/>
            </w:tcBorders>
            <w:noWrap w:val="0"/>
            <w:vAlign w:val="center"/>
          </w:tcPr>
          <w:p>
            <w:pPr>
              <w:spacing w:line="360" w:lineRule="exact"/>
              <w:jc w:val="center"/>
              <w:rPr>
                <w:szCs w:val="21"/>
              </w:rPr>
            </w:pPr>
          </w:p>
        </w:tc>
        <w:tc>
          <w:tcPr>
            <w:tcW w:w="5960"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rPr>
                <w:szCs w:val="21"/>
              </w:rPr>
            </w:pPr>
            <w:r>
              <w:rPr>
                <w:szCs w:val="21"/>
              </w:rPr>
              <w:t>丰水期 □； 平水期 □； 枯水期 □； 冰封期 □</w:t>
            </w:r>
          </w:p>
          <w:p>
            <w:pPr>
              <w:spacing w:line="360" w:lineRule="exact"/>
              <w:rPr>
                <w:rFonts w:eastAsia="Times New Roman"/>
                <w:szCs w:val="21"/>
              </w:rPr>
            </w:pPr>
            <w:r>
              <w:rPr>
                <w:szCs w:val="21"/>
              </w:rPr>
              <w:t>春季 □； 夏季 □； 秋季 □； 冬季 □</w:t>
            </w:r>
          </w:p>
        </w:tc>
        <w:tc>
          <w:tcPr>
            <w:tcW w:w="4180" w:type="dxa"/>
            <w:gridSpan w:val="7"/>
            <w:tcBorders>
              <w:top w:val="single" w:color="auto" w:sz="4" w:space="0"/>
              <w:left w:val="single" w:color="auto" w:sz="4" w:space="0"/>
              <w:bottom w:val="single" w:color="auto" w:sz="4" w:space="0"/>
              <w:right w:val="single" w:color="auto" w:sz="12" w:space="0"/>
            </w:tcBorders>
            <w:noWrap w:val="0"/>
            <w:vAlign w:val="center"/>
          </w:tcPr>
          <w:p>
            <w:pPr>
              <w:spacing w:line="360" w:lineRule="exact"/>
              <w:rPr>
                <w:rFonts w:eastAsia="Times New Roman"/>
                <w:szCs w:val="21"/>
              </w:rPr>
            </w:pPr>
            <w:r>
              <w:rPr>
                <w:szCs w:val="21"/>
              </w:rPr>
              <w:t>水行政主管部门 □；补充监测 □；其他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694" w:type="dxa"/>
            <w:vMerge w:val="restart"/>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补充监测</w:t>
            </w:r>
          </w:p>
        </w:tc>
        <w:tc>
          <w:tcPr>
            <w:tcW w:w="5960"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监测时期</w:t>
            </w:r>
          </w:p>
        </w:tc>
        <w:tc>
          <w:tcPr>
            <w:tcW w:w="1409"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监测因子</w:t>
            </w:r>
          </w:p>
        </w:tc>
        <w:tc>
          <w:tcPr>
            <w:tcW w:w="2771" w:type="dxa"/>
            <w:gridSpan w:val="3"/>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监测断面或点位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vMerge w:val="continue"/>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p>
        </w:tc>
        <w:tc>
          <w:tcPr>
            <w:tcW w:w="5960"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rPr>
                <w:szCs w:val="21"/>
              </w:rPr>
            </w:pPr>
            <w:r>
              <w:rPr>
                <w:szCs w:val="21"/>
              </w:rPr>
              <w:t>丰水期 □； 平水期 □； 枯水期 □； 冰封期 □</w:t>
            </w:r>
          </w:p>
          <w:p>
            <w:pPr>
              <w:spacing w:line="360" w:lineRule="exact"/>
              <w:rPr>
                <w:rFonts w:eastAsia="Times New Roman"/>
                <w:szCs w:val="21"/>
              </w:rPr>
            </w:pPr>
            <w:r>
              <w:rPr>
                <w:szCs w:val="21"/>
              </w:rPr>
              <w:t>春季 □； 夏季 □； 秋季 □； 冬季 □</w:t>
            </w:r>
          </w:p>
        </w:tc>
        <w:tc>
          <w:tcPr>
            <w:tcW w:w="1409"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rPr>
                <w:szCs w:val="21"/>
              </w:rPr>
            </w:pPr>
            <w:r>
              <w:rPr>
                <w:szCs w:val="21"/>
              </w:rPr>
              <w:t>（ ）</w:t>
            </w:r>
          </w:p>
        </w:tc>
        <w:tc>
          <w:tcPr>
            <w:tcW w:w="2771" w:type="dxa"/>
            <w:gridSpan w:val="3"/>
            <w:tcBorders>
              <w:top w:val="single" w:color="auto" w:sz="4" w:space="0"/>
              <w:left w:val="single" w:color="auto" w:sz="4" w:space="0"/>
              <w:bottom w:val="single" w:color="auto" w:sz="4" w:space="0"/>
              <w:right w:val="single" w:color="auto" w:sz="12" w:space="0"/>
            </w:tcBorders>
            <w:noWrap w:val="0"/>
            <w:vAlign w:val="center"/>
          </w:tcPr>
          <w:p>
            <w:pPr>
              <w:spacing w:line="360" w:lineRule="exact"/>
              <w:rPr>
                <w:szCs w:val="21"/>
              </w:rPr>
            </w:pPr>
            <w:r>
              <w:rPr>
                <w:szCs w:val="21"/>
              </w:rPr>
              <w:t>监测断面或点位个数（ ）个</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restart"/>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r>
              <w:rPr>
                <w:szCs w:val="21"/>
              </w:rPr>
              <w:t>现状评价</w:t>
            </w:r>
          </w:p>
        </w:tc>
        <w:tc>
          <w:tcPr>
            <w:tcW w:w="2694"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评价范围</w:t>
            </w:r>
          </w:p>
        </w:tc>
        <w:tc>
          <w:tcPr>
            <w:tcW w:w="10140" w:type="dxa"/>
            <w:gridSpan w:val="13"/>
            <w:tcBorders>
              <w:top w:val="single" w:color="auto" w:sz="4" w:space="0"/>
              <w:left w:val="single" w:color="auto" w:sz="4" w:space="0"/>
              <w:bottom w:val="single" w:color="auto" w:sz="4" w:space="0"/>
              <w:right w:val="single" w:color="auto" w:sz="12" w:space="0"/>
            </w:tcBorders>
            <w:noWrap w:val="0"/>
            <w:vAlign w:val="center"/>
          </w:tcPr>
          <w:p>
            <w:pPr>
              <w:spacing w:line="360" w:lineRule="exact"/>
              <w:rPr>
                <w:rFonts w:eastAsia="Times New Roman"/>
                <w:szCs w:val="21"/>
              </w:rPr>
            </w:pPr>
            <w:r>
              <w:rPr>
                <w:szCs w:val="21"/>
              </w:rPr>
              <w:t>河流：长度（ ） km；湖库、河口及近岸海域：面积（ ） km</w:t>
            </w:r>
            <w:r>
              <w:rPr>
                <w:szCs w:val="21"/>
                <w:vertAlign w:val="superscript"/>
              </w:rPr>
              <w:t>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评价因子</w:t>
            </w:r>
          </w:p>
        </w:tc>
        <w:tc>
          <w:tcPr>
            <w:tcW w:w="10140" w:type="dxa"/>
            <w:gridSpan w:val="13"/>
            <w:tcBorders>
              <w:top w:val="single" w:color="auto" w:sz="4" w:space="0"/>
              <w:left w:val="single" w:color="auto" w:sz="4" w:space="0"/>
              <w:bottom w:val="single" w:color="auto" w:sz="4" w:space="0"/>
              <w:right w:val="single" w:color="auto" w:sz="12" w:space="0"/>
            </w:tcBorders>
            <w:noWrap w:val="0"/>
            <w:vAlign w:val="center"/>
          </w:tcPr>
          <w:p>
            <w:pPr>
              <w:spacing w:line="360" w:lineRule="exact"/>
              <w:rPr>
                <w:rFonts w:eastAsia="Times New Roman"/>
                <w:szCs w:val="21"/>
              </w:rPr>
            </w:pPr>
            <w:r>
              <w:rPr>
                <w:szCs w:val="21"/>
              </w:rPr>
              <w:t>（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评价标准</w:t>
            </w:r>
          </w:p>
        </w:tc>
        <w:tc>
          <w:tcPr>
            <w:tcW w:w="10140" w:type="dxa"/>
            <w:gridSpan w:val="13"/>
            <w:tcBorders>
              <w:top w:val="single" w:color="auto" w:sz="4" w:space="0"/>
              <w:left w:val="single" w:color="auto" w:sz="4" w:space="0"/>
              <w:bottom w:val="single" w:color="auto" w:sz="4" w:space="0"/>
              <w:right w:val="single" w:color="auto" w:sz="12" w:space="0"/>
            </w:tcBorders>
            <w:noWrap w:val="0"/>
            <w:vAlign w:val="center"/>
          </w:tcPr>
          <w:p>
            <w:pPr>
              <w:spacing w:line="360" w:lineRule="exact"/>
              <w:rPr>
                <w:szCs w:val="21"/>
              </w:rPr>
            </w:pPr>
            <w:r>
              <w:rPr>
                <w:szCs w:val="21"/>
              </w:rPr>
              <w:t xml:space="preserve">河流、湖库、河口： Ⅰ类 □； Ⅱ类 □； Ⅲ类 </w:t>
            </w:r>
            <w:r>
              <w:rPr>
                <w:szCs w:val="21"/>
              </w:rPr>
              <w:sym w:font="Wingdings 2" w:char="0052"/>
            </w:r>
            <w:r>
              <w:rPr>
                <w:szCs w:val="21"/>
              </w:rPr>
              <w:t>； Ⅳ类 □； Ⅴ类 □</w:t>
            </w:r>
          </w:p>
          <w:p>
            <w:pPr>
              <w:spacing w:line="360" w:lineRule="exact"/>
              <w:rPr>
                <w:szCs w:val="21"/>
              </w:rPr>
            </w:pPr>
            <w:r>
              <w:rPr>
                <w:szCs w:val="21"/>
              </w:rPr>
              <w:t>近岸海域：第一类 □； 第二类 □； 第三类 □； 第四类 □</w:t>
            </w:r>
          </w:p>
          <w:p>
            <w:pPr>
              <w:spacing w:line="360" w:lineRule="exact"/>
              <w:rPr>
                <w:rFonts w:eastAsia="Times New Roman"/>
                <w:szCs w:val="21"/>
              </w:rPr>
            </w:pPr>
            <w:r>
              <w:rPr>
                <w:szCs w:val="21"/>
              </w:rPr>
              <w:t>规划年评价标准（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评价时期</w:t>
            </w:r>
          </w:p>
        </w:tc>
        <w:tc>
          <w:tcPr>
            <w:tcW w:w="10140" w:type="dxa"/>
            <w:gridSpan w:val="13"/>
            <w:tcBorders>
              <w:top w:val="single" w:color="auto" w:sz="4" w:space="0"/>
              <w:left w:val="single" w:color="auto" w:sz="4" w:space="0"/>
              <w:bottom w:val="single" w:color="auto" w:sz="4" w:space="0"/>
              <w:right w:val="single" w:color="auto" w:sz="12" w:space="0"/>
            </w:tcBorders>
            <w:noWrap w:val="0"/>
            <w:vAlign w:val="center"/>
          </w:tcPr>
          <w:p>
            <w:pPr>
              <w:spacing w:line="360" w:lineRule="exact"/>
              <w:rPr>
                <w:szCs w:val="21"/>
              </w:rPr>
            </w:pPr>
            <w:r>
              <w:rPr>
                <w:szCs w:val="21"/>
              </w:rPr>
              <w:t>丰水期 □； 平水期 □； 枯水期 □； 冰封期 □</w:t>
            </w:r>
          </w:p>
          <w:p>
            <w:pPr>
              <w:spacing w:line="360" w:lineRule="exact"/>
              <w:rPr>
                <w:rFonts w:eastAsia="Times New Roman"/>
                <w:szCs w:val="21"/>
              </w:rPr>
            </w:pPr>
            <w:r>
              <w:rPr>
                <w:szCs w:val="21"/>
              </w:rPr>
              <w:t>春季 □； 夏季 □； 秋季 □； 冬季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评价结论</w:t>
            </w:r>
          </w:p>
        </w:tc>
        <w:tc>
          <w:tcPr>
            <w:tcW w:w="8645" w:type="dxa"/>
            <w:gridSpan w:val="12"/>
            <w:tcBorders>
              <w:top w:val="single" w:color="auto" w:sz="4" w:space="0"/>
              <w:left w:val="single" w:color="auto" w:sz="4" w:space="0"/>
              <w:bottom w:val="single" w:color="auto" w:sz="4" w:space="0"/>
              <w:right w:val="single" w:color="auto" w:sz="4" w:space="0"/>
            </w:tcBorders>
            <w:noWrap w:val="0"/>
            <w:vAlign w:val="center"/>
          </w:tcPr>
          <w:p>
            <w:pPr>
              <w:spacing w:line="360" w:lineRule="exact"/>
              <w:rPr>
                <w:szCs w:val="21"/>
              </w:rPr>
            </w:pPr>
            <w:r>
              <w:rPr>
                <w:szCs w:val="21"/>
              </w:rPr>
              <w:t>水环境功能区或水功能区、 近岸海域环境功能区水质达标状况 □： 达标</w:t>
            </w:r>
            <w:r>
              <w:rPr>
                <w:rFonts w:eastAsia="仿宋"/>
                <w:szCs w:val="21"/>
              </w:rPr>
              <w:t>√</w:t>
            </w:r>
            <w:r>
              <w:rPr>
                <w:szCs w:val="21"/>
              </w:rPr>
              <w:t>； 不达标 □</w:t>
            </w:r>
          </w:p>
          <w:p>
            <w:pPr>
              <w:spacing w:line="360" w:lineRule="exact"/>
              <w:rPr>
                <w:szCs w:val="21"/>
              </w:rPr>
            </w:pPr>
            <w:r>
              <w:rPr>
                <w:szCs w:val="21"/>
              </w:rPr>
              <w:t>水环境控制单元或断面水质达标状况 □： 达标</w:t>
            </w:r>
            <w:r>
              <w:rPr>
                <w:rFonts w:eastAsia="仿宋"/>
                <w:szCs w:val="21"/>
              </w:rPr>
              <w:t>√</w:t>
            </w:r>
            <w:r>
              <w:rPr>
                <w:szCs w:val="21"/>
              </w:rPr>
              <w:t>； 不达标 □</w:t>
            </w:r>
          </w:p>
          <w:p>
            <w:pPr>
              <w:spacing w:line="360" w:lineRule="exact"/>
              <w:rPr>
                <w:szCs w:val="21"/>
              </w:rPr>
            </w:pPr>
            <w:r>
              <w:rPr>
                <w:szCs w:val="21"/>
              </w:rPr>
              <w:t>水环境保护目标质量状况 □： 达标</w:t>
            </w:r>
            <w:r>
              <w:rPr>
                <w:rFonts w:eastAsia="仿宋"/>
                <w:szCs w:val="21"/>
              </w:rPr>
              <w:t>√</w:t>
            </w:r>
            <w:r>
              <w:rPr>
                <w:szCs w:val="21"/>
              </w:rPr>
              <w:t>； 不达标 □</w:t>
            </w:r>
          </w:p>
          <w:p>
            <w:pPr>
              <w:spacing w:line="360" w:lineRule="exact"/>
              <w:rPr>
                <w:szCs w:val="21"/>
              </w:rPr>
            </w:pPr>
            <w:r>
              <w:rPr>
                <w:szCs w:val="21"/>
              </w:rPr>
              <w:t>对照断面、控制断面等代表性断面的水质状况 □： 达标 □； 不达标 □</w:t>
            </w:r>
          </w:p>
          <w:p>
            <w:pPr>
              <w:spacing w:line="360" w:lineRule="exact"/>
              <w:rPr>
                <w:szCs w:val="21"/>
              </w:rPr>
            </w:pPr>
            <w:r>
              <w:rPr>
                <w:szCs w:val="21"/>
              </w:rPr>
              <w:t>底泥污染评价 □</w:t>
            </w:r>
          </w:p>
          <w:p>
            <w:pPr>
              <w:spacing w:line="360" w:lineRule="exact"/>
              <w:rPr>
                <w:szCs w:val="21"/>
              </w:rPr>
            </w:pPr>
            <w:r>
              <w:rPr>
                <w:szCs w:val="21"/>
              </w:rPr>
              <w:t>水资源与开发利用程度及其水文情势评价 □</w:t>
            </w:r>
          </w:p>
          <w:p>
            <w:pPr>
              <w:spacing w:line="360" w:lineRule="exact"/>
              <w:rPr>
                <w:szCs w:val="21"/>
              </w:rPr>
            </w:pPr>
            <w:r>
              <w:rPr>
                <w:szCs w:val="21"/>
              </w:rPr>
              <w:t>水环境质量回顾评价 □</w:t>
            </w:r>
          </w:p>
          <w:p>
            <w:pPr>
              <w:spacing w:line="360" w:lineRule="exact"/>
              <w:rPr>
                <w:rFonts w:eastAsia="Times New Roman"/>
                <w:szCs w:val="21"/>
              </w:rPr>
            </w:pPr>
            <w:r>
              <w:rPr>
                <w:szCs w:val="21"/>
              </w:rPr>
              <w:t>流域（区域）水资源（包括水能资源） 与开发利用总体状况、生态流量管理要求与现状满足程度、建设项目占用水域空间的水流状况与河湖演变状况 □</w:t>
            </w:r>
          </w:p>
        </w:tc>
        <w:tc>
          <w:tcPr>
            <w:tcW w:w="1495" w:type="dxa"/>
            <w:tcBorders>
              <w:top w:val="single" w:color="auto" w:sz="4" w:space="0"/>
              <w:left w:val="single" w:color="auto" w:sz="4" w:space="0"/>
              <w:bottom w:val="single" w:color="auto" w:sz="4" w:space="0"/>
              <w:right w:val="single" w:color="auto" w:sz="12" w:space="0"/>
            </w:tcBorders>
            <w:noWrap w:val="0"/>
            <w:vAlign w:val="center"/>
          </w:tcPr>
          <w:p>
            <w:pPr>
              <w:spacing w:line="360" w:lineRule="exact"/>
              <w:rPr>
                <w:szCs w:val="21"/>
              </w:rPr>
            </w:pPr>
            <w:r>
              <w:rPr>
                <w:szCs w:val="21"/>
              </w:rPr>
              <w:t>达标区 □</w:t>
            </w:r>
          </w:p>
          <w:p>
            <w:pPr>
              <w:spacing w:line="360" w:lineRule="exact"/>
              <w:rPr>
                <w:rFonts w:eastAsia="Times New Roman"/>
                <w:szCs w:val="21"/>
              </w:rPr>
            </w:pPr>
            <w:r>
              <w:rPr>
                <w:szCs w:val="21"/>
              </w:rPr>
              <w:t>不达标区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restart"/>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r>
              <w:rPr>
                <w:szCs w:val="21"/>
              </w:rPr>
              <w:t>影响预测</w:t>
            </w:r>
          </w:p>
        </w:tc>
        <w:tc>
          <w:tcPr>
            <w:tcW w:w="2694"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预测范围</w:t>
            </w:r>
          </w:p>
        </w:tc>
        <w:tc>
          <w:tcPr>
            <w:tcW w:w="10140" w:type="dxa"/>
            <w:gridSpan w:val="13"/>
            <w:tcBorders>
              <w:top w:val="single" w:color="auto" w:sz="4" w:space="0"/>
              <w:left w:val="single" w:color="auto" w:sz="4" w:space="0"/>
              <w:bottom w:val="single" w:color="auto" w:sz="4" w:space="0"/>
              <w:right w:val="single" w:color="auto" w:sz="12" w:space="0"/>
            </w:tcBorders>
            <w:noWrap w:val="0"/>
            <w:vAlign w:val="center"/>
          </w:tcPr>
          <w:p>
            <w:pPr>
              <w:spacing w:line="360" w:lineRule="exact"/>
              <w:rPr>
                <w:rFonts w:eastAsia="Times New Roman"/>
                <w:szCs w:val="21"/>
              </w:rPr>
            </w:pPr>
            <w:r>
              <w:rPr>
                <w:szCs w:val="21"/>
              </w:rPr>
              <w:t>河流：长度（ ） km；湖库、河口及近岸海域：面积（ ） km</w:t>
            </w:r>
            <w:r>
              <w:rPr>
                <w:szCs w:val="21"/>
                <w:vertAlign w:val="superscript"/>
              </w:rPr>
              <w:t>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预测因子</w:t>
            </w:r>
          </w:p>
        </w:tc>
        <w:tc>
          <w:tcPr>
            <w:tcW w:w="10140" w:type="dxa"/>
            <w:gridSpan w:val="13"/>
            <w:tcBorders>
              <w:top w:val="single" w:color="auto" w:sz="4" w:space="0"/>
              <w:left w:val="single" w:color="auto" w:sz="4" w:space="0"/>
              <w:bottom w:val="single" w:color="auto" w:sz="4" w:space="0"/>
              <w:right w:val="single" w:color="auto" w:sz="12" w:space="0"/>
            </w:tcBorders>
            <w:noWrap w:val="0"/>
            <w:vAlign w:val="center"/>
          </w:tcPr>
          <w:p>
            <w:pPr>
              <w:spacing w:line="360" w:lineRule="exact"/>
              <w:rPr>
                <w:rFonts w:eastAsia="Times New Roman"/>
                <w:szCs w:val="21"/>
              </w:rPr>
            </w:pPr>
            <w:r>
              <w:rPr>
                <w:szCs w:val="21"/>
              </w:rPr>
              <w:t>（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vMerge w:val="restart"/>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预测时期</w:t>
            </w:r>
          </w:p>
        </w:tc>
        <w:tc>
          <w:tcPr>
            <w:tcW w:w="10140" w:type="dxa"/>
            <w:gridSpan w:val="13"/>
            <w:tcBorders>
              <w:top w:val="single" w:color="auto" w:sz="4" w:space="0"/>
              <w:left w:val="single" w:color="auto" w:sz="4" w:space="0"/>
              <w:bottom w:val="single" w:color="auto" w:sz="4" w:space="0"/>
              <w:right w:val="single" w:color="auto" w:sz="12" w:space="0"/>
            </w:tcBorders>
            <w:noWrap w:val="0"/>
            <w:vAlign w:val="center"/>
          </w:tcPr>
          <w:p>
            <w:pPr>
              <w:spacing w:line="360" w:lineRule="exact"/>
              <w:rPr>
                <w:rFonts w:eastAsia="Times New Roman"/>
                <w:szCs w:val="21"/>
              </w:rPr>
            </w:pPr>
            <w:r>
              <w:rPr>
                <w:szCs w:val="21"/>
              </w:rPr>
              <w:t>丰水期 □； 平水期 □； 枯水期 □； 冰封期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vMerge w:val="continue"/>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eastAsia="Times New Roman"/>
                <w:szCs w:val="21"/>
              </w:rPr>
            </w:pPr>
          </w:p>
        </w:tc>
        <w:tc>
          <w:tcPr>
            <w:tcW w:w="10140" w:type="dxa"/>
            <w:gridSpan w:val="13"/>
            <w:tcBorders>
              <w:top w:val="single" w:color="auto" w:sz="4" w:space="0"/>
              <w:left w:val="single" w:color="auto" w:sz="4" w:space="0"/>
              <w:bottom w:val="single" w:color="auto" w:sz="4" w:space="0"/>
              <w:right w:val="single" w:color="auto" w:sz="12" w:space="0"/>
            </w:tcBorders>
            <w:noWrap w:val="0"/>
            <w:vAlign w:val="center"/>
          </w:tcPr>
          <w:p>
            <w:pPr>
              <w:spacing w:line="360" w:lineRule="exact"/>
              <w:rPr>
                <w:szCs w:val="21"/>
              </w:rPr>
            </w:pPr>
            <w:r>
              <w:rPr>
                <w:szCs w:val="21"/>
              </w:rPr>
              <w:t>春季 □； 夏季 □； 秋季 □； 冬季 □</w:t>
            </w:r>
          </w:p>
          <w:p>
            <w:pPr>
              <w:spacing w:line="360" w:lineRule="exact"/>
              <w:rPr>
                <w:rFonts w:eastAsia="Times New Roman"/>
                <w:szCs w:val="21"/>
              </w:rPr>
            </w:pPr>
            <w:r>
              <w:rPr>
                <w:szCs w:val="21"/>
              </w:rPr>
              <w:t>设计水文条件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预测情景</w:t>
            </w:r>
          </w:p>
        </w:tc>
        <w:tc>
          <w:tcPr>
            <w:tcW w:w="10140" w:type="dxa"/>
            <w:gridSpan w:val="13"/>
            <w:tcBorders>
              <w:top w:val="single" w:color="auto" w:sz="4" w:space="0"/>
              <w:left w:val="single" w:color="auto" w:sz="4" w:space="0"/>
              <w:bottom w:val="single" w:color="auto" w:sz="4" w:space="0"/>
              <w:right w:val="single" w:color="auto" w:sz="12" w:space="0"/>
            </w:tcBorders>
            <w:noWrap w:val="0"/>
            <w:vAlign w:val="center"/>
          </w:tcPr>
          <w:p>
            <w:pPr>
              <w:spacing w:line="360" w:lineRule="exact"/>
              <w:rPr>
                <w:szCs w:val="21"/>
              </w:rPr>
            </w:pPr>
            <w:r>
              <w:rPr>
                <w:szCs w:val="21"/>
              </w:rPr>
              <w:t>建设期 □； 生产运行期 □； 服务期满后 □</w:t>
            </w:r>
          </w:p>
          <w:p>
            <w:pPr>
              <w:spacing w:line="360" w:lineRule="exact"/>
              <w:rPr>
                <w:szCs w:val="21"/>
              </w:rPr>
            </w:pPr>
            <w:r>
              <w:rPr>
                <w:szCs w:val="21"/>
              </w:rPr>
              <w:t>正常工况 □； 非正常工况 □</w:t>
            </w:r>
          </w:p>
          <w:p>
            <w:pPr>
              <w:spacing w:line="360" w:lineRule="exact"/>
              <w:rPr>
                <w:szCs w:val="21"/>
              </w:rPr>
            </w:pPr>
            <w:r>
              <w:rPr>
                <w:szCs w:val="21"/>
              </w:rPr>
              <w:t>污染控制和减缓措施方案 □</w:t>
            </w:r>
          </w:p>
          <w:p>
            <w:pPr>
              <w:spacing w:line="360" w:lineRule="exact"/>
              <w:rPr>
                <w:rFonts w:eastAsia="Times New Roman"/>
                <w:szCs w:val="21"/>
              </w:rPr>
            </w:pPr>
            <w:r>
              <w:rPr>
                <w:szCs w:val="21"/>
              </w:rPr>
              <w:t>区（流）域环境质量改善目标要求情景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预测方法</w:t>
            </w:r>
          </w:p>
        </w:tc>
        <w:tc>
          <w:tcPr>
            <w:tcW w:w="10140" w:type="dxa"/>
            <w:gridSpan w:val="13"/>
            <w:tcBorders>
              <w:top w:val="single" w:color="auto" w:sz="4" w:space="0"/>
              <w:left w:val="single" w:color="auto" w:sz="4" w:space="0"/>
              <w:bottom w:val="single" w:color="auto" w:sz="4" w:space="0"/>
              <w:right w:val="single" w:color="auto" w:sz="12" w:space="0"/>
            </w:tcBorders>
            <w:noWrap w:val="0"/>
            <w:vAlign w:val="center"/>
          </w:tcPr>
          <w:p>
            <w:pPr>
              <w:spacing w:line="360" w:lineRule="exact"/>
              <w:rPr>
                <w:szCs w:val="21"/>
              </w:rPr>
            </w:pPr>
            <w:r>
              <w:rPr>
                <w:szCs w:val="21"/>
              </w:rPr>
              <w:t>数值解 □： 解析解 □； 其他 □</w:t>
            </w:r>
          </w:p>
          <w:p>
            <w:pPr>
              <w:spacing w:line="360" w:lineRule="exact"/>
              <w:rPr>
                <w:rFonts w:eastAsia="Times New Roman"/>
                <w:szCs w:val="21"/>
              </w:rPr>
            </w:pPr>
            <w:r>
              <w:rPr>
                <w:szCs w:val="21"/>
              </w:rPr>
              <w:t>导则推荐模式□： 其他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restart"/>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r>
              <w:rPr>
                <w:szCs w:val="21"/>
              </w:rPr>
              <w:t>影响评价</w:t>
            </w:r>
          </w:p>
        </w:tc>
        <w:tc>
          <w:tcPr>
            <w:tcW w:w="2694"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水污染控制和水环境影响减缓措施有效性评价</w:t>
            </w:r>
          </w:p>
        </w:tc>
        <w:tc>
          <w:tcPr>
            <w:tcW w:w="10140" w:type="dxa"/>
            <w:gridSpan w:val="13"/>
            <w:tcBorders>
              <w:top w:val="single" w:color="auto" w:sz="4" w:space="0"/>
              <w:left w:val="single" w:color="auto" w:sz="4" w:space="0"/>
              <w:bottom w:val="single" w:color="auto" w:sz="4" w:space="0"/>
              <w:right w:val="single" w:color="auto" w:sz="12" w:space="0"/>
            </w:tcBorders>
            <w:noWrap w:val="0"/>
            <w:vAlign w:val="center"/>
          </w:tcPr>
          <w:p>
            <w:pPr>
              <w:spacing w:line="360" w:lineRule="exact"/>
              <w:rPr>
                <w:rFonts w:eastAsia="Times New Roman"/>
                <w:szCs w:val="21"/>
              </w:rPr>
            </w:pPr>
            <w:r>
              <w:rPr>
                <w:szCs w:val="21"/>
              </w:rPr>
              <w:t>区（流）域水环境质量改善目标□；替代削减源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水环境影响评价</w:t>
            </w:r>
          </w:p>
        </w:tc>
        <w:tc>
          <w:tcPr>
            <w:tcW w:w="10140" w:type="dxa"/>
            <w:gridSpan w:val="13"/>
            <w:tcBorders>
              <w:top w:val="single" w:color="auto" w:sz="4" w:space="0"/>
              <w:left w:val="single" w:color="auto" w:sz="4" w:space="0"/>
              <w:bottom w:val="single" w:color="auto" w:sz="4" w:space="0"/>
              <w:right w:val="single" w:color="auto" w:sz="12" w:space="0"/>
            </w:tcBorders>
            <w:noWrap w:val="0"/>
            <w:vAlign w:val="center"/>
          </w:tcPr>
          <w:p>
            <w:pPr>
              <w:spacing w:line="360" w:lineRule="exact"/>
              <w:rPr>
                <w:szCs w:val="21"/>
              </w:rPr>
            </w:pPr>
            <w:r>
              <w:rPr>
                <w:szCs w:val="21"/>
              </w:rPr>
              <w:t>排放口混合区外满足水环境管理要求 □</w:t>
            </w:r>
          </w:p>
          <w:p>
            <w:pPr>
              <w:spacing w:line="360" w:lineRule="exact"/>
              <w:rPr>
                <w:szCs w:val="21"/>
              </w:rPr>
            </w:pPr>
            <w:r>
              <w:rPr>
                <w:szCs w:val="21"/>
              </w:rPr>
              <w:t>水环境功能区或水功能区、近岸海域环境功能区水质达标 □</w:t>
            </w:r>
          </w:p>
          <w:p>
            <w:pPr>
              <w:spacing w:line="360" w:lineRule="exact"/>
              <w:rPr>
                <w:szCs w:val="21"/>
              </w:rPr>
            </w:pPr>
            <w:r>
              <w:rPr>
                <w:szCs w:val="21"/>
              </w:rPr>
              <w:t>满足水环境保护目标水域水环境质量要求 □</w:t>
            </w:r>
          </w:p>
          <w:p>
            <w:pPr>
              <w:spacing w:line="360" w:lineRule="exact"/>
              <w:rPr>
                <w:szCs w:val="21"/>
              </w:rPr>
            </w:pPr>
            <w:r>
              <w:rPr>
                <w:szCs w:val="21"/>
              </w:rPr>
              <w:t>水环境控制单元或断面水质达标 □</w:t>
            </w:r>
          </w:p>
          <w:p>
            <w:pPr>
              <w:spacing w:line="360" w:lineRule="exact"/>
              <w:rPr>
                <w:szCs w:val="21"/>
              </w:rPr>
            </w:pPr>
            <w:r>
              <w:rPr>
                <w:szCs w:val="21"/>
              </w:rPr>
              <w:t>满足重点水污染物排放总量控制指标要求，重点行业建设项目，主要污染物排放满足等量或减量替代要求 □</w:t>
            </w:r>
          </w:p>
          <w:p>
            <w:pPr>
              <w:spacing w:line="360" w:lineRule="exact"/>
              <w:rPr>
                <w:szCs w:val="21"/>
              </w:rPr>
            </w:pPr>
            <w:r>
              <w:rPr>
                <w:szCs w:val="21"/>
              </w:rPr>
              <w:t>满足区（流）域水环境质量改善目标要求 □</w:t>
            </w:r>
          </w:p>
          <w:p>
            <w:pPr>
              <w:spacing w:line="360" w:lineRule="exact"/>
              <w:rPr>
                <w:szCs w:val="21"/>
              </w:rPr>
            </w:pPr>
            <w:r>
              <w:rPr>
                <w:szCs w:val="21"/>
              </w:rPr>
              <w:t>水文要素影响型建设项目同时应包括水文情势变化评价、主要水文特征值影响评价、生态流量符合性评价 □</w:t>
            </w:r>
          </w:p>
          <w:p>
            <w:pPr>
              <w:spacing w:line="360" w:lineRule="exact"/>
              <w:rPr>
                <w:szCs w:val="21"/>
              </w:rPr>
            </w:pPr>
            <w:r>
              <w:rPr>
                <w:szCs w:val="21"/>
              </w:rPr>
              <w:t>对于新设或调整入河（湖库、近岸海域）排放口的建设项目，应包括排放口设置的环境合理性评价 □</w:t>
            </w:r>
          </w:p>
          <w:p>
            <w:pPr>
              <w:spacing w:line="360" w:lineRule="exact"/>
              <w:rPr>
                <w:rFonts w:eastAsia="Times New Roman"/>
                <w:szCs w:val="21"/>
              </w:rPr>
            </w:pPr>
            <w:r>
              <w:rPr>
                <w:szCs w:val="21"/>
              </w:rPr>
              <w:t>满足生态保护红线、水环境质量底线、资源利用上线和环境准入清单管理要求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vMerge w:val="restart"/>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污染源排放量核算</w:t>
            </w:r>
          </w:p>
        </w:tc>
        <w:tc>
          <w:tcPr>
            <w:tcW w:w="4637"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污染物名称</w:t>
            </w:r>
          </w:p>
        </w:tc>
        <w:tc>
          <w:tcPr>
            <w:tcW w:w="2566"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排放量/（t/a）</w:t>
            </w:r>
          </w:p>
        </w:tc>
        <w:tc>
          <w:tcPr>
            <w:tcW w:w="2937" w:type="dxa"/>
            <w:gridSpan w:val="4"/>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排放浓度/（mg/L）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vMerge w:val="continue"/>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p>
        </w:tc>
        <w:tc>
          <w:tcPr>
            <w:tcW w:w="4637"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eastAsia="Times New Roman"/>
                <w:szCs w:val="21"/>
              </w:rPr>
            </w:pPr>
            <w:r>
              <w:rPr>
                <w:szCs w:val="21"/>
              </w:rPr>
              <w:t>（ ）</w:t>
            </w:r>
          </w:p>
        </w:tc>
        <w:tc>
          <w:tcPr>
            <w:tcW w:w="2566"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 ）</w:t>
            </w:r>
          </w:p>
        </w:tc>
        <w:tc>
          <w:tcPr>
            <w:tcW w:w="2937" w:type="dxa"/>
            <w:gridSpan w:val="4"/>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vMerge w:val="restart"/>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替代源排放情况</w:t>
            </w:r>
          </w:p>
        </w:tc>
        <w:tc>
          <w:tcPr>
            <w:tcW w:w="3118"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污染源名称</w:t>
            </w:r>
          </w:p>
        </w:tc>
        <w:tc>
          <w:tcPr>
            <w:tcW w:w="1845"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排污许可证编号</w:t>
            </w:r>
          </w:p>
        </w:tc>
        <w:tc>
          <w:tcPr>
            <w:tcW w:w="1700"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污染物名称</w:t>
            </w:r>
          </w:p>
        </w:tc>
        <w:tc>
          <w:tcPr>
            <w:tcW w:w="1701"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排放量/（t/a）</w:t>
            </w:r>
          </w:p>
        </w:tc>
        <w:tc>
          <w:tcPr>
            <w:tcW w:w="1776" w:type="dxa"/>
            <w:gridSpan w:val="2"/>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排放浓度/mg/L）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vMerge w:val="continue"/>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p>
        </w:tc>
        <w:tc>
          <w:tcPr>
            <w:tcW w:w="3118"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 ）</w:t>
            </w:r>
          </w:p>
        </w:tc>
        <w:tc>
          <w:tcPr>
            <w:tcW w:w="1845"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 ）</w:t>
            </w:r>
          </w:p>
        </w:tc>
        <w:tc>
          <w:tcPr>
            <w:tcW w:w="1700"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 ）</w:t>
            </w:r>
          </w:p>
        </w:tc>
        <w:tc>
          <w:tcPr>
            <w:tcW w:w="1701"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 ）</w:t>
            </w:r>
          </w:p>
        </w:tc>
        <w:tc>
          <w:tcPr>
            <w:tcW w:w="1776" w:type="dxa"/>
            <w:gridSpan w:val="2"/>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生态流量确定</w:t>
            </w:r>
          </w:p>
        </w:tc>
        <w:tc>
          <w:tcPr>
            <w:tcW w:w="10140" w:type="dxa"/>
            <w:gridSpan w:val="13"/>
            <w:tcBorders>
              <w:top w:val="single" w:color="auto" w:sz="4" w:space="0"/>
              <w:left w:val="single" w:color="auto" w:sz="4" w:space="0"/>
              <w:bottom w:val="single" w:color="auto" w:sz="4" w:space="0"/>
              <w:right w:val="single" w:color="auto" w:sz="12" w:space="0"/>
            </w:tcBorders>
            <w:noWrap w:val="0"/>
            <w:vAlign w:val="center"/>
          </w:tcPr>
          <w:p>
            <w:pPr>
              <w:spacing w:line="360" w:lineRule="exact"/>
              <w:rPr>
                <w:szCs w:val="21"/>
              </w:rPr>
            </w:pPr>
            <w:r>
              <w:rPr>
                <w:szCs w:val="21"/>
              </w:rPr>
              <w:t>生态流量：一般水期（ ） m</w:t>
            </w:r>
            <w:r>
              <w:rPr>
                <w:szCs w:val="21"/>
                <w:vertAlign w:val="superscript"/>
              </w:rPr>
              <w:t>3</w:t>
            </w:r>
            <w:r>
              <w:rPr>
                <w:szCs w:val="21"/>
              </w:rPr>
              <w:t>/s；鱼类繁殖期（ ） m</w:t>
            </w:r>
            <w:r>
              <w:rPr>
                <w:szCs w:val="21"/>
                <w:vertAlign w:val="superscript"/>
              </w:rPr>
              <w:t>3</w:t>
            </w:r>
            <w:r>
              <w:rPr>
                <w:szCs w:val="21"/>
              </w:rPr>
              <w:t>/s；其他（ ） m</w:t>
            </w:r>
            <w:r>
              <w:rPr>
                <w:szCs w:val="21"/>
                <w:vertAlign w:val="superscript"/>
              </w:rPr>
              <w:t>3</w:t>
            </w:r>
            <w:r>
              <w:rPr>
                <w:szCs w:val="21"/>
              </w:rPr>
              <w:t>/s</w:t>
            </w:r>
          </w:p>
          <w:p>
            <w:pPr>
              <w:spacing w:line="360" w:lineRule="exact"/>
              <w:rPr>
                <w:rFonts w:eastAsia="Times New Roman"/>
                <w:szCs w:val="21"/>
              </w:rPr>
            </w:pPr>
            <w:r>
              <w:rPr>
                <w:szCs w:val="21"/>
              </w:rPr>
              <w:t>生态水位：一般水期（ ） m；鱼类繁殖期（ ） m；其他（ ） 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restart"/>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r>
              <w:rPr>
                <w:szCs w:val="21"/>
              </w:rPr>
              <w:t>防治措施</w:t>
            </w:r>
          </w:p>
        </w:tc>
        <w:tc>
          <w:tcPr>
            <w:tcW w:w="2694"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环保措施</w:t>
            </w:r>
          </w:p>
        </w:tc>
        <w:tc>
          <w:tcPr>
            <w:tcW w:w="10140" w:type="dxa"/>
            <w:gridSpan w:val="13"/>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污水处理设施</w:t>
            </w:r>
            <w:r>
              <w:rPr>
                <w:rFonts w:eastAsia="仿宋"/>
                <w:szCs w:val="21"/>
              </w:rPr>
              <w:t>√</w:t>
            </w:r>
            <w:r>
              <w:rPr>
                <w:szCs w:val="21"/>
              </w:rPr>
              <w:t>；水文减缓设施 □；生态流量保障设施 □；区域削减 □；依托其他工程措施 □；其他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vMerge w:val="restart"/>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监测计划</w:t>
            </w:r>
          </w:p>
        </w:tc>
        <w:tc>
          <w:tcPr>
            <w:tcW w:w="2690"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p>
        </w:tc>
        <w:tc>
          <w:tcPr>
            <w:tcW w:w="3404"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环境质量</w:t>
            </w:r>
          </w:p>
        </w:tc>
        <w:tc>
          <w:tcPr>
            <w:tcW w:w="4046" w:type="dxa"/>
            <w:gridSpan w:val="6"/>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污染源</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vMerge w:val="continue"/>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p>
        </w:tc>
        <w:tc>
          <w:tcPr>
            <w:tcW w:w="2690"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监测方式</w:t>
            </w:r>
          </w:p>
        </w:tc>
        <w:tc>
          <w:tcPr>
            <w:tcW w:w="3404"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手动 □； 自动 □；无监测 □</w:t>
            </w:r>
          </w:p>
        </w:tc>
        <w:tc>
          <w:tcPr>
            <w:tcW w:w="4046" w:type="dxa"/>
            <w:gridSpan w:val="6"/>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手动 □； 自动 □；无监测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vMerge w:val="continue"/>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p>
        </w:tc>
        <w:tc>
          <w:tcPr>
            <w:tcW w:w="2690"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监测点位</w:t>
            </w:r>
          </w:p>
        </w:tc>
        <w:tc>
          <w:tcPr>
            <w:tcW w:w="3404"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 ）</w:t>
            </w:r>
          </w:p>
        </w:tc>
        <w:tc>
          <w:tcPr>
            <w:tcW w:w="4046" w:type="dxa"/>
            <w:gridSpan w:val="6"/>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vMerge w:val="continue"/>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p>
        </w:tc>
        <w:tc>
          <w:tcPr>
            <w:tcW w:w="2690"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监测因子</w:t>
            </w:r>
          </w:p>
        </w:tc>
        <w:tc>
          <w:tcPr>
            <w:tcW w:w="3404"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 ）</w:t>
            </w:r>
          </w:p>
        </w:tc>
        <w:tc>
          <w:tcPr>
            <w:tcW w:w="4046" w:type="dxa"/>
            <w:gridSpan w:val="6"/>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534" w:type="dxa"/>
            <w:vMerge w:val="continue"/>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694"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污染物排放清单</w:t>
            </w:r>
          </w:p>
        </w:tc>
        <w:tc>
          <w:tcPr>
            <w:tcW w:w="10140" w:type="dxa"/>
            <w:gridSpan w:val="13"/>
            <w:tcBorders>
              <w:top w:val="single" w:color="auto" w:sz="4" w:space="0"/>
              <w:left w:val="single" w:color="auto" w:sz="4" w:space="0"/>
              <w:bottom w:val="single" w:color="auto" w:sz="4" w:space="0"/>
              <w:right w:val="single" w:color="auto" w:sz="12" w:space="0"/>
            </w:tcBorders>
            <w:noWrap w:val="0"/>
            <w:vAlign w:val="center"/>
          </w:tcPr>
          <w:p>
            <w:pPr>
              <w:spacing w:line="360" w:lineRule="exact"/>
              <w:rPr>
                <w:rFonts w:eastAsia="Times New Roman"/>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3228" w:type="dxa"/>
            <w:gridSpan w:val="2"/>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r>
              <w:rPr>
                <w:szCs w:val="21"/>
              </w:rPr>
              <w:t>评价结论</w:t>
            </w:r>
          </w:p>
        </w:tc>
        <w:tc>
          <w:tcPr>
            <w:tcW w:w="10140" w:type="dxa"/>
            <w:gridSpan w:val="13"/>
            <w:tcBorders>
              <w:top w:val="single" w:color="auto" w:sz="4" w:space="0"/>
              <w:left w:val="single" w:color="auto" w:sz="4" w:space="0"/>
              <w:bottom w:val="single" w:color="auto" w:sz="4" w:space="0"/>
              <w:right w:val="single" w:color="auto" w:sz="12" w:space="0"/>
            </w:tcBorders>
            <w:noWrap w:val="0"/>
            <w:vAlign w:val="center"/>
          </w:tcPr>
          <w:p>
            <w:pPr>
              <w:spacing w:line="360" w:lineRule="exact"/>
              <w:rPr>
                <w:rFonts w:eastAsia="Times New Roman"/>
                <w:szCs w:val="21"/>
              </w:rPr>
            </w:pPr>
            <w:r>
              <w:rPr>
                <w:szCs w:val="21"/>
              </w:rPr>
              <w:t>可以接受</w:t>
            </w:r>
            <w:r>
              <w:rPr>
                <w:rFonts w:eastAsia="仿宋"/>
                <w:szCs w:val="21"/>
              </w:rPr>
              <w:t>√</w:t>
            </w:r>
            <w:r>
              <w:rPr>
                <w:szCs w:val="21"/>
              </w:rPr>
              <w:t>； 不可以接受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3368" w:type="dxa"/>
            <w:gridSpan w:val="15"/>
            <w:tcBorders>
              <w:top w:val="single" w:color="auto" w:sz="4" w:space="0"/>
              <w:left w:val="single" w:color="auto" w:sz="12" w:space="0"/>
              <w:bottom w:val="single" w:color="auto" w:sz="12" w:space="0"/>
              <w:right w:val="single" w:color="auto" w:sz="12" w:space="0"/>
            </w:tcBorders>
            <w:noWrap w:val="0"/>
            <w:vAlign w:val="center"/>
          </w:tcPr>
          <w:p>
            <w:pPr>
              <w:spacing w:line="360" w:lineRule="exact"/>
              <w:jc w:val="center"/>
              <w:rPr>
                <w:szCs w:val="21"/>
              </w:rPr>
            </w:pPr>
            <w:r>
              <w:rPr>
                <w:szCs w:val="21"/>
              </w:rPr>
              <w:t>注：“□”为勾选项，可√；“（）”为内容填写项；“备注”为其他补充内容。</w:t>
            </w:r>
          </w:p>
        </w:tc>
      </w:tr>
    </w:tbl>
    <w:p>
      <w:pPr>
        <w:autoSpaceDE w:val="0"/>
        <w:autoSpaceDN w:val="0"/>
        <w:adjustRightInd w:val="0"/>
        <w:rPr>
          <w:b/>
        </w:rPr>
      </w:pPr>
    </w:p>
    <w:p>
      <w:pPr>
        <w:autoSpaceDE w:val="0"/>
        <w:autoSpaceDN w:val="0"/>
        <w:adjustRightInd w:val="0"/>
        <w:rPr>
          <w:b/>
        </w:rPr>
      </w:pPr>
    </w:p>
    <w:p>
      <w:pPr>
        <w:autoSpaceDE w:val="0"/>
        <w:autoSpaceDN w:val="0"/>
        <w:adjustRightInd w:val="0"/>
        <w:rPr>
          <w:b/>
        </w:rPr>
      </w:pPr>
    </w:p>
    <w:p>
      <w:pPr>
        <w:autoSpaceDE w:val="0"/>
        <w:autoSpaceDN w:val="0"/>
        <w:adjustRightInd w:val="0"/>
        <w:rPr>
          <w:b/>
        </w:rPr>
      </w:pPr>
    </w:p>
    <w:p>
      <w:pPr>
        <w:autoSpaceDE w:val="0"/>
        <w:autoSpaceDN w:val="0"/>
        <w:adjustRightInd w:val="0"/>
        <w:rPr>
          <w:b/>
        </w:rPr>
      </w:pPr>
    </w:p>
    <w:p>
      <w:pPr>
        <w:autoSpaceDE w:val="0"/>
        <w:autoSpaceDN w:val="0"/>
        <w:adjustRightInd w:val="0"/>
        <w:rPr>
          <w:b/>
        </w:rPr>
      </w:pPr>
    </w:p>
    <w:p>
      <w:pPr>
        <w:autoSpaceDE w:val="0"/>
        <w:autoSpaceDN w:val="0"/>
        <w:adjustRightInd w:val="0"/>
        <w:rPr>
          <w:b/>
        </w:rPr>
      </w:pPr>
    </w:p>
    <w:p>
      <w:pPr>
        <w:autoSpaceDE w:val="0"/>
        <w:autoSpaceDN w:val="0"/>
        <w:adjustRightInd w:val="0"/>
        <w:rPr>
          <w:b/>
        </w:rPr>
      </w:pPr>
    </w:p>
    <w:p>
      <w:pPr>
        <w:autoSpaceDE w:val="0"/>
        <w:autoSpaceDN w:val="0"/>
        <w:adjustRightInd w:val="0"/>
        <w:rPr>
          <w:b/>
        </w:rPr>
      </w:pPr>
    </w:p>
    <w:p>
      <w:pPr>
        <w:autoSpaceDE w:val="0"/>
        <w:autoSpaceDN w:val="0"/>
        <w:adjustRightInd w:val="0"/>
        <w:rPr>
          <w:b/>
        </w:rPr>
      </w:pPr>
    </w:p>
    <w:p>
      <w:pPr>
        <w:autoSpaceDE w:val="0"/>
        <w:autoSpaceDN w:val="0"/>
        <w:adjustRightInd w:val="0"/>
        <w:rPr>
          <w:b/>
        </w:rPr>
      </w:pPr>
    </w:p>
    <w:p>
      <w:pPr>
        <w:autoSpaceDE w:val="0"/>
        <w:autoSpaceDN w:val="0"/>
        <w:adjustRightInd w:val="0"/>
        <w:rPr>
          <w:b/>
        </w:rPr>
      </w:pPr>
    </w:p>
    <w:p>
      <w:pPr>
        <w:autoSpaceDE w:val="0"/>
        <w:autoSpaceDN w:val="0"/>
        <w:adjustRightInd w:val="0"/>
        <w:rPr>
          <w:b/>
        </w:rPr>
      </w:pPr>
    </w:p>
    <w:p>
      <w:pPr>
        <w:pStyle w:val="16"/>
      </w:pPr>
    </w:p>
    <w:p>
      <w:pPr>
        <w:autoSpaceDE w:val="0"/>
        <w:autoSpaceDN w:val="0"/>
        <w:adjustRightInd w:val="0"/>
        <w:rPr>
          <w:b/>
        </w:rPr>
      </w:pPr>
    </w:p>
    <w:p>
      <w:pPr>
        <w:adjustRightInd w:val="0"/>
        <w:snapToGrid w:val="0"/>
        <w:spacing w:line="520" w:lineRule="exact"/>
        <w:ind w:firstLine="420" w:firstLineChars="200"/>
      </w:pPr>
      <w:r>
        <w:rPr>
          <w:rFonts w:eastAsia="黑体"/>
        </w:rPr>
        <w:t>附表3                                        环境风险评价自查表</w:t>
      </w:r>
    </w:p>
    <w:tbl>
      <w:tblPr>
        <w:tblStyle w:val="17"/>
        <w:tblW w:w="0" w:type="auto"/>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40"/>
        <w:gridCol w:w="581"/>
        <w:gridCol w:w="1525"/>
        <w:gridCol w:w="1590"/>
        <w:gridCol w:w="573"/>
        <w:gridCol w:w="129"/>
        <w:gridCol w:w="745"/>
        <w:gridCol w:w="1391"/>
        <w:gridCol w:w="38"/>
        <w:gridCol w:w="815"/>
        <w:gridCol w:w="689"/>
        <w:gridCol w:w="422"/>
        <w:gridCol w:w="280"/>
        <w:gridCol w:w="950"/>
        <w:gridCol w:w="525"/>
        <w:gridCol w:w="301"/>
        <w:gridCol w:w="471"/>
        <w:gridCol w:w="664"/>
        <w:gridCol w:w="1122"/>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746" w:type="dxa"/>
            <w:gridSpan w:val="3"/>
            <w:tcBorders>
              <w:top w:val="single" w:color="auto" w:sz="12" w:space="0"/>
              <w:left w:val="single" w:color="auto" w:sz="12" w:space="0"/>
              <w:bottom w:val="single" w:color="auto" w:sz="4" w:space="0"/>
              <w:right w:val="single" w:color="auto" w:sz="4" w:space="0"/>
            </w:tcBorders>
            <w:noWrap w:val="0"/>
            <w:vAlign w:val="center"/>
          </w:tcPr>
          <w:p>
            <w:pPr>
              <w:spacing w:line="360" w:lineRule="exact"/>
              <w:jc w:val="center"/>
              <w:rPr>
                <w:szCs w:val="21"/>
              </w:rPr>
            </w:pPr>
            <w:r>
              <w:rPr>
                <w:szCs w:val="21"/>
              </w:rPr>
              <w:t>工作内容</w:t>
            </w:r>
          </w:p>
        </w:tc>
        <w:tc>
          <w:tcPr>
            <w:tcW w:w="1590" w:type="dxa"/>
            <w:tcBorders>
              <w:top w:val="single" w:color="auto" w:sz="12" w:space="0"/>
              <w:left w:val="single" w:color="auto" w:sz="4" w:space="0"/>
              <w:bottom w:val="single" w:color="auto" w:sz="4" w:space="0"/>
              <w:right w:val="single" w:color="auto" w:sz="4" w:space="0"/>
            </w:tcBorders>
            <w:noWrap w:val="0"/>
            <w:vAlign w:val="center"/>
          </w:tcPr>
          <w:p>
            <w:pPr>
              <w:spacing w:line="360" w:lineRule="exact"/>
              <w:jc w:val="center"/>
              <w:rPr>
                <w:szCs w:val="21"/>
              </w:rPr>
            </w:pPr>
          </w:p>
        </w:tc>
        <w:tc>
          <w:tcPr>
            <w:tcW w:w="9115" w:type="dxa"/>
            <w:gridSpan w:val="15"/>
            <w:tcBorders>
              <w:top w:val="single" w:color="auto" w:sz="12" w:space="0"/>
              <w:left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完成情况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40" w:type="dxa"/>
            <w:vMerge w:val="restart"/>
            <w:tcBorders>
              <w:top w:val="single" w:color="auto" w:sz="4" w:space="0"/>
              <w:left w:val="single" w:color="auto" w:sz="12" w:space="0"/>
              <w:right w:val="single" w:color="auto" w:sz="4" w:space="0"/>
            </w:tcBorders>
            <w:noWrap w:val="0"/>
            <w:vAlign w:val="center"/>
          </w:tcPr>
          <w:p>
            <w:pPr>
              <w:spacing w:line="360" w:lineRule="exact"/>
              <w:jc w:val="center"/>
              <w:rPr>
                <w:szCs w:val="21"/>
              </w:rPr>
            </w:pPr>
            <w:r>
              <w:rPr>
                <w:szCs w:val="21"/>
              </w:rPr>
              <w:t>风险调查</w:t>
            </w:r>
          </w:p>
        </w:tc>
        <w:tc>
          <w:tcPr>
            <w:tcW w:w="2106" w:type="dxa"/>
            <w:gridSpan w:val="2"/>
            <w:vMerge w:val="restart"/>
            <w:tcBorders>
              <w:top w:val="single" w:color="auto" w:sz="4" w:space="0"/>
              <w:left w:val="single" w:color="auto" w:sz="4" w:space="0"/>
              <w:right w:val="single" w:color="auto" w:sz="4" w:space="0"/>
            </w:tcBorders>
            <w:noWrap w:val="0"/>
            <w:vAlign w:val="center"/>
          </w:tcPr>
          <w:p>
            <w:pPr>
              <w:spacing w:line="360" w:lineRule="exact"/>
              <w:jc w:val="center"/>
              <w:rPr>
                <w:szCs w:val="21"/>
              </w:rPr>
            </w:pPr>
            <w:r>
              <w:rPr>
                <w:szCs w:val="21"/>
              </w:rPr>
              <w:t>危险物质</w:t>
            </w:r>
          </w:p>
        </w:tc>
        <w:tc>
          <w:tcPr>
            <w:tcW w:w="1590"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名称</w:t>
            </w:r>
          </w:p>
        </w:tc>
        <w:tc>
          <w:tcPr>
            <w:tcW w:w="1447"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沼气（甲烷）</w:t>
            </w:r>
          </w:p>
        </w:tc>
        <w:tc>
          <w:tcPr>
            <w:tcW w:w="1429"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p>
        </w:tc>
        <w:tc>
          <w:tcPr>
            <w:tcW w:w="1504"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p>
        </w:tc>
        <w:tc>
          <w:tcPr>
            <w:tcW w:w="2177"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eastAsia="Times New Roman"/>
                <w:szCs w:val="21"/>
              </w:rPr>
            </w:pPr>
          </w:p>
        </w:tc>
        <w:tc>
          <w:tcPr>
            <w:tcW w:w="1436"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eastAsia="Times New Roman"/>
                <w:szCs w:val="21"/>
              </w:rPr>
            </w:pPr>
          </w:p>
        </w:tc>
        <w:tc>
          <w:tcPr>
            <w:tcW w:w="1122" w:type="dxa"/>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40"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106" w:type="dxa"/>
            <w:gridSpan w:val="2"/>
            <w:vMerge w:val="continue"/>
            <w:tcBorders>
              <w:left w:val="single" w:color="auto" w:sz="4" w:space="0"/>
              <w:right w:val="single" w:color="auto" w:sz="4" w:space="0"/>
            </w:tcBorders>
            <w:noWrap w:val="0"/>
            <w:vAlign w:val="center"/>
          </w:tcPr>
          <w:p>
            <w:pPr>
              <w:spacing w:line="360" w:lineRule="exact"/>
              <w:jc w:val="center"/>
              <w:rPr>
                <w:rFonts w:eastAsia="Times New Roman"/>
                <w:szCs w:val="21"/>
              </w:rPr>
            </w:pPr>
          </w:p>
        </w:tc>
        <w:tc>
          <w:tcPr>
            <w:tcW w:w="1590" w:type="dxa"/>
            <w:tcBorders>
              <w:left w:val="single" w:color="auto" w:sz="4" w:space="0"/>
            </w:tcBorders>
            <w:noWrap w:val="0"/>
            <w:vAlign w:val="center"/>
          </w:tcPr>
          <w:p>
            <w:pPr>
              <w:spacing w:line="360" w:lineRule="exact"/>
              <w:jc w:val="center"/>
              <w:rPr>
                <w:rFonts w:eastAsia="Times New Roman"/>
                <w:szCs w:val="21"/>
              </w:rPr>
            </w:pPr>
            <w:r>
              <w:rPr>
                <w:szCs w:val="21"/>
              </w:rPr>
              <w:t>存在总量/t</w:t>
            </w:r>
          </w:p>
        </w:tc>
        <w:tc>
          <w:tcPr>
            <w:tcW w:w="1447" w:type="dxa"/>
            <w:gridSpan w:val="3"/>
            <w:tcBorders>
              <w:right w:val="single" w:color="auto" w:sz="4" w:space="0"/>
            </w:tcBorders>
            <w:noWrap w:val="0"/>
            <w:vAlign w:val="center"/>
          </w:tcPr>
          <w:p>
            <w:pPr>
              <w:spacing w:line="360" w:lineRule="exact"/>
              <w:jc w:val="center"/>
              <w:rPr>
                <w:szCs w:val="21"/>
              </w:rPr>
            </w:pPr>
            <w:r>
              <w:rPr>
                <w:rFonts w:hint="eastAsia"/>
              </w:rPr>
              <w:t>/</w:t>
            </w:r>
          </w:p>
        </w:tc>
        <w:tc>
          <w:tcPr>
            <w:tcW w:w="1429" w:type="dxa"/>
            <w:gridSpan w:val="2"/>
            <w:tcBorders>
              <w:left w:val="single" w:color="auto" w:sz="4" w:space="0"/>
              <w:right w:val="single" w:color="auto" w:sz="4" w:space="0"/>
            </w:tcBorders>
            <w:noWrap w:val="0"/>
            <w:vAlign w:val="center"/>
          </w:tcPr>
          <w:p>
            <w:pPr>
              <w:spacing w:line="360" w:lineRule="exact"/>
              <w:jc w:val="center"/>
              <w:rPr>
                <w:szCs w:val="21"/>
              </w:rPr>
            </w:pPr>
          </w:p>
        </w:tc>
        <w:tc>
          <w:tcPr>
            <w:tcW w:w="1504" w:type="dxa"/>
            <w:gridSpan w:val="2"/>
            <w:tcBorders>
              <w:left w:val="single" w:color="auto" w:sz="4" w:space="0"/>
              <w:right w:val="single" w:color="auto" w:sz="4" w:space="0"/>
            </w:tcBorders>
            <w:noWrap w:val="0"/>
            <w:vAlign w:val="center"/>
          </w:tcPr>
          <w:p>
            <w:pPr>
              <w:spacing w:line="360" w:lineRule="exact"/>
              <w:jc w:val="center"/>
              <w:rPr>
                <w:szCs w:val="21"/>
              </w:rPr>
            </w:pPr>
          </w:p>
        </w:tc>
        <w:tc>
          <w:tcPr>
            <w:tcW w:w="2177"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eastAsia="Times New Roman"/>
                <w:szCs w:val="21"/>
              </w:rPr>
            </w:pPr>
          </w:p>
        </w:tc>
        <w:tc>
          <w:tcPr>
            <w:tcW w:w="1436"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rFonts w:eastAsia="Times New Roman"/>
                <w:szCs w:val="21"/>
              </w:rPr>
            </w:pPr>
          </w:p>
        </w:tc>
        <w:tc>
          <w:tcPr>
            <w:tcW w:w="1122" w:type="dxa"/>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40"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106" w:type="dxa"/>
            <w:gridSpan w:val="2"/>
            <w:vMerge w:val="restart"/>
            <w:tcBorders>
              <w:top w:val="single" w:color="auto" w:sz="4" w:space="0"/>
              <w:left w:val="single" w:color="auto" w:sz="4" w:space="0"/>
              <w:right w:val="single" w:color="auto" w:sz="4" w:space="0"/>
            </w:tcBorders>
            <w:noWrap w:val="0"/>
            <w:vAlign w:val="center"/>
          </w:tcPr>
          <w:p>
            <w:pPr>
              <w:spacing w:line="360" w:lineRule="exact"/>
              <w:jc w:val="center"/>
              <w:rPr>
                <w:szCs w:val="21"/>
              </w:rPr>
            </w:pPr>
            <w:r>
              <w:rPr>
                <w:szCs w:val="21"/>
              </w:rPr>
              <w:t>环境敏感性</w:t>
            </w:r>
          </w:p>
        </w:tc>
        <w:tc>
          <w:tcPr>
            <w:tcW w:w="1590" w:type="dxa"/>
            <w:vMerge w:val="restart"/>
            <w:tcBorders>
              <w:top w:val="single" w:color="auto" w:sz="4" w:space="0"/>
              <w:left w:val="single" w:color="auto" w:sz="4" w:space="0"/>
              <w:right w:val="single" w:color="auto" w:sz="4" w:space="0"/>
            </w:tcBorders>
            <w:noWrap w:val="0"/>
            <w:vAlign w:val="center"/>
          </w:tcPr>
          <w:p>
            <w:pPr>
              <w:spacing w:line="360" w:lineRule="exact"/>
              <w:jc w:val="center"/>
              <w:rPr>
                <w:szCs w:val="21"/>
              </w:rPr>
            </w:pPr>
            <w:r>
              <w:rPr>
                <w:szCs w:val="21"/>
              </w:rPr>
              <w:t>大气</w:t>
            </w:r>
          </w:p>
        </w:tc>
        <w:tc>
          <w:tcPr>
            <w:tcW w:w="4380" w:type="dxa"/>
            <w:gridSpan w:val="7"/>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500m范围内人口数</w:t>
            </w:r>
            <w:r>
              <w:rPr>
                <w:szCs w:val="21"/>
                <w:u w:val="single"/>
              </w:rPr>
              <w:t>10</w:t>
            </w:r>
            <w:r>
              <w:rPr>
                <w:szCs w:val="21"/>
              </w:rPr>
              <w:t>人</w:t>
            </w:r>
          </w:p>
        </w:tc>
        <w:tc>
          <w:tcPr>
            <w:tcW w:w="4735" w:type="dxa"/>
            <w:gridSpan w:val="8"/>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5km范围内人口数</w:t>
            </w:r>
            <w:r>
              <w:rPr>
                <w:rFonts w:hint="eastAsia"/>
                <w:szCs w:val="21"/>
                <w:u w:val="single"/>
              </w:rPr>
              <w:t>7229</w:t>
            </w:r>
            <w:r>
              <w:rPr>
                <w:szCs w:val="21"/>
                <w:u w:val="single"/>
              </w:rPr>
              <w:t xml:space="preserve"> </w:t>
            </w:r>
            <w:r>
              <w:rPr>
                <w:szCs w:val="21"/>
              </w:rPr>
              <w:t>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40"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106" w:type="dxa"/>
            <w:gridSpan w:val="2"/>
            <w:vMerge w:val="continue"/>
            <w:tcBorders>
              <w:left w:val="single" w:color="auto" w:sz="4" w:space="0"/>
              <w:right w:val="single" w:color="auto" w:sz="4" w:space="0"/>
            </w:tcBorders>
            <w:noWrap w:val="0"/>
            <w:vAlign w:val="center"/>
          </w:tcPr>
          <w:p>
            <w:pPr>
              <w:spacing w:line="360" w:lineRule="exact"/>
              <w:jc w:val="center"/>
              <w:rPr>
                <w:szCs w:val="21"/>
              </w:rPr>
            </w:pPr>
          </w:p>
        </w:tc>
        <w:tc>
          <w:tcPr>
            <w:tcW w:w="1590" w:type="dxa"/>
            <w:vMerge w:val="continue"/>
            <w:tcBorders>
              <w:left w:val="single" w:color="auto" w:sz="4" w:space="0"/>
              <w:right w:val="single" w:color="auto" w:sz="4" w:space="0"/>
            </w:tcBorders>
            <w:noWrap w:val="0"/>
            <w:vAlign w:val="center"/>
          </w:tcPr>
          <w:p>
            <w:pPr>
              <w:spacing w:line="360" w:lineRule="exact"/>
              <w:jc w:val="center"/>
              <w:rPr>
                <w:szCs w:val="21"/>
              </w:rPr>
            </w:pPr>
          </w:p>
        </w:tc>
        <w:tc>
          <w:tcPr>
            <w:tcW w:w="7993" w:type="dxa"/>
            <w:gridSpan w:val="14"/>
            <w:tcBorders>
              <w:left w:val="single" w:color="auto" w:sz="4" w:space="0"/>
              <w:right w:val="single" w:color="auto" w:sz="4" w:space="0"/>
            </w:tcBorders>
            <w:noWrap w:val="0"/>
            <w:vAlign w:val="center"/>
          </w:tcPr>
          <w:p>
            <w:pPr>
              <w:spacing w:line="360" w:lineRule="exact"/>
              <w:jc w:val="center"/>
              <w:rPr>
                <w:rFonts w:eastAsia="Times New Roman"/>
                <w:szCs w:val="21"/>
              </w:rPr>
            </w:pPr>
            <w:r>
              <w:rPr>
                <w:szCs w:val="21"/>
              </w:rPr>
              <w:t>每公里管段周边 200 m 范围内人口数（最大）</w:t>
            </w:r>
          </w:p>
        </w:tc>
        <w:tc>
          <w:tcPr>
            <w:tcW w:w="1122" w:type="dxa"/>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40"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106" w:type="dxa"/>
            <w:gridSpan w:val="2"/>
            <w:vMerge w:val="continue"/>
            <w:tcBorders>
              <w:left w:val="single" w:color="auto" w:sz="4" w:space="0"/>
              <w:right w:val="single" w:color="auto" w:sz="4" w:space="0"/>
            </w:tcBorders>
            <w:noWrap w:val="0"/>
            <w:vAlign w:val="center"/>
          </w:tcPr>
          <w:p>
            <w:pPr>
              <w:spacing w:line="360" w:lineRule="exact"/>
              <w:jc w:val="center"/>
              <w:rPr>
                <w:szCs w:val="21"/>
              </w:rPr>
            </w:pPr>
          </w:p>
        </w:tc>
        <w:tc>
          <w:tcPr>
            <w:tcW w:w="1590" w:type="dxa"/>
            <w:vMerge w:val="restart"/>
            <w:tcBorders>
              <w:top w:val="single" w:color="auto" w:sz="4" w:space="0"/>
              <w:left w:val="single" w:color="auto" w:sz="4" w:space="0"/>
              <w:right w:val="single" w:color="auto" w:sz="4" w:space="0"/>
            </w:tcBorders>
            <w:noWrap w:val="0"/>
            <w:vAlign w:val="center"/>
          </w:tcPr>
          <w:p>
            <w:pPr>
              <w:spacing w:line="360" w:lineRule="exact"/>
              <w:jc w:val="center"/>
              <w:rPr>
                <w:szCs w:val="21"/>
              </w:rPr>
            </w:pPr>
            <w:r>
              <w:rPr>
                <w:szCs w:val="21"/>
              </w:rPr>
              <w:t>地表水</w:t>
            </w:r>
          </w:p>
        </w:tc>
        <w:tc>
          <w:tcPr>
            <w:tcW w:w="2838"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地表水功能敏感性</w:t>
            </w:r>
          </w:p>
        </w:tc>
        <w:tc>
          <w:tcPr>
            <w:tcW w:w="1964"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F1 □</w:t>
            </w:r>
          </w:p>
        </w:tc>
        <w:tc>
          <w:tcPr>
            <w:tcW w:w="2527"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 xml:space="preserve">F2 </w:t>
            </w:r>
            <w:r>
              <w:rPr>
                <w:rFonts w:eastAsia="仿宋"/>
                <w:szCs w:val="21"/>
              </w:rPr>
              <w:t>√</w:t>
            </w:r>
          </w:p>
        </w:tc>
        <w:tc>
          <w:tcPr>
            <w:tcW w:w="1786" w:type="dxa"/>
            <w:gridSpan w:val="2"/>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F3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40"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106" w:type="dxa"/>
            <w:gridSpan w:val="2"/>
            <w:vMerge w:val="continue"/>
            <w:tcBorders>
              <w:left w:val="single" w:color="auto" w:sz="4" w:space="0"/>
              <w:right w:val="single" w:color="auto" w:sz="4" w:space="0"/>
            </w:tcBorders>
            <w:noWrap w:val="0"/>
            <w:vAlign w:val="center"/>
          </w:tcPr>
          <w:p>
            <w:pPr>
              <w:spacing w:line="360" w:lineRule="exact"/>
              <w:jc w:val="center"/>
              <w:rPr>
                <w:szCs w:val="21"/>
              </w:rPr>
            </w:pPr>
          </w:p>
        </w:tc>
        <w:tc>
          <w:tcPr>
            <w:tcW w:w="1590" w:type="dxa"/>
            <w:vMerge w:val="continue"/>
            <w:tcBorders>
              <w:left w:val="single" w:color="auto" w:sz="4" w:space="0"/>
              <w:bottom w:val="single" w:color="auto" w:sz="4" w:space="0"/>
              <w:right w:val="single" w:color="auto" w:sz="4" w:space="0"/>
            </w:tcBorders>
            <w:noWrap w:val="0"/>
            <w:vAlign w:val="center"/>
          </w:tcPr>
          <w:p>
            <w:pPr>
              <w:spacing w:line="360" w:lineRule="exact"/>
              <w:jc w:val="center"/>
              <w:rPr>
                <w:szCs w:val="21"/>
              </w:rPr>
            </w:pPr>
          </w:p>
        </w:tc>
        <w:tc>
          <w:tcPr>
            <w:tcW w:w="2838"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环境敏感目标分级</w:t>
            </w:r>
          </w:p>
        </w:tc>
        <w:tc>
          <w:tcPr>
            <w:tcW w:w="1964"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S1 □</w:t>
            </w:r>
          </w:p>
        </w:tc>
        <w:tc>
          <w:tcPr>
            <w:tcW w:w="2527"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S2 □</w:t>
            </w:r>
          </w:p>
        </w:tc>
        <w:tc>
          <w:tcPr>
            <w:tcW w:w="1786" w:type="dxa"/>
            <w:gridSpan w:val="2"/>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 xml:space="preserve">S3 </w:t>
            </w:r>
            <w:r>
              <w:rPr>
                <w:rFonts w:eastAsia="仿宋"/>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40"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106" w:type="dxa"/>
            <w:gridSpan w:val="2"/>
            <w:vMerge w:val="continue"/>
            <w:tcBorders>
              <w:left w:val="single" w:color="auto" w:sz="4" w:space="0"/>
              <w:right w:val="single" w:color="auto" w:sz="4" w:space="0"/>
            </w:tcBorders>
            <w:noWrap w:val="0"/>
            <w:vAlign w:val="center"/>
          </w:tcPr>
          <w:p>
            <w:pPr>
              <w:spacing w:line="360" w:lineRule="exact"/>
              <w:jc w:val="center"/>
              <w:rPr>
                <w:szCs w:val="21"/>
              </w:rPr>
            </w:pPr>
          </w:p>
        </w:tc>
        <w:tc>
          <w:tcPr>
            <w:tcW w:w="1590" w:type="dxa"/>
            <w:vMerge w:val="restart"/>
            <w:tcBorders>
              <w:top w:val="single" w:color="auto" w:sz="4" w:space="0"/>
              <w:left w:val="single" w:color="auto" w:sz="4" w:space="0"/>
              <w:right w:val="single" w:color="auto" w:sz="4" w:space="0"/>
            </w:tcBorders>
            <w:noWrap w:val="0"/>
            <w:vAlign w:val="center"/>
          </w:tcPr>
          <w:p>
            <w:pPr>
              <w:spacing w:line="360" w:lineRule="exact"/>
              <w:jc w:val="center"/>
              <w:rPr>
                <w:szCs w:val="21"/>
              </w:rPr>
            </w:pPr>
            <w:r>
              <w:rPr>
                <w:szCs w:val="21"/>
              </w:rPr>
              <w:t>地下水</w:t>
            </w:r>
          </w:p>
        </w:tc>
        <w:tc>
          <w:tcPr>
            <w:tcW w:w="2838"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地下水功能敏感性</w:t>
            </w:r>
          </w:p>
        </w:tc>
        <w:tc>
          <w:tcPr>
            <w:tcW w:w="1964"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G1 □</w:t>
            </w:r>
          </w:p>
        </w:tc>
        <w:tc>
          <w:tcPr>
            <w:tcW w:w="2527"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 xml:space="preserve">G2 </w:t>
            </w:r>
            <w:r>
              <w:rPr>
                <w:rFonts w:eastAsia="仿宋"/>
                <w:szCs w:val="21"/>
              </w:rPr>
              <w:t>√</w:t>
            </w:r>
          </w:p>
        </w:tc>
        <w:tc>
          <w:tcPr>
            <w:tcW w:w="1786" w:type="dxa"/>
            <w:gridSpan w:val="2"/>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G3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40" w:type="dxa"/>
            <w:vMerge w:val="continue"/>
            <w:tcBorders>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106" w:type="dxa"/>
            <w:gridSpan w:val="2"/>
            <w:vMerge w:val="continue"/>
            <w:tcBorders>
              <w:left w:val="single" w:color="auto" w:sz="4" w:space="0"/>
              <w:bottom w:val="single" w:color="auto" w:sz="4" w:space="0"/>
              <w:right w:val="single" w:color="auto" w:sz="4" w:space="0"/>
            </w:tcBorders>
            <w:noWrap w:val="0"/>
            <w:vAlign w:val="center"/>
          </w:tcPr>
          <w:p>
            <w:pPr>
              <w:spacing w:line="360" w:lineRule="exact"/>
              <w:jc w:val="center"/>
              <w:rPr>
                <w:szCs w:val="21"/>
              </w:rPr>
            </w:pPr>
          </w:p>
        </w:tc>
        <w:tc>
          <w:tcPr>
            <w:tcW w:w="1590" w:type="dxa"/>
            <w:vMerge w:val="continue"/>
            <w:tcBorders>
              <w:left w:val="single" w:color="auto" w:sz="4" w:space="0"/>
              <w:bottom w:val="single" w:color="auto" w:sz="4" w:space="0"/>
              <w:right w:val="single" w:color="auto" w:sz="4" w:space="0"/>
            </w:tcBorders>
            <w:noWrap w:val="0"/>
            <w:vAlign w:val="center"/>
          </w:tcPr>
          <w:p>
            <w:pPr>
              <w:spacing w:line="360" w:lineRule="exact"/>
              <w:jc w:val="center"/>
              <w:rPr>
                <w:szCs w:val="21"/>
              </w:rPr>
            </w:pPr>
          </w:p>
        </w:tc>
        <w:tc>
          <w:tcPr>
            <w:tcW w:w="2838"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包气带防污性能</w:t>
            </w:r>
          </w:p>
        </w:tc>
        <w:tc>
          <w:tcPr>
            <w:tcW w:w="1964"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D1 □</w:t>
            </w:r>
          </w:p>
        </w:tc>
        <w:tc>
          <w:tcPr>
            <w:tcW w:w="2527"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 xml:space="preserve">D2 </w:t>
            </w:r>
            <w:r>
              <w:rPr>
                <w:rFonts w:eastAsia="仿宋"/>
                <w:szCs w:val="21"/>
              </w:rPr>
              <w:t>√</w:t>
            </w:r>
          </w:p>
        </w:tc>
        <w:tc>
          <w:tcPr>
            <w:tcW w:w="1786" w:type="dxa"/>
            <w:gridSpan w:val="2"/>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D3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746" w:type="dxa"/>
            <w:gridSpan w:val="3"/>
            <w:vMerge w:val="restart"/>
            <w:tcBorders>
              <w:top w:val="single" w:color="auto" w:sz="4" w:space="0"/>
              <w:left w:val="single" w:color="auto" w:sz="12" w:space="0"/>
              <w:right w:val="single" w:color="auto" w:sz="4" w:space="0"/>
            </w:tcBorders>
            <w:noWrap w:val="0"/>
            <w:vAlign w:val="center"/>
          </w:tcPr>
          <w:p>
            <w:pPr>
              <w:spacing w:line="360" w:lineRule="exact"/>
              <w:jc w:val="center"/>
              <w:rPr>
                <w:szCs w:val="21"/>
              </w:rPr>
            </w:pPr>
            <w:r>
              <w:rPr>
                <w:szCs w:val="21"/>
              </w:rPr>
              <w:t>物质及工艺系统危险性</w:t>
            </w:r>
          </w:p>
        </w:tc>
        <w:tc>
          <w:tcPr>
            <w:tcW w:w="1590"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i/>
                <w:iCs/>
                <w:szCs w:val="21"/>
              </w:rPr>
            </w:pPr>
            <w:r>
              <w:rPr>
                <w:i/>
                <w:iCs/>
                <w:szCs w:val="21"/>
              </w:rPr>
              <w:t>Q</w:t>
            </w:r>
            <w:r>
              <w:rPr>
                <w:szCs w:val="21"/>
              </w:rPr>
              <w:t>值</w:t>
            </w:r>
          </w:p>
        </w:tc>
        <w:tc>
          <w:tcPr>
            <w:tcW w:w="2838"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i/>
                <w:iCs/>
                <w:szCs w:val="21"/>
              </w:rPr>
              <w:t>Q</w:t>
            </w:r>
            <w:r>
              <w:rPr>
                <w:szCs w:val="21"/>
              </w:rPr>
              <w:t>＜1</w:t>
            </w:r>
            <w:r>
              <w:rPr>
                <w:rFonts w:hint="eastAsia" w:ascii="MS Gothic" w:hAnsi="MS Gothic" w:eastAsia="MS Gothic" w:cs="MS Gothic"/>
                <w:szCs w:val="21"/>
              </w:rPr>
              <w:t>☑</w:t>
            </w:r>
          </w:p>
        </w:tc>
        <w:tc>
          <w:tcPr>
            <w:tcW w:w="1964"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1≤</w:t>
            </w:r>
            <w:r>
              <w:rPr>
                <w:i/>
                <w:iCs/>
                <w:szCs w:val="21"/>
              </w:rPr>
              <w:t>Q</w:t>
            </w:r>
            <w:r>
              <w:rPr>
                <w:szCs w:val="21"/>
              </w:rPr>
              <w:t>＜10□</w:t>
            </w:r>
          </w:p>
        </w:tc>
        <w:tc>
          <w:tcPr>
            <w:tcW w:w="2527"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10≤</w:t>
            </w:r>
            <w:r>
              <w:rPr>
                <w:i/>
                <w:iCs/>
                <w:szCs w:val="21"/>
              </w:rPr>
              <w:t>Q</w:t>
            </w:r>
            <w:r>
              <w:rPr>
                <w:szCs w:val="21"/>
              </w:rPr>
              <w:t>＜100 □</w:t>
            </w:r>
          </w:p>
        </w:tc>
        <w:tc>
          <w:tcPr>
            <w:tcW w:w="1786" w:type="dxa"/>
            <w:gridSpan w:val="2"/>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i/>
                <w:iCs/>
                <w:szCs w:val="21"/>
              </w:rPr>
              <w:t>Q</w:t>
            </w:r>
            <w:r>
              <w:rPr>
                <w:szCs w:val="21"/>
              </w:rPr>
              <w:t>＞100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746" w:type="dxa"/>
            <w:gridSpan w:val="3"/>
            <w:vMerge w:val="continue"/>
            <w:tcBorders>
              <w:left w:val="single" w:color="auto" w:sz="12" w:space="0"/>
              <w:right w:val="single" w:color="auto" w:sz="4" w:space="0"/>
            </w:tcBorders>
            <w:noWrap w:val="0"/>
            <w:vAlign w:val="center"/>
          </w:tcPr>
          <w:p>
            <w:pPr>
              <w:spacing w:line="360" w:lineRule="exact"/>
              <w:jc w:val="center"/>
              <w:rPr>
                <w:szCs w:val="21"/>
              </w:rPr>
            </w:pPr>
          </w:p>
        </w:tc>
        <w:tc>
          <w:tcPr>
            <w:tcW w:w="1590"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M值</w:t>
            </w:r>
          </w:p>
        </w:tc>
        <w:tc>
          <w:tcPr>
            <w:tcW w:w="2838"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M1 □</w:t>
            </w:r>
          </w:p>
        </w:tc>
        <w:tc>
          <w:tcPr>
            <w:tcW w:w="1964"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M2 □</w:t>
            </w:r>
          </w:p>
        </w:tc>
        <w:tc>
          <w:tcPr>
            <w:tcW w:w="2527"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 xml:space="preserve">M3 □ </w:t>
            </w:r>
          </w:p>
        </w:tc>
        <w:tc>
          <w:tcPr>
            <w:tcW w:w="1786" w:type="dxa"/>
            <w:gridSpan w:val="2"/>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 xml:space="preserve">M4 </w:t>
            </w:r>
            <w:r>
              <w:rPr>
                <w:rFonts w:eastAsia="仿宋"/>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746" w:type="dxa"/>
            <w:gridSpan w:val="3"/>
            <w:vMerge w:val="continue"/>
            <w:tcBorders>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1590"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P值</w:t>
            </w:r>
          </w:p>
        </w:tc>
        <w:tc>
          <w:tcPr>
            <w:tcW w:w="2838"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P1 □</w:t>
            </w:r>
          </w:p>
        </w:tc>
        <w:tc>
          <w:tcPr>
            <w:tcW w:w="1964"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P2 □</w:t>
            </w:r>
          </w:p>
        </w:tc>
        <w:tc>
          <w:tcPr>
            <w:tcW w:w="2527"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P3 □</w:t>
            </w:r>
          </w:p>
        </w:tc>
        <w:tc>
          <w:tcPr>
            <w:tcW w:w="1786" w:type="dxa"/>
            <w:gridSpan w:val="2"/>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P4</w:t>
            </w:r>
            <w:r>
              <w:rPr>
                <w:rFonts w:eastAsia="仿宋"/>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746" w:type="dxa"/>
            <w:gridSpan w:val="3"/>
            <w:vMerge w:val="restart"/>
            <w:tcBorders>
              <w:top w:val="single" w:color="auto" w:sz="4" w:space="0"/>
              <w:left w:val="single" w:color="auto" w:sz="12" w:space="0"/>
              <w:right w:val="single" w:color="auto" w:sz="4" w:space="0"/>
            </w:tcBorders>
            <w:noWrap w:val="0"/>
            <w:vAlign w:val="center"/>
          </w:tcPr>
          <w:p>
            <w:pPr>
              <w:spacing w:line="360" w:lineRule="exact"/>
              <w:jc w:val="center"/>
              <w:rPr>
                <w:szCs w:val="21"/>
              </w:rPr>
            </w:pPr>
            <w:r>
              <w:rPr>
                <w:szCs w:val="21"/>
              </w:rPr>
              <w:t>环境敏感程度</w:t>
            </w:r>
          </w:p>
        </w:tc>
        <w:tc>
          <w:tcPr>
            <w:tcW w:w="1590"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大气</w:t>
            </w:r>
          </w:p>
        </w:tc>
        <w:tc>
          <w:tcPr>
            <w:tcW w:w="2838"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E1 □</w:t>
            </w:r>
          </w:p>
        </w:tc>
        <w:tc>
          <w:tcPr>
            <w:tcW w:w="3194"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 xml:space="preserve">E2 </w:t>
            </w:r>
            <w:r>
              <w:rPr>
                <w:rFonts w:eastAsia="仿宋"/>
                <w:szCs w:val="21"/>
              </w:rPr>
              <w:t>√</w:t>
            </w:r>
          </w:p>
        </w:tc>
        <w:tc>
          <w:tcPr>
            <w:tcW w:w="3083" w:type="dxa"/>
            <w:gridSpan w:val="5"/>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E3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746" w:type="dxa"/>
            <w:gridSpan w:val="3"/>
            <w:vMerge w:val="continue"/>
            <w:tcBorders>
              <w:left w:val="single" w:color="auto" w:sz="12" w:space="0"/>
              <w:right w:val="single" w:color="auto" w:sz="4" w:space="0"/>
            </w:tcBorders>
            <w:noWrap w:val="0"/>
            <w:vAlign w:val="center"/>
          </w:tcPr>
          <w:p>
            <w:pPr>
              <w:spacing w:line="360" w:lineRule="exact"/>
              <w:jc w:val="center"/>
              <w:rPr>
                <w:szCs w:val="21"/>
              </w:rPr>
            </w:pPr>
          </w:p>
        </w:tc>
        <w:tc>
          <w:tcPr>
            <w:tcW w:w="1590"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地表水</w:t>
            </w:r>
          </w:p>
        </w:tc>
        <w:tc>
          <w:tcPr>
            <w:tcW w:w="2838"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E1 □</w:t>
            </w:r>
          </w:p>
        </w:tc>
        <w:tc>
          <w:tcPr>
            <w:tcW w:w="3194"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 xml:space="preserve">E2 </w:t>
            </w:r>
            <w:r>
              <w:rPr>
                <w:rFonts w:eastAsia="仿宋"/>
                <w:szCs w:val="21"/>
              </w:rPr>
              <w:t>√</w:t>
            </w:r>
          </w:p>
        </w:tc>
        <w:tc>
          <w:tcPr>
            <w:tcW w:w="3083" w:type="dxa"/>
            <w:gridSpan w:val="5"/>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E3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746" w:type="dxa"/>
            <w:gridSpan w:val="3"/>
            <w:vMerge w:val="continue"/>
            <w:tcBorders>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1590"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地下水</w:t>
            </w:r>
          </w:p>
        </w:tc>
        <w:tc>
          <w:tcPr>
            <w:tcW w:w="2838" w:type="dxa"/>
            <w:gridSpan w:val="4"/>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E1 □</w:t>
            </w:r>
          </w:p>
        </w:tc>
        <w:tc>
          <w:tcPr>
            <w:tcW w:w="3194"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 xml:space="preserve">E2 </w:t>
            </w:r>
            <w:r>
              <w:rPr>
                <w:rFonts w:eastAsia="仿宋"/>
                <w:szCs w:val="21"/>
              </w:rPr>
              <w:t>√</w:t>
            </w:r>
          </w:p>
        </w:tc>
        <w:tc>
          <w:tcPr>
            <w:tcW w:w="3083" w:type="dxa"/>
            <w:gridSpan w:val="5"/>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E3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746" w:type="dxa"/>
            <w:gridSpan w:val="3"/>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r>
              <w:rPr>
                <w:szCs w:val="21"/>
              </w:rPr>
              <w:t>环境风险潜势</w:t>
            </w:r>
          </w:p>
        </w:tc>
        <w:tc>
          <w:tcPr>
            <w:tcW w:w="2163"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Ⅳ+ □</w:t>
            </w:r>
          </w:p>
        </w:tc>
        <w:tc>
          <w:tcPr>
            <w:tcW w:w="2265"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Ⅳ □</w:t>
            </w:r>
          </w:p>
        </w:tc>
        <w:tc>
          <w:tcPr>
            <w:tcW w:w="2244"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Ⅲ □</w:t>
            </w:r>
          </w:p>
        </w:tc>
        <w:tc>
          <w:tcPr>
            <w:tcW w:w="1776"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Ⅱ□</w:t>
            </w:r>
          </w:p>
        </w:tc>
        <w:tc>
          <w:tcPr>
            <w:tcW w:w="2257" w:type="dxa"/>
            <w:gridSpan w:val="3"/>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I</w:t>
            </w:r>
            <w:r>
              <w:rPr>
                <w:rFonts w:eastAsia="仿宋"/>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746" w:type="dxa"/>
            <w:gridSpan w:val="3"/>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r>
              <w:rPr>
                <w:szCs w:val="21"/>
              </w:rPr>
              <w:t>评价等级</w:t>
            </w:r>
          </w:p>
        </w:tc>
        <w:tc>
          <w:tcPr>
            <w:tcW w:w="4428"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一级 □</w:t>
            </w:r>
          </w:p>
        </w:tc>
        <w:tc>
          <w:tcPr>
            <w:tcW w:w="2244"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二级 □</w:t>
            </w:r>
          </w:p>
        </w:tc>
        <w:tc>
          <w:tcPr>
            <w:tcW w:w="1776"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三级 □</w:t>
            </w:r>
          </w:p>
        </w:tc>
        <w:tc>
          <w:tcPr>
            <w:tcW w:w="2257" w:type="dxa"/>
            <w:gridSpan w:val="3"/>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简单分析</w:t>
            </w:r>
            <w:r>
              <w:rPr>
                <w:rFonts w:eastAsia="仿宋"/>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40" w:type="dxa"/>
            <w:vMerge w:val="restart"/>
            <w:tcBorders>
              <w:top w:val="single" w:color="auto" w:sz="4" w:space="0"/>
              <w:left w:val="single" w:color="auto" w:sz="12" w:space="0"/>
              <w:right w:val="single" w:color="auto" w:sz="4" w:space="0"/>
            </w:tcBorders>
            <w:noWrap w:val="0"/>
            <w:vAlign w:val="center"/>
          </w:tcPr>
          <w:p>
            <w:pPr>
              <w:spacing w:line="360" w:lineRule="exact"/>
              <w:jc w:val="center"/>
              <w:rPr>
                <w:szCs w:val="21"/>
              </w:rPr>
            </w:pPr>
            <w:r>
              <w:rPr>
                <w:szCs w:val="21"/>
              </w:rPr>
              <w:t>风险识别</w:t>
            </w:r>
          </w:p>
        </w:tc>
        <w:tc>
          <w:tcPr>
            <w:tcW w:w="2106"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物质危险性</w:t>
            </w:r>
          </w:p>
        </w:tc>
        <w:tc>
          <w:tcPr>
            <w:tcW w:w="5281" w:type="dxa"/>
            <w:gridSpan w:val="7"/>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有毒有害</w:t>
            </w:r>
            <w:r>
              <w:rPr>
                <w:rFonts w:eastAsia="仿宋"/>
                <w:szCs w:val="21"/>
              </w:rPr>
              <w:t>√</w:t>
            </w:r>
          </w:p>
        </w:tc>
        <w:tc>
          <w:tcPr>
            <w:tcW w:w="5424" w:type="dxa"/>
            <w:gridSpan w:val="9"/>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易燃易爆</w:t>
            </w:r>
            <w:r>
              <w:rPr>
                <w:rFonts w:eastAsia="仿宋"/>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40" w:type="dxa"/>
            <w:vMerge w:val="continue"/>
            <w:tcBorders>
              <w:left w:val="single" w:color="auto" w:sz="12" w:space="0"/>
              <w:right w:val="single" w:color="auto" w:sz="4" w:space="0"/>
            </w:tcBorders>
            <w:noWrap w:val="0"/>
            <w:vAlign w:val="center"/>
          </w:tcPr>
          <w:p>
            <w:pPr>
              <w:spacing w:line="360" w:lineRule="exact"/>
              <w:jc w:val="center"/>
              <w:rPr>
                <w:szCs w:val="21"/>
              </w:rPr>
            </w:pPr>
          </w:p>
        </w:tc>
        <w:tc>
          <w:tcPr>
            <w:tcW w:w="2106"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环境风险</w:t>
            </w:r>
          </w:p>
          <w:p>
            <w:pPr>
              <w:spacing w:line="360" w:lineRule="exact"/>
              <w:jc w:val="center"/>
              <w:rPr>
                <w:szCs w:val="21"/>
              </w:rPr>
            </w:pPr>
            <w:r>
              <w:rPr>
                <w:szCs w:val="21"/>
              </w:rPr>
              <w:t>类型</w:t>
            </w:r>
          </w:p>
        </w:tc>
        <w:tc>
          <w:tcPr>
            <w:tcW w:w="4428"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泄漏</w:t>
            </w:r>
            <w:r>
              <w:rPr>
                <w:rFonts w:eastAsia="仿宋"/>
                <w:szCs w:val="21"/>
              </w:rPr>
              <w:t>√</w:t>
            </w:r>
          </w:p>
        </w:tc>
        <w:tc>
          <w:tcPr>
            <w:tcW w:w="6277" w:type="dxa"/>
            <w:gridSpan w:val="11"/>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火灾、爆炸引发伴生/次生污染物排放</w:t>
            </w:r>
            <w:r>
              <w:rPr>
                <w:rFonts w:eastAsia="仿宋"/>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640" w:type="dxa"/>
            <w:vMerge w:val="continue"/>
            <w:tcBorders>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2106"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影响途径</w:t>
            </w:r>
          </w:p>
        </w:tc>
        <w:tc>
          <w:tcPr>
            <w:tcW w:w="4428" w:type="dxa"/>
            <w:gridSpan w:val="5"/>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大气</w:t>
            </w:r>
            <w:r>
              <w:rPr>
                <w:rFonts w:eastAsia="仿宋"/>
                <w:szCs w:val="21"/>
              </w:rPr>
              <w:t>√</w:t>
            </w:r>
          </w:p>
        </w:tc>
        <w:tc>
          <w:tcPr>
            <w:tcW w:w="3194"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地表水</w:t>
            </w:r>
            <w:r>
              <w:rPr>
                <w:rFonts w:eastAsia="仿宋"/>
                <w:szCs w:val="21"/>
              </w:rPr>
              <w:t>√</w:t>
            </w:r>
          </w:p>
        </w:tc>
        <w:tc>
          <w:tcPr>
            <w:tcW w:w="3083" w:type="dxa"/>
            <w:gridSpan w:val="5"/>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地下水</w:t>
            </w:r>
            <w:r>
              <w:rPr>
                <w:rFonts w:eastAsia="仿宋"/>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746" w:type="dxa"/>
            <w:gridSpan w:val="3"/>
            <w:tcBorders>
              <w:top w:val="single" w:color="auto" w:sz="4" w:space="0"/>
              <w:left w:val="single" w:color="auto" w:sz="12" w:space="0"/>
              <w:bottom w:val="single" w:color="auto" w:sz="4" w:space="0"/>
              <w:right w:val="single" w:color="auto" w:sz="4" w:space="0"/>
            </w:tcBorders>
            <w:noWrap w:val="0"/>
            <w:vAlign w:val="center"/>
          </w:tcPr>
          <w:p>
            <w:pPr>
              <w:spacing w:line="360" w:lineRule="exact"/>
              <w:jc w:val="center"/>
              <w:rPr>
                <w:szCs w:val="21"/>
              </w:rPr>
            </w:pPr>
            <w:r>
              <w:rPr>
                <w:szCs w:val="21"/>
              </w:rPr>
              <w:t>事故情形分析</w:t>
            </w:r>
          </w:p>
        </w:tc>
        <w:tc>
          <w:tcPr>
            <w:tcW w:w="2292"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源强设定方法□</w:t>
            </w:r>
          </w:p>
        </w:tc>
        <w:tc>
          <w:tcPr>
            <w:tcW w:w="2136"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计算法</w:t>
            </w:r>
            <w:r>
              <w:rPr>
                <w:rFonts w:eastAsia="仿宋"/>
                <w:szCs w:val="21"/>
              </w:rPr>
              <w:t>√</w:t>
            </w:r>
          </w:p>
        </w:tc>
        <w:tc>
          <w:tcPr>
            <w:tcW w:w="3194"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经验估算法 □</w:t>
            </w:r>
          </w:p>
        </w:tc>
        <w:tc>
          <w:tcPr>
            <w:tcW w:w="3083" w:type="dxa"/>
            <w:gridSpan w:val="5"/>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rFonts w:eastAsia="Times New Roman"/>
                <w:szCs w:val="21"/>
              </w:rPr>
            </w:pPr>
            <w:r>
              <w:rPr>
                <w:szCs w:val="21"/>
              </w:rPr>
              <w:t>其他估算法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1" w:type="dxa"/>
            <w:gridSpan w:val="2"/>
            <w:vMerge w:val="restart"/>
            <w:tcBorders>
              <w:top w:val="single" w:color="auto" w:sz="4" w:space="0"/>
              <w:left w:val="single" w:color="auto" w:sz="12" w:space="0"/>
              <w:right w:val="single" w:color="auto" w:sz="4" w:space="0"/>
            </w:tcBorders>
            <w:noWrap w:val="0"/>
            <w:vAlign w:val="center"/>
          </w:tcPr>
          <w:p>
            <w:pPr>
              <w:spacing w:line="360" w:lineRule="exact"/>
              <w:jc w:val="center"/>
              <w:rPr>
                <w:szCs w:val="21"/>
              </w:rPr>
            </w:pPr>
            <w:r>
              <w:rPr>
                <w:szCs w:val="21"/>
              </w:rPr>
              <w:t>风险预测与评价</w:t>
            </w:r>
          </w:p>
        </w:tc>
        <w:tc>
          <w:tcPr>
            <w:tcW w:w="1525" w:type="dxa"/>
            <w:vMerge w:val="restart"/>
            <w:tcBorders>
              <w:top w:val="single" w:color="auto" w:sz="4" w:space="0"/>
              <w:left w:val="single" w:color="auto" w:sz="4" w:space="0"/>
              <w:right w:val="single" w:color="auto" w:sz="4" w:space="0"/>
            </w:tcBorders>
            <w:noWrap w:val="0"/>
            <w:vAlign w:val="center"/>
          </w:tcPr>
          <w:p>
            <w:pPr>
              <w:spacing w:line="360" w:lineRule="exact"/>
              <w:jc w:val="center"/>
              <w:rPr>
                <w:szCs w:val="21"/>
              </w:rPr>
            </w:pPr>
            <w:r>
              <w:rPr>
                <w:szCs w:val="21"/>
              </w:rPr>
              <w:t>大气</w:t>
            </w:r>
          </w:p>
        </w:tc>
        <w:tc>
          <w:tcPr>
            <w:tcW w:w="2292" w:type="dxa"/>
            <w:gridSpan w:val="3"/>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预测模型</w:t>
            </w:r>
          </w:p>
        </w:tc>
        <w:tc>
          <w:tcPr>
            <w:tcW w:w="2136" w:type="dxa"/>
            <w:gridSpan w:val="2"/>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SLAB □</w:t>
            </w:r>
          </w:p>
        </w:tc>
        <w:tc>
          <w:tcPr>
            <w:tcW w:w="3194" w:type="dxa"/>
            <w:gridSpan w:val="6"/>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AFTOX □</w:t>
            </w:r>
          </w:p>
        </w:tc>
        <w:tc>
          <w:tcPr>
            <w:tcW w:w="3083" w:type="dxa"/>
            <w:gridSpan w:val="5"/>
            <w:tcBorders>
              <w:top w:val="single" w:color="auto" w:sz="4" w:space="0"/>
              <w:left w:val="single" w:color="auto" w:sz="4" w:space="0"/>
              <w:bottom w:val="single" w:color="auto" w:sz="4" w:space="0"/>
              <w:right w:val="single" w:color="auto" w:sz="12" w:space="0"/>
            </w:tcBorders>
            <w:noWrap w:val="0"/>
            <w:vAlign w:val="center"/>
          </w:tcPr>
          <w:p>
            <w:pPr>
              <w:spacing w:line="360" w:lineRule="exact"/>
              <w:jc w:val="center"/>
              <w:rPr>
                <w:szCs w:val="21"/>
              </w:rPr>
            </w:pPr>
            <w:r>
              <w:rPr>
                <w:szCs w:val="21"/>
              </w:rPr>
              <w:t xml:space="preserve">其他 </w:t>
            </w:r>
            <w:r>
              <w:rPr>
                <w:rFonts w:eastAsia="仿宋"/>
                <w:szCs w:val="21"/>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1" w:type="dxa"/>
            <w:gridSpan w:val="2"/>
            <w:vMerge w:val="continue"/>
            <w:tcBorders>
              <w:left w:val="single" w:color="auto" w:sz="12" w:space="0"/>
              <w:right w:val="single" w:color="auto" w:sz="4" w:space="0"/>
            </w:tcBorders>
            <w:noWrap w:val="0"/>
            <w:vAlign w:val="center"/>
          </w:tcPr>
          <w:p>
            <w:pPr>
              <w:spacing w:line="360" w:lineRule="exact"/>
              <w:jc w:val="center"/>
              <w:rPr>
                <w:szCs w:val="21"/>
              </w:rPr>
            </w:pPr>
          </w:p>
        </w:tc>
        <w:tc>
          <w:tcPr>
            <w:tcW w:w="1525" w:type="dxa"/>
            <w:vMerge w:val="continue"/>
            <w:tcBorders>
              <w:left w:val="single" w:color="auto" w:sz="4" w:space="0"/>
              <w:right w:val="single" w:color="auto" w:sz="4" w:space="0"/>
            </w:tcBorders>
            <w:noWrap w:val="0"/>
            <w:vAlign w:val="center"/>
          </w:tcPr>
          <w:p>
            <w:pPr>
              <w:spacing w:line="360" w:lineRule="exact"/>
              <w:jc w:val="center"/>
              <w:rPr>
                <w:szCs w:val="21"/>
              </w:rPr>
            </w:pPr>
          </w:p>
        </w:tc>
        <w:tc>
          <w:tcPr>
            <w:tcW w:w="2292" w:type="dxa"/>
            <w:gridSpan w:val="3"/>
            <w:vMerge w:val="restart"/>
            <w:noWrap w:val="0"/>
            <w:vAlign w:val="center"/>
          </w:tcPr>
          <w:p>
            <w:pPr>
              <w:spacing w:line="360" w:lineRule="exact"/>
              <w:jc w:val="center"/>
              <w:rPr>
                <w:rFonts w:eastAsia="Times New Roman"/>
                <w:szCs w:val="21"/>
              </w:rPr>
            </w:pPr>
            <w:r>
              <w:rPr>
                <w:szCs w:val="21"/>
              </w:rPr>
              <w:t>预测结果</w:t>
            </w:r>
          </w:p>
        </w:tc>
        <w:tc>
          <w:tcPr>
            <w:tcW w:w="8413" w:type="dxa"/>
            <w:gridSpan w:val="13"/>
            <w:tcBorders>
              <w:right w:val="single" w:color="auto" w:sz="12" w:space="0"/>
            </w:tcBorders>
            <w:noWrap w:val="0"/>
            <w:vAlign w:val="center"/>
          </w:tcPr>
          <w:p>
            <w:pPr>
              <w:spacing w:line="360" w:lineRule="exact"/>
              <w:jc w:val="center"/>
              <w:rPr>
                <w:rFonts w:eastAsia="Times New Roman"/>
                <w:szCs w:val="21"/>
              </w:rPr>
            </w:pPr>
            <w:r>
              <w:rPr>
                <w:szCs w:val="21"/>
              </w:rPr>
              <w:t>大气毒性终点浓度-1 最大影响范围</w:t>
            </w:r>
            <w:r>
              <w:rPr>
                <w:szCs w:val="21"/>
                <w:u w:val="single"/>
              </w:rPr>
              <w:t xml:space="preserve">   /  </w:t>
            </w:r>
            <w:r>
              <w:rPr>
                <w:szCs w:val="21"/>
              </w:rPr>
              <w:t>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1" w:type="dxa"/>
            <w:gridSpan w:val="2"/>
            <w:vMerge w:val="continue"/>
            <w:tcBorders>
              <w:left w:val="single" w:color="auto" w:sz="12" w:space="0"/>
              <w:right w:val="single" w:color="auto" w:sz="4" w:space="0"/>
            </w:tcBorders>
            <w:noWrap w:val="0"/>
            <w:vAlign w:val="center"/>
          </w:tcPr>
          <w:p>
            <w:pPr>
              <w:spacing w:line="360" w:lineRule="exact"/>
              <w:jc w:val="center"/>
              <w:rPr>
                <w:szCs w:val="21"/>
              </w:rPr>
            </w:pPr>
          </w:p>
        </w:tc>
        <w:tc>
          <w:tcPr>
            <w:tcW w:w="1525" w:type="dxa"/>
            <w:vMerge w:val="continue"/>
            <w:tcBorders>
              <w:left w:val="single" w:color="auto" w:sz="4" w:space="0"/>
              <w:right w:val="single" w:color="auto" w:sz="4" w:space="0"/>
            </w:tcBorders>
            <w:noWrap w:val="0"/>
            <w:vAlign w:val="center"/>
          </w:tcPr>
          <w:p>
            <w:pPr>
              <w:spacing w:line="360" w:lineRule="exact"/>
              <w:jc w:val="center"/>
              <w:rPr>
                <w:rFonts w:eastAsia="Times New Roman"/>
                <w:szCs w:val="21"/>
              </w:rPr>
            </w:pPr>
          </w:p>
        </w:tc>
        <w:tc>
          <w:tcPr>
            <w:tcW w:w="2292" w:type="dxa"/>
            <w:gridSpan w:val="3"/>
            <w:vMerge w:val="continue"/>
            <w:tcBorders>
              <w:left w:val="single" w:color="auto" w:sz="4" w:space="0"/>
            </w:tcBorders>
            <w:noWrap w:val="0"/>
            <w:vAlign w:val="center"/>
          </w:tcPr>
          <w:p>
            <w:pPr>
              <w:spacing w:line="360" w:lineRule="exact"/>
              <w:jc w:val="center"/>
              <w:rPr>
                <w:rFonts w:eastAsia="Times New Roman"/>
                <w:szCs w:val="21"/>
              </w:rPr>
            </w:pPr>
          </w:p>
        </w:tc>
        <w:tc>
          <w:tcPr>
            <w:tcW w:w="8413" w:type="dxa"/>
            <w:gridSpan w:val="13"/>
            <w:tcBorders>
              <w:right w:val="single" w:color="auto" w:sz="12" w:space="0"/>
            </w:tcBorders>
            <w:noWrap w:val="0"/>
            <w:vAlign w:val="center"/>
          </w:tcPr>
          <w:p>
            <w:pPr>
              <w:spacing w:line="360" w:lineRule="exact"/>
              <w:jc w:val="center"/>
              <w:rPr>
                <w:rFonts w:eastAsia="Times New Roman"/>
                <w:szCs w:val="21"/>
              </w:rPr>
            </w:pPr>
            <w:r>
              <w:rPr>
                <w:szCs w:val="21"/>
              </w:rPr>
              <w:t>大气毒性终点浓度-2 最大影响范围</w:t>
            </w:r>
            <w:r>
              <w:rPr>
                <w:szCs w:val="21"/>
                <w:u w:val="single"/>
              </w:rPr>
              <w:t xml:space="preserve">   /  </w:t>
            </w:r>
            <w:r>
              <w:rPr>
                <w:szCs w:val="21"/>
              </w:rPr>
              <w:t>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1" w:type="dxa"/>
            <w:gridSpan w:val="2"/>
            <w:vMerge w:val="continue"/>
            <w:tcBorders>
              <w:left w:val="single" w:color="auto" w:sz="12" w:space="0"/>
              <w:right w:val="single" w:color="auto" w:sz="4" w:space="0"/>
            </w:tcBorders>
            <w:noWrap w:val="0"/>
            <w:vAlign w:val="center"/>
          </w:tcPr>
          <w:p>
            <w:pPr>
              <w:spacing w:line="360" w:lineRule="exact"/>
              <w:jc w:val="center"/>
              <w:rPr>
                <w:szCs w:val="21"/>
              </w:rPr>
            </w:pPr>
          </w:p>
        </w:tc>
        <w:tc>
          <w:tcPr>
            <w:tcW w:w="1525" w:type="dxa"/>
            <w:tcBorders>
              <w:top w:val="single" w:color="auto" w:sz="4" w:space="0"/>
              <w:left w:val="single" w:color="auto" w:sz="4" w:space="0"/>
              <w:bottom w:val="single" w:color="auto" w:sz="4" w:space="0"/>
              <w:right w:val="single" w:color="auto" w:sz="4" w:space="0"/>
            </w:tcBorders>
            <w:noWrap w:val="0"/>
            <w:vAlign w:val="center"/>
          </w:tcPr>
          <w:p>
            <w:pPr>
              <w:spacing w:line="360" w:lineRule="exact"/>
              <w:jc w:val="center"/>
              <w:rPr>
                <w:szCs w:val="21"/>
              </w:rPr>
            </w:pPr>
            <w:r>
              <w:rPr>
                <w:szCs w:val="21"/>
              </w:rPr>
              <w:t>地表水</w:t>
            </w:r>
          </w:p>
        </w:tc>
        <w:tc>
          <w:tcPr>
            <w:tcW w:w="10705" w:type="dxa"/>
            <w:gridSpan w:val="16"/>
            <w:tcBorders>
              <w:right w:val="single" w:color="auto" w:sz="12" w:space="0"/>
            </w:tcBorders>
            <w:noWrap w:val="0"/>
            <w:vAlign w:val="center"/>
          </w:tcPr>
          <w:p>
            <w:pPr>
              <w:spacing w:line="360" w:lineRule="exact"/>
              <w:jc w:val="center"/>
              <w:rPr>
                <w:rFonts w:eastAsia="Times New Roman"/>
                <w:szCs w:val="21"/>
              </w:rPr>
            </w:pPr>
            <w:r>
              <w:rPr>
                <w:szCs w:val="21"/>
              </w:rPr>
              <w:t>最近环境敏感目标</w:t>
            </w:r>
            <w:r>
              <w:rPr>
                <w:szCs w:val="21"/>
                <w:u w:val="single"/>
              </w:rPr>
              <w:t xml:space="preserve"> </w:t>
            </w:r>
            <w:r>
              <w:rPr>
                <w:rFonts w:hint="eastAsia"/>
                <w:szCs w:val="21"/>
                <w:u w:val="single"/>
                <w:lang w:eastAsia="zh-CN"/>
              </w:rPr>
              <w:t>黄大港</w:t>
            </w:r>
            <w:r>
              <w:rPr>
                <w:szCs w:val="21"/>
                <w:u w:val="single"/>
              </w:rPr>
              <w:t xml:space="preserve">      </w:t>
            </w:r>
            <w:r>
              <w:rPr>
                <w:szCs w:val="21"/>
              </w:rPr>
              <w:t>，到达时间</w:t>
            </w:r>
            <w:r>
              <w:rPr>
                <w:szCs w:val="21"/>
                <w:u w:val="single"/>
              </w:rPr>
              <w:t xml:space="preserve">    /     </w:t>
            </w:r>
            <w:r>
              <w:rPr>
                <w:szCs w:val="21"/>
              </w:rPr>
              <w:t>h</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1" w:type="dxa"/>
            <w:gridSpan w:val="2"/>
            <w:vMerge w:val="continue"/>
            <w:tcBorders>
              <w:left w:val="single" w:color="auto" w:sz="12" w:space="0"/>
              <w:right w:val="single" w:color="auto" w:sz="4" w:space="0"/>
            </w:tcBorders>
            <w:noWrap w:val="0"/>
            <w:vAlign w:val="center"/>
          </w:tcPr>
          <w:p>
            <w:pPr>
              <w:spacing w:line="360" w:lineRule="exact"/>
              <w:jc w:val="center"/>
              <w:rPr>
                <w:szCs w:val="21"/>
              </w:rPr>
            </w:pPr>
          </w:p>
        </w:tc>
        <w:tc>
          <w:tcPr>
            <w:tcW w:w="1525" w:type="dxa"/>
            <w:vMerge w:val="restart"/>
            <w:tcBorders>
              <w:top w:val="single" w:color="auto" w:sz="4" w:space="0"/>
              <w:left w:val="single" w:color="auto" w:sz="4" w:space="0"/>
              <w:right w:val="single" w:color="auto" w:sz="4" w:space="0"/>
            </w:tcBorders>
            <w:noWrap w:val="0"/>
            <w:vAlign w:val="center"/>
          </w:tcPr>
          <w:p>
            <w:pPr>
              <w:spacing w:line="360" w:lineRule="exact"/>
              <w:jc w:val="center"/>
              <w:rPr>
                <w:szCs w:val="21"/>
              </w:rPr>
            </w:pPr>
            <w:r>
              <w:rPr>
                <w:szCs w:val="21"/>
              </w:rPr>
              <w:t>地下水</w:t>
            </w:r>
          </w:p>
        </w:tc>
        <w:tc>
          <w:tcPr>
            <w:tcW w:w="10705" w:type="dxa"/>
            <w:gridSpan w:val="16"/>
            <w:tcBorders>
              <w:right w:val="single" w:color="auto" w:sz="12" w:space="0"/>
            </w:tcBorders>
            <w:noWrap w:val="0"/>
            <w:vAlign w:val="center"/>
          </w:tcPr>
          <w:p>
            <w:pPr>
              <w:spacing w:line="360" w:lineRule="exact"/>
              <w:jc w:val="center"/>
              <w:rPr>
                <w:rFonts w:eastAsia="Times New Roman"/>
                <w:szCs w:val="21"/>
              </w:rPr>
            </w:pPr>
            <w:r>
              <w:rPr>
                <w:szCs w:val="21"/>
              </w:rPr>
              <w:t>下游厂区边界到达时间</w:t>
            </w:r>
            <w:r>
              <w:rPr>
                <w:szCs w:val="21"/>
                <w:u w:val="single"/>
              </w:rPr>
              <w:t xml:space="preserve">      /    </w:t>
            </w:r>
            <w:r>
              <w:rPr>
                <w:szCs w:val="21"/>
              </w:rPr>
              <w:t>d</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1" w:type="dxa"/>
            <w:gridSpan w:val="2"/>
            <w:vMerge w:val="continue"/>
            <w:tcBorders>
              <w:left w:val="single" w:color="auto" w:sz="12" w:space="0"/>
              <w:bottom w:val="single" w:color="auto" w:sz="4" w:space="0"/>
              <w:right w:val="single" w:color="auto" w:sz="4" w:space="0"/>
            </w:tcBorders>
            <w:noWrap w:val="0"/>
            <w:vAlign w:val="center"/>
          </w:tcPr>
          <w:p>
            <w:pPr>
              <w:spacing w:line="360" w:lineRule="exact"/>
              <w:jc w:val="center"/>
              <w:rPr>
                <w:szCs w:val="21"/>
              </w:rPr>
            </w:pPr>
          </w:p>
        </w:tc>
        <w:tc>
          <w:tcPr>
            <w:tcW w:w="1525" w:type="dxa"/>
            <w:vMerge w:val="continue"/>
            <w:tcBorders>
              <w:left w:val="single" w:color="auto" w:sz="4" w:space="0"/>
              <w:right w:val="single" w:color="auto" w:sz="4" w:space="0"/>
            </w:tcBorders>
            <w:noWrap w:val="0"/>
            <w:vAlign w:val="center"/>
          </w:tcPr>
          <w:p>
            <w:pPr>
              <w:spacing w:line="360" w:lineRule="exact"/>
              <w:jc w:val="center"/>
              <w:rPr>
                <w:rFonts w:eastAsia="Times New Roman"/>
                <w:szCs w:val="21"/>
              </w:rPr>
            </w:pPr>
          </w:p>
        </w:tc>
        <w:tc>
          <w:tcPr>
            <w:tcW w:w="10705" w:type="dxa"/>
            <w:gridSpan w:val="16"/>
            <w:tcBorders>
              <w:left w:val="single" w:color="auto" w:sz="4" w:space="0"/>
              <w:right w:val="single" w:color="auto" w:sz="12" w:space="0"/>
            </w:tcBorders>
            <w:noWrap w:val="0"/>
            <w:vAlign w:val="center"/>
          </w:tcPr>
          <w:p>
            <w:pPr>
              <w:spacing w:line="360" w:lineRule="exact"/>
              <w:jc w:val="center"/>
              <w:rPr>
                <w:rFonts w:eastAsia="Times New Roman"/>
                <w:szCs w:val="21"/>
              </w:rPr>
            </w:pPr>
            <w:r>
              <w:rPr>
                <w:szCs w:val="21"/>
              </w:rPr>
              <w:t>最近环境敏感目标</w:t>
            </w:r>
            <w:r>
              <w:rPr>
                <w:szCs w:val="21"/>
                <w:u w:val="single"/>
              </w:rPr>
              <w:t xml:space="preserve"> </w:t>
            </w:r>
            <w:r>
              <w:rPr>
                <w:rFonts w:hint="eastAsia"/>
                <w:szCs w:val="21"/>
                <w:u w:val="single"/>
                <w:lang w:val="en-US" w:eastAsia="zh-CN"/>
              </w:rPr>
              <w:t>何李庄</w:t>
            </w:r>
            <w:r>
              <w:rPr>
                <w:szCs w:val="21"/>
                <w:u w:val="single"/>
              </w:rPr>
              <w:t xml:space="preserve">        </w:t>
            </w:r>
            <w:r>
              <w:rPr>
                <w:szCs w:val="21"/>
              </w:rPr>
              <w:t>，到达时间</w:t>
            </w:r>
            <w:r>
              <w:rPr>
                <w:szCs w:val="21"/>
                <w:u w:val="single"/>
              </w:rPr>
              <w:t xml:space="preserve">        /   </w:t>
            </w:r>
            <w:r>
              <w:rPr>
                <w:szCs w:val="21"/>
              </w:rPr>
              <w:t>d</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746" w:type="dxa"/>
            <w:gridSpan w:val="3"/>
            <w:tcBorders>
              <w:top w:val="single" w:color="auto" w:sz="4" w:space="0"/>
              <w:left w:val="single" w:color="auto" w:sz="12" w:space="0"/>
              <w:bottom w:val="single" w:color="auto" w:sz="4" w:space="0"/>
            </w:tcBorders>
            <w:noWrap w:val="0"/>
            <w:vAlign w:val="center"/>
          </w:tcPr>
          <w:p>
            <w:pPr>
              <w:spacing w:line="360" w:lineRule="exact"/>
              <w:jc w:val="center"/>
              <w:rPr>
                <w:rFonts w:eastAsia="Times New Roman"/>
                <w:szCs w:val="21"/>
              </w:rPr>
            </w:pPr>
            <w:r>
              <w:rPr>
                <w:szCs w:val="21"/>
              </w:rPr>
              <w:t>重点风险防范措施</w:t>
            </w:r>
          </w:p>
        </w:tc>
        <w:tc>
          <w:tcPr>
            <w:tcW w:w="10705" w:type="dxa"/>
            <w:gridSpan w:val="16"/>
            <w:tcBorders>
              <w:right w:val="single" w:color="auto" w:sz="12" w:space="0"/>
            </w:tcBorders>
            <w:noWrap w:val="0"/>
            <w:vAlign w:val="center"/>
          </w:tcPr>
          <w:p>
            <w:pPr>
              <w:spacing w:line="360" w:lineRule="exact"/>
              <w:jc w:val="center"/>
              <w:rPr>
                <w:szCs w:val="21"/>
              </w:rPr>
            </w:pPr>
            <w:r>
              <w:rPr>
                <w:szCs w:val="21"/>
              </w:rPr>
              <w:t>设置</w:t>
            </w:r>
            <w:r>
              <w:rPr>
                <w:rFonts w:hint="eastAsia"/>
                <w:szCs w:val="21"/>
              </w:rPr>
              <w:t>消防器材</w:t>
            </w:r>
            <w:r>
              <w:rPr>
                <w:szCs w:val="21"/>
              </w:rPr>
              <w:t>，并编制应急预案</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746" w:type="dxa"/>
            <w:gridSpan w:val="3"/>
            <w:tcBorders>
              <w:top w:val="single" w:color="auto" w:sz="4" w:space="0"/>
              <w:left w:val="single" w:color="auto" w:sz="12" w:space="0"/>
              <w:bottom w:val="single" w:color="auto" w:sz="4" w:space="0"/>
            </w:tcBorders>
            <w:noWrap w:val="0"/>
            <w:vAlign w:val="center"/>
          </w:tcPr>
          <w:p>
            <w:pPr>
              <w:spacing w:line="360" w:lineRule="exact"/>
              <w:jc w:val="center"/>
              <w:rPr>
                <w:rFonts w:eastAsia="Times New Roman"/>
                <w:szCs w:val="21"/>
              </w:rPr>
            </w:pPr>
            <w:r>
              <w:rPr>
                <w:szCs w:val="21"/>
              </w:rPr>
              <w:t>评价结论与建议</w:t>
            </w:r>
          </w:p>
        </w:tc>
        <w:tc>
          <w:tcPr>
            <w:tcW w:w="10705" w:type="dxa"/>
            <w:gridSpan w:val="16"/>
            <w:tcBorders>
              <w:right w:val="single" w:color="auto" w:sz="12" w:space="0"/>
            </w:tcBorders>
            <w:noWrap w:val="0"/>
            <w:vAlign w:val="center"/>
          </w:tcPr>
          <w:p>
            <w:pPr>
              <w:spacing w:line="360" w:lineRule="exact"/>
              <w:jc w:val="center"/>
              <w:rPr>
                <w:szCs w:val="21"/>
              </w:rPr>
            </w:pPr>
            <w:r>
              <w:rPr>
                <w:szCs w:val="21"/>
              </w:rPr>
              <w:t>建立环境风险防范管理制度，制订科学严谨的操作规程，建立应急预案计划。同时加强职工操作技能培训，提高危险识辨、防护和保护能力，落实责任到人。特别是对有火灾、爆炸危险的物料管理和作业工段，应严格遵循国家规范和标准，配备必要的消防、报警和应急防护设施，消除事故隐患，杜绝事故发生。</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3451" w:type="dxa"/>
            <w:gridSpan w:val="19"/>
            <w:tcBorders>
              <w:top w:val="single" w:color="auto" w:sz="4" w:space="0"/>
              <w:left w:val="single" w:color="auto" w:sz="12" w:space="0"/>
              <w:bottom w:val="single" w:color="auto" w:sz="12" w:space="0"/>
              <w:right w:val="single" w:color="auto" w:sz="12" w:space="0"/>
            </w:tcBorders>
            <w:noWrap w:val="0"/>
            <w:vAlign w:val="center"/>
          </w:tcPr>
          <w:p>
            <w:pPr>
              <w:spacing w:line="360" w:lineRule="exact"/>
              <w:rPr>
                <w:rFonts w:eastAsia="Times New Roman"/>
                <w:szCs w:val="21"/>
              </w:rPr>
            </w:pPr>
            <w:r>
              <w:rPr>
                <w:szCs w:val="21"/>
              </w:rPr>
              <w:t>注：“□”为勾选项，“</w:t>
            </w:r>
            <w:r>
              <w:rPr>
                <w:szCs w:val="21"/>
                <w:u w:val="single"/>
              </w:rPr>
              <w:t xml:space="preserve">      </w:t>
            </w:r>
            <w:r>
              <w:rPr>
                <w:szCs w:val="21"/>
              </w:rPr>
              <w:t>”为填写项。</w:t>
            </w:r>
          </w:p>
        </w:tc>
      </w:tr>
    </w:tbl>
    <w:p>
      <w:pPr>
        <w:autoSpaceDE w:val="0"/>
        <w:autoSpaceDN w:val="0"/>
        <w:adjustRightInd w:val="0"/>
        <w:rPr>
          <w:b/>
        </w:rPr>
      </w:pPr>
    </w:p>
    <w:p>
      <w:pPr>
        <w:autoSpaceDE w:val="0"/>
        <w:autoSpaceDN w:val="0"/>
        <w:adjustRightInd w:val="0"/>
        <w:rPr>
          <w:b/>
        </w:rPr>
        <w:sectPr>
          <w:footerReference r:id="rId25" w:type="default"/>
          <w:pgSz w:w="16838" w:h="11906" w:orient="landscape"/>
          <w:pgMar w:top="1588" w:right="1588" w:bottom="1588" w:left="1588" w:header="851" w:footer="992" w:gutter="0"/>
          <w:cols w:space="720" w:num="1"/>
          <w:docGrid w:type="lines" w:linePitch="326" w:charSpace="0"/>
        </w:sectPr>
      </w:pPr>
    </w:p>
    <w:p>
      <w:pPr>
        <w:adjustRightInd w:val="0"/>
        <w:snapToGrid w:val="0"/>
        <w:spacing w:line="520" w:lineRule="exact"/>
        <w:ind w:firstLine="840" w:firstLineChars="400"/>
        <w:rPr>
          <w:rFonts w:eastAsia="黑体"/>
        </w:rPr>
      </w:pPr>
      <w:r>
        <w:rPr>
          <w:rFonts w:eastAsia="黑体"/>
        </w:rPr>
        <w:t>附表4                  土壤环境影响评价自查表</w:t>
      </w:r>
    </w:p>
    <w:tbl>
      <w:tblPr>
        <w:tblStyle w:val="17"/>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807"/>
        <w:gridCol w:w="1617"/>
        <w:gridCol w:w="227"/>
        <w:gridCol w:w="1260"/>
        <w:gridCol w:w="583"/>
        <w:gridCol w:w="914"/>
        <w:gridCol w:w="927"/>
        <w:gridCol w:w="118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237" w:type="dxa"/>
            <w:gridSpan w:val="2"/>
            <w:noWrap w:val="0"/>
            <w:vAlign w:val="center"/>
          </w:tcPr>
          <w:p>
            <w:pPr>
              <w:spacing w:line="360" w:lineRule="exact"/>
              <w:jc w:val="center"/>
              <w:rPr>
                <w:szCs w:val="21"/>
              </w:rPr>
            </w:pPr>
            <w:r>
              <w:rPr>
                <w:szCs w:val="21"/>
              </w:rPr>
              <w:t>工作内容</w:t>
            </w:r>
          </w:p>
        </w:tc>
        <w:tc>
          <w:tcPr>
            <w:tcW w:w="5528" w:type="dxa"/>
            <w:gridSpan w:val="6"/>
            <w:noWrap w:val="0"/>
            <w:vAlign w:val="center"/>
          </w:tcPr>
          <w:p>
            <w:pPr>
              <w:spacing w:line="360" w:lineRule="exact"/>
              <w:jc w:val="center"/>
              <w:rPr>
                <w:szCs w:val="21"/>
              </w:rPr>
            </w:pPr>
            <w:r>
              <w:rPr>
                <w:szCs w:val="21"/>
              </w:rPr>
              <w:t>完成情况</w:t>
            </w:r>
          </w:p>
        </w:tc>
        <w:tc>
          <w:tcPr>
            <w:tcW w:w="1181" w:type="dxa"/>
            <w:noWrap w:val="0"/>
            <w:vAlign w:val="center"/>
          </w:tcPr>
          <w:p>
            <w:pPr>
              <w:spacing w:line="360" w:lineRule="exact"/>
              <w:jc w:val="center"/>
              <w:rPr>
                <w:szCs w:val="21"/>
              </w:rPr>
            </w:pPr>
            <w:r>
              <w:rPr>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restart"/>
            <w:noWrap w:val="0"/>
            <w:vAlign w:val="center"/>
          </w:tcPr>
          <w:p>
            <w:pPr>
              <w:spacing w:line="360" w:lineRule="exact"/>
              <w:jc w:val="center"/>
              <w:rPr>
                <w:szCs w:val="21"/>
              </w:rPr>
            </w:pPr>
            <w:r>
              <w:rPr>
                <w:szCs w:val="21"/>
              </w:rPr>
              <w:t>影</w:t>
            </w:r>
          </w:p>
          <w:p>
            <w:pPr>
              <w:spacing w:line="360" w:lineRule="exact"/>
              <w:jc w:val="center"/>
              <w:rPr>
                <w:szCs w:val="21"/>
              </w:rPr>
            </w:pPr>
            <w:r>
              <w:rPr>
                <w:szCs w:val="21"/>
              </w:rPr>
              <w:t>响</w:t>
            </w:r>
          </w:p>
          <w:p>
            <w:pPr>
              <w:spacing w:line="360" w:lineRule="exact"/>
              <w:jc w:val="center"/>
              <w:rPr>
                <w:szCs w:val="21"/>
              </w:rPr>
            </w:pPr>
            <w:r>
              <w:rPr>
                <w:szCs w:val="21"/>
              </w:rPr>
              <w:t>识</w:t>
            </w:r>
          </w:p>
          <w:p>
            <w:pPr>
              <w:spacing w:line="360" w:lineRule="exact"/>
              <w:jc w:val="center"/>
              <w:rPr>
                <w:szCs w:val="21"/>
              </w:rPr>
            </w:pPr>
            <w:r>
              <w:rPr>
                <w:szCs w:val="21"/>
              </w:rPr>
              <w:t>别</w:t>
            </w:r>
          </w:p>
        </w:tc>
        <w:tc>
          <w:tcPr>
            <w:tcW w:w="1807" w:type="dxa"/>
            <w:noWrap w:val="0"/>
            <w:vAlign w:val="center"/>
          </w:tcPr>
          <w:p>
            <w:pPr>
              <w:spacing w:line="360" w:lineRule="exact"/>
              <w:jc w:val="center"/>
              <w:rPr>
                <w:szCs w:val="21"/>
              </w:rPr>
            </w:pPr>
            <w:r>
              <w:rPr>
                <w:szCs w:val="21"/>
              </w:rPr>
              <w:t>影响类型</w:t>
            </w:r>
          </w:p>
        </w:tc>
        <w:tc>
          <w:tcPr>
            <w:tcW w:w="5528" w:type="dxa"/>
            <w:gridSpan w:val="6"/>
            <w:noWrap w:val="0"/>
            <w:vAlign w:val="center"/>
          </w:tcPr>
          <w:p>
            <w:pPr>
              <w:spacing w:line="360" w:lineRule="exact"/>
              <w:rPr>
                <w:szCs w:val="21"/>
              </w:rPr>
            </w:pPr>
            <w:r>
              <w:rPr>
                <w:szCs w:val="21"/>
              </w:rPr>
              <w:t>污染影响型□；生态影响型</w:t>
            </w:r>
            <w:r>
              <w:rPr>
                <w:rFonts w:eastAsia="仿宋"/>
                <w:szCs w:val="21"/>
              </w:rPr>
              <w:t>√</w:t>
            </w:r>
            <w:r>
              <w:rPr>
                <w:szCs w:val="21"/>
              </w:rPr>
              <w:t>；两种兼有□</w:t>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pPr>
              <w:spacing w:line="360" w:lineRule="exact"/>
              <w:jc w:val="center"/>
              <w:rPr>
                <w:szCs w:val="21"/>
              </w:rPr>
            </w:pPr>
          </w:p>
        </w:tc>
        <w:tc>
          <w:tcPr>
            <w:tcW w:w="1807" w:type="dxa"/>
            <w:noWrap w:val="0"/>
            <w:vAlign w:val="center"/>
          </w:tcPr>
          <w:p>
            <w:pPr>
              <w:spacing w:line="360" w:lineRule="exact"/>
              <w:jc w:val="center"/>
              <w:rPr>
                <w:szCs w:val="21"/>
              </w:rPr>
            </w:pPr>
            <w:r>
              <w:rPr>
                <w:szCs w:val="21"/>
              </w:rPr>
              <w:t>土地利用类型</w:t>
            </w:r>
          </w:p>
        </w:tc>
        <w:tc>
          <w:tcPr>
            <w:tcW w:w="5528" w:type="dxa"/>
            <w:gridSpan w:val="6"/>
            <w:noWrap w:val="0"/>
            <w:vAlign w:val="center"/>
          </w:tcPr>
          <w:p>
            <w:pPr>
              <w:spacing w:line="360" w:lineRule="exact"/>
              <w:rPr>
                <w:szCs w:val="21"/>
              </w:rPr>
            </w:pPr>
            <w:r>
              <w:rPr>
                <w:szCs w:val="21"/>
              </w:rPr>
              <w:t>建设用地；农用地</w:t>
            </w:r>
            <w:r>
              <w:rPr>
                <w:rFonts w:eastAsia="仿宋"/>
                <w:szCs w:val="21"/>
              </w:rPr>
              <w:t>√</w:t>
            </w:r>
            <w:r>
              <w:rPr>
                <w:szCs w:val="21"/>
              </w:rPr>
              <w:t>；未利用地□</w:t>
            </w:r>
          </w:p>
        </w:tc>
        <w:tc>
          <w:tcPr>
            <w:tcW w:w="1181" w:type="dxa"/>
            <w:noWrap w:val="0"/>
            <w:vAlign w:val="center"/>
          </w:tcPr>
          <w:p>
            <w:pPr>
              <w:spacing w:line="360" w:lineRule="exact"/>
              <w:jc w:val="center"/>
              <w:rPr>
                <w:szCs w:val="21"/>
              </w:rPr>
            </w:pPr>
            <w:r>
              <w:rPr>
                <w:szCs w:val="21"/>
              </w:rPr>
              <w:t>土地利用类型图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pPr>
              <w:spacing w:line="360" w:lineRule="exact"/>
              <w:jc w:val="center"/>
              <w:rPr>
                <w:szCs w:val="21"/>
              </w:rPr>
            </w:pPr>
          </w:p>
        </w:tc>
        <w:tc>
          <w:tcPr>
            <w:tcW w:w="1807" w:type="dxa"/>
            <w:noWrap w:val="0"/>
            <w:vAlign w:val="center"/>
          </w:tcPr>
          <w:p>
            <w:pPr>
              <w:spacing w:line="360" w:lineRule="exact"/>
              <w:jc w:val="center"/>
              <w:rPr>
                <w:szCs w:val="21"/>
              </w:rPr>
            </w:pPr>
            <w:r>
              <w:rPr>
                <w:szCs w:val="21"/>
              </w:rPr>
              <w:t>占地规模</w:t>
            </w:r>
          </w:p>
        </w:tc>
        <w:tc>
          <w:tcPr>
            <w:tcW w:w="5528" w:type="dxa"/>
            <w:gridSpan w:val="6"/>
            <w:noWrap w:val="0"/>
            <w:vAlign w:val="center"/>
          </w:tcPr>
          <w:p>
            <w:pPr>
              <w:spacing w:line="360" w:lineRule="exact"/>
              <w:rPr>
                <w:rFonts w:hint="eastAsia" w:eastAsia="宋体"/>
                <w:szCs w:val="21"/>
                <w:lang w:val="en-US" w:eastAsia="zh-CN"/>
              </w:rPr>
            </w:pPr>
            <w:r>
              <w:rPr>
                <w:szCs w:val="21"/>
              </w:rPr>
              <w:t>（</w:t>
            </w:r>
            <w:r>
              <w:rPr>
                <w:rFonts w:hint="eastAsia"/>
                <w:szCs w:val="21"/>
                <w:lang w:val="en-US" w:eastAsia="zh-CN"/>
              </w:rPr>
              <w:t>26.7</w:t>
            </w:r>
            <w:r>
              <w:rPr>
                <w:szCs w:val="21"/>
              </w:rPr>
              <w:t>）</w:t>
            </w:r>
            <w:r>
              <w:rPr>
                <w:rFonts w:hint="eastAsia"/>
                <w:szCs w:val="21"/>
                <w:lang w:val="en-US" w:eastAsia="zh-CN"/>
              </w:rPr>
              <w:t>亩</w:t>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pPr>
              <w:spacing w:line="360" w:lineRule="exact"/>
              <w:jc w:val="center"/>
              <w:rPr>
                <w:szCs w:val="21"/>
              </w:rPr>
            </w:pPr>
          </w:p>
        </w:tc>
        <w:tc>
          <w:tcPr>
            <w:tcW w:w="1807" w:type="dxa"/>
            <w:noWrap w:val="0"/>
            <w:vAlign w:val="center"/>
          </w:tcPr>
          <w:p>
            <w:pPr>
              <w:spacing w:line="360" w:lineRule="exact"/>
              <w:jc w:val="center"/>
              <w:rPr>
                <w:szCs w:val="21"/>
              </w:rPr>
            </w:pPr>
            <w:r>
              <w:rPr>
                <w:szCs w:val="21"/>
              </w:rPr>
              <w:t>敏感目标信息</w:t>
            </w:r>
          </w:p>
        </w:tc>
        <w:tc>
          <w:tcPr>
            <w:tcW w:w="5528" w:type="dxa"/>
            <w:gridSpan w:val="6"/>
            <w:noWrap w:val="0"/>
            <w:vAlign w:val="center"/>
          </w:tcPr>
          <w:p>
            <w:pPr>
              <w:spacing w:line="360" w:lineRule="exact"/>
              <w:rPr>
                <w:szCs w:val="21"/>
              </w:rPr>
            </w:pPr>
            <w:r>
              <w:rPr>
                <w:szCs w:val="21"/>
              </w:rPr>
              <w:t>敏感目标（沼肥消纳地）、方位（东、西、南）、距离（紧邻）</w:t>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pPr>
              <w:spacing w:line="360" w:lineRule="exact"/>
              <w:jc w:val="center"/>
              <w:rPr>
                <w:szCs w:val="21"/>
              </w:rPr>
            </w:pPr>
          </w:p>
        </w:tc>
        <w:tc>
          <w:tcPr>
            <w:tcW w:w="1807" w:type="dxa"/>
            <w:noWrap w:val="0"/>
            <w:vAlign w:val="center"/>
          </w:tcPr>
          <w:p>
            <w:pPr>
              <w:spacing w:line="360" w:lineRule="exact"/>
              <w:jc w:val="center"/>
              <w:rPr>
                <w:szCs w:val="21"/>
              </w:rPr>
            </w:pPr>
            <w:r>
              <w:rPr>
                <w:szCs w:val="21"/>
              </w:rPr>
              <w:t>影响途径</w:t>
            </w:r>
          </w:p>
        </w:tc>
        <w:tc>
          <w:tcPr>
            <w:tcW w:w="5528" w:type="dxa"/>
            <w:gridSpan w:val="6"/>
            <w:noWrap w:val="0"/>
            <w:vAlign w:val="center"/>
          </w:tcPr>
          <w:p>
            <w:pPr>
              <w:spacing w:line="360" w:lineRule="exact"/>
              <w:rPr>
                <w:szCs w:val="21"/>
              </w:rPr>
            </w:pPr>
            <w:r>
              <w:rPr>
                <w:szCs w:val="21"/>
              </w:rPr>
              <w:t>大气沉降□；地面漫流□；垂直入渗□；地下水位□；其他</w:t>
            </w:r>
            <w:r>
              <w:rPr>
                <w:rFonts w:eastAsia="仿宋"/>
                <w:szCs w:val="21"/>
              </w:rPr>
              <w:t>√</w:t>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pPr>
              <w:spacing w:line="360" w:lineRule="exact"/>
              <w:jc w:val="center"/>
              <w:rPr>
                <w:szCs w:val="21"/>
              </w:rPr>
            </w:pPr>
          </w:p>
        </w:tc>
        <w:tc>
          <w:tcPr>
            <w:tcW w:w="1807" w:type="dxa"/>
            <w:noWrap w:val="0"/>
            <w:vAlign w:val="center"/>
          </w:tcPr>
          <w:p>
            <w:pPr>
              <w:spacing w:line="360" w:lineRule="exact"/>
              <w:jc w:val="center"/>
              <w:rPr>
                <w:szCs w:val="21"/>
              </w:rPr>
            </w:pPr>
            <w:r>
              <w:rPr>
                <w:szCs w:val="21"/>
              </w:rPr>
              <w:t>全部污染物</w:t>
            </w:r>
          </w:p>
        </w:tc>
        <w:tc>
          <w:tcPr>
            <w:tcW w:w="5528" w:type="dxa"/>
            <w:gridSpan w:val="6"/>
            <w:noWrap w:val="0"/>
            <w:vAlign w:val="center"/>
          </w:tcPr>
          <w:p>
            <w:pPr>
              <w:spacing w:line="360" w:lineRule="exact"/>
              <w:rPr>
                <w:szCs w:val="21"/>
              </w:rPr>
            </w:pPr>
            <w:r>
              <w:rPr>
                <w:szCs w:val="21"/>
              </w:rPr>
              <w:t>镉、汞、砷、铅、铬、铜、镍、锌</w:t>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pPr>
              <w:spacing w:line="360" w:lineRule="exact"/>
              <w:jc w:val="center"/>
              <w:rPr>
                <w:szCs w:val="21"/>
              </w:rPr>
            </w:pPr>
          </w:p>
        </w:tc>
        <w:tc>
          <w:tcPr>
            <w:tcW w:w="1807" w:type="dxa"/>
            <w:noWrap w:val="0"/>
            <w:vAlign w:val="center"/>
          </w:tcPr>
          <w:p>
            <w:pPr>
              <w:spacing w:line="360" w:lineRule="exact"/>
              <w:jc w:val="center"/>
              <w:rPr>
                <w:szCs w:val="21"/>
              </w:rPr>
            </w:pPr>
            <w:r>
              <w:rPr>
                <w:szCs w:val="21"/>
              </w:rPr>
              <w:t>特征因子</w:t>
            </w:r>
          </w:p>
        </w:tc>
        <w:tc>
          <w:tcPr>
            <w:tcW w:w="5528" w:type="dxa"/>
            <w:gridSpan w:val="6"/>
            <w:noWrap w:val="0"/>
            <w:vAlign w:val="center"/>
          </w:tcPr>
          <w:p>
            <w:pPr>
              <w:spacing w:line="360" w:lineRule="exact"/>
              <w:rPr>
                <w:szCs w:val="21"/>
              </w:rPr>
            </w:pP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pPr>
              <w:spacing w:line="360" w:lineRule="exact"/>
              <w:jc w:val="center"/>
              <w:rPr>
                <w:szCs w:val="21"/>
              </w:rPr>
            </w:pPr>
          </w:p>
        </w:tc>
        <w:tc>
          <w:tcPr>
            <w:tcW w:w="1807" w:type="dxa"/>
            <w:noWrap w:val="0"/>
            <w:vAlign w:val="center"/>
          </w:tcPr>
          <w:p>
            <w:pPr>
              <w:spacing w:line="360" w:lineRule="exact"/>
              <w:jc w:val="center"/>
              <w:rPr>
                <w:szCs w:val="21"/>
              </w:rPr>
            </w:pPr>
            <w:r>
              <w:rPr>
                <w:szCs w:val="21"/>
              </w:rPr>
              <w:t>所属土壤环境影响评价项目类别</w:t>
            </w:r>
          </w:p>
        </w:tc>
        <w:tc>
          <w:tcPr>
            <w:tcW w:w="5528" w:type="dxa"/>
            <w:gridSpan w:val="6"/>
            <w:noWrap w:val="0"/>
            <w:vAlign w:val="center"/>
          </w:tcPr>
          <w:p>
            <w:pPr>
              <w:spacing w:line="360" w:lineRule="exact"/>
              <w:rPr>
                <w:szCs w:val="21"/>
              </w:rPr>
            </w:pPr>
            <w:r>
              <w:rPr>
                <w:szCs w:val="21"/>
              </w:rPr>
              <w:t>Ⅰ类□；Ⅱ类</w:t>
            </w:r>
            <w:r>
              <w:rPr>
                <w:szCs w:val="21"/>
              </w:rPr>
              <w:sym w:font="Wingdings 2" w:char="0052"/>
            </w:r>
            <w:r>
              <w:rPr>
                <w:szCs w:val="21"/>
              </w:rPr>
              <w:t>；Ⅲ类□；Ⅳ类□</w:t>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pPr>
              <w:spacing w:line="360" w:lineRule="exact"/>
              <w:jc w:val="center"/>
              <w:rPr>
                <w:szCs w:val="21"/>
              </w:rPr>
            </w:pPr>
          </w:p>
        </w:tc>
        <w:tc>
          <w:tcPr>
            <w:tcW w:w="1807" w:type="dxa"/>
            <w:noWrap w:val="0"/>
            <w:vAlign w:val="center"/>
          </w:tcPr>
          <w:p>
            <w:pPr>
              <w:spacing w:line="360" w:lineRule="exact"/>
              <w:jc w:val="center"/>
              <w:rPr>
                <w:szCs w:val="21"/>
              </w:rPr>
            </w:pPr>
            <w:r>
              <w:rPr>
                <w:szCs w:val="21"/>
              </w:rPr>
              <w:t>敏感程度</w:t>
            </w:r>
          </w:p>
        </w:tc>
        <w:tc>
          <w:tcPr>
            <w:tcW w:w="5528" w:type="dxa"/>
            <w:gridSpan w:val="6"/>
            <w:noWrap w:val="0"/>
            <w:vAlign w:val="center"/>
          </w:tcPr>
          <w:p>
            <w:pPr>
              <w:spacing w:line="360" w:lineRule="exact"/>
              <w:rPr>
                <w:szCs w:val="21"/>
              </w:rPr>
            </w:pPr>
            <w:r>
              <w:rPr>
                <w:szCs w:val="21"/>
              </w:rPr>
              <w:t>敏感□；较敏感□；不敏感</w:t>
            </w:r>
            <w:r>
              <w:rPr>
                <w:szCs w:val="21"/>
              </w:rPr>
              <w:sym w:font="Wingdings 2" w:char="0052"/>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237" w:type="dxa"/>
            <w:gridSpan w:val="2"/>
            <w:noWrap w:val="0"/>
            <w:vAlign w:val="center"/>
          </w:tcPr>
          <w:p>
            <w:pPr>
              <w:spacing w:line="360" w:lineRule="exact"/>
              <w:jc w:val="center"/>
              <w:rPr>
                <w:szCs w:val="21"/>
              </w:rPr>
            </w:pPr>
            <w:r>
              <w:rPr>
                <w:szCs w:val="21"/>
              </w:rPr>
              <w:t>评价等级</w:t>
            </w:r>
          </w:p>
        </w:tc>
        <w:tc>
          <w:tcPr>
            <w:tcW w:w="5528" w:type="dxa"/>
            <w:gridSpan w:val="6"/>
            <w:noWrap w:val="0"/>
            <w:vAlign w:val="center"/>
          </w:tcPr>
          <w:p>
            <w:pPr>
              <w:spacing w:line="360" w:lineRule="exact"/>
              <w:rPr>
                <w:szCs w:val="21"/>
              </w:rPr>
            </w:pPr>
            <w:r>
              <w:rPr>
                <w:szCs w:val="21"/>
              </w:rPr>
              <w:t>一级</w:t>
            </w:r>
            <w:r>
              <w:rPr>
                <w:szCs w:val="21"/>
              </w:rPr>
              <w:sym w:font="Wingdings 2" w:char="00A3"/>
            </w:r>
            <w:r>
              <w:rPr>
                <w:szCs w:val="21"/>
              </w:rPr>
              <w:t>；二级</w:t>
            </w:r>
            <w:r>
              <w:rPr>
                <w:szCs w:val="21"/>
              </w:rPr>
              <w:sym w:font="Wingdings 2" w:char="00A3"/>
            </w:r>
            <w:r>
              <w:rPr>
                <w:szCs w:val="21"/>
              </w:rPr>
              <w:t>；三级</w:t>
            </w:r>
            <w:r>
              <w:rPr>
                <w:rFonts w:eastAsia="仿宋"/>
                <w:szCs w:val="21"/>
              </w:rPr>
              <w:t>√</w:t>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restart"/>
            <w:noWrap w:val="0"/>
            <w:vAlign w:val="center"/>
          </w:tcPr>
          <w:p>
            <w:pPr>
              <w:spacing w:line="360" w:lineRule="exact"/>
              <w:jc w:val="center"/>
              <w:rPr>
                <w:szCs w:val="21"/>
              </w:rPr>
            </w:pPr>
            <w:r>
              <w:rPr>
                <w:szCs w:val="21"/>
              </w:rPr>
              <w:t>现状调查内容</w:t>
            </w:r>
          </w:p>
        </w:tc>
        <w:tc>
          <w:tcPr>
            <w:tcW w:w="1807" w:type="dxa"/>
            <w:noWrap w:val="0"/>
            <w:vAlign w:val="center"/>
          </w:tcPr>
          <w:p>
            <w:pPr>
              <w:spacing w:line="360" w:lineRule="exact"/>
              <w:jc w:val="center"/>
              <w:rPr>
                <w:szCs w:val="21"/>
              </w:rPr>
            </w:pPr>
            <w:r>
              <w:rPr>
                <w:szCs w:val="21"/>
              </w:rPr>
              <w:t>资料收集</w:t>
            </w:r>
          </w:p>
        </w:tc>
        <w:tc>
          <w:tcPr>
            <w:tcW w:w="5528" w:type="dxa"/>
            <w:gridSpan w:val="6"/>
            <w:noWrap w:val="0"/>
            <w:vAlign w:val="center"/>
          </w:tcPr>
          <w:p>
            <w:pPr>
              <w:spacing w:line="360" w:lineRule="exact"/>
              <w:rPr>
                <w:szCs w:val="21"/>
              </w:rPr>
            </w:pPr>
            <w:r>
              <w:rPr>
                <w:szCs w:val="21"/>
              </w:rPr>
              <w:t>a）□；b) □；c）□；d）□</w:t>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pPr>
              <w:spacing w:line="360" w:lineRule="exact"/>
              <w:jc w:val="center"/>
              <w:rPr>
                <w:szCs w:val="21"/>
              </w:rPr>
            </w:pPr>
          </w:p>
        </w:tc>
        <w:tc>
          <w:tcPr>
            <w:tcW w:w="1807" w:type="dxa"/>
            <w:noWrap w:val="0"/>
            <w:vAlign w:val="center"/>
          </w:tcPr>
          <w:p>
            <w:pPr>
              <w:spacing w:line="360" w:lineRule="exact"/>
              <w:jc w:val="center"/>
              <w:rPr>
                <w:szCs w:val="21"/>
              </w:rPr>
            </w:pPr>
            <w:r>
              <w:rPr>
                <w:szCs w:val="21"/>
              </w:rPr>
              <w:t>理化特性</w:t>
            </w:r>
          </w:p>
        </w:tc>
        <w:tc>
          <w:tcPr>
            <w:tcW w:w="5528" w:type="dxa"/>
            <w:gridSpan w:val="6"/>
            <w:noWrap w:val="0"/>
            <w:vAlign w:val="center"/>
          </w:tcPr>
          <w:p>
            <w:pPr>
              <w:spacing w:line="360" w:lineRule="exact"/>
              <w:jc w:val="center"/>
              <w:rPr>
                <w:szCs w:val="21"/>
              </w:rPr>
            </w:pPr>
          </w:p>
        </w:tc>
        <w:tc>
          <w:tcPr>
            <w:tcW w:w="1181" w:type="dxa"/>
            <w:noWrap w:val="0"/>
            <w:vAlign w:val="center"/>
          </w:tcPr>
          <w:p>
            <w:pPr>
              <w:spacing w:line="360" w:lineRule="exact"/>
              <w:jc w:val="center"/>
              <w:rPr>
                <w:szCs w:val="21"/>
              </w:rPr>
            </w:pPr>
            <w:r>
              <w:rPr>
                <w:szCs w:val="21"/>
              </w:rPr>
              <w:t>同附录C</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430" w:type="dxa"/>
            <w:vMerge w:val="continue"/>
            <w:noWrap w:val="0"/>
            <w:vAlign w:val="center"/>
          </w:tcPr>
          <w:p>
            <w:pPr>
              <w:spacing w:line="360" w:lineRule="exact"/>
              <w:jc w:val="center"/>
              <w:rPr>
                <w:szCs w:val="21"/>
              </w:rPr>
            </w:pPr>
          </w:p>
        </w:tc>
        <w:tc>
          <w:tcPr>
            <w:tcW w:w="1807" w:type="dxa"/>
            <w:vMerge w:val="restart"/>
            <w:noWrap w:val="0"/>
            <w:vAlign w:val="center"/>
          </w:tcPr>
          <w:p>
            <w:pPr>
              <w:spacing w:line="360" w:lineRule="exact"/>
              <w:jc w:val="center"/>
              <w:rPr>
                <w:szCs w:val="21"/>
              </w:rPr>
            </w:pPr>
            <w:r>
              <w:rPr>
                <w:szCs w:val="21"/>
              </w:rPr>
              <w:t>现状监测点位</w:t>
            </w:r>
          </w:p>
        </w:tc>
        <w:tc>
          <w:tcPr>
            <w:tcW w:w="1617" w:type="dxa"/>
            <w:noWrap w:val="0"/>
            <w:vAlign w:val="center"/>
          </w:tcPr>
          <w:p>
            <w:pPr>
              <w:spacing w:line="360" w:lineRule="exact"/>
              <w:jc w:val="center"/>
              <w:rPr>
                <w:szCs w:val="21"/>
              </w:rPr>
            </w:pPr>
          </w:p>
        </w:tc>
        <w:tc>
          <w:tcPr>
            <w:tcW w:w="1487" w:type="dxa"/>
            <w:gridSpan w:val="2"/>
            <w:noWrap w:val="0"/>
            <w:vAlign w:val="center"/>
          </w:tcPr>
          <w:p>
            <w:pPr>
              <w:spacing w:line="360" w:lineRule="exact"/>
              <w:jc w:val="center"/>
              <w:rPr>
                <w:szCs w:val="21"/>
              </w:rPr>
            </w:pPr>
            <w:r>
              <w:rPr>
                <w:szCs w:val="21"/>
              </w:rPr>
              <w:t>占地范围内</w:t>
            </w:r>
          </w:p>
        </w:tc>
        <w:tc>
          <w:tcPr>
            <w:tcW w:w="1497" w:type="dxa"/>
            <w:gridSpan w:val="2"/>
            <w:noWrap w:val="0"/>
            <w:vAlign w:val="center"/>
          </w:tcPr>
          <w:p>
            <w:pPr>
              <w:spacing w:line="360" w:lineRule="exact"/>
              <w:jc w:val="center"/>
              <w:rPr>
                <w:szCs w:val="21"/>
              </w:rPr>
            </w:pPr>
            <w:r>
              <w:rPr>
                <w:szCs w:val="21"/>
              </w:rPr>
              <w:t>占地范围外</w:t>
            </w:r>
          </w:p>
        </w:tc>
        <w:tc>
          <w:tcPr>
            <w:tcW w:w="927" w:type="dxa"/>
            <w:noWrap w:val="0"/>
            <w:vAlign w:val="center"/>
          </w:tcPr>
          <w:p>
            <w:pPr>
              <w:spacing w:line="360" w:lineRule="exact"/>
              <w:jc w:val="center"/>
              <w:rPr>
                <w:szCs w:val="21"/>
              </w:rPr>
            </w:pPr>
            <w:r>
              <w:rPr>
                <w:szCs w:val="21"/>
              </w:rPr>
              <w:t>深度</w:t>
            </w:r>
          </w:p>
        </w:tc>
        <w:tc>
          <w:tcPr>
            <w:tcW w:w="1181" w:type="dxa"/>
            <w:vMerge w:val="restart"/>
            <w:noWrap w:val="0"/>
            <w:vAlign w:val="center"/>
          </w:tcPr>
          <w:p>
            <w:pPr>
              <w:spacing w:line="360" w:lineRule="exact"/>
              <w:jc w:val="center"/>
              <w:rPr>
                <w:szCs w:val="21"/>
              </w:rPr>
            </w:pPr>
            <w:r>
              <w:rPr>
                <w:szCs w:val="21"/>
              </w:rPr>
              <w:t>点位布置图</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430" w:type="dxa"/>
            <w:vMerge w:val="continue"/>
            <w:noWrap w:val="0"/>
            <w:vAlign w:val="center"/>
          </w:tcPr>
          <w:p>
            <w:pPr>
              <w:spacing w:line="360" w:lineRule="exact"/>
              <w:jc w:val="center"/>
              <w:rPr>
                <w:szCs w:val="21"/>
              </w:rPr>
            </w:pPr>
          </w:p>
        </w:tc>
        <w:tc>
          <w:tcPr>
            <w:tcW w:w="1807" w:type="dxa"/>
            <w:vMerge w:val="continue"/>
            <w:noWrap w:val="0"/>
            <w:vAlign w:val="center"/>
          </w:tcPr>
          <w:p>
            <w:pPr>
              <w:spacing w:line="360" w:lineRule="exact"/>
              <w:jc w:val="center"/>
              <w:rPr>
                <w:szCs w:val="21"/>
              </w:rPr>
            </w:pPr>
          </w:p>
        </w:tc>
        <w:tc>
          <w:tcPr>
            <w:tcW w:w="1617" w:type="dxa"/>
            <w:noWrap w:val="0"/>
            <w:vAlign w:val="center"/>
          </w:tcPr>
          <w:p>
            <w:pPr>
              <w:spacing w:line="360" w:lineRule="exact"/>
              <w:jc w:val="center"/>
              <w:rPr>
                <w:szCs w:val="21"/>
              </w:rPr>
            </w:pPr>
            <w:r>
              <w:rPr>
                <w:szCs w:val="21"/>
              </w:rPr>
              <w:t>表层样点数</w:t>
            </w:r>
          </w:p>
        </w:tc>
        <w:tc>
          <w:tcPr>
            <w:tcW w:w="1487" w:type="dxa"/>
            <w:gridSpan w:val="2"/>
            <w:noWrap w:val="0"/>
            <w:vAlign w:val="center"/>
          </w:tcPr>
          <w:p>
            <w:pPr>
              <w:spacing w:line="360" w:lineRule="exact"/>
              <w:jc w:val="center"/>
              <w:rPr>
                <w:szCs w:val="21"/>
              </w:rPr>
            </w:pPr>
            <w:r>
              <w:rPr>
                <w:szCs w:val="21"/>
              </w:rPr>
              <w:t>1</w:t>
            </w:r>
          </w:p>
        </w:tc>
        <w:tc>
          <w:tcPr>
            <w:tcW w:w="1497" w:type="dxa"/>
            <w:gridSpan w:val="2"/>
            <w:noWrap w:val="0"/>
            <w:vAlign w:val="center"/>
          </w:tcPr>
          <w:p>
            <w:pPr>
              <w:spacing w:line="360" w:lineRule="exact"/>
              <w:jc w:val="center"/>
              <w:rPr>
                <w:szCs w:val="21"/>
              </w:rPr>
            </w:pPr>
            <w:r>
              <w:rPr>
                <w:szCs w:val="21"/>
              </w:rPr>
              <w:t>2</w:t>
            </w:r>
          </w:p>
        </w:tc>
        <w:tc>
          <w:tcPr>
            <w:tcW w:w="927" w:type="dxa"/>
            <w:noWrap w:val="0"/>
            <w:vAlign w:val="center"/>
          </w:tcPr>
          <w:p>
            <w:pPr>
              <w:spacing w:line="360" w:lineRule="exact"/>
              <w:jc w:val="center"/>
              <w:rPr>
                <w:szCs w:val="21"/>
              </w:rPr>
            </w:pPr>
            <w:r>
              <w:rPr>
                <w:szCs w:val="21"/>
              </w:rPr>
              <w:t>0.2m</w:t>
            </w:r>
          </w:p>
        </w:tc>
        <w:tc>
          <w:tcPr>
            <w:tcW w:w="1181" w:type="dxa"/>
            <w:vMerge w:val="continue"/>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pPr>
              <w:spacing w:line="360" w:lineRule="exact"/>
              <w:jc w:val="center"/>
              <w:rPr>
                <w:szCs w:val="21"/>
              </w:rPr>
            </w:pPr>
          </w:p>
        </w:tc>
        <w:tc>
          <w:tcPr>
            <w:tcW w:w="1807" w:type="dxa"/>
            <w:vMerge w:val="continue"/>
            <w:noWrap w:val="0"/>
            <w:vAlign w:val="center"/>
          </w:tcPr>
          <w:p>
            <w:pPr>
              <w:spacing w:line="360" w:lineRule="exact"/>
              <w:jc w:val="center"/>
              <w:rPr>
                <w:szCs w:val="21"/>
              </w:rPr>
            </w:pPr>
          </w:p>
        </w:tc>
        <w:tc>
          <w:tcPr>
            <w:tcW w:w="1617" w:type="dxa"/>
            <w:noWrap w:val="0"/>
            <w:vAlign w:val="center"/>
          </w:tcPr>
          <w:p>
            <w:pPr>
              <w:spacing w:line="360" w:lineRule="exact"/>
              <w:jc w:val="center"/>
              <w:rPr>
                <w:szCs w:val="21"/>
              </w:rPr>
            </w:pPr>
            <w:r>
              <w:rPr>
                <w:szCs w:val="21"/>
              </w:rPr>
              <w:t>柱状样点数</w:t>
            </w:r>
          </w:p>
        </w:tc>
        <w:tc>
          <w:tcPr>
            <w:tcW w:w="1487" w:type="dxa"/>
            <w:gridSpan w:val="2"/>
            <w:noWrap w:val="0"/>
            <w:vAlign w:val="center"/>
          </w:tcPr>
          <w:p>
            <w:pPr>
              <w:spacing w:line="360" w:lineRule="exact"/>
              <w:jc w:val="center"/>
              <w:rPr>
                <w:szCs w:val="21"/>
              </w:rPr>
            </w:pPr>
          </w:p>
        </w:tc>
        <w:tc>
          <w:tcPr>
            <w:tcW w:w="1497" w:type="dxa"/>
            <w:gridSpan w:val="2"/>
            <w:noWrap w:val="0"/>
            <w:vAlign w:val="center"/>
          </w:tcPr>
          <w:p>
            <w:pPr>
              <w:spacing w:line="360" w:lineRule="exact"/>
              <w:jc w:val="center"/>
              <w:rPr>
                <w:szCs w:val="21"/>
              </w:rPr>
            </w:pPr>
          </w:p>
        </w:tc>
        <w:tc>
          <w:tcPr>
            <w:tcW w:w="927" w:type="dxa"/>
            <w:noWrap w:val="0"/>
            <w:vAlign w:val="center"/>
          </w:tcPr>
          <w:p>
            <w:pPr>
              <w:spacing w:line="360" w:lineRule="exact"/>
              <w:jc w:val="center"/>
              <w:rPr>
                <w:szCs w:val="21"/>
              </w:rPr>
            </w:pPr>
          </w:p>
        </w:tc>
        <w:tc>
          <w:tcPr>
            <w:tcW w:w="1181" w:type="dxa"/>
            <w:vMerge w:val="continue"/>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restart"/>
            <w:noWrap w:val="0"/>
            <w:vAlign w:val="center"/>
          </w:tcPr>
          <w:p>
            <w:pPr>
              <w:spacing w:line="360" w:lineRule="exact"/>
              <w:jc w:val="center"/>
              <w:rPr>
                <w:szCs w:val="21"/>
              </w:rPr>
            </w:pPr>
            <w:r>
              <w:rPr>
                <w:szCs w:val="21"/>
              </w:rPr>
              <w:t>现状评价</w:t>
            </w:r>
          </w:p>
        </w:tc>
        <w:tc>
          <w:tcPr>
            <w:tcW w:w="1807" w:type="dxa"/>
            <w:noWrap w:val="0"/>
            <w:vAlign w:val="center"/>
          </w:tcPr>
          <w:p>
            <w:pPr>
              <w:spacing w:line="360" w:lineRule="exact"/>
              <w:jc w:val="center"/>
              <w:rPr>
                <w:szCs w:val="21"/>
              </w:rPr>
            </w:pPr>
            <w:r>
              <w:rPr>
                <w:szCs w:val="21"/>
              </w:rPr>
              <w:t>现状监测因子</w:t>
            </w:r>
          </w:p>
        </w:tc>
        <w:tc>
          <w:tcPr>
            <w:tcW w:w="5528" w:type="dxa"/>
            <w:gridSpan w:val="6"/>
            <w:noWrap w:val="0"/>
            <w:vAlign w:val="center"/>
          </w:tcPr>
          <w:p>
            <w:pPr>
              <w:spacing w:line="360" w:lineRule="exact"/>
              <w:rPr>
                <w:szCs w:val="21"/>
              </w:rPr>
            </w:pPr>
            <w:r>
              <w:rPr>
                <w:szCs w:val="21"/>
              </w:rPr>
              <w:t>pH、镉、汞、砷、铅、铬、铜、镍、锌</w:t>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pPr>
              <w:spacing w:line="360" w:lineRule="exact"/>
              <w:jc w:val="center"/>
              <w:rPr>
                <w:szCs w:val="21"/>
              </w:rPr>
            </w:pPr>
          </w:p>
        </w:tc>
        <w:tc>
          <w:tcPr>
            <w:tcW w:w="1807" w:type="dxa"/>
            <w:noWrap w:val="0"/>
            <w:vAlign w:val="center"/>
          </w:tcPr>
          <w:p>
            <w:pPr>
              <w:spacing w:line="360" w:lineRule="exact"/>
              <w:jc w:val="center"/>
              <w:rPr>
                <w:szCs w:val="21"/>
              </w:rPr>
            </w:pPr>
            <w:r>
              <w:rPr>
                <w:szCs w:val="21"/>
              </w:rPr>
              <w:t>评价因子</w:t>
            </w:r>
          </w:p>
        </w:tc>
        <w:tc>
          <w:tcPr>
            <w:tcW w:w="5528" w:type="dxa"/>
            <w:gridSpan w:val="6"/>
            <w:noWrap w:val="0"/>
            <w:vAlign w:val="center"/>
          </w:tcPr>
          <w:p>
            <w:pPr>
              <w:spacing w:line="360" w:lineRule="exact"/>
              <w:rPr>
                <w:szCs w:val="21"/>
              </w:rPr>
            </w:pPr>
            <w:r>
              <w:rPr>
                <w:szCs w:val="21"/>
              </w:rPr>
              <w:t>pH、镉、汞、砷、铅、铬、铜、镍、锌</w:t>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pPr>
              <w:spacing w:line="360" w:lineRule="exact"/>
              <w:jc w:val="center"/>
              <w:rPr>
                <w:szCs w:val="21"/>
              </w:rPr>
            </w:pPr>
          </w:p>
        </w:tc>
        <w:tc>
          <w:tcPr>
            <w:tcW w:w="1807" w:type="dxa"/>
            <w:noWrap w:val="0"/>
            <w:vAlign w:val="center"/>
          </w:tcPr>
          <w:p>
            <w:pPr>
              <w:spacing w:line="360" w:lineRule="exact"/>
              <w:jc w:val="center"/>
              <w:rPr>
                <w:szCs w:val="21"/>
              </w:rPr>
            </w:pPr>
            <w:r>
              <w:rPr>
                <w:szCs w:val="21"/>
              </w:rPr>
              <w:t>评价标准</w:t>
            </w:r>
          </w:p>
        </w:tc>
        <w:tc>
          <w:tcPr>
            <w:tcW w:w="5528" w:type="dxa"/>
            <w:gridSpan w:val="6"/>
            <w:noWrap w:val="0"/>
            <w:vAlign w:val="center"/>
          </w:tcPr>
          <w:p>
            <w:pPr>
              <w:spacing w:line="360" w:lineRule="exact"/>
              <w:rPr>
                <w:szCs w:val="21"/>
              </w:rPr>
            </w:pPr>
            <w:r>
              <w:rPr>
                <w:szCs w:val="21"/>
              </w:rPr>
              <w:t>GB15618</w:t>
            </w:r>
            <w:r>
              <w:rPr>
                <w:rFonts w:eastAsia="仿宋"/>
                <w:szCs w:val="21"/>
              </w:rPr>
              <w:t>√</w:t>
            </w:r>
            <w:r>
              <w:rPr>
                <w:szCs w:val="21"/>
              </w:rPr>
              <w:t>；GB36600□；表D.2□；其他（）</w:t>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pPr>
              <w:spacing w:line="360" w:lineRule="exact"/>
              <w:jc w:val="center"/>
              <w:rPr>
                <w:szCs w:val="21"/>
              </w:rPr>
            </w:pPr>
          </w:p>
        </w:tc>
        <w:tc>
          <w:tcPr>
            <w:tcW w:w="1807" w:type="dxa"/>
            <w:noWrap w:val="0"/>
            <w:vAlign w:val="center"/>
          </w:tcPr>
          <w:p>
            <w:pPr>
              <w:spacing w:line="360" w:lineRule="exact"/>
              <w:jc w:val="center"/>
              <w:rPr>
                <w:szCs w:val="21"/>
              </w:rPr>
            </w:pPr>
            <w:r>
              <w:rPr>
                <w:szCs w:val="21"/>
              </w:rPr>
              <w:t>现状评价结论</w:t>
            </w:r>
          </w:p>
        </w:tc>
        <w:tc>
          <w:tcPr>
            <w:tcW w:w="5528" w:type="dxa"/>
            <w:gridSpan w:val="6"/>
            <w:noWrap w:val="0"/>
            <w:vAlign w:val="center"/>
          </w:tcPr>
          <w:p>
            <w:pPr>
              <w:spacing w:line="360" w:lineRule="exact"/>
              <w:rPr>
                <w:szCs w:val="21"/>
              </w:rPr>
            </w:pPr>
            <w:r>
              <w:rPr>
                <w:szCs w:val="21"/>
              </w:rPr>
              <w:t>本项目土壤中，镉、汞、砷、铅、铬、铜、镍、锌8项污染物监测值均低于其风险筛选值。根据《土壤环境质量  农用地土壤污染风险管控标准（试行）》（GB15618-2018）中“3.4”、“6”项，本项目场址及周边地块土壤中污染物含量低于其风险筛选值，对农产品质量安全、农作物生长或土壤生态环境的风险低，该处地块的土壤污染风险可以忽略</w:t>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restart"/>
            <w:noWrap w:val="0"/>
            <w:vAlign w:val="center"/>
          </w:tcPr>
          <w:p>
            <w:pPr>
              <w:spacing w:line="360" w:lineRule="exact"/>
              <w:jc w:val="center"/>
              <w:rPr>
                <w:szCs w:val="21"/>
              </w:rPr>
            </w:pPr>
            <w:r>
              <w:rPr>
                <w:szCs w:val="21"/>
              </w:rPr>
              <w:t>影响预测</w:t>
            </w:r>
          </w:p>
        </w:tc>
        <w:tc>
          <w:tcPr>
            <w:tcW w:w="1807" w:type="dxa"/>
            <w:noWrap w:val="0"/>
            <w:vAlign w:val="center"/>
          </w:tcPr>
          <w:p>
            <w:pPr>
              <w:spacing w:line="360" w:lineRule="exact"/>
              <w:jc w:val="center"/>
              <w:rPr>
                <w:szCs w:val="21"/>
              </w:rPr>
            </w:pPr>
            <w:r>
              <w:rPr>
                <w:szCs w:val="21"/>
              </w:rPr>
              <w:t>预测因子</w:t>
            </w:r>
          </w:p>
        </w:tc>
        <w:tc>
          <w:tcPr>
            <w:tcW w:w="5528" w:type="dxa"/>
            <w:gridSpan w:val="6"/>
            <w:noWrap w:val="0"/>
            <w:vAlign w:val="center"/>
          </w:tcPr>
          <w:p>
            <w:pPr>
              <w:spacing w:line="360" w:lineRule="exact"/>
              <w:rPr>
                <w:szCs w:val="21"/>
              </w:rPr>
            </w:pP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pPr>
              <w:spacing w:line="360" w:lineRule="exact"/>
              <w:jc w:val="center"/>
              <w:rPr>
                <w:szCs w:val="21"/>
              </w:rPr>
            </w:pPr>
          </w:p>
        </w:tc>
        <w:tc>
          <w:tcPr>
            <w:tcW w:w="1807" w:type="dxa"/>
            <w:noWrap w:val="0"/>
            <w:vAlign w:val="center"/>
          </w:tcPr>
          <w:p>
            <w:pPr>
              <w:spacing w:line="360" w:lineRule="exact"/>
              <w:jc w:val="center"/>
              <w:rPr>
                <w:szCs w:val="21"/>
              </w:rPr>
            </w:pPr>
            <w:r>
              <w:rPr>
                <w:szCs w:val="21"/>
              </w:rPr>
              <w:t>预测方法</w:t>
            </w:r>
          </w:p>
        </w:tc>
        <w:tc>
          <w:tcPr>
            <w:tcW w:w="5528" w:type="dxa"/>
            <w:gridSpan w:val="6"/>
            <w:noWrap w:val="0"/>
            <w:vAlign w:val="center"/>
          </w:tcPr>
          <w:p>
            <w:pPr>
              <w:spacing w:line="360" w:lineRule="exact"/>
              <w:rPr>
                <w:szCs w:val="21"/>
              </w:rPr>
            </w:pPr>
            <w:r>
              <w:rPr>
                <w:szCs w:val="21"/>
              </w:rPr>
              <w:t>附录E□；附录F□；其他（）</w:t>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pPr>
              <w:spacing w:line="360" w:lineRule="exact"/>
              <w:jc w:val="center"/>
              <w:rPr>
                <w:szCs w:val="21"/>
              </w:rPr>
            </w:pPr>
          </w:p>
        </w:tc>
        <w:tc>
          <w:tcPr>
            <w:tcW w:w="1807" w:type="dxa"/>
            <w:noWrap w:val="0"/>
            <w:vAlign w:val="center"/>
          </w:tcPr>
          <w:p>
            <w:pPr>
              <w:spacing w:line="360" w:lineRule="exact"/>
              <w:jc w:val="center"/>
              <w:rPr>
                <w:szCs w:val="21"/>
              </w:rPr>
            </w:pPr>
            <w:r>
              <w:rPr>
                <w:szCs w:val="21"/>
              </w:rPr>
              <w:t>预测分析内容</w:t>
            </w:r>
          </w:p>
        </w:tc>
        <w:tc>
          <w:tcPr>
            <w:tcW w:w="5528" w:type="dxa"/>
            <w:gridSpan w:val="6"/>
            <w:noWrap w:val="0"/>
            <w:vAlign w:val="center"/>
          </w:tcPr>
          <w:p>
            <w:pPr>
              <w:spacing w:line="360" w:lineRule="exact"/>
              <w:rPr>
                <w:szCs w:val="21"/>
              </w:rPr>
            </w:pPr>
            <w:r>
              <w:rPr>
                <w:szCs w:val="21"/>
              </w:rPr>
              <w:t>影响范围（）</w:t>
            </w:r>
          </w:p>
          <w:p>
            <w:pPr>
              <w:spacing w:line="360" w:lineRule="exact"/>
              <w:rPr>
                <w:szCs w:val="21"/>
              </w:rPr>
            </w:pPr>
            <w:r>
              <w:rPr>
                <w:szCs w:val="21"/>
              </w:rPr>
              <w:t>影响程度（）</w:t>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pPr>
              <w:spacing w:line="360" w:lineRule="exact"/>
              <w:jc w:val="center"/>
              <w:rPr>
                <w:szCs w:val="21"/>
              </w:rPr>
            </w:pPr>
          </w:p>
        </w:tc>
        <w:tc>
          <w:tcPr>
            <w:tcW w:w="1807" w:type="dxa"/>
            <w:noWrap w:val="0"/>
            <w:vAlign w:val="center"/>
          </w:tcPr>
          <w:p>
            <w:pPr>
              <w:spacing w:line="360" w:lineRule="exact"/>
              <w:jc w:val="center"/>
              <w:rPr>
                <w:szCs w:val="21"/>
              </w:rPr>
            </w:pPr>
            <w:r>
              <w:rPr>
                <w:szCs w:val="21"/>
              </w:rPr>
              <w:t>预测结论</w:t>
            </w:r>
          </w:p>
        </w:tc>
        <w:tc>
          <w:tcPr>
            <w:tcW w:w="5528" w:type="dxa"/>
            <w:gridSpan w:val="6"/>
            <w:noWrap w:val="0"/>
            <w:vAlign w:val="center"/>
          </w:tcPr>
          <w:p>
            <w:pPr>
              <w:spacing w:line="360" w:lineRule="exact"/>
              <w:rPr>
                <w:szCs w:val="21"/>
              </w:rPr>
            </w:pPr>
            <w:r>
              <w:rPr>
                <w:szCs w:val="21"/>
              </w:rPr>
              <w:t>达标结论：a）□；b) □；c）□</w:t>
            </w:r>
          </w:p>
          <w:p>
            <w:pPr>
              <w:spacing w:line="360" w:lineRule="exact"/>
              <w:rPr>
                <w:szCs w:val="21"/>
              </w:rPr>
            </w:pPr>
            <w:r>
              <w:rPr>
                <w:szCs w:val="21"/>
              </w:rPr>
              <w:t>不达标结论：a）□；b) □</w:t>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restart"/>
            <w:noWrap w:val="0"/>
            <w:vAlign w:val="center"/>
          </w:tcPr>
          <w:p>
            <w:pPr>
              <w:spacing w:line="360" w:lineRule="exact"/>
              <w:jc w:val="center"/>
              <w:rPr>
                <w:szCs w:val="21"/>
              </w:rPr>
            </w:pPr>
            <w:r>
              <w:rPr>
                <w:szCs w:val="21"/>
              </w:rPr>
              <w:t>防</w:t>
            </w:r>
          </w:p>
          <w:p>
            <w:pPr>
              <w:spacing w:line="360" w:lineRule="exact"/>
              <w:jc w:val="center"/>
              <w:rPr>
                <w:szCs w:val="21"/>
              </w:rPr>
            </w:pPr>
            <w:r>
              <w:rPr>
                <w:szCs w:val="21"/>
              </w:rPr>
              <w:t>治</w:t>
            </w:r>
          </w:p>
          <w:p>
            <w:pPr>
              <w:spacing w:line="360" w:lineRule="exact"/>
              <w:jc w:val="center"/>
              <w:rPr>
                <w:szCs w:val="21"/>
              </w:rPr>
            </w:pPr>
            <w:r>
              <w:rPr>
                <w:szCs w:val="21"/>
              </w:rPr>
              <w:t>措</w:t>
            </w:r>
          </w:p>
          <w:p>
            <w:pPr>
              <w:spacing w:line="360" w:lineRule="exact"/>
              <w:jc w:val="center"/>
              <w:rPr>
                <w:szCs w:val="21"/>
              </w:rPr>
            </w:pPr>
            <w:r>
              <w:rPr>
                <w:szCs w:val="21"/>
              </w:rPr>
              <w:t>施</w:t>
            </w:r>
          </w:p>
        </w:tc>
        <w:tc>
          <w:tcPr>
            <w:tcW w:w="1807" w:type="dxa"/>
            <w:noWrap w:val="0"/>
            <w:vAlign w:val="center"/>
          </w:tcPr>
          <w:p>
            <w:pPr>
              <w:spacing w:line="360" w:lineRule="exact"/>
              <w:jc w:val="center"/>
              <w:rPr>
                <w:szCs w:val="21"/>
              </w:rPr>
            </w:pPr>
            <w:r>
              <w:rPr>
                <w:szCs w:val="21"/>
              </w:rPr>
              <w:t>防控措施</w:t>
            </w:r>
          </w:p>
        </w:tc>
        <w:tc>
          <w:tcPr>
            <w:tcW w:w="5528" w:type="dxa"/>
            <w:gridSpan w:val="6"/>
            <w:noWrap w:val="0"/>
            <w:vAlign w:val="center"/>
          </w:tcPr>
          <w:p>
            <w:pPr>
              <w:spacing w:line="360" w:lineRule="exact"/>
              <w:jc w:val="center"/>
              <w:rPr>
                <w:szCs w:val="21"/>
              </w:rPr>
            </w:pPr>
            <w:r>
              <w:rPr>
                <w:szCs w:val="21"/>
              </w:rPr>
              <w:t>土壤环境质量现状保障□；源头控制</w:t>
            </w:r>
            <w:r>
              <w:rPr>
                <w:rFonts w:eastAsia="仿宋"/>
                <w:szCs w:val="21"/>
              </w:rPr>
              <w:t>√</w:t>
            </w:r>
            <w:r>
              <w:rPr>
                <w:szCs w:val="21"/>
              </w:rPr>
              <w:t>；过程防控</w:t>
            </w:r>
            <w:r>
              <w:rPr>
                <w:rFonts w:eastAsia="仿宋"/>
                <w:szCs w:val="21"/>
              </w:rPr>
              <w:t>√</w:t>
            </w:r>
            <w:r>
              <w:rPr>
                <w:szCs w:val="21"/>
              </w:rPr>
              <w:t>；其他（）</w:t>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pPr>
              <w:spacing w:line="360" w:lineRule="exact"/>
              <w:jc w:val="center"/>
              <w:rPr>
                <w:szCs w:val="21"/>
              </w:rPr>
            </w:pPr>
          </w:p>
        </w:tc>
        <w:tc>
          <w:tcPr>
            <w:tcW w:w="1807" w:type="dxa"/>
            <w:vMerge w:val="restart"/>
            <w:noWrap w:val="0"/>
            <w:vAlign w:val="center"/>
          </w:tcPr>
          <w:p>
            <w:pPr>
              <w:spacing w:line="360" w:lineRule="exact"/>
              <w:jc w:val="center"/>
              <w:rPr>
                <w:szCs w:val="21"/>
              </w:rPr>
            </w:pPr>
            <w:r>
              <w:rPr>
                <w:szCs w:val="21"/>
              </w:rPr>
              <w:t>跟踪监测</w:t>
            </w:r>
          </w:p>
        </w:tc>
        <w:tc>
          <w:tcPr>
            <w:tcW w:w="1844" w:type="dxa"/>
            <w:gridSpan w:val="2"/>
            <w:noWrap w:val="0"/>
            <w:vAlign w:val="center"/>
          </w:tcPr>
          <w:p>
            <w:pPr>
              <w:spacing w:line="360" w:lineRule="exact"/>
              <w:jc w:val="center"/>
              <w:rPr>
                <w:szCs w:val="21"/>
              </w:rPr>
            </w:pPr>
            <w:r>
              <w:rPr>
                <w:szCs w:val="21"/>
              </w:rPr>
              <w:t>监测点数</w:t>
            </w:r>
          </w:p>
        </w:tc>
        <w:tc>
          <w:tcPr>
            <w:tcW w:w="1843" w:type="dxa"/>
            <w:gridSpan w:val="2"/>
            <w:noWrap w:val="0"/>
            <w:vAlign w:val="center"/>
          </w:tcPr>
          <w:p>
            <w:pPr>
              <w:spacing w:line="360" w:lineRule="exact"/>
              <w:jc w:val="center"/>
              <w:rPr>
                <w:szCs w:val="21"/>
              </w:rPr>
            </w:pPr>
            <w:r>
              <w:rPr>
                <w:szCs w:val="21"/>
              </w:rPr>
              <w:t>监测指标</w:t>
            </w:r>
          </w:p>
        </w:tc>
        <w:tc>
          <w:tcPr>
            <w:tcW w:w="1841" w:type="dxa"/>
            <w:gridSpan w:val="2"/>
            <w:noWrap w:val="0"/>
            <w:vAlign w:val="center"/>
          </w:tcPr>
          <w:p>
            <w:pPr>
              <w:spacing w:line="360" w:lineRule="exact"/>
              <w:jc w:val="center"/>
              <w:rPr>
                <w:szCs w:val="21"/>
              </w:rPr>
            </w:pPr>
            <w:r>
              <w:rPr>
                <w:szCs w:val="21"/>
              </w:rPr>
              <w:t>监测频次</w:t>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pPr>
              <w:spacing w:line="360" w:lineRule="exact"/>
              <w:jc w:val="center"/>
              <w:rPr>
                <w:szCs w:val="21"/>
              </w:rPr>
            </w:pPr>
          </w:p>
        </w:tc>
        <w:tc>
          <w:tcPr>
            <w:tcW w:w="1807" w:type="dxa"/>
            <w:vMerge w:val="continue"/>
            <w:noWrap w:val="0"/>
            <w:vAlign w:val="center"/>
          </w:tcPr>
          <w:p>
            <w:pPr>
              <w:spacing w:line="360" w:lineRule="exact"/>
              <w:jc w:val="center"/>
              <w:rPr>
                <w:szCs w:val="21"/>
              </w:rPr>
            </w:pPr>
          </w:p>
        </w:tc>
        <w:tc>
          <w:tcPr>
            <w:tcW w:w="1844" w:type="dxa"/>
            <w:gridSpan w:val="2"/>
            <w:noWrap w:val="0"/>
            <w:vAlign w:val="center"/>
          </w:tcPr>
          <w:p>
            <w:pPr>
              <w:spacing w:line="360" w:lineRule="exact"/>
              <w:jc w:val="center"/>
              <w:rPr>
                <w:szCs w:val="21"/>
              </w:rPr>
            </w:pPr>
            <w:r>
              <w:rPr>
                <w:szCs w:val="21"/>
              </w:rPr>
              <w:t>1</w:t>
            </w:r>
          </w:p>
        </w:tc>
        <w:tc>
          <w:tcPr>
            <w:tcW w:w="1843" w:type="dxa"/>
            <w:gridSpan w:val="2"/>
            <w:noWrap w:val="0"/>
            <w:vAlign w:val="center"/>
          </w:tcPr>
          <w:p>
            <w:pPr>
              <w:spacing w:line="360" w:lineRule="exact"/>
              <w:jc w:val="center"/>
              <w:rPr>
                <w:szCs w:val="21"/>
              </w:rPr>
            </w:pPr>
          </w:p>
        </w:tc>
        <w:tc>
          <w:tcPr>
            <w:tcW w:w="1841" w:type="dxa"/>
            <w:gridSpan w:val="2"/>
            <w:noWrap w:val="0"/>
            <w:vAlign w:val="center"/>
          </w:tcPr>
          <w:p>
            <w:pPr>
              <w:spacing w:line="360" w:lineRule="exact"/>
              <w:jc w:val="center"/>
              <w:rPr>
                <w:szCs w:val="21"/>
              </w:rPr>
            </w:pPr>
            <w:r>
              <w:rPr>
                <w:szCs w:val="21"/>
              </w:rPr>
              <w:t>3年一次</w:t>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30" w:type="dxa"/>
            <w:vMerge w:val="continue"/>
            <w:noWrap w:val="0"/>
            <w:vAlign w:val="center"/>
          </w:tcPr>
          <w:p>
            <w:pPr>
              <w:spacing w:line="360" w:lineRule="exact"/>
              <w:jc w:val="center"/>
              <w:rPr>
                <w:szCs w:val="21"/>
              </w:rPr>
            </w:pPr>
          </w:p>
        </w:tc>
        <w:tc>
          <w:tcPr>
            <w:tcW w:w="1807" w:type="dxa"/>
            <w:noWrap w:val="0"/>
            <w:vAlign w:val="center"/>
          </w:tcPr>
          <w:p>
            <w:pPr>
              <w:spacing w:line="360" w:lineRule="exact"/>
              <w:jc w:val="center"/>
              <w:rPr>
                <w:szCs w:val="21"/>
              </w:rPr>
            </w:pPr>
            <w:r>
              <w:rPr>
                <w:szCs w:val="21"/>
              </w:rPr>
              <w:t>信息公开指标</w:t>
            </w:r>
          </w:p>
        </w:tc>
        <w:tc>
          <w:tcPr>
            <w:tcW w:w="5528" w:type="dxa"/>
            <w:gridSpan w:val="6"/>
            <w:noWrap w:val="0"/>
            <w:vAlign w:val="center"/>
          </w:tcPr>
          <w:p>
            <w:pPr>
              <w:spacing w:line="360" w:lineRule="exact"/>
              <w:jc w:val="center"/>
              <w:rPr>
                <w:szCs w:val="21"/>
              </w:rPr>
            </w:pP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237" w:type="dxa"/>
            <w:gridSpan w:val="2"/>
            <w:noWrap w:val="0"/>
            <w:vAlign w:val="center"/>
          </w:tcPr>
          <w:p>
            <w:pPr>
              <w:spacing w:line="360" w:lineRule="exact"/>
              <w:jc w:val="center"/>
              <w:rPr>
                <w:szCs w:val="21"/>
              </w:rPr>
            </w:pPr>
            <w:r>
              <w:rPr>
                <w:szCs w:val="21"/>
              </w:rPr>
              <w:t>评价结论</w:t>
            </w:r>
          </w:p>
        </w:tc>
        <w:tc>
          <w:tcPr>
            <w:tcW w:w="5528" w:type="dxa"/>
            <w:gridSpan w:val="6"/>
            <w:noWrap w:val="0"/>
            <w:vAlign w:val="center"/>
          </w:tcPr>
          <w:p>
            <w:pPr>
              <w:spacing w:line="360" w:lineRule="exact"/>
              <w:jc w:val="center"/>
              <w:rPr>
                <w:szCs w:val="21"/>
              </w:rPr>
            </w:pPr>
            <w:r>
              <w:rPr>
                <w:szCs w:val="21"/>
              </w:rPr>
              <w:t>采取相应措施后对土壤基本无影响</w:t>
            </w:r>
          </w:p>
        </w:tc>
        <w:tc>
          <w:tcPr>
            <w:tcW w:w="1181" w:type="dxa"/>
            <w:noWrap w:val="0"/>
            <w:vAlign w:val="center"/>
          </w:tcPr>
          <w:p>
            <w:pPr>
              <w:spacing w:line="3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946" w:type="dxa"/>
            <w:gridSpan w:val="9"/>
            <w:noWrap w:val="0"/>
            <w:vAlign w:val="center"/>
          </w:tcPr>
          <w:p>
            <w:pPr>
              <w:spacing w:line="360" w:lineRule="exact"/>
              <w:jc w:val="center"/>
              <w:rPr>
                <w:szCs w:val="21"/>
              </w:rPr>
            </w:pPr>
            <w:r>
              <w:rPr>
                <w:szCs w:val="21"/>
              </w:rPr>
              <w:t>注1：“□”为勾选项，可√；“（）”为内容填写项；“备注”为其他补充内容。</w:t>
            </w:r>
          </w:p>
          <w:p>
            <w:pPr>
              <w:spacing w:line="360" w:lineRule="exact"/>
              <w:ind w:firstLine="945" w:firstLineChars="450"/>
              <w:rPr>
                <w:szCs w:val="21"/>
              </w:rPr>
            </w:pPr>
            <w:r>
              <w:rPr>
                <w:szCs w:val="21"/>
              </w:rPr>
              <w:t>注2：需要分别开展土壤环境影响评价工作的，分别填写自查表。</w:t>
            </w:r>
          </w:p>
        </w:tc>
      </w:tr>
    </w:tbl>
    <w:p>
      <w:pPr>
        <w:autoSpaceDE w:val="0"/>
        <w:autoSpaceDN w:val="0"/>
        <w:adjustRightInd w:val="0"/>
        <w:rPr>
          <w:b/>
        </w:rPr>
      </w:pPr>
    </w:p>
    <w:p>
      <w:pPr>
        <w:autoSpaceDE w:val="0"/>
        <w:autoSpaceDN w:val="0"/>
        <w:adjustRightInd w:val="0"/>
        <w:rPr>
          <w:b/>
        </w:rPr>
      </w:pPr>
    </w:p>
    <w:p/>
    <w:p>
      <w:pPr>
        <w:rPr>
          <w:rFonts w:hint="eastAsia"/>
        </w:rPr>
      </w:pPr>
    </w:p>
    <w:p/>
    <w:p/>
    <w:p/>
    <w:p/>
    <w:p/>
    <w:p/>
    <w:p/>
    <w:p/>
    <w:p/>
    <w:p/>
    <w:p/>
    <w:p/>
    <w:p/>
    <w:p/>
    <w:p/>
    <w:p/>
    <w:p/>
    <w:p/>
    <w:p/>
    <w:p/>
    <w:p/>
    <w:p/>
    <w:p/>
    <w:p/>
    <w:p/>
    <w:p/>
    <w:p/>
    <w:p/>
    <w:p/>
    <w:p/>
    <w:p/>
    <w:p/>
    <w:p>
      <w:pPr>
        <w:sectPr>
          <w:pgSz w:w="11906" w:h="16838"/>
          <w:pgMar w:top="1440" w:right="1797" w:bottom="1440" w:left="1797" w:header="851" w:footer="992" w:gutter="0"/>
          <w:cols w:space="425" w:num="1"/>
          <w:docGrid w:type="linesAndChars" w:linePitch="312" w:charSpace="0"/>
        </w:sectPr>
      </w:pPr>
    </w:p>
    <w:p/>
    <w:p>
      <w:r>
        <mc:AlternateContent>
          <mc:Choice Requires="wps">
            <w:drawing>
              <wp:anchor distT="0" distB="0" distL="114300" distR="114300" simplePos="0" relativeHeight="251668480" behindDoc="0" locked="0" layoutInCell="1" allowOverlap="1">
                <wp:simplePos x="0" y="0"/>
                <wp:positionH relativeFrom="column">
                  <wp:posOffset>6290945</wp:posOffset>
                </wp:positionH>
                <wp:positionV relativeFrom="paragraph">
                  <wp:posOffset>2279650</wp:posOffset>
                </wp:positionV>
                <wp:extent cx="114300" cy="152400"/>
                <wp:effectExtent l="15240" t="27940" r="22860" b="29210"/>
                <wp:wrapNone/>
                <wp:docPr id="380" name="五角星 2"/>
                <wp:cNvGraphicFramePr/>
                <a:graphic xmlns:a="http://schemas.openxmlformats.org/drawingml/2006/main">
                  <a:graphicData uri="http://schemas.microsoft.com/office/word/2010/wordprocessingShape">
                    <wps:wsp>
                      <wps:cNvSpPr/>
                      <wps:spPr>
                        <a:xfrm>
                          <a:off x="0" y="0"/>
                          <a:ext cx="114300" cy="152400"/>
                        </a:xfrm>
                        <a:custGeom>
                          <a:avLst/>
                          <a:gdLst/>
                          <a:ahLst/>
                          <a:cxnLst>
                            <a:cxn ang="0">
                              <a:pos x="0" y="58211"/>
                            </a:cxn>
                            <a:cxn ang="0">
                              <a:pos x="43659" y="58212"/>
                            </a:cxn>
                            <a:cxn ang="0">
                              <a:pos x="57150" y="0"/>
                            </a:cxn>
                            <a:cxn ang="0">
                              <a:pos x="70641" y="58212"/>
                            </a:cxn>
                            <a:cxn ang="0">
                              <a:pos x="114300" y="58211"/>
                            </a:cxn>
                            <a:cxn ang="0">
                              <a:pos x="78979" y="94188"/>
                            </a:cxn>
                            <a:cxn ang="0">
                              <a:pos x="92471" y="152400"/>
                            </a:cxn>
                            <a:cxn ang="0">
                              <a:pos x="57150" y="116422"/>
                            </a:cxn>
                            <a:cxn ang="0">
                              <a:pos x="21829" y="152400"/>
                            </a:cxn>
                            <a:cxn ang="0">
                              <a:pos x="35321" y="94188"/>
                            </a:cxn>
                            <a:cxn ang="0">
                              <a:pos x="0" y="58211"/>
                            </a:cxn>
                          </a:cxnLst>
                          <a:pathLst>
                            <a:path w="114300" h="152400">
                              <a:moveTo>
                                <a:pt x="0" y="58211"/>
                              </a:moveTo>
                              <a:lnTo>
                                <a:pt x="43659" y="58212"/>
                              </a:lnTo>
                              <a:lnTo>
                                <a:pt x="57150" y="0"/>
                              </a:lnTo>
                              <a:lnTo>
                                <a:pt x="70641" y="58212"/>
                              </a:lnTo>
                              <a:lnTo>
                                <a:pt x="114300" y="58211"/>
                              </a:lnTo>
                              <a:lnTo>
                                <a:pt x="78979" y="94188"/>
                              </a:lnTo>
                              <a:lnTo>
                                <a:pt x="92471" y="152400"/>
                              </a:lnTo>
                              <a:lnTo>
                                <a:pt x="57150" y="116422"/>
                              </a:lnTo>
                              <a:lnTo>
                                <a:pt x="21829" y="152400"/>
                              </a:lnTo>
                              <a:lnTo>
                                <a:pt x="35321" y="94188"/>
                              </a:lnTo>
                              <a:lnTo>
                                <a:pt x="0" y="58211"/>
                              </a:lnTo>
                              <a:close/>
                            </a:path>
                          </a:pathLst>
                        </a:custGeom>
                        <a:solidFill>
                          <a:srgbClr val="FF0000"/>
                        </a:solidFill>
                        <a:ln w="12700" cap="flat" cmpd="sng">
                          <a:solidFill>
                            <a:srgbClr val="000000"/>
                          </a:solidFill>
                          <a:prstDash val="solid"/>
                          <a:miter/>
                          <a:headEnd type="none" w="med" len="med"/>
                          <a:tailEnd type="none" w="med" len="med"/>
                        </a:ln>
                      </wps:spPr>
                      <wps:bodyPr anchor="ctr" upright="1"/>
                    </wps:wsp>
                  </a:graphicData>
                </a:graphic>
              </wp:anchor>
            </w:drawing>
          </mc:Choice>
          <mc:Fallback>
            <w:pict>
              <v:shape id="五角星 2" o:spid="_x0000_s1026" o:spt="100" style="position:absolute;left:0pt;margin-left:495.35pt;margin-top:179.5pt;height:12pt;width:9pt;z-index:251668480;v-text-anchor:middle;mso-width-relative:page;mso-height-relative:page;" fillcolor="#FF0000" filled="t" stroked="t" coordsize="114300,152400" o:gfxdata="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" path="m0,58211l43659,58212,57150,0,70641,58212,114300,58211,78979,94188,92471,152400,57150,116422,21829,152400,35321,94188,0,58211xe">
                <v:path o:connectlocs="0,58211;43659,58212;57150,0;70641,58212;114300,58211;78979,94188;92471,152400;57150,116422;21829,152400;35321,94188;0,58211" o:connectangles="0,0,0,0,0,0,0,0,0,0,0"/>
                <v:fill on="t" focussize="0,0"/>
                <v:stroke weight="1pt" color="#000000" joinstyle="miter"/>
                <v:imagedata o:title=""/>
                <o:lock v:ext="edit" aspectratio="f"/>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5203825</wp:posOffset>
                </wp:positionH>
                <wp:positionV relativeFrom="paragraph">
                  <wp:posOffset>1004570</wp:posOffset>
                </wp:positionV>
                <wp:extent cx="1133475" cy="314325"/>
                <wp:effectExtent l="6350" t="6350" r="60325" b="1108075"/>
                <wp:wrapNone/>
                <wp:docPr id="381" name="圆角矩形标注 3"/>
                <wp:cNvGraphicFramePr/>
                <a:graphic xmlns:a="http://schemas.openxmlformats.org/drawingml/2006/main">
                  <a:graphicData uri="http://schemas.microsoft.com/office/word/2010/wordprocessingShape">
                    <wps:wsp>
                      <wps:cNvSpPr/>
                      <wps:spPr>
                        <a:xfrm>
                          <a:off x="0" y="0"/>
                          <a:ext cx="1133475" cy="314325"/>
                        </a:xfrm>
                        <a:prstGeom prst="wedgeRoundRectCallout">
                          <a:avLst>
                            <a:gd name="adj1" fmla="val 52523"/>
                            <a:gd name="adj2" fmla="val 385153"/>
                            <a:gd name="adj3" fmla="val 16667"/>
                          </a:avLst>
                        </a:prstGeom>
                        <a:noFill/>
                        <a:ln w="12700" cap="flat" cmpd="sng">
                          <a:solidFill>
                            <a:srgbClr val="000000"/>
                          </a:solidFill>
                          <a:prstDash val="solid"/>
                          <a:miter/>
                          <a:headEnd type="none" w="med" len="med"/>
                          <a:tailEnd type="none" w="med" len="med"/>
                        </a:ln>
                      </wps:spPr>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项目所在地</w:t>
                            </w:r>
                          </w:p>
                        </w:txbxContent>
                      </wps:txbx>
                      <wps:bodyPr anchor="ctr" upright="1"/>
                    </wps:wsp>
                  </a:graphicData>
                </a:graphic>
              </wp:anchor>
            </w:drawing>
          </mc:Choice>
          <mc:Fallback>
            <w:pict>
              <v:shape id="圆角矩形标注 3" o:spid="_x0000_s1026" o:spt="62" type="#_x0000_t62" style="position:absolute;left:0pt;margin-left:409.75pt;margin-top:79.1pt;height:24.75pt;width:89.25pt;z-index:251669504;v-text-anchor:middle;mso-width-relative:page;mso-height-relative:page;" filled="f" stroked="t" coordsize="21600,21600" o:gfxdata="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AghhGrb&#10;AAAACwEAAA8AAAAAAAAAAQAgAAAAIgAAAGRycy9kb3ducmV2LnhtbFBLAQIUABQAAAAIAIdO4kAj&#10;Sd4SVgIAAKMEAAAOAAAAAAAAAAEAIAAAACoBAABkcnMvZTJvRG9jLnhtbFBLBQYAAAAABgAGAFkB&#10;AADyBQAAAAA=&#10;" adj="22145,93993,14400">
                <v:fill on="f" focussize="0,0"/>
                <v:stroke weight="1pt" color="#000000"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项目所在地</w:t>
                      </w:r>
                    </w:p>
                  </w:txbxContent>
                </v:textbox>
              </v:shape>
            </w:pict>
          </mc:Fallback>
        </mc:AlternateContent>
      </w:r>
      <w:r>
        <w:drawing>
          <wp:inline distT="0" distB="0" distL="0" distR="0">
            <wp:extent cx="8718550" cy="4616450"/>
            <wp:effectExtent l="19050" t="19050" r="25400" b="3175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a:xfrm>
                      <a:off x="0" y="0"/>
                      <a:ext cx="8718804" cy="4616450"/>
                    </a:xfrm>
                    <a:prstGeom prst="rect">
                      <a:avLst/>
                    </a:prstGeom>
                    <a:ln w="19050" cap="flat" cmpd="sng" algn="ctr">
                      <a:solidFill>
                        <a:sysClr val="windowText" lastClr="000000"/>
                      </a:solidFill>
                      <a:prstDash val="solid"/>
                      <a:round/>
                      <a:headEnd type="none" w="med" len="med"/>
                      <a:tailEnd type="none" w="med" len="med"/>
                    </a:ln>
                  </pic:spPr>
                </pic:pic>
              </a:graphicData>
            </a:graphic>
          </wp:inline>
        </w:drawing>
      </w:r>
    </w:p>
    <w:p>
      <w:pPr>
        <w:jc w:val="center"/>
        <w:rPr>
          <w:b/>
          <w:sz w:val="28"/>
          <w:szCs w:val="28"/>
        </w:rPr>
      </w:pPr>
      <w:r>
        <w:rPr>
          <w:rFonts w:hint="eastAsia"/>
          <w:b/>
          <w:sz w:val="28"/>
          <w:szCs w:val="28"/>
        </w:rPr>
        <w:t>附图</w:t>
      </w:r>
      <w:r>
        <w:rPr>
          <w:b/>
          <w:sz w:val="28"/>
          <w:szCs w:val="28"/>
        </w:rPr>
        <w:t>一</w:t>
      </w:r>
      <w:r>
        <w:rPr>
          <w:rFonts w:hint="eastAsia"/>
          <w:b/>
          <w:sz w:val="28"/>
          <w:szCs w:val="28"/>
        </w:rPr>
        <w:t>项目</w:t>
      </w:r>
      <w:r>
        <w:rPr>
          <w:b/>
          <w:sz w:val="28"/>
          <w:szCs w:val="28"/>
        </w:rPr>
        <w:t>地理位置图</w:t>
      </w:r>
    </w:p>
    <w:p>
      <w:pPr>
        <w:rPr>
          <w:b/>
          <w:sz w:val="28"/>
          <w:szCs w:val="28"/>
        </w:rPr>
        <w:sectPr>
          <w:pgSz w:w="16838" w:h="11906" w:orient="landscape"/>
          <w:pgMar w:top="1797" w:right="1440" w:bottom="1797" w:left="1440" w:header="851" w:footer="992" w:gutter="0"/>
          <w:cols w:space="425" w:num="1"/>
          <w:docGrid w:type="linesAndChars" w:linePitch="312" w:charSpace="0"/>
        </w:sectPr>
      </w:pPr>
    </w:p>
    <w:p>
      <w:pPr>
        <w:rPr>
          <w:rFonts w:hint="eastAsia" w:eastAsiaTheme="minorEastAsia"/>
          <w:b/>
          <w:sz w:val="28"/>
          <w:szCs w:val="28"/>
          <w:lang w:eastAsia="zh-CN"/>
        </w:rPr>
      </w:pPr>
      <w:r>
        <w:rPr>
          <w:b/>
          <w:sz w:val="28"/>
          <w:szCs w:val="28"/>
        </w:rPr>
        <w:drawing>
          <wp:inline distT="0" distB="0" distL="114300" distR="114300">
            <wp:extent cx="13288010" cy="7886700"/>
            <wp:effectExtent l="0" t="0" r="8890" b="0"/>
            <wp:docPr id="37" name="图片 37" descr="屏幕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屏幕截图"/>
                    <pic:cNvPicPr>
                      <a:picLocks noChangeAspect="1"/>
                    </pic:cNvPicPr>
                  </pic:nvPicPr>
                  <pic:blipFill>
                    <a:blip r:embed="rId60"/>
                    <a:stretch>
                      <a:fillRect/>
                    </a:stretch>
                  </pic:blipFill>
                  <pic:spPr>
                    <a:xfrm>
                      <a:off x="0" y="0"/>
                      <a:ext cx="13288010" cy="7886700"/>
                    </a:xfrm>
                    <a:prstGeom prst="rect">
                      <a:avLst/>
                    </a:prstGeom>
                  </pic:spPr>
                </pic:pic>
              </a:graphicData>
            </a:graphic>
          </wp:inline>
        </w:drawing>
      </w:r>
      <w:r>
        <w:rPr>
          <w:b/>
          <w:sz w:val="28"/>
          <w:szCs w:val="28"/>
        </w:rPr>
        <mc:AlternateContent>
          <mc:Choice Requires="wps">
            <w:drawing>
              <wp:anchor distT="0" distB="0" distL="114300" distR="114300" simplePos="0" relativeHeight="251706368" behindDoc="0" locked="0" layoutInCell="1" allowOverlap="1">
                <wp:simplePos x="0" y="0"/>
                <wp:positionH relativeFrom="column">
                  <wp:posOffset>5472430</wp:posOffset>
                </wp:positionH>
                <wp:positionV relativeFrom="paragraph">
                  <wp:posOffset>3547110</wp:posOffset>
                </wp:positionV>
                <wp:extent cx="691515" cy="428625"/>
                <wp:effectExtent l="0" t="0" r="0" b="0"/>
                <wp:wrapNone/>
                <wp:docPr id="418" name="文本框 149"/>
                <wp:cNvGraphicFramePr/>
                <a:graphic xmlns:a="http://schemas.openxmlformats.org/drawingml/2006/main">
                  <a:graphicData uri="http://schemas.microsoft.com/office/word/2010/wordprocessingShape">
                    <wps:wsp>
                      <wps:cNvSpPr txBox="1"/>
                      <wps:spPr>
                        <a:xfrm>
                          <a:off x="0" y="0"/>
                          <a:ext cx="504825" cy="276225"/>
                        </a:xfrm>
                        <a:prstGeom prst="rect">
                          <a:avLst/>
                        </a:prstGeom>
                        <a:noFill/>
                        <a:ln w="6350">
                          <a:noFill/>
                        </a:ln>
                        <a:effectLst/>
                      </wps:spPr>
                      <wps:txbx>
                        <w:txbxContent>
                          <w:p>
                            <w:pPr>
                              <w:rPr>
                                <w:rFonts w:hint="default" w:eastAsiaTheme="minorEastAsia"/>
                                <w:b/>
                                <w:bCs/>
                                <w:color w:val="FFFFFF" w:themeColor="background1"/>
                                <w:sz w:val="24"/>
                                <w:szCs w:val="28"/>
                                <w:lang w:val="en-US" w:eastAsia="zh-CN"/>
                                <w14:textFill>
                                  <w14:solidFill>
                                    <w14:schemeClr w14:val="bg1"/>
                                  </w14:solidFill>
                                </w14:textFill>
                              </w:rPr>
                            </w:pPr>
                            <w:r>
                              <w:rPr>
                                <w:rFonts w:hint="eastAsia"/>
                                <w:b/>
                                <w:bCs/>
                                <w:color w:val="FFFFFF" w:themeColor="background1"/>
                                <w:sz w:val="24"/>
                                <w:szCs w:val="28"/>
                                <w:lang w:val="en-US" w:eastAsia="zh-CN"/>
                                <w14:textFill>
                                  <w14:solidFill>
                                    <w14:schemeClr w14:val="bg1"/>
                                  </w14:solidFill>
                                </w14:textFill>
                              </w:rPr>
                              <w:t>520m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9" o:spid="_x0000_s1026" o:spt="202" type="#_x0000_t202" style="position:absolute;left:0pt;margin-left:430.9pt;margin-top:279.3pt;height:33.75pt;width:54.45pt;z-index:251706368;mso-width-relative:page;mso-height-relative:page;" filled="f" stroked="f" coordsize="21600,21600" o:gfxdata="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9bG963AAAAAsBAAAPAAAAAAAAAAEA&#10;IAAAACIAAABkcnMvZG93bnJldi54bWxQSwECFAAUAAAACACHTuJA41qsdEQCAAB3BAAADgAAAAAA&#10;AAABACAAAAArAQAAZHJzL2Uyb0RvYy54bWxQSwUGAAAAAAYABgBZAQAA4QUAAAAA&#10;">
                <v:fill on="f" focussize="0,0"/>
                <v:stroke on="f" weight="0.5pt"/>
                <v:imagedata o:title=""/>
                <o:lock v:ext="edit" aspectratio="f"/>
                <v:textbox>
                  <w:txbxContent>
                    <w:p>
                      <w:pPr>
                        <w:rPr>
                          <w:rFonts w:hint="default" w:eastAsiaTheme="minorEastAsia"/>
                          <w:b/>
                          <w:bCs/>
                          <w:color w:val="FFFFFF" w:themeColor="background1"/>
                          <w:sz w:val="24"/>
                          <w:szCs w:val="28"/>
                          <w:lang w:val="en-US" w:eastAsia="zh-CN"/>
                          <w14:textFill>
                            <w14:solidFill>
                              <w14:schemeClr w14:val="bg1"/>
                            </w14:solidFill>
                          </w14:textFill>
                        </w:rPr>
                      </w:pPr>
                      <w:r>
                        <w:rPr>
                          <w:rFonts w:hint="eastAsia"/>
                          <w:b/>
                          <w:bCs/>
                          <w:color w:val="FFFFFF" w:themeColor="background1"/>
                          <w:sz w:val="24"/>
                          <w:szCs w:val="28"/>
                          <w:lang w:val="en-US" w:eastAsia="zh-CN"/>
                          <w14:textFill>
                            <w14:solidFill>
                              <w14:schemeClr w14:val="bg1"/>
                            </w14:solidFill>
                          </w14:textFill>
                        </w:rPr>
                        <w:t>520m</w:t>
                      </w:r>
                    </w:p>
                  </w:txbxContent>
                </v:textbox>
              </v:shape>
            </w:pict>
          </mc:Fallback>
        </mc:AlternateContent>
      </w:r>
      <w:r>
        <w:rPr>
          <w:b/>
          <w:sz w:val="28"/>
          <w:szCs w:val="28"/>
        </w:rPr>
        <mc:AlternateContent>
          <mc:Choice Requires="wps">
            <w:drawing>
              <wp:anchor distT="0" distB="0" distL="114300" distR="114300" simplePos="0" relativeHeight="251705344" behindDoc="0" locked="0" layoutInCell="1" allowOverlap="1">
                <wp:simplePos x="0" y="0"/>
                <wp:positionH relativeFrom="column">
                  <wp:posOffset>5524500</wp:posOffset>
                </wp:positionH>
                <wp:positionV relativeFrom="paragraph">
                  <wp:posOffset>3726180</wp:posOffset>
                </wp:positionV>
                <wp:extent cx="535940" cy="201295"/>
                <wp:effectExtent l="0" t="8890" r="16510" b="18415"/>
                <wp:wrapNone/>
                <wp:docPr id="417" name="自选图形 53"/>
                <wp:cNvGraphicFramePr/>
                <a:graphic xmlns:a="http://schemas.openxmlformats.org/drawingml/2006/main">
                  <a:graphicData uri="http://schemas.microsoft.com/office/word/2010/wordprocessingShape">
                    <wps:wsp>
                      <wps:cNvCnPr/>
                      <wps:spPr>
                        <a:xfrm flipH="1">
                          <a:off x="0" y="0"/>
                          <a:ext cx="535940" cy="201295"/>
                        </a:xfrm>
                        <a:prstGeom prst="straightConnector1">
                          <a:avLst/>
                        </a:prstGeom>
                        <a:ln w="6350" cap="flat" cmpd="sng">
                          <a:solidFill>
                            <a:srgbClr val="FF0000"/>
                          </a:solidFill>
                          <a:prstDash val="solid"/>
                          <a:miter/>
                          <a:headEnd type="triangle" w="med" len="med"/>
                          <a:tailEnd type="triangle" w="med" len="med"/>
                        </a:ln>
                      </wps:spPr>
                      <wps:bodyPr/>
                    </wps:wsp>
                  </a:graphicData>
                </a:graphic>
              </wp:anchor>
            </w:drawing>
          </mc:Choice>
          <mc:Fallback>
            <w:pict>
              <v:shape id="自选图形 53" o:spid="_x0000_s1026" o:spt="32" type="#_x0000_t32" style="position:absolute;left:0pt;flip:x;margin-left:435pt;margin-top:293.4pt;height:15.85pt;width:42.2pt;z-index:251705344;mso-width-relative:page;mso-height-relative:page;" filled="f" stroked="t" coordsize="21600,21600" o:gfxdata="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JtCMTaAAAACwEAAA8AAAAAAAAAAQAg&#10;AAAAIgAAAGRycy9kb3ducmV2LnhtbFBLAQIUABQAAAAIAIdO4kDG8pdFDAIAAAYEAAAOAAAAAAAA&#10;AAEAIAAAACkBAABkcnMvZTJvRG9jLnhtbFBLBQYAAAAABgAGAFkBAACnBQAAAAA=&#10;">
                <v:fill on="f" focussize="0,0"/>
                <v:stroke weight="0.5pt" color="#FF0000" joinstyle="miter" startarrow="block" endarrow="block"/>
                <v:imagedata o:title=""/>
                <o:lock v:ext="edit" aspectratio="f"/>
              </v:shape>
            </w:pict>
          </mc:Fallback>
        </mc:AlternateContent>
      </w:r>
      <w:r>
        <w:rPr>
          <w:b/>
          <w:sz w:val="28"/>
          <w:szCs w:val="28"/>
        </w:rPr>
        <mc:AlternateContent>
          <mc:Choice Requires="wps">
            <w:drawing>
              <wp:anchor distT="0" distB="0" distL="114300" distR="114300" simplePos="0" relativeHeight="251700224" behindDoc="1" locked="0" layoutInCell="1" allowOverlap="1">
                <wp:simplePos x="0" y="0"/>
                <wp:positionH relativeFrom="column">
                  <wp:posOffset>5891530</wp:posOffset>
                </wp:positionH>
                <wp:positionV relativeFrom="paragraph">
                  <wp:posOffset>4213860</wp:posOffset>
                </wp:positionV>
                <wp:extent cx="691515" cy="428625"/>
                <wp:effectExtent l="0" t="0" r="0" b="0"/>
                <wp:wrapNone/>
                <wp:docPr id="412" name="文本框 149"/>
                <wp:cNvGraphicFramePr/>
                <a:graphic xmlns:a="http://schemas.openxmlformats.org/drawingml/2006/main">
                  <a:graphicData uri="http://schemas.microsoft.com/office/word/2010/wordprocessingShape">
                    <wps:wsp>
                      <wps:cNvSpPr txBox="1"/>
                      <wps:spPr>
                        <a:xfrm>
                          <a:off x="0" y="0"/>
                          <a:ext cx="504825" cy="276225"/>
                        </a:xfrm>
                        <a:prstGeom prst="rect">
                          <a:avLst/>
                        </a:prstGeom>
                        <a:noFill/>
                        <a:ln w="6350">
                          <a:noFill/>
                        </a:ln>
                        <a:effectLst/>
                      </wps:spPr>
                      <wps:txbx>
                        <w:txbxContent>
                          <w:p>
                            <w:pPr>
                              <w:rPr>
                                <w:rFonts w:hint="default" w:eastAsiaTheme="minorEastAsia"/>
                                <w:b/>
                                <w:bCs/>
                                <w:color w:val="FFFFFF" w:themeColor="background1"/>
                                <w:sz w:val="24"/>
                                <w:szCs w:val="28"/>
                                <w:lang w:val="en-US" w:eastAsia="zh-CN"/>
                                <w14:textFill>
                                  <w14:solidFill>
                                    <w14:schemeClr w14:val="bg1"/>
                                  </w14:solidFill>
                                </w14:textFill>
                              </w:rPr>
                            </w:pPr>
                            <w:r>
                              <w:rPr>
                                <w:rFonts w:hint="eastAsia"/>
                                <w:b/>
                                <w:bCs/>
                                <w:color w:val="FFFFFF" w:themeColor="background1"/>
                                <w:sz w:val="24"/>
                                <w:szCs w:val="28"/>
                                <w:lang w:val="en-US" w:eastAsia="zh-CN"/>
                                <w14:textFill>
                                  <w14:solidFill>
                                    <w14:schemeClr w14:val="bg1"/>
                                  </w14:solidFill>
                                </w14:textFill>
                              </w:rPr>
                              <w:t>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9" o:spid="_x0000_s1026" o:spt="202" type="#_x0000_t202" style="position:absolute;left:0pt;margin-left:463.9pt;margin-top:331.8pt;height:33.75pt;width:54.45pt;z-index:-251616256;mso-width-relative:page;mso-height-relative:page;" filled="f" stroked="f" coordsize="21600,21600" o:gfxdata="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VejPw3AAAAAwBAAAPAAAAAAAAAAEA&#10;IAAAACIAAABkcnMvZG93bnJldi54bWxQSwECFAAUAAAACACHTuJATqtQckQCAAB3BAAADgAAAAAA&#10;AAABACAAAAArAQAAZHJzL2Uyb0RvYy54bWxQSwUGAAAAAAYABgBZAQAA4QUAAAAA&#10;">
                <v:fill on="f" focussize="0,0"/>
                <v:stroke on="f" weight="0.5pt"/>
                <v:imagedata o:title=""/>
                <o:lock v:ext="edit" aspectratio="f"/>
                <v:textbox>
                  <w:txbxContent>
                    <w:p>
                      <w:pPr>
                        <w:rPr>
                          <w:rFonts w:hint="default" w:eastAsiaTheme="minorEastAsia"/>
                          <w:b/>
                          <w:bCs/>
                          <w:color w:val="FFFFFF" w:themeColor="background1"/>
                          <w:sz w:val="24"/>
                          <w:szCs w:val="28"/>
                          <w:lang w:val="en-US" w:eastAsia="zh-CN"/>
                          <w14:textFill>
                            <w14:solidFill>
                              <w14:schemeClr w14:val="bg1"/>
                            </w14:solidFill>
                          </w14:textFill>
                        </w:rPr>
                      </w:pPr>
                      <w:r>
                        <w:rPr>
                          <w:rFonts w:hint="eastAsia"/>
                          <w:b/>
                          <w:bCs/>
                          <w:color w:val="FFFFFF" w:themeColor="background1"/>
                          <w:sz w:val="24"/>
                          <w:szCs w:val="28"/>
                          <w:lang w:val="en-US" w:eastAsia="zh-CN"/>
                          <w14:textFill>
                            <w14:solidFill>
                              <w14:schemeClr w14:val="bg1"/>
                            </w14:solidFill>
                          </w14:textFill>
                        </w:rPr>
                        <w:t>500m</w:t>
                      </w:r>
                    </w:p>
                  </w:txbxContent>
                </v:textbox>
              </v:shape>
            </w:pict>
          </mc:Fallback>
        </mc:AlternateContent>
      </w:r>
      <w:r>
        <w:rPr>
          <w:b/>
          <w:sz w:val="28"/>
          <w:szCs w:val="28"/>
        </w:rPr>
        <mc:AlternateContent>
          <mc:Choice Requires="wps">
            <w:drawing>
              <wp:anchor distT="0" distB="0" distL="114300" distR="114300" simplePos="0" relativeHeight="251704320" behindDoc="0" locked="0" layoutInCell="1" allowOverlap="1">
                <wp:simplePos x="0" y="0"/>
                <wp:positionH relativeFrom="column">
                  <wp:posOffset>5739130</wp:posOffset>
                </wp:positionH>
                <wp:positionV relativeFrom="paragraph">
                  <wp:posOffset>4061460</wp:posOffset>
                </wp:positionV>
                <wp:extent cx="691515" cy="428625"/>
                <wp:effectExtent l="0" t="0" r="0" b="0"/>
                <wp:wrapNone/>
                <wp:docPr id="416" name="文本框 149"/>
                <wp:cNvGraphicFramePr/>
                <a:graphic xmlns:a="http://schemas.openxmlformats.org/drawingml/2006/main">
                  <a:graphicData uri="http://schemas.microsoft.com/office/word/2010/wordprocessingShape">
                    <wps:wsp>
                      <wps:cNvSpPr txBox="1"/>
                      <wps:spPr>
                        <a:xfrm>
                          <a:off x="0" y="0"/>
                          <a:ext cx="504825" cy="276225"/>
                        </a:xfrm>
                        <a:prstGeom prst="rect">
                          <a:avLst/>
                        </a:prstGeom>
                        <a:noFill/>
                        <a:ln w="6350">
                          <a:noFill/>
                        </a:ln>
                        <a:effectLst/>
                      </wps:spPr>
                      <wps:txbx>
                        <w:txbxContent>
                          <w:p>
                            <w:pPr>
                              <w:rPr>
                                <w:rFonts w:hint="default" w:eastAsiaTheme="minorEastAsia"/>
                                <w:b/>
                                <w:bCs/>
                                <w:color w:val="FFFFFF" w:themeColor="background1"/>
                                <w:sz w:val="24"/>
                                <w:szCs w:val="28"/>
                                <w:lang w:val="en-US" w:eastAsia="zh-CN"/>
                                <w14:textFill>
                                  <w14:solidFill>
                                    <w14:schemeClr w14:val="bg1"/>
                                  </w14:solidFill>
                                </w14:textFill>
                              </w:rPr>
                            </w:pPr>
                            <w:r>
                              <w:rPr>
                                <w:rFonts w:hint="eastAsia"/>
                                <w:b/>
                                <w:bCs/>
                                <w:color w:val="FFFFFF" w:themeColor="background1"/>
                                <w:sz w:val="24"/>
                                <w:szCs w:val="28"/>
                                <w:lang w:val="en-US" w:eastAsia="zh-CN"/>
                                <w14:textFill>
                                  <w14:solidFill>
                                    <w14:schemeClr w14:val="bg1"/>
                                  </w14:solidFill>
                                </w14:textFill>
                              </w:rPr>
                              <w:t>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9" o:spid="_x0000_s1026" o:spt="202" type="#_x0000_t202" style="position:absolute;left:0pt;margin-left:451.9pt;margin-top:319.8pt;height:33.75pt;width:54.45pt;z-index:251704320;mso-width-relative:page;mso-height-relative:page;" filled="f" stroked="f" coordsize="21600,21600" o:gfxdata="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0u6vo3AAAAAwBAAAPAAAAAAAAAAEA&#10;IAAAACIAAABkcnMvZG93bnJldi54bWxQSwECFAAUAAAACACHTuJAYzYYx0QCAAB3BAAADgAAAAAA&#10;AAABACAAAAArAQAAZHJzL2Uyb0RvYy54bWxQSwUGAAAAAAYABgBZAQAA4QUAAAAA&#10;">
                <v:fill on="f" focussize="0,0"/>
                <v:stroke on="f" weight="0.5pt"/>
                <v:imagedata o:title=""/>
                <o:lock v:ext="edit" aspectratio="f"/>
                <v:textbox>
                  <w:txbxContent>
                    <w:p>
                      <w:pPr>
                        <w:rPr>
                          <w:rFonts w:hint="default" w:eastAsiaTheme="minorEastAsia"/>
                          <w:b/>
                          <w:bCs/>
                          <w:color w:val="FFFFFF" w:themeColor="background1"/>
                          <w:sz w:val="24"/>
                          <w:szCs w:val="28"/>
                          <w:lang w:val="en-US" w:eastAsia="zh-CN"/>
                          <w14:textFill>
                            <w14:solidFill>
                              <w14:schemeClr w14:val="bg1"/>
                            </w14:solidFill>
                          </w14:textFill>
                        </w:rPr>
                      </w:pPr>
                      <w:r>
                        <w:rPr>
                          <w:rFonts w:hint="eastAsia"/>
                          <w:b/>
                          <w:bCs/>
                          <w:color w:val="FFFFFF" w:themeColor="background1"/>
                          <w:sz w:val="24"/>
                          <w:szCs w:val="28"/>
                          <w:lang w:val="en-US" w:eastAsia="zh-CN"/>
                          <w14:textFill>
                            <w14:solidFill>
                              <w14:schemeClr w14:val="bg1"/>
                            </w14:solidFill>
                          </w14:textFill>
                        </w:rPr>
                        <w:t>500m</w:t>
                      </w:r>
                    </w:p>
                  </w:txbxContent>
                </v:textbox>
              </v:shape>
            </w:pict>
          </mc:Fallback>
        </mc:AlternateContent>
      </w:r>
      <w:r>
        <w:rPr>
          <w:b/>
          <w:sz w:val="28"/>
          <w:szCs w:val="28"/>
        </w:rPr>
        <mc:AlternateContent>
          <mc:Choice Requires="wps">
            <w:drawing>
              <wp:anchor distT="0" distB="0" distL="114300" distR="114300" simplePos="0" relativeHeight="251695104" behindDoc="0" locked="0" layoutInCell="1" allowOverlap="1">
                <wp:simplePos x="0" y="0"/>
                <wp:positionH relativeFrom="column">
                  <wp:posOffset>5686425</wp:posOffset>
                </wp:positionH>
                <wp:positionV relativeFrom="paragraph">
                  <wp:posOffset>3926205</wp:posOffset>
                </wp:positionV>
                <wp:extent cx="459740" cy="277495"/>
                <wp:effectExtent l="0" t="0" r="16510" b="8255"/>
                <wp:wrapNone/>
                <wp:docPr id="406" name="自选图形 56"/>
                <wp:cNvGraphicFramePr/>
                <a:graphic xmlns:a="http://schemas.openxmlformats.org/drawingml/2006/main">
                  <a:graphicData uri="http://schemas.microsoft.com/office/word/2010/wordprocessingShape">
                    <wps:wsp>
                      <wps:cNvCnPr/>
                      <wps:spPr>
                        <a:xfrm flipH="1">
                          <a:off x="0" y="0"/>
                          <a:ext cx="459740" cy="277495"/>
                        </a:xfrm>
                        <a:prstGeom prst="straightConnector1">
                          <a:avLst/>
                        </a:prstGeom>
                        <a:ln w="6350" cap="flat" cmpd="sng">
                          <a:solidFill>
                            <a:srgbClr val="FF0000"/>
                          </a:solidFill>
                          <a:prstDash val="solid"/>
                          <a:miter/>
                          <a:headEnd type="triangle" w="med" len="med"/>
                          <a:tailEnd type="triangle" w="med" len="med"/>
                        </a:ln>
                      </wps:spPr>
                      <wps:bodyPr/>
                    </wps:wsp>
                  </a:graphicData>
                </a:graphic>
              </wp:anchor>
            </w:drawing>
          </mc:Choice>
          <mc:Fallback>
            <w:pict>
              <v:shape id="自选图形 56" o:spid="_x0000_s1026" o:spt="32" type="#_x0000_t32" style="position:absolute;left:0pt;flip:x;margin-left:447.75pt;margin-top:309.15pt;height:21.85pt;width:36.2pt;z-index:251695104;mso-width-relative:page;mso-height-relative:page;" filled="f" stroked="t" coordsize="21600,21600" o:gfxdata="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A0pA/aAAAACwEAAA8AAAAAAAAAAQAg&#10;AAAAIgAAAGRycy9kb3ducmV2LnhtbFBLAQIUABQAAAAIAIdO4kArgg5ADAIAAAYEAAAOAAAAAAAA&#10;AAEAIAAAACkBAABkcnMvZTJvRG9jLnhtbFBLBQYAAAAABgAGAFkBAACnBQAAAAA=&#10;">
                <v:fill on="f" focussize="0,0"/>
                <v:stroke weight="0.5pt" color="#FF0000" joinstyle="miter" startarrow="block" endarrow="block"/>
                <v:imagedata o:title=""/>
                <o:lock v:ext="edit" aspectratio="f"/>
              </v:shape>
            </w:pict>
          </mc:Fallback>
        </mc:AlternateContent>
      </w:r>
      <w:r>
        <w:rPr>
          <w:b/>
          <w:sz w:val="28"/>
          <w:szCs w:val="28"/>
        </w:rPr>
        <mc:AlternateContent>
          <mc:Choice Requires="wps">
            <w:drawing>
              <wp:anchor distT="0" distB="0" distL="114300" distR="114300" simplePos="0" relativeHeight="251703296" behindDoc="0" locked="0" layoutInCell="1" allowOverlap="1">
                <wp:simplePos x="0" y="0"/>
                <wp:positionH relativeFrom="column">
                  <wp:posOffset>6129655</wp:posOffset>
                </wp:positionH>
                <wp:positionV relativeFrom="paragraph">
                  <wp:posOffset>3937635</wp:posOffset>
                </wp:positionV>
                <wp:extent cx="548640" cy="323850"/>
                <wp:effectExtent l="0" t="0" r="0" b="0"/>
                <wp:wrapNone/>
                <wp:docPr id="415" name="文本框 149"/>
                <wp:cNvGraphicFramePr/>
                <a:graphic xmlns:a="http://schemas.openxmlformats.org/drawingml/2006/main">
                  <a:graphicData uri="http://schemas.microsoft.com/office/word/2010/wordprocessingShape">
                    <wps:wsp>
                      <wps:cNvSpPr txBox="1"/>
                      <wps:spPr>
                        <a:xfrm>
                          <a:off x="0" y="0"/>
                          <a:ext cx="504825" cy="276225"/>
                        </a:xfrm>
                        <a:prstGeom prst="rect">
                          <a:avLst/>
                        </a:prstGeom>
                        <a:noFill/>
                        <a:ln w="6350">
                          <a:noFill/>
                        </a:ln>
                        <a:effectLst/>
                      </wps:spPr>
                      <wps:txbx>
                        <w:txbxContent>
                          <w:p>
                            <w:pPr>
                              <w:rPr>
                                <w:rFonts w:hint="default" w:eastAsiaTheme="minorEastAsia"/>
                                <w:b/>
                                <w:bCs/>
                                <w:color w:val="FFFFFF" w:themeColor="background1"/>
                                <w:sz w:val="24"/>
                                <w:szCs w:val="28"/>
                                <w:lang w:val="en-US" w:eastAsia="zh-CN"/>
                                <w14:textFill>
                                  <w14:solidFill>
                                    <w14:schemeClr w14:val="bg1"/>
                                  </w14:solidFill>
                                </w14:textFill>
                              </w:rPr>
                            </w:pPr>
                            <w:r>
                              <w:rPr>
                                <w:rFonts w:hint="eastAsia"/>
                                <w:b/>
                                <w:bCs/>
                                <w:color w:val="FFFFFF" w:themeColor="background1"/>
                                <w:sz w:val="24"/>
                                <w:szCs w:val="28"/>
                                <w:lang w:val="en-US" w:eastAsia="zh-CN"/>
                                <w14:textFill>
                                  <w14:solidFill>
                                    <w14:schemeClr w14:val="bg1"/>
                                  </w14:solidFill>
                                </w14:textFill>
                              </w:rPr>
                              <w:t>400m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9" o:spid="_x0000_s1026" o:spt="202" type="#_x0000_t202" style="position:absolute;left:0pt;margin-left:482.65pt;margin-top:310.05pt;height:25.5pt;width:43.2pt;z-index:251703296;mso-width-relative:page;mso-height-relative:page;" filled="f" stroked="f" coordsize="21600,21600" o:gfxdata="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Z3rX23AAAAAwBAAAPAAAAAAAAAAEA&#10;IAAAACIAAABkcnMvZG93bnJldi54bWxQSwECFAAUAAAACACHTuJADp2KK0QCAAB3BAAADgAAAAAA&#10;AAABACAAAAArAQAAZHJzL2Uyb0RvYy54bWxQSwUGAAAAAAYABgBZAQAA4QUAAAAA&#10;">
                <v:fill on="f" focussize="0,0"/>
                <v:stroke on="f" weight="0.5pt"/>
                <v:imagedata o:title=""/>
                <o:lock v:ext="edit" aspectratio="f"/>
                <v:textbox>
                  <w:txbxContent>
                    <w:p>
                      <w:pPr>
                        <w:rPr>
                          <w:rFonts w:hint="default" w:eastAsiaTheme="minorEastAsia"/>
                          <w:b/>
                          <w:bCs/>
                          <w:color w:val="FFFFFF" w:themeColor="background1"/>
                          <w:sz w:val="24"/>
                          <w:szCs w:val="28"/>
                          <w:lang w:val="en-US" w:eastAsia="zh-CN"/>
                          <w14:textFill>
                            <w14:solidFill>
                              <w14:schemeClr w14:val="bg1"/>
                            </w14:solidFill>
                          </w14:textFill>
                        </w:rPr>
                      </w:pPr>
                      <w:r>
                        <w:rPr>
                          <w:rFonts w:hint="eastAsia"/>
                          <w:b/>
                          <w:bCs/>
                          <w:color w:val="FFFFFF" w:themeColor="background1"/>
                          <w:sz w:val="24"/>
                          <w:szCs w:val="28"/>
                          <w:lang w:val="en-US" w:eastAsia="zh-CN"/>
                          <w14:textFill>
                            <w14:solidFill>
                              <w14:schemeClr w14:val="bg1"/>
                            </w14:solidFill>
                          </w14:textFill>
                        </w:rPr>
                        <w:t>400m</w:t>
                      </w:r>
                    </w:p>
                  </w:txbxContent>
                </v:textbox>
              </v:shape>
            </w:pict>
          </mc:Fallback>
        </mc:AlternateContent>
      </w:r>
      <w:r>
        <w:rPr>
          <w:b/>
          <w:sz w:val="28"/>
          <w:szCs w:val="28"/>
        </w:rPr>
        <mc:AlternateContent>
          <mc:Choice Requires="wps">
            <w:drawing>
              <wp:anchor distT="0" distB="0" distL="114300" distR="114300" simplePos="0" relativeHeight="251688960" behindDoc="0" locked="0" layoutInCell="1" allowOverlap="1">
                <wp:simplePos x="0" y="0"/>
                <wp:positionH relativeFrom="column">
                  <wp:posOffset>6349365</wp:posOffset>
                </wp:positionH>
                <wp:positionV relativeFrom="paragraph">
                  <wp:posOffset>3883660</wp:posOffset>
                </wp:positionV>
                <wp:extent cx="346710" cy="129540"/>
                <wp:effectExtent l="0" t="8890" r="15240" b="13970"/>
                <wp:wrapNone/>
                <wp:docPr id="400" name="直接箭头连接符 163"/>
                <wp:cNvGraphicFramePr/>
                <a:graphic xmlns:a="http://schemas.openxmlformats.org/drawingml/2006/main">
                  <a:graphicData uri="http://schemas.microsoft.com/office/word/2010/wordprocessingShape">
                    <wps:wsp>
                      <wps:cNvCnPr/>
                      <wps:spPr>
                        <a:xfrm flipH="1" flipV="1">
                          <a:off x="0" y="0"/>
                          <a:ext cx="346710" cy="129540"/>
                        </a:xfrm>
                        <a:prstGeom prst="straightConnector1">
                          <a:avLst/>
                        </a:prstGeom>
                        <a:ln w="6350" cap="flat" cmpd="sng">
                          <a:solidFill>
                            <a:srgbClr val="FF0000"/>
                          </a:solidFill>
                          <a:prstDash val="solid"/>
                          <a:miter/>
                          <a:headEnd type="triangle" w="med" len="med"/>
                          <a:tailEnd type="triangle" w="med" len="med"/>
                        </a:ln>
                      </wps:spPr>
                      <wps:bodyPr/>
                    </wps:wsp>
                  </a:graphicData>
                </a:graphic>
              </wp:anchor>
            </w:drawing>
          </mc:Choice>
          <mc:Fallback>
            <w:pict>
              <v:shape id="直接箭头连接符 163" o:spid="_x0000_s1026" o:spt="32" type="#_x0000_t32" style="position:absolute;left:0pt;flip:x y;margin-left:499.95pt;margin-top:305.8pt;height:10.2pt;width:27.3pt;z-index:251688960;mso-width-relative:page;mso-height-relative:page;" filled="f" stroked="t" coordsize="21600,21600" o:gfxdata="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PA8+WHYAAAADAEA&#10;AA8AAAAAAAAAAQAgAAAAIgAAAGRycy9kb3ducmV2LnhtbFBLAQIUABQAAAAIAIdO4kADr/rOGgIA&#10;ABoEAAAOAAAAAAAAAAEAIAAAACcBAABkcnMvZTJvRG9jLnhtbFBLBQYAAAAABgAGAFkBAACzBQAA&#10;AAA=&#10;">
                <v:fill on="f" focussize="0,0"/>
                <v:stroke weight="0.5pt" color="#FF0000" joinstyle="miter" startarrow="block" endarrow="block"/>
                <v:imagedata o:title=""/>
                <o:lock v:ext="edit" aspectratio="f"/>
              </v:shape>
            </w:pict>
          </mc:Fallback>
        </mc:AlternateContent>
      </w:r>
      <w:r>
        <w:rPr>
          <w:b/>
          <w:sz w:val="28"/>
          <w:szCs w:val="28"/>
        </w:rPr>
        <mc:AlternateContent>
          <mc:Choice Requires="wps">
            <w:drawing>
              <wp:anchor distT="0" distB="0" distL="114300" distR="114300" simplePos="0" relativeHeight="251694080" behindDoc="0" locked="0" layoutInCell="1" allowOverlap="1">
                <wp:simplePos x="0" y="0"/>
                <wp:positionH relativeFrom="column">
                  <wp:posOffset>6320155</wp:posOffset>
                </wp:positionH>
                <wp:positionV relativeFrom="paragraph">
                  <wp:posOffset>3223260</wp:posOffset>
                </wp:positionV>
                <wp:extent cx="691515" cy="428625"/>
                <wp:effectExtent l="0" t="0" r="0" b="0"/>
                <wp:wrapNone/>
                <wp:docPr id="405" name="文本框 149"/>
                <wp:cNvGraphicFramePr/>
                <a:graphic xmlns:a="http://schemas.openxmlformats.org/drawingml/2006/main">
                  <a:graphicData uri="http://schemas.microsoft.com/office/word/2010/wordprocessingShape">
                    <wps:wsp>
                      <wps:cNvSpPr txBox="1"/>
                      <wps:spPr>
                        <a:xfrm>
                          <a:off x="0" y="0"/>
                          <a:ext cx="504825" cy="276225"/>
                        </a:xfrm>
                        <a:prstGeom prst="rect">
                          <a:avLst/>
                        </a:prstGeom>
                        <a:noFill/>
                        <a:ln w="6350">
                          <a:noFill/>
                        </a:ln>
                        <a:effectLst/>
                      </wps:spPr>
                      <wps:txbx>
                        <w:txbxContent>
                          <w:p>
                            <w:pPr>
                              <w:rPr>
                                <w:rFonts w:hint="default" w:eastAsiaTheme="minorEastAsia"/>
                                <w:b/>
                                <w:bCs/>
                                <w:color w:val="FFFFFF" w:themeColor="background1"/>
                                <w:sz w:val="24"/>
                                <w:szCs w:val="28"/>
                                <w:lang w:val="en-US" w:eastAsia="zh-CN"/>
                                <w14:textFill>
                                  <w14:solidFill>
                                    <w14:schemeClr w14:val="bg1"/>
                                  </w14:solidFill>
                                </w14:textFill>
                              </w:rPr>
                            </w:pPr>
                            <w:r>
                              <w:rPr>
                                <w:rFonts w:hint="eastAsia"/>
                                <w:b/>
                                <w:bCs/>
                                <w:color w:val="FFFFFF" w:themeColor="background1"/>
                                <w:sz w:val="24"/>
                                <w:szCs w:val="28"/>
                                <w:lang w:val="en-US" w:eastAsia="zh-CN"/>
                                <w14:textFill>
                                  <w14:solidFill>
                                    <w14:schemeClr w14:val="bg1"/>
                                  </w14:solidFill>
                                </w14:textFill>
                              </w:rPr>
                              <w:t>510m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9" o:spid="_x0000_s1026" o:spt="202" type="#_x0000_t202" style="position:absolute;left:0pt;margin-left:497.65pt;margin-top:253.8pt;height:33.75pt;width:54.45pt;z-index:251694080;mso-width-relative:page;mso-height-relative:page;" filled="f" stroked="f" coordsize="21600,21600" o:gfxdata="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fXYWI3AAAAAwBAAAPAAAAAAAAAAEA&#10;IAAAACIAAABkcnMvZG93bnJldi54bWxQSwECFAAUAAAACACHTuJANBjQOkQCAAB3BAAADgAAAAAA&#10;AAABACAAAAArAQAAZHJzL2Uyb0RvYy54bWxQSwUGAAAAAAYABgBZAQAA4QUAAAAA&#10;">
                <v:fill on="f" focussize="0,0"/>
                <v:stroke on="f" weight="0.5pt"/>
                <v:imagedata o:title=""/>
                <o:lock v:ext="edit" aspectratio="f"/>
                <v:textbox>
                  <w:txbxContent>
                    <w:p>
                      <w:pPr>
                        <w:rPr>
                          <w:rFonts w:hint="default" w:eastAsiaTheme="minorEastAsia"/>
                          <w:b/>
                          <w:bCs/>
                          <w:color w:val="FFFFFF" w:themeColor="background1"/>
                          <w:sz w:val="24"/>
                          <w:szCs w:val="28"/>
                          <w:lang w:val="en-US" w:eastAsia="zh-CN"/>
                          <w14:textFill>
                            <w14:solidFill>
                              <w14:schemeClr w14:val="bg1"/>
                            </w14:solidFill>
                          </w14:textFill>
                        </w:rPr>
                      </w:pPr>
                      <w:r>
                        <w:rPr>
                          <w:rFonts w:hint="eastAsia"/>
                          <w:b/>
                          <w:bCs/>
                          <w:color w:val="FFFFFF" w:themeColor="background1"/>
                          <w:sz w:val="24"/>
                          <w:szCs w:val="28"/>
                          <w:lang w:val="en-US" w:eastAsia="zh-CN"/>
                          <w14:textFill>
                            <w14:solidFill>
                              <w14:schemeClr w14:val="bg1"/>
                            </w14:solidFill>
                          </w14:textFill>
                        </w:rPr>
                        <w:t>510m</w:t>
                      </w:r>
                    </w:p>
                  </w:txbxContent>
                </v:textbox>
              </v:shape>
            </w:pict>
          </mc:Fallback>
        </mc:AlternateContent>
      </w:r>
      <w:r>
        <w:rPr>
          <w:b/>
          <w:sz w:val="28"/>
          <w:szCs w:val="28"/>
        </w:rPr>
        <mc:AlternateContent>
          <mc:Choice Requires="wps">
            <w:drawing>
              <wp:anchor distT="0" distB="0" distL="114300" distR="114300" simplePos="0" relativeHeight="251687936" behindDoc="0" locked="0" layoutInCell="1" allowOverlap="1">
                <wp:simplePos x="0" y="0"/>
                <wp:positionH relativeFrom="column">
                  <wp:posOffset>6343650</wp:posOffset>
                </wp:positionH>
                <wp:positionV relativeFrom="paragraph">
                  <wp:posOffset>3169920</wp:posOffset>
                </wp:positionV>
                <wp:extent cx="215265" cy="462280"/>
                <wp:effectExtent l="2540" t="0" r="10795" b="13970"/>
                <wp:wrapNone/>
                <wp:docPr id="399" name="直接箭头连接符 151"/>
                <wp:cNvGraphicFramePr/>
                <a:graphic xmlns:a="http://schemas.openxmlformats.org/drawingml/2006/main">
                  <a:graphicData uri="http://schemas.microsoft.com/office/word/2010/wordprocessingShape">
                    <wps:wsp>
                      <wps:cNvCnPr/>
                      <wps:spPr>
                        <a:xfrm flipH="1">
                          <a:off x="0" y="0"/>
                          <a:ext cx="215265" cy="462280"/>
                        </a:xfrm>
                        <a:prstGeom prst="straightConnector1">
                          <a:avLst/>
                        </a:prstGeom>
                        <a:ln w="6350" cap="flat" cmpd="sng">
                          <a:solidFill>
                            <a:srgbClr val="FF0000"/>
                          </a:solidFill>
                          <a:prstDash val="solid"/>
                          <a:miter/>
                          <a:headEnd type="triangle" w="med" len="med"/>
                          <a:tailEnd type="triangle" w="med" len="med"/>
                        </a:ln>
                      </wps:spPr>
                      <wps:bodyPr/>
                    </wps:wsp>
                  </a:graphicData>
                </a:graphic>
              </wp:anchor>
            </w:drawing>
          </mc:Choice>
          <mc:Fallback>
            <w:pict>
              <v:shape id="直接箭头连接符 151" o:spid="_x0000_s1026" o:spt="32" type="#_x0000_t32" style="position:absolute;left:0pt;flip:x;margin-left:499.5pt;margin-top:249.6pt;height:36.4pt;width:16.95pt;z-index:251687936;mso-width-relative:page;mso-height-relative:page;" filled="f" stroked="t" coordsize="21600,21600" o:gfxdata="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BLjhszaAAAADAEA&#10;AA8AAAAAAAAAAQAgAAAAIgAAAGRycy9kb3ducmV2LnhtbFBLAQIUABQAAAAIAIdO4kBPP8mIGAIA&#10;ABAEAAAOAAAAAAAAAAEAIAAAACkBAABkcnMvZTJvRG9jLnhtbFBLBQYAAAAABgAGAFkBAACzBQAA&#10;AAA=&#10;">
                <v:fill on="f" focussize="0,0"/>
                <v:stroke weight="0.5pt" color="#FF0000" joinstyle="miter" startarrow="block" endarrow="block"/>
                <v:imagedata o:title=""/>
                <o:lock v:ext="edit" aspectratio="f"/>
              </v:shape>
            </w:pict>
          </mc:Fallback>
        </mc:AlternateContent>
      </w:r>
      <w:r>
        <w:rPr>
          <w:b/>
          <w:sz w:val="28"/>
          <w:szCs w:val="28"/>
        </w:rPr>
        <mc:AlternateContent>
          <mc:Choice Requires="wps">
            <w:drawing>
              <wp:anchor distT="0" distB="0" distL="114300" distR="114300" simplePos="0" relativeHeight="251689984" behindDoc="0" locked="0" layoutInCell="1" allowOverlap="1">
                <wp:simplePos x="0" y="0"/>
                <wp:positionH relativeFrom="column">
                  <wp:posOffset>6195060</wp:posOffset>
                </wp:positionH>
                <wp:positionV relativeFrom="paragraph">
                  <wp:posOffset>739775</wp:posOffset>
                </wp:positionV>
                <wp:extent cx="555625" cy="2873375"/>
                <wp:effectExtent l="22860" t="0" r="31115" b="3175"/>
                <wp:wrapNone/>
                <wp:docPr id="401" name="直接箭头连接符 175"/>
                <wp:cNvGraphicFramePr/>
                <a:graphic xmlns:a="http://schemas.openxmlformats.org/drawingml/2006/main">
                  <a:graphicData uri="http://schemas.microsoft.com/office/word/2010/wordprocessingShape">
                    <wps:wsp>
                      <wps:cNvCnPr/>
                      <wps:spPr>
                        <a:xfrm flipH="1">
                          <a:off x="0" y="0"/>
                          <a:ext cx="555625" cy="2873375"/>
                        </a:xfrm>
                        <a:prstGeom prst="straightConnector1">
                          <a:avLst/>
                        </a:prstGeom>
                        <a:ln w="6350" cap="flat" cmpd="sng">
                          <a:solidFill>
                            <a:srgbClr val="1EEEEE"/>
                          </a:solidFill>
                          <a:prstDash val="solid"/>
                          <a:miter/>
                          <a:headEnd type="triangle" w="med" len="med"/>
                          <a:tailEnd type="triangle" w="med" len="med"/>
                        </a:ln>
                      </wps:spPr>
                      <wps:bodyPr/>
                    </wps:wsp>
                  </a:graphicData>
                </a:graphic>
              </wp:anchor>
            </w:drawing>
          </mc:Choice>
          <mc:Fallback>
            <w:pict>
              <v:shape id="直接箭头连接符 175" o:spid="_x0000_s1026" o:spt="32" type="#_x0000_t32" style="position:absolute;left:0pt;flip:x;margin-left:487.8pt;margin-top:58.25pt;height:226.25pt;width:43.75pt;z-index:251689984;mso-width-relative:page;mso-height-relative:page;" filled="f" stroked="t" coordsize="21600,21600" o:gfxdata="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EdfjlPbAAAADAEA&#10;AA8AAAAAAAAAAQAgAAAAIgAAAGRycy9kb3ducmV2LnhtbFBLAQIUABQAAAAIAIdO4kChoMfHFwIA&#10;ABEEAAAOAAAAAAAAAAEAIAAAACoBAABkcnMvZTJvRG9jLnhtbFBLBQYAAAAABgAGAFkBAACzBQAA&#10;AAA=&#10;">
                <v:fill on="f" focussize="0,0"/>
                <v:stroke weight="0.5pt" color="#1EEEEE" joinstyle="miter" startarrow="block" endarrow="block"/>
                <v:imagedata o:title=""/>
                <o:lock v:ext="edit" aspectratio="f"/>
              </v:shape>
            </w:pict>
          </mc:Fallback>
        </mc:AlternateContent>
      </w:r>
      <w:r>
        <w:rPr>
          <w:b/>
          <w:sz w:val="28"/>
          <w:szCs w:val="28"/>
        </w:rPr>
        <mc:AlternateContent>
          <mc:Choice Requires="wps">
            <w:drawing>
              <wp:anchor distT="0" distB="0" distL="114300" distR="114300" simplePos="0" relativeHeight="251691008" behindDoc="0" locked="0" layoutInCell="1" allowOverlap="1">
                <wp:simplePos x="0" y="0"/>
                <wp:positionH relativeFrom="margin">
                  <wp:posOffset>6732905</wp:posOffset>
                </wp:positionH>
                <wp:positionV relativeFrom="paragraph">
                  <wp:posOffset>836930</wp:posOffset>
                </wp:positionV>
                <wp:extent cx="1064895" cy="839470"/>
                <wp:effectExtent l="0" t="0" r="0" b="0"/>
                <wp:wrapNone/>
                <wp:docPr id="402" name="文本框 176"/>
                <wp:cNvGraphicFramePr/>
                <a:graphic xmlns:a="http://schemas.openxmlformats.org/drawingml/2006/main">
                  <a:graphicData uri="http://schemas.microsoft.com/office/word/2010/wordprocessingShape">
                    <wps:wsp>
                      <wps:cNvSpPr txBox="1"/>
                      <wps:spPr>
                        <a:xfrm rot="21439421">
                          <a:off x="0" y="0"/>
                          <a:ext cx="609600" cy="276225"/>
                        </a:xfrm>
                        <a:prstGeom prst="rect">
                          <a:avLst/>
                        </a:prstGeom>
                        <a:noFill/>
                        <a:ln w="6350">
                          <a:noFill/>
                        </a:ln>
                        <a:effectLst/>
                      </wps:spPr>
                      <wps:txbx>
                        <w:txbxContent>
                          <w:p>
                            <w:pPr>
                              <w:rPr>
                                <w:rFonts w:hint="default"/>
                                <w:b/>
                                <w:bCs/>
                                <w:color w:val="1EEEEE"/>
                                <w:sz w:val="40"/>
                                <w:szCs w:val="44"/>
                                <w:lang w:val="en-US"/>
                              </w:rPr>
                            </w:pPr>
                            <w:r>
                              <w:rPr>
                                <w:rFonts w:hint="eastAsia"/>
                                <w:b/>
                                <w:bCs/>
                                <w:color w:val="1EEEEE"/>
                                <w:sz w:val="40"/>
                                <w:szCs w:val="44"/>
                                <w:lang w:val="en-US" w:eastAsia="zh-CN"/>
                              </w:rPr>
                              <w:t>2800m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76" o:spid="_x0000_s1026" o:spt="202" type="#_x0000_t202" style="position:absolute;left:0pt;margin-left:530.15pt;margin-top:65.9pt;height:66.1pt;width:83.85pt;mso-position-horizontal-relative:margin;rotation:-175395f;z-index:251691008;mso-width-relative:page;mso-height-relative:page;" filled="f" stroked="f" coordsize="21600,21600" o:gfxdata="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Dll9jYAAAADQEAAA8AAAAA&#10;AAAAAQAgAAAAIgAAAGRycy9kb3ducmV2LnhtbFBLAQIUABQAAAAIAIdO4kC+geXeTQIAAIYEAAAO&#10;AAAAAAAAAAEAIAAAACcBAABkcnMvZTJvRG9jLnhtbFBLBQYAAAAABgAGAFkBAADmBQAAAAA=&#10;">
                <v:fill on="f" focussize="0,0"/>
                <v:stroke on="f" weight="0.5pt"/>
                <v:imagedata o:title=""/>
                <o:lock v:ext="edit" aspectratio="f"/>
                <v:textbox>
                  <w:txbxContent>
                    <w:p>
                      <w:pPr>
                        <w:rPr>
                          <w:rFonts w:hint="default"/>
                          <w:b/>
                          <w:bCs/>
                          <w:color w:val="1EEEEE"/>
                          <w:sz w:val="40"/>
                          <w:szCs w:val="44"/>
                          <w:lang w:val="en-US"/>
                        </w:rPr>
                      </w:pPr>
                      <w:r>
                        <w:rPr>
                          <w:rFonts w:hint="eastAsia"/>
                          <w:b/>
                          <w:bCs/>
                          <w:color w:val="1EEEEE"/>
                          <w:sz w:val="40"/>
                          <w:szCs w:val="44"/>
                          <w:lang w:val="en-US" w:eastAsia="zh-CN"/>
                        </w:rPr>
                        <w:t>2800m</w:t>
                      </w:r>
                    </w:p>
                  </w:txbxContent>
                </v:textbox>
              </v:shape>
            </w:pict>
          </mc:Fallback>
        </mc:AlternateContent>
      </w:r>
      <w:r>
        <w:rPr>
          <w:b/>
          <w:sz w:val="28"/>
          <w:szCs w:val="28"/>
        </w:rPr>
        <mc:AlternateContent>
          <mc:Choice Requires="wps">
            <w:drawing>
              <wp:anchor distT="0" distB="0" distL="114300" distR="114300" simplePos="0" relativeHeight="251696128" behindDoc="0" locked="0" layoutInCell="1" allowOverlap="1">
                <wp:simplePos x="0" y="0"/>
                <wp:positionH relativeFrom="margin">
                  <wp:posOffset>6424930</wp:posOffset>
                </wp:positionH>
                <wp:positionV relativeFrom="paragraph">
                  <wp:posOffset>241300</wp:posOffset>
                </wp:positionV>
                <wp:extent cx="1116965" cy="576580"/>
                <wp:effectExtent l="0" t="0" r="0" b="0"/>
                <wp:wrapNone/>
                <wp:docPr id="407" name="文本框 147"/>
                <wp:cNvGraphicFramePr/>
                <a:graphic xmlns:a="http://schemas.openxmlformats.org/drawingml/2006/main">
                  <a:graphicData uri="http://schemas.microsoft.com/office/word/2010/wordprocessingShape">
                    <wps:wsp>
                      <wps:cNvSpPr txBox="1"/>
                      <wps:spPr>
                        <a:xfrm>
                          <a:off x="0" y="0"/>
                          <a:ext cx="609600" cy="276225"/>
                        </a:xfrm>
                        <a:prstGeom prst="rect">
                          <a:avLst/>
                        </a:prstGeom>
                        <a:noFill/>
                        <a:ln w="6350">
                          <a:noFill/>
                        </a:ln>
                        <a:effectLst/>
                      </wps:spPr>
                      <wps:txbx>
                        <w:txbxContent>
                          <w:p>
                            <w:pPr>
                              <w:rPr>
                                <w:rFonts w:hint="default" w:eastAsiaTheme="minorEastAsia"/>
                                <w:b/>
                                <w:bCs/>
                                <w:color w:val="00B0F0"/>
                                <w:sz w:val="28"/>
                                <w:szCs w:val="32"/>
                                <w:lang w:val="en-US" w:eastAsia="zh-CN"/>
                              </w:rPr>
                            </w:pPr>
                            <w:r>
                              <w:rPr>
                                <w:rFonts w:hint="eastAsia"/>
                                <w:b/>
                                <w:bCs/>
                                <w:color w:val="00B0F0"/>
                                <w:sz w:val="28"/>
                                <w:szCs w:val="32"/>
                                <w:lang w:val="en-US" w:eastAsia="zh-CN"/>
                              </w:rPr>
                              <w:t>黄大港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7" o:spid="_x0000_s1026" o:spt="202" type="#_x0000_t202" style="position:absolute;left:0pt;margin-left:505.9pt;margin-top:19pt;height:45.4pt;width:87.95pt;mso-position-horizontal-relative:margin;z-index:251696128;mso-width-relative:page;mso-height-relative:page;" filled="f" stroked="f" coordsize="21600,21600" o:gfxdata="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hqR3JdsAAAAMAQAADwAAAAAAAAABACAA&#10;AAAiAAAAZHJzL2Rvd25yZXYueG1sUEsBAhQAFAAAAAgAh07iQB0kRVZDAgAAdwQAAA4AAAAAAAAA&#10;AQAgAAAAKgEAAGRycy9lMm9Eb2MueG1sUEsFBgAAAAAGAAYAWQEAAN8FAAAAAA==&#10;">
                <v:fill on="f" focussize="0,0"/>
                <v:stroke on="f" weight="0.5pt"/>
                <v:imagedata o:title=""/>
                <o:lock v:ext="edit" aspectratio="f"/>
                <v:textbox>
                  <w:txbxContent>
                    <w:p>
                      <w:pPr>
                        <w:rPr>
                          <w:rFonts w:hint="default" w:eastAsiaTheme="minorEastAsia"/>
                          <w:b/>
                          <w:bCs/>
                          <w:color w:val="00B0F0"/>
                          <w:sz w:val="28"/>
                          <w:szCs w:val="32"/>
                          <w:lang w:val="en-US" w:eastAsia="zh-CN"/>
                        </w:rPr>
                      </w:pPr>
                      <w:r>
                        <w:rPr>
                          <w:rFonts w:hint="eastAsia"/>
                          <w:b/>
                          <w:bCs/>
                          <w:color w:val="00B0F0"/>
                          <w:sz w:val="28"/>
                          <w:szCs w:val="32"/>
                          <w:lang w:val="en-US" w:eastAsia="zh-CN"/>
                        </w:rPr>
                        <w:t>黄大港</w:t>
                      </w:r>
                    </w:p>
                  </w:txbxContent>
                </v:textbox>
              </v:shape>
            </w:pict>
          </mc:Fallback>
        </mc:AlternateContent>
      </w:r>
      <w:r>
        <w:rPr>
          <w:sz w:val="28"/>
        </w:rPr>
        <mc:AlternateContent>
          <mc:Choice Requires="wps">
            <w:drawing>
              <wp:anchor distT="0" distB="0" distL="114300" distR="114300" simplePos="0" relativeHeight="251702272" behindDoc="0" locked="0" layoutInCell="1" allowOverlap="1">
                <wp:simplePos x="0" y="0"/>
                <wp:positionH relativeFrom="column">
                  <wp:posOffset>4099560</wp:posOffset>
                </wp:positionH>
                <wp:positionV relativeFrom="paragraph">
                  <wp:posOffset>295275</wp:posOffset>
                </wp:positionV>
                <wp:extent cx="5937250" cy="873125"/>
                <wp:effectExtent l="0" t="4445" r="6350" b="17780"/>
                <wp:wrapNone/>
                <wp:docPr id="414" name="任意多边形 64"/>
                <wp:cNvGraphicFramePr/>
                <a:graphic xmlns:a="http://schemas.openxmlformats.org/drawingml/2006/main">
                  <a:graphicData uri="http://schemas.microsoft.com/office/word/2010/wordprocessingShape">
                    <wps:wsp>
                      <wps:cNvSpPr/>
                      <wps:spPr>
                        <a:xfrm>
                          <a:off x="0" y="0"/>
                          <a:ext cx="5937250" cy="873125"/>
                        </a:xfrm>
                        <a:custGeom>
                          <a:avLst/>
                          <a:gdLst/>
                          <a:ahLst/>
                          <a:cxnLst/>
                          <a:pathLst>
                            <a:path w="9350" h="1375">
                              <a:moveTo>
                                <a:pt x="0" y="1375"/>
                              </a:moveTo>
                              <a:lnTo>
                                <a:pt x="750" y="1350"/>
                              </a:lnTo>
                              <a:lnTo>
                                <a:pt x="1050" y="875"/>
                              </a:lnTo>
                              <a:lnTo>
                                <a:pt x="1450" y="800"/>
                              </a:lnTo>
                              <a:lnTo>
                                <a:pt x="1750" y="0"/>
                              </a:lnTo>
                              <a:lnTo>
                                <a:pt x="3075" y="75"/>
                              </a:lnTo>
                              <a:lnTo>
                                <a:pt x="3575" y="675"/>
                              </a:lnTo>
                              <a:lnTo>
                                <a:pt x="4600" y="775"/>
                              </a:lnTo>
                              <a:lnTo>
                                <a:pt x="5725" y="375"/>
                              </a:lnTo>
                              <a:lnTo>
                                <a:pt x="6475" y="925"/>
                              </a:lnTo>
                              <a:lnTo>
                                <a:pt x="6750" y="925"/>
                              </a:lnTo>
                              <a:lnTo>
                                <a:pt x="7625" y="575"/>
                              </a:lnTo>
                              <a:lnTo>
                                <a:pt x="9350" y="875"/>
                              </a:lnTo>
                            </a:path>
                          </a:pathLst>
                        </a:custGeom>
                        <a:noFill/>
                        <a:ln w="9525" cap="flat" cmpd="sng">
                          <a:solidFill>
                            <a:srgbClr val="00B0F0"/>
                          </a:solidFill>
                          <a:prstDash val="solid"/>
                          <a:headEnd type="none" w="med" len="med"/>
                          <a:tailEnd type="none" w="med" len="med"/>
                        </a:ln>
                      </wps:spPr>
                      <wps:bodyPr upright="1"/>
                    </wps:wsp>
                  </a:graphicData>
                </a:graphic>
              </wp:anchor>
            </w:drawing>
          </mc:Choice>
          <mc:Fallback>
            <w:pict>
              <v:shape id="任意多边形 64" o:spid="_x0000_s1026" o:spt="100" style="position:absolute;left:0pt;margin-left:322.8pt;margin-top:23.25pt;height:68.75pt;width:467.5pt;z-index:251702272;mso-width-relative:page;mso-height-relative:page;" filled="f" stroked="t" coordsize="9350,1375" o:gfxdata="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EpimmnXAAAACwEAAA8AAAAAAAAAAQAgAAAAIgAAAGRycy9kb3ducmV2LnhtbFBLAQIUABQA&#10;AAAIAIdO4kAJrgSMnAIAAFgGAAAOAAAAAAAAAAEAIAAAACYBAABkcnMvZTJvRG9jLnhtbFBLBQYA&#10;AAAABgAGAFkBAAA0BgAAAAA=&#10;" path="m0,1375l750,1350,1050,875,1450,800,1750,0,3075,75,3575,675,4600,775,5725,375,6475,925,6750,925,7625,575,9350,875e">
                <v:fill on="f" focussize="0,0"/>
                <v:stroke color="#00B0F0" joinstyle="round"/>
                <v:imagedata o:title=""/>
                <o:lock v:ext="edit" aspectratio="f"/>
              </v:shape>
            </w:pict>
          </mc:Fallback>
        </mc:AlternateContent>
      </w:r>
      <w:r>
        <w:rPr>
          <w:b/>
          <w:sz w:val="28"/>
          <w:szCs w:val="28"/>
        </w:rPr>
        <mc:AlternateContent>
          <mc:Choice Requires="wps">
            <w:drawing>
              <wp:anchor distT="0" distB="0" distL="114300" distR="114300" simplePos="0" relativeHeight="251700224" behindDoc="1" locked="0" layoutInCell="1" allowOverlap="1">
                <wp:simplePos x="0" y="0"/>
                <wp:positionH relativeFrom="column">
                  <wp:posOffset>6043930</wp:posOffset>
                </wp:positionH>
                <wp:positionV relativeFrom="paragraph">
                  <wp:posOffset>4366260</wp:posOffset>
                </wp:positionV>
                <wp:extent cx="691515" cy="428625"/>
                <wp:effectExtent l="0" t="0" r="0" b="0"/>
                <wp:wrapNone/>
                <wp:docPr id="411" name="文本框 149"/>
                <wp:cNvGraphicFramePr/>
                <a:graphic xmlns:a="http://schemas.openxmlformats.org/drawingml/2006/main">
                  <a:graphicData uri="http://schemas.microsoft.com/office/word/2010/wordprocessingShape">
                    <wps:wsp>
                      <wps:cNvSpPr txBox="1"/>
                      <wps:spPr>
                        <a:xfrm>
                          <a:off x="0" y="0"/>
                          <a:ext cx="504825" cy="276225"/>
                        </a:xfrm>
                        <a:prstGeom prst="rect">
                          <a:avLst/>
                        </a:prstGeom>
                        <a:noFill/>
                        <a:ln w="6350">
                          <a:noFill/>
                        </a:ln>
                        <a:effectLst/>
                      </wps:spPr>
                      <wps:txbx>
                        <w:txbxContent>
                          <w:p>
                            <w:pPr>
                              <w:rPr>
                                <w:rFonts w:hint="default" w:eastAsiaTheme="minorEastAsia"/>
                                <w:b/>
                                <w:bCs/>
                                <w:color w:val="FFFFFF" w:themeColor="background1"/>
                                <w:sz w:val="24"/>
                                <w:szCs w:val="28"/>
                                <w:lang w:val="en-US" w:eastAsia="zh-CN"/>
                                <w14:textFill>
                                  <w14:solidFill>
                                    <w14:schemeClr w14:val="bg1"/>
                                  </w14:solidFill>
                                </w14:textFill>
                              </w:rPr>
                            </w:pPr>
                            <w:r>
                              <w:rPr>
                                <w:rFonts w:hint="eastAsia"/>
                                <w:b/>
                                <w:bCs/>
                                <w:color w:val="FFFFFF" w:themeColor="background1"/>
                                <w:sz w:val="24"/>
                                <w:szCs w:val="28"/>
                                <w:lang w:val="en-US" w:eastAsia="zh-CN"/>
                                <w14:textFill>
                                  <w14:solidFill>
                                    <w14:schemeClr w14:val="bg1"/>
                                  </w14:solidFill>
                                </w14:textFill>
                              </w:rPr>
                              <w:t>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49" o:spid="_x0000_s1026" o:spt="202" type="#_x0000_t202" style="position:absolute;left:0pt;margin-left:475.9pt;margin-top:343.8pt;height:33.75pt;width:54.45pt;z-index:-251616256;mso-width-relative:page;mso-height-relative:page;" filled="f" stroked="f" coordsize="21600,21600" o:gfxdata="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CSPBN3AAAAAwBAAAPAAAAAAAAAAEA&#10;IAAAACIAAABkcnMvZG93bnJldi54bWxQSwECFAAUAAAACACHTuJAIwDCnkQCAAB3BAAADgAAAAAA&#10;AAABACAAAAArAQAAZHJzL2Uyb0RvYy54bWxQSwUGAAAAAAYABgBZAQAA4QUAAAAA&#10;">
                <v:fill on="f" focussize="0,0"/>
                <v:stroke on="f" weight="0.5pt"/>
                <v:imagedata o:title=""/>
                <o:lock v:ext="edit" aspectratio="f"/>
                <v:textbox>
                  <w:txbxContent>
                    <w:p>
                      <w:pPr>
                        <w:rPr>
                          <w:rFonts w:hint="default" w:eastAsiaTheme="minorEastAsia"/>
                          <w:b/>
                          <w:bCs/>
                          <w:color w:val="FFFFFF" w:themeColor="background1"/>
                          <w:sz w:val="24"/>
                          <w:szCs w:val="28"/>
                          <w:lang w:val="en-US" w:eastAsia="zh-CN"/>
                          <w14:textFill>
                            <w14:solidFill>
                              <w14:schemeClr w14:val="bg1"/>
                            </w14:solidFill>
                          </w14:textFill>
                        </w:rPr>
                      </w:pPr>
                      <w:r>
                        <w:rPr>
                          <w:rFonts w:hint="eastAsia"/>
                          <w:b/>
                          <w:bCs/>
                          <w:color w:val="FFFFFF" w:themeColor="background1"/>
                          <w:sz w:val="24"/>
                          <w:szCs w:val="28"/>
                          <w:lang w:val="en-US" w:eastAsia="zh-CN"/>
                          <w14:textFill>
                            <w14:solidFill>
                              <w14:schemeClr w14:val="bg1"/>
                            </w14:solidFill>
                          </w14:textFill>
                        </w:rPr>
                        <w:t>500m</w:t>
                      </w:r>
                    </w:p>
                  </w:txbxContent>
                </v:textbox>
              </v:shape>
            </w:pict>
          </mc:Fallback>
        </mc:AlternateContent>
      </w:r>
      <w:r>
        <w:rPr>
          <w:sz w:val="28"/>
        </w:rPr>
        <mc:AlternateContent>
          <mc:Choice Requires="wps">
            <w:drawing>
              <wp:anchor distT="0" distB="0" distL="114300" distR="114300" simplePos="0" relativeHeight="251699200" behindDoc="0" locked="0" layoutInCell="1" allowOverlap="1">
                <wp:simplePos x="0" y="0"/>
                <wp:positionH relativeFrom="column">
                  <wp:posOffset>6071235</wp:posOffset>
                </wp:positionH>
                <wp:positionV relativeFrom="paragraph">
                  <wp:posOffset>3624580</wp:posOffset>
                </wp:positionV>
                <wp:extent cx="286385" cy="262255"/>
                <wp:effectExtent l="4445" t="5080" r="13970" b="18415"/>
                <wp:wrapNone/>
                <wp:docPr id="410" name="矩形 66"/>
                <wp:cNvGraphicFramePr/>
                <a:graphic xmlns:a="http://schemas.openxmlformats.org/drawingml/2006/main">
                  <a:graphicData uri="http://schemas.microsoft.com/office/word/2010/wordprocessingShape">
                    <wps:wsp>
                      <wps:cNvSpPr/>
                      <wps:spPr>
                        <a:xfrm>
                          <a:off x="0" y="0"/>
                          <a:ext cx="286385" cy="262255"/>
                        </a:xfrm>
                        <a:prstGeom prst="rect">
                          <a:avLst/>
                        </a:prstGeom>
                        <a:noFill/>
                        <a:ln w="9525" cap="flat" cmpd="sng">
                          <a:solidFill>
                            <a:srgbClr val="FF0000"/>
                          </a:solidFill>
                          <a:prstDash val="solid"/>
                          <a:miter/>
                          <a:headEnd type="none" w="med" len="med"/>
                          <a:tailEnd type="none" w="med" len="med"/>
                        </a:ln>
                      </wps:spPr>
                      <wps:bodyPr upright="1"/>
                    </wps:wsp>
                  </a:graphicData>
                </a:graphic>
              </wp:anchor>
            </w:drawing>
          </mc:Choice>
          <mc:Fallback>
            <w:pict>
              <v:rect id="矩形 66" o:spid="_x0000_s1026" o:spt="1" style="position:absolute;left:0pt;margin-left:478.05pt;margin-top:285.4pt;height:20.65pt;width:22.55pt;z-index:251699200;mso-width-relative:page;mso-height-relative:page;" filled="f" stroked="t" coordsize="21600,21600" o:gfxdata="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eNo3bbAAAADAEAAA8AAAAAAAAAAQAgAAAAIgAAAGRycy9kb3ducmV2&#10;LnhtbFBLAQIUABQAAAAIAIdO4kBSD6j1+QEAAPcDAAAOAAAAAAAAAAEAIAAAACoBAABkcnMvZTJv&#10;RG9jLnhtbFBLBQYAAAAABgAGAFkBAACVBQAAAAA=&#10;">
                <v:fill on="f" focussize="0,0"/>
                <v:stroke color="#FF0000" joinstyle="miter"/>
                <v:imagedata o:title=""/>
                <o:lock v:ext="edit" aspectratio="f"/>
              </v:rect>
            </w:pict>
          </mc:Fallback>
        </mc:AlternateContent>
      </w:r>
      <w:r>
        <w:rPr>
          <w:b/>
          <w:sz w:val="28"/>
          <w:szCs w:val="28"/>
        </w:rPr>
        <mc:AlternateContent>
          <mc:Choice Requires="wps">
            <w:drawing>
              <wp:anchor distT="0" distB="0" distL="114300" distR="114300" simplePos="0" relativeHeight="251693056" behindDoc="0" locked="0" layoutInCell="1" allowOverlap="1">
                <wp:simplePos x="0" y="0"/>
                <wp:positionH relativeFrom="column">
                  <wp:posOffset>1060450</wp:posOffset>
                </wp:positionH>
                <wp:positionV relativeFrom="paragraph">
                  <wp:posOffset>1847850</wp:posOffset>
                </wp:positionV>
                <wp:extent cx="1114425" cy="561975"/>
                <wp:effectExtent l="6350" t="6350" r="1222375" b="155575"/>
                <wp:wrapNone/>
                <wp:docPr id="404" name="矩形标注 179"/>
                <wp:cNvGraphicFramePr/>
                <a:graphic xmlns:a="http://schemas.openxmlformats.org/drawingml/2006/main">
                  <a:graphicData uri="http://schemas.microsoft.com/office/word/2010/wordprocessingShape">
                    <wps:wsp>
                      <wps:cNvSpPr/>
                      <wps:spPr>
                        <a:xfrm>
                          <a:off x="0" y="0"/>
                          <a:ext cx="1114425" cy="561975"/>
                        </a:xfrm>
                        <a:prstGeom prst="wedgeRectCallout">
                          <a:avLst>
                            <a:gd name="adj1" fmla="val 154787"/>
                            <a:gd name="adj2" fmla="val 71921"/>
                          </a:avLst>
                        </a:prstGeom>
                        <a:noFill/>
                        <a:ln w="12700" cap="flat" cmpd="sng">
                          <a:solidFill>
                            <a:srgbClr val="FF0000"/>
                          </a:solidFill>
                          <a:prstDash val="solid"/>
                          <a:miter/>
                          <a:headEnd type="none" w="med" len="med"/>
                          <a:tailEnd type="none" w="med" len="med"/>
                        </a:ln>
                      </wps:spPr>
                      <wps:txbx>
                        <w:txbxContent>
                          <w:p>
                            <w:pPr>
                              <w:jc w:val="center"/>
                              <w:rPr>
                                <w:color w:val="FF0000"/>
                              </w:rPr>
                            </w:pPr>
                            <w:r>
                              <w:rPr>
                                <w:rFonts w:hint="eastAsia"/>
                                <w:color w:val="FF0000"/>
                              </w:rPr>
                              <w:t>大气</w:t>
                            </w:r>
                            <w:r>
                              <w:rPr>
                                <w:color w:val="FF0000"/>
                              </w:rPr>
                              <w:t>评价范围</w:t>
                            </w:r>
                          </w:p>
                        </w:txbxContent>
                      </wps:txbx>
                      <wps:bodyPr anchor="ctr" upright="1"/>
                    </wps:wsp>
                  </a:graphicData>
                </a:graphic>
              </wp:anchor>
            </w:drawing>
          </mc:Choice>
          <mc:Fallback>
            <w:pict>
              <v:shape id="矩形标注 179" o:spid="_x0000_s1026" o:spt="61" type="#_x0000_t61" style="position:absolute;left:0pt;margin-left:83.5pt;margin-top:145.5pt;height:44.25pt;width:87.75pt;z-index:251693056;v-text-anchor:middle;mso-width-relative:page;mso-height-relative:page;" filled="f" stroked="t" coordsize="21600,21600" o:gfxdata="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2GR+t2AAAAAsBAAAPAAAAAAAAAAEAIAAAACIA&#10;AABkcnMvZG93bnJldi54bWxQSwECFAAUAAAACACHTuJAUSUiJkICAAB2BAAADgAAAAAAAAABACAA&#10;AAAnAQAAZHJzL2Uyb0RvYy54bWxQSwUGAAAAAAYABgBZAQAA2wUAAAAA&#10;" adj="44234,26335">
                <v:fill on="f" focussize="0,0"/>
                <v:stroke weight="1pt" color="#FF0000" joinstyle="miter"/>
                <v:imagedata o:title=""/>
                <o:lock v:ext="edit" aspectratio="f"/>
                <v:textbox>
                  <w:txbxContent>
                    <w:p>
                      <w:pPr>
                        <w:jc w:val="center"/>
                        <w:rPr>
                          <w:color w:val="FF0000"/>
                        </w:rPr>
                      </w:pPr>
                      <w:r>
                        <w:rPr>
                          <w:rFonts w:hint="eastAsia"/>
                          <w:color w:val="FF0000"/>
                        </w:rPr>
                        <w:t>大气</w:t>
                      </w:r>
                      <w:r>
                        <w:rPr>
                          <w:color w:val="FF0000"/>
                        </w:rPr>
                        <w:t>评价范围</w:t>
                      </w:r>
                    </w:p>
                  </w:txbxContent>
                </v:textbox>
              </v:shape>
            </w:pict>
          </mc:Fallback>
        </mc:AlternateContent>
      </w:r>
      <w:r>
        <w:rPr>
          <w:sz w:val="28"/>
        </w:rPr>
        <mc:AlternateContent>
          <mc:Choice Requires="wps">
            <w:drawing>
              <wp:anchor distT="0" distB="0" distL="114300" distR="114300" simplePos="0" relativeHeight="251701248" behindDoc="0" locked="0" layoutInCell="1" allowOverlap="1">
                <wp:simplePos x="0" y="0"/>
                <wp:positionH relativeFrom="column">
                  <wp:posOffset>3437255</wp:posOffset>
                </wp:positionH>
                <wp:positionV relativeFrom="paragraph">
                  <wp:posOffset>1240790</wp:posOffset>
                </wp:positionV>
                <wp:extent cx="5429885" cy="4944110"/>
                <wp:effectExtent l="4445" t="4445" r="13970" b="23495"/>
                <wp:wrapNone/>
                <wp:docPr id="413" name="矩形 68"/>
                <wp:cNvGraphicFramePr/>
                <a:graphic xmlns:a="http://schemas.openxmlformats.org/drawingml/2006/main">
                  <a:graphicData uri="http://schemas.microsoft.com/office/word/2010/wordprocessingShape">
                    <wps:wsp>
                      <wps:cNvSpPr/>
                      <wps:spPr>
                        <a:xfrm>
                          <a:off x="0" y="0"/>
                          <a:ext cx="5429885" cy="4944110"/>
                        </a:xfrm>
                        <a:prstGeom prst="rect">
                          <a:avLst/>
                        </a:prstGeom>
                        <a:noFill/>
                        <a:ln w="9525" cap="flat" cmpd="sng">
                          <a:solidFill>
                            <a:srgbClr val="FF0000"/>
                          </a:solidFill>
                          <a:prstDash val="solid"/>
                          <a:miter/>
                          <a:headEnd type="none" w="med" len="med"/>
                          <a:tailEnd type="none" w="med" len="med"/>
                        </a:ln>
                      </wps:spPr>
                      <wps:bodyPr upright="1"/>
                    </wps:wsp>
                  </a:graphicData>
                </a:graphic>
              </wp:anchor>
            </w:drawing>
          </mc:Choice>
          <mc:Fallback>
            <w:pict>
              <v:rect id="矩形 68" o:spid="_x0000_s1026" o:spt="1" style="position:absolute;left:0pt;margin-left:270.65pt;margin-top:97.7pt;height:389.3pt;width:427.55pt;z-index:251701248;mso-width-relative:page;mso-height-relative:page;" filled="f" stroked="t" coordsize="21600,21600" o:gfxdata="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Oczc/9wAAAAMAQAADwAAAAAAAAABACAAAAAiAAAAZHJzL2Rv&#10;d25yZXYueG1sUEsBAhQAFAAAAAgAh07iQOipEY/9AQAA+QMAAA4AAAAAAAAAAQAgAAAAKwEAAGRy&#10;cy9lMm9Eb2MueG1sUEsFBgAAAAAGAAYAWQEAAJoFAAAAAA==&#10;">
                <v:fill on="f" focussize="0,0"/>
                <v:stroke color="#FF0000" joinstyle="miter"/>
                <v:imagedata o:title=""/>
                <o:lock v:ext="edit" aspectratio="f"/>
              </v:rect>
            </w:pict>
          </mc:Fallback>
        </mc:AlternateContent>
      </w:r>
      <w:r>
        <w:rPr>
          <w:b/>
          <w:sz w:val="28"/>
          <w:szCs w:val="28"/>
        </w:rPr>
        <mc:AlternateContent>
          <mc:Choice Requires="wps">
            <w:drawing>
              <wp:anchor distT="0" distB="0" distL="114300" distR="114300" simplePos="0" relativeHeight="251692032" behindDoc="0" locked="0" layoutInCell="1" allowOverlap="1">
                <wp:simplePos x="0" y="0"/>
                <wp:positionH relativeFrom="column">
                  <wp:posOffset>11420475</wp:posOffset>
                </wp:positionH>
                <wp:positionV relativeFrom="paragraph">
                  <wp:posOffset>142875</wp:posOffset>
                </wp:positionV>
                <wp:extent cx="1104900" cy="1257300"/>
                <wp:effectExtent l="0" t="0" r="0" b="0"/>
                <wp:wrapNone/>
                <wp:docPr id="403" name="文本框 177"/>
                <wp:cNvGraphicFramePr/>
                <a:graphic xmlns:a="http://schemas.openxmlformats.org/drawingml/2006/main">
                  <a:graphicData uri="http://schemas.microsoft.com/office/word/2010/wordprocessingShape">
                    <wps:wsp>
                      <wps:cNvSpPr txBox="1"/>
                      <wps:spPr>
                        <a:xfrm>
                          <a:off x="0" y="0"/>
                          <a:ext cx="1104900" cy="1257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
                              <w:drawing>
                                <wp:inline distT="0" distB="0" distL="0" distR="0">
                                  <wp:extent cx="980440" cy="998855"/>
                                  <wp:effectExtent l="0" t="0" r="10160" b="1079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980440" cy="9991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77" o:spid="_x0000_s1026" o:spt="202" type="#_x0000_t202" style="position:absolute;left:0pt;margin-left:899.25pt;margin-top:11.25pt;height:99pt;width:87pt;z-index:251692032;mso-width-relative:page;mso-height-relative:page;" filled="f" stroked="f" coordsize="21600,21600" o:gfxdata="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BPz1C3aAAAADAEAAA8AAAAAAAAAAQAg&#10;AAAAIgAAAGRycy9kb3ducmV2LnhtbFBLAQIUABQAAAAIAIdO4kDzwAIPRQIAAHkEAAAOAAAAAAAA&#10;AAEAIAAAACkBAABkcnMvZTJvRG9jLnhtbFBLBQYAAAAABgAGAFkBAADgBQAAAAA=&#10;">
                <v:fill on="f" focussize="0,0"/>
                <v:stroke on="f" weight="0.5pt"/>
                <v:imagedata o:title=""/>
                <o:lock v:ext="edit" aspectratio="f"/>
                <v:textbox>
                  <w:txbxContent>
                    <w:p>
                      <w:r>
                        <w:drawing>
                          <wp:inline distT="0" distB="0" distL="0" distR="0">
                            <wp:extent cx="980440" cy="998855"/>
                            <wp:effectExtent l="0" t="0" r="10160" b="1079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980440" cy="999153"/>
                                    </a:xfrm>
                                    <a:prstGeom prst="rect">
                                      <a:avLst/>
                                    </a:prstGeom>
                                    <a:noFill/>
                                    <a:ln>
                                      <a:noFill/>
                                    </a:ln>
                                  </pic:spPr>
                                </pic:pic>
                              </a:graphicData>
                            </a:graphic>
                          </wp:inline>
                        </w:drawing>
                      </w:r>
                    </w:p>
                  </w:txbxContent>
                </v:textbox>
              </v:shape>
            </w:pict>
          </mc:Fallback>
        </mc:AlternateContent>
      </w:r>
    </w:p>
    <w:p>
      <w:pPr>
        <w:jc w:val="center"/>
        <w:rPr>
          <w:b/>
          <w:sz w:val="28"/>
          <w:szCs w:val="28"/>
        </w:rPr>
      </w:pPr>
      <w:r>
        <w:rPr>
          <w:rFonts w:hint="eastAsia"/>
          <w:b/>
          <w:sz w:val="28"/>
          <w:szCs w:val="28"/>
        </w:rPr>
        <w:t>附图</w:t>
      </w:r>
      <w:r>
        <w:rPr>
          <w:b/>
          <w:sz w:val="28"/>
          <w:szCs w:val="28"/>
        </w:rPr>
        <w:t>二</w:t>
      </w:r>
      <w:r>
        <w:rPr>
          <w:rFonts w:hint="eastAsia"/>
          <w:b/>
          <w:sz w:val="28"/>
          <w:szCs w:val="28"/>
        </w:rPr>
        <w:t>项目</w:t>
      </w:r>
      <w:r>
        <w:rPr>
          <w:b/>
          <w:sz w:val="28"/>
          <w:szCs w:val="28"/>
        </w:rPr>
        <w:t>周边环境</w:t>
      </w:r>
      <w:r>
        <w:rPr>
          <w:rFonts w:hint="eastAsia"/>
          <w:b/>
          <w:sz w:val="28"/>
          <w:szCs w:val="28"/>
        </w:rPr>
        <w:t>示意</w:t>
      </w:r>
      <w:r>
        <w:rPr>
          <w:b/>
          <w:sz w:val="28"/>
          <w:szCs w:val="28"/>
        </w:rPr>
        <w:t>图</w:t>
      </w:r>
      <w:r>
        <w:rPr>
          <w:rFonts w:hint="eastAsia"/>
          <w:b/>
          <w:sz w:val="28"/>
          <w:szCs w:val="28"/>
        </w:rPr>
        <w:t>及</w:t>
      </w:r>
      <w:r>
        <w:rPr>
          <w:b/>
          <w:sz w:val="28"/>
          <w:szCs w:val="28"/>
        </w:rPr>
        <w:t>大气评价范围</w:t>
      </w:r>
      <w:r>
        <w:rPr>
          <w:rFonts w:hint="eastAsia"/>
          <w:b/>
          <w:sz w:val="28"/>
          <w:szCs w:val="28"/>
        </w:rPr>
        <w:t>图</w:t>
      </w:r>
    </w:p>
    <w:p>
      <w:pPr>
        <w:rPr>
          <w:b/>
          <w:sz w:val="28"/>
          <w:szCs w:val="28"/>
        </w:rPr>
        <w:sectPr>
          <w:pgSz w:w="23814" w:h="16840" w:orient="landscape"/>
          <w:pgMar w:top="1230" w:right="1440" w:bottom="1230" w:left="1440" w:header="851" w:footer="992" w:gutter="0"/>
          <w:cols w:space="425" w:num="1"/>
          <w:docGrid w:type="linesAndChars" w:linePitch="312" w:charSpace="0"/>
        </w:sectPr>
      </w:pPr>
    </w:p>
    <w:p>
      <w:pPr>
        <w:rPr>
          <w:rFonts w:hint="eastAsia" w:eastAsiaTheme="minorEastAsia"/>
          <w:lang w:eastAsia="zh-CN"/>
        </w:rPr>
      </w:pPr>
      <w:r>
        <w:rPr>
          <w:b/>
          <w:sz w:val="28"/>
          <w:szCs w:val="28"/>
        </w:rPr>
        <w:drawing>
          <wp:anchor distT="0" distB="0" distL="114935" distR="114935" simplePos="0" relativeHeight="251773952" behindDoc="1" locked="0" layoutInCell="1" allowOverlap="1">
            <wp:simplePos x="0" y="0"/>
            <wp:positionH relativeFrom="column">
              <wp:posOffset>408940</wp:posOffset>
            </wp:positionH>
            <wp:positionV relativeFrom="paragraph">
              <wp:posOffset>60960</wp:posOffset>
            </wp:positionV>
            <wp:extent cx="8376285" cy="12898755"/>
            <wp:effectExtent l="0" t="0" r="5715" b="17145"/>
            <wp:wrapNone/>
            <wp:docPr id="6" name="图片 6" descr="84afa5e7437c6723c39f144a72792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84afa5e7437c6723c39f144a727925b"/>
                    <pic:cNvPicPr>
                      <a:picLocks noChangeAspect="1"/>
                    </pic:cNvPicPr>
                  </pic:nvPicPr>
                  <pic:blipFill>
                    <a:blip r:embed="rId62"/>
                    <a:srcRect l="12179" t="5089" r="18616" b="9710"/>
                    <a:stretch>
                      <a:fillRect/>
                    </a:stretch>
                  </pic:blipFill>
                  <pic:spPr>
                    <a:xfrm>
                      <a:off x="0" y="0"/>
                      <a:ext cx="8376285" cy="12898755"/>
                    </a:xfrm>
                    <a:prstGeom prst="rect">
                      <a:avLst/>
                    </a:prstGeom>
                  </pic:spPr>
                </pic:pic>
              </a:graphicData>
            </a:graphic>
          </wp:anchor>
        </w:drawing>
      </w:r>
    </w:p>
    <w:p>
      <w:pPr>
        <w:jc w:val="center"/>
        <w:rPr>
          <w:rFonts w:hint="eastAsia" w:eastAsiaTheme="minorEastAsia"/>
          <w:lang w:eastAsia="zh-CN"/>
        </w:rPr>
      </w:pPr>
      <w:r>
        <w:rPr>
          <w:b/>
          <w:sz w:val="28"/>
          <w:szCs w:val="28"/>
        </w:rPr>
        <mc:AlternateContent>
          <mc:Choice Requires="wps">
            <w:drawing>
              <wp:anchor distT="0" distB="0" distL="114300" distR="114300" simplePos="0" relativeHeight="251664384" behindDoc="1" locked="0" layoutInCell="1" allowOverlap="1">
                <wp:simplePos x="0" y="0"/>
                <wp:positionH relativeFrom="margin">
                  <wp:posOffset>1179830</wp:posOffset>
                </wp:positionH>
                <wp:positionV relativeFrom="paragraph">
                  <wp:posOffset>10585450</wp:posOffset>
                </wp:positionV>
                <wp:extent cx="346710" cy="190500"/>
                <wp:effectExtent l="0" t="0" r="0" b="0"/>
                <wp:wrapNone/>
                <wp:docPr id="376" name="文本框 70"/>
                <wp:cNvGraphicFramePr/>
                <a:graphic xmlns:a="http://schemas.openxmlformats.org/drawingml/2006/main">
                  <a:graphicData uri="http://schemas.microsoft.com/office/word/2010/wordprocessingShape">
                    <wps:wsp>
                      <wps:cNvSpPr txBox="1"/>
                      <wps:spPr>
                        <a:xfrm>
                          <a:off x="0" y="0"/>
                          <a:ext cx="346710" cy="190500"/>
                        </a:xfrm>
                        <a:prstGeom prst="rect">
                          <a:avLst/>
                        </a:prstGeom>
                        <a:noFill/>
                        <a:ln w="6350">
                          <a:noFill/>
                        </a:ln>
                      </wps:spPr>
                      <wps:txbx>
                        <w:txbxContent>
                          <w:p>
                            <w:pPr>
                              <w:rPr>
                                <w:rFonts w:hint="default" w:eastAsiaTheme="minorEastAsia"/>
                                <w:color w:val="4F81BD" w:themeColor="accent1"/>
                                <w:sz w:val="13"/>
                                <w:szCs w:val="13"/>
                                <w:lang w:val="en-US" w:eastAsia="zh-CN"/>
                                <w14:textFill>
                                  <w14:solidFill>
                                    <w14:schemeClr w14:val="accent1"/>
                                  </w14:solidFill>
                                </w14:textFill>
                              </w:rPr>
                            </w:pPr>
                            <w:r>
                              <w:rPr>
                                <w:rFonts w:hint="eastAsia"/>
                                <w:color w:val="4F81BD" w:themeColor="accent1"/>
                                <w:sz w:val="13"/>
                                <w:szCs w:val="13"/>
                                <w:lang w:val="en-US" w:eastAsia="zh-CN"/>
                                <w14:textFill>
                                  <w14:solidFill>
                                    <w14:schemeClr w14:val="accent1"/>
                                  </w14:solidFill>
                                </w14:textFill>
                              </w:rPr>
                              <w:t>配电室</w:t>
                            </w:r>
                          </w:p>
                        </w:txbxContent>
                      </wps:txbx>
                      <wps:bodyPr lIns="0" tIns="0" rIns="0" bIns="0" upright="1"/>
                    </wps:wsp>
                  </a:graphicData>
                </a:graphic>
              </wp:anchor>
            </w:drawing>
          </mc:Choice>
          <mc:Fallback>
            <w:pict>
              <v:shape id="文本框 70" o:spid="_x0000_s1026" o:spt="202" type="#_x0000_t202" style="position:absolute;left:0pt;margin-left:92.9pt;margin-top:833.5pt;height:15pt;width:27.3pt;mso-position-horizontal-relative:margin;z-index:-251652096;mso-width-relative:page;mso-height-relative:page;" filled="f" stroked="f" coordsize="21600,21600" o:gfxdata="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uZZ+EtkAAAANAQAADwAAAAAAAAABACAAAAAiAAAAZHJzL2Rvd25y&#10;ZXYueG1sUEsBAhQAFAAAAAgAh07iQE3smVnEAQAAfQMAAA4AAAAAAAAAAQAgAAAAKAEAAGRycy9l&#10;Mm9Eb2MueG1sUEsFBgAAAAAGAAYAWQEAAF4FAAAAAA==&#10;">
                <v:fill on="f" focussize="0,0"/>
                <v:stroke on="f" weight="0.5pt"/>
                <v:imagedata o:title=""/>
                <o:lock v:ext="edit" aspectratio="f"/>
                <v:textbox inset="0mm,0mm,0mm,0mm">
                  <w:txbxContent>
                    <w:p>
                      <w:pPr>
                        <w:rPr>
                          <w:rFonts w:hint="default" w:eastAsiaTheme="minorEastAsia"/>
                          <w:color w:val="4F81BD" w:themeColor="accent1"/>
                          <w:sz w:val="13"/>
                          <w:szCs w:val="13"/>
                          <w:lang w:val="en-US" w:eastAsia="zh-CN"/>
                          <w14:textFill>
                            <w14:solidFill>
                              <w14:schemeClr w14:val="accent1"/>
                            </w14:solidFill>
                          </w14:textFill>
                        </w:rPr>
                      </w:pPr>
                      <w:r>
                        <w:rPr>
                          <w:rFonts w:hint="eastAsia"/>
                          <w:color w:val="4F81BD" w:themeColor="accent1"/>
                          <w:sz w:val="13"/>
                          <w:szCs w:val="13"/>
                          <w:lang w:val="en-US" w:eastAsia="zh-CN"/>
                          <w14:textFill>
                            <w14:solidFill>
                              <w14:schemeClr w14:val="accent1"/>
                            </w14:solidFill>
                          </w14:textFill>
                        </w:rPr>
                        <w:t>配电室</w:t>
                      </w:r>
                    </w:p>
                  </w:txbxContent>
                </v:textbox>
              </v:shape>
            </w:pict>
          </mc:Fallback>
        </mc:AlternateContent>
      </w:r>
      <w:r>
        <w:rPr>
          <w:b/>
          <w:sz w:val="28"/>
          <w:szCs w:val="28"/>
        </w:rPr>
        <mc:AlternateContent>
          <mc:Choice Requires="wps">
            <w:drawing>
              <wp:anchor distT="0" distB="0" distL="114300" distR="114300" simplePos="0" relativeHeight="251697152" behindDoc="0" locked="0" layoutInCell="1" allowOverlap="1">
                <wp:simplePos x="0" y="0"/>
                <wp:positionH relativeFrom="margin">
                  <wp:posOffset>5840730</wp:posOffset>
                </wp:positionH>
                <wp:positionV relativeFrom="paragraph">
                  <wp:posOffset>1422400</wp:posOffset>
                </wp:positionV>
                <wp:extent cx="454660" cy="285750"/>
                <wp:effectExtent l="0" t="0" r="0" b="0"/>
                <wp:wrapNone/>
                <wp:docPr id="408" name="文本框 71"/>
                <wp:cNvGraphicFramePr/>
                <a:graphic xmlns:a="http://schemas.openxmlformats.org/drawingml/2006/main">
                  <a:graphicData uri="http://schemas.microsoft.com/office/word/2010/wordprocessingShape">
                    <wps:wsp>
                      <wps:cNvSpPr txBox="1"/>
                      <wps:spPr>
                        <a:xfrm>
                          <a:off x="0" y="0"/>
                          <a:ext cx="454660" cy="285750"/>
                        </a:xfrm>
                        <a:prstGeom prst="rect">
                          <a:avLst/>
                        </a:prstGeom>
                        <a:noFill/>
                        <a:ln w="6350">
                          <a:noFill/>
                        </a:ln>
                      </wps:spPr>
                      <wps:txbx>
                        <w:txbxContent>
                          <w:p>
                            <w:pPr>
                              <w:rPr>
                                <w:rFonts w:hint="default" w:eastAsiaTheme="minorEastAsia"/>
                                <w:color w:val="FF0000"/>
                                <w:sz w:val="13"/>
                                <w:szCs w:val="13"/>
                                <w:lang w:val="en-US" w:eastAsia="zh-CN"/>
                              </w:rPr>
                            </w:pPr>
                          </w:p>
                        </w:txbxContent>
                      </wps:txbx>
                      <wps:bodyPr lIns="0" tIns="0" rIns="0" bIns="0" upright="1"/>
                    </wps:wsp>
                  </a:graphicData>
                </a:graphic>
              </wp:anchor>
            </w:drawing>
          </mc:Choice>
          <mc:Fallback>
            <w:pict>
              <v:shape id="文本框 71" o:spid="_x0000_s1026" o:spt="202" type="#_x0000_t202" style="position:absolute;left:0pt;margin-left:459.9pt;margin-top:112pt;height:22.5pt;width:35.8pt;mso-position-horizontal-relative:margin;z-index:251697152;mso-width-relative:page;mso-height-relative:page;" filled="f" stroked="f" coordsize="21600,21600" o:gfxdata="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ISE3A9kAAAALAQAADwAAAAAAAAABACAAAAAiAAAAZHJzL2Rvd25y&#10;ZXYueG1sUEsBAhQAFAAAAAgAh07iQBFKkCvEAQAAfQMAAA4AAAAAAAAAAQAgAAAAKAEAAGRycy9l&#10;Mm9Eb2MueG1sUEsFBgAAAAAGAAYAWQEAAF4FAAAAAA==&#10;">
                <v:fill on="f" focussize="0,0"/>
                <v:stroke on="f" weight="0.5pt"/>
                <v:imagedata o:title=""/>
                <o:lock v:ext="edit" aspectratio="f"/>
                <v:textbox inset="0mm,0mm,0mm,0mm">
                  <w:txbxContent>
                    <w:p>
                      <w:pPr>
                        <w:rPr>
                          <w:rFonts w:hint="default" w:eastAsiaTheme="minorEastAsia"/>
                          <w:color w:val="FF0000"/>
                          <w:sz w:val="13"/>
                          <w:szCs w:val="13"/>
                          <w:lang w:val="en-US" w:eastAsia="zh-CN"/>
                        </w:rPr>
                      </w:pPr>
                    </w:p>
                  </w:txbxContent>
                </v:textbox>
              </v:shape>
            </w:pict>
          </mc:Fallback>
        </mc:AlternateContent>
      </w:r>
    </w:p>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eastAsia"/>
          <w:b/>
          <w:sz w:val="28"/>
          <w:szCs w:val="28"/>
        </w:rPr>
      </w:pPr>
    </w:p>
    <w:p>
      <w:pPr>
        <w:jc w:val="center"/>
        <w:rPr>
          <w:rFonts w:hint="default" w:eastAsiaTheme="minorEastAsia"/>
          <w:b/>
          <w:sz w:val="28"/>
          <w:szCs w:val="28"/>
          <w:lang w:val="en-US" w:eastAsia="zh-CN"/>
        </w:rPr>
      </w:pPr>
      <w:r>
        <w:rPr>
          <w:rFonts w:hint="eastAsia"/>
          <w:b/>
          <w:sz w:val="28"/>
          <w:szCs w:val="28"/>
        </w:rPr>
        <w:t>附图</w:t>
      </w:r>
      <w:r>
        <w:rPr>
          <w:rFonts w:hint="eastAsia"/>
          <w:b/>
          <w:sz w:val="28"/>
          <w:szCs w:val="28"/>
          <w:lang w:val="en-US" w:eastAsia="zh-CN"/>
        </w:rPr>
        <w:t xml:space="preserve">三  </w:t>
      </w:r>
      <w:r>
        <w:rPr>
          <w:rFonts w:hint="eastAsia"/>
          <w:b/>
          <w:sz w:val="28"/>
          <w:szCs w:val="28"/>
        </w:rPr>
        <w:t>项目</w:t>
      </w:r>
      <w:r>
        <w:rPr>
          <w:rFonts w:hint="eastAsia"/>
          <w:b/>
          <w:sz w:val="28"/>
          <w:szCs w:val="28"/>
          <w:lang w:val="en-US" w:eastAsia="zh-CN"/>
        </w:rPr>
        <w:t>平面布置图</w:t>
      </w:r>
    </w:p>
    <w:p>
      <w:pPr>
        <w:sectPr>
          <w:pgSz w:w="16838" w:h="23817"/>
          <w:pgMar w:top="1440" w:right="1230" w:bottom="1440" w:left="1230" w:header="851" w:footer="992" w:gutter="0"/>
          <w:cols w:space="0" w:num="1"/>
          <w:rtlGutter w:val="0"/>
          <w:docGrid w:type="linesAndChars" w:linePitch="312" w:charSpace="295"/>
        </w:sectPr>
      </w:pPr>
    </w:p>
    <w:p>
      <w:r>
        <w:rPr>
          <w:sz w:val="21"/>
        </w:rPr>
        <mc:AlternateContent>
          <mc:Choice Requires="wps">
            <w:drawing>
              <wp:anchor distT="0" distB="0" distL="114300" distR="114300" simplePos="0" relativeHeight="251678720" behindDoc="0" locked="0" layoutInCell="1" allowOverlap="1">
                <wp:simplePos x="0" y="0"/>
                <wp:positionH relativeFrom="column">
                  <wp:posOffset>9398635</wp:posOffset>
                </wp:positionH>
                <wp:positionV relativeFrom="paragraph">
                  <wp:posOffset>3740785</wp:posOffset>
                </wp:positionV>
                <wp:extent cx="495935" cy="201295"/>
                <wp:effectExtent l="0" t="0" r="0" b="0"/>
                <wp:wrapNone/>
                <wp:docPr id="390" name="矩形 72"/>
                <wp:cNvGraphicFramePr/>
                <a:graphic xmlns:a="http://schemas.openxmlformats.org/drawingml/2006/main">
                  <a:graphicData uri="http://schemas.microsoft.com/office/word/2010/wordprocessingShape">
                    <wps:wsp>
                      <wps:cNvSpPr/>
                      <wps:spPr>
                        <a:xfrm>
                          <a:off x="0" y="0"/>
                          <a:ext cx="495935" cy="201295"/>
                        </a:xfrm>
                        <a:prstGeom prst="rect">
                          <a:avLst/>
                        </a:prstGeom>
                        <a:noFill/>
                        <a:ln>
                          <a:noFill/>
                        </a:ln>
                      </wps:spPr>
                      <wps:txbx>
                        <w:txbxContent>
                          <w:p>
                            <w:pPr>
                              <w:rPr>
                                <w:rFonts w:hint="default" w:ascii="Times New Roman" w:hAnsi="Times New Roman" w:cs="Times New Roman" w:eastAsiaTheme="minorEastAsia"/>
                                <w:color w:val="FF0000"/>
                                <w:lang w:val="en-US" w:eastAsia="zh-CN"/>
                              </w:rPr>
                            </w:pPr>
                            <w:r>
                              <w:rPr>
                                <w:rFonts w:hint="eastAsia" w:ascii="Times New Roman" w:hAnsi="Times New Roman" w:cs="Times New Roman"/>
                                <w:color w:val="FF0000"/>
                                <w:lang w:val="en-US" w:eastAsia="zh-CN"/>
                              </w:rPr>
                              <w:t>3.5</w:t>
                            </w:r>
                            <w:r>
                              <w:rPr>
                                <w:rFonts w:hint="default" w:ascii="Times New Roman" w:hAnsi="Times New Roman" w:cs="Times New Roman"/>
                                <w:color w:val="FF0000"/>
                                <w:lang w:val="en-US" w:eastAsia="zh-CN"/>
                              </w:rPr>
                              <w:t>km</w:t>
                            </w:r>
                          </w:p>
                        </w:txbxContent>
                      </wps:txbx>
                      <wps:bodyPr lIns="0" tIns="0" rIns="0" bIns="0" upright="1"/>
                    </wps:wsp>
                  </a:graphicData>
                </a:graphic>
              </wp:anchor>
            </w:drawing>
          </mc:Choice>
          <mc:Fallback>
            <w:pict>
              <v:rect id="矩形 72" o:spid="_x0000_s1026" o:spt="1" style="position:absolute;left:0pt;margin-left:740.05pt;margin-top:294.55pt;height:15.85pt;width:39.05pt;z-index:251678720;mso-width-relative:page;mso-height-relative:page;" filled="f" stroked="f" coordsize="21600,21600" o:gfxdata="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qNbs99wAAAANAQAADwAAAAAAAAABACAAAAAiAAAAZHJzL2Rvd25yZXYueG1sUEsBAhQAFAAA&#10;AAgAh07iQLOIALiyAQAAZwMAAA4AAAAAAAAAAQAgAAAAKwEAAGRycy9lMm9Eb2MueG1sUEsFBgAA&#10;AAAGAAYAWQEAAE8FAAAAAA==&#10;">
                <v:fill on="f" focussize="0,0"/>
                <v:stroke on="f"/>
                <v:imagedata o:title=""/>
                <o:lock v:ext="edit" aspectratio="f"/>
                <v:textbox inset="0mm,0mm,0mm,0mm">
                  <w:txbxContent>
                    <w:p>
                      <w:pPr>
                        <w:rPr>
                          <w:rFonts w:hint="default" w:ascii="Times New Roman" w:hAnsi="Times New Roman" w:cs="Times New Roman" w:eastAsiaTheme="minorEastAsia"/>
                          <w:color w:val="FF0000"/>
                          <w:lang w:val="en-US" w:eastAsia="zh-CN"/>
                        </w:rPr>
                      </w:pPr>
                      <w:r>
                        <w:rPr>
                          <w:rFonts w:hint="eastAsia" w:ascii="Times New Roman" w:hAnsi="Times New Roman" w:cs="Times New Roman"/>
                          <w:color w:val="FF0000"/>
                          <w:lang w:val="en-US" w:eastAsia="zh-CN"/>
                        </w:rPr>
                        <w:t>3.5</w:t>
                      </w:r>
                      <w:r>
                        <w:rPr>
                          <w:rFonts w:hint="default" w:ascii="Times New Roman" w:hAnsi="Times New Roman" w:cs="Times New Roman"/>
                          <w:color w:val="FF0000"/>
                          <w:lang w:val="en-US" w:eastAsia="zh-CN"/>
                        </w:rPr>
                        <w:t>km</w:t>
                      </w:r>
                    </w:p>
                  </w:txbxContent>
                </v:textbox>
              </v:rect>
            </w:pict>
          </mc:Fallback>
        </mc:AlternateContent>
      </w:r>
      <w:r>
        <w:rPr>
          <w:b/>
          <w:sz w:val="28"/>
          <w:szCs w:val="28"/>
        </w:rPr>
        <mc:AlternateContent>
          <mc:Choice Requires="wps">
            <w:drawing>
              <wp:anchor distT="0" distB="0" distL="114300" distR="114300" simplePos="0" relativeHeight="251675648" behindDoc="0" locked="0" layoutInCell="1" allowOverlap="1">
                <wp:simplePos x="0" y="0"/>
                <wp:positionH relativeFrom="column">
                  <wp:posOffset>9507855</wp:posOffset>
                </wp:positionH>
                <wp:positionV relativeFrom="paragraph">
                  <wp:posOffset>3524250</wp:posOffset>
                </wp:positionV>
                <wp:extent cx="404495" cy="577850"/>
                <wp:effectExtent l="0" t="0" r="14605" b="12700"/>
                <wp:wrapNone/>
                <wp:docPr id="387" name="直接箭头连接符 11"/>
                <wp:cNvGraphicFramePr/>
                <a:graphic xmlns:a="http://schemas.openxmlformats.org/drawingml/2006/main">
                  <a:graphicData uri="http://schemas.microsoft.com/office/word/2010/wordprocessingShape">
                    <wps:wsp>
                      <wps:cNvCnPr/>
                      <wps:spPr>
                        <a:xfrm>
                          <a:off x="0" y="0"/>
                          <a:ext cx="404495" cy="577850"/>
                        </a:xfrm>
                        <a:prstGeom prst="straightConnector1">
                          <a:avLst/>
                        </a:prstGeom>
                        <a:ln w="6350" cap="flat" cmpd="sng">
                          <a:solidFill>
                            <a:srgbClr val="FF0000"/>
                          </a:solidFill>
                          <a:prstDash val="solid"/>
                          <a:miter/>
                          <a:headEnd type="triangle" w="med" len="med"/>
                          <a:tailEnd type="triangle" w="med" len="med"/>
                        </a:ln>
                      </wps:spPr>
                      <wps:bodyPr/>
                    </wps:wsp>
                  </a:graphicData>
                </a:graphic>
              </wp:anchor>
            </w:drawing>
          </mc:Choice>
          <mc:Fallback>
            <w:pict>
              <v:shape id="直接箭头连接符 11" o:spid="_x0000_s1026" o:spt="32" type="#_x0000_t32" style="position:absolute;left:0pt;margin-left:748.65pt;margin-top:277.5pt;height:45.5pt;width:31.85pt;z-index:251675648;mso-width-relative:page;mso-height-relative:page;" filled="f" stroked="t" coordsize="21600,21600" o:gfxdata="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5E/ky2gAAAA0BAAAPAAAAAAAA&#10;AAEAIAAAACIAAABkcnMvZG93bnJldi54bWxQSwECFAAUAAAACACHTuJAxMHcrxACAAAFBAAADgAA&#10;AAAAAAABACAAAAApAQAAZHJzL2Uyb0RvYy54bWxQSwUGAAAAAAYABgBZAQAAqwUAAAAA&#10;">
                <v:fill on="f" focussize="0,0"/>
                <v:stroke weight="0.5pt" color="#FF0000" joinstyle="miter" startarrow="block" endarrow="block"/>
                <v:imagedata o:title=""/>
                <o:lock v:ext="edit" aspectratio="f"/>
              </v:shape>
            </w:pict>
          </mc:Fallback>
        </mc:AlternateContent>
      </w:r>
      <w:r>
        <w:rPr>
          <w:b/>
          <w:sz w:val="28"/>
          <w:szCs w:val="28"/>
        </w:rPr>
        <mc:AlternateContent>
          <mc:Choice Requires="wps">
            <w:drawing>
              <wp:anchor distT="0" distB="0" distL="114300" distR="114300" simplePos="0" relativeHeight="251671552" behindDoc="0" locked="0" layoutInCell="1" allowOverlap="1">
                <wp:simplePos x="0" y="0"/>
                <wp:positionH relativeFrom="column">
                  <wp:posOffset>9472930</wp:posOffset>
                </wp:positionH>
                <wp:positionV relativeFrom="paragraph">
                  <wp:posOffset>3415030</wp:posOffset>
                </wp:positionV>
                <wp:extent cx="85725" cy="114300"/>
                <wp:effectExtent l="6350" t="6350" r="22225" b="12700"/>
                <wp:wrapNone/>
                <wp:docPr id="383" name="椭圆 6"/>
                <wp:cNvGraphicFramePr/>
                <a:graphic xmlns:a="http://schemas.openxmlformats.org/drawingml/2006/main">
                  <a:graphicData uri="http://schemas.microsoft.com/office/word/2010/wordprocessingShape">
                    <wps:wsp>
                      <wps:cNvSpPr/>
                      <wps:spPr>
                        <a:xfrm>
                          <a:off x="0" y="0"/>
                          <a:ext cx="85725" cy="114300"/>
                        </a:xfrm>
                        <a:prstGeom prst="ellipse">
                          <a:avLst/>
                        </a:prstGeom>
                        <a:solidFill>
                          <a:srgbClr val="FF00FF"/>
                        </a:solidFill>
                        <a:ln w="12700" cap="flat" cmpd="sng">
                          <a:solidFill>
                            <a:srgbClr val="000000"/>
                          </a:solidFill>
                          <a:prstDash val="solid"/>
                          <a:miter/>
                          <a:headEnd type="none" w="med" len="med"/>
                          <a:tailEnd type="none" w="med" len="med"/>
                        </a:ln>
                      </wps:spPr>
                      <wps:txbx>
                        <w:txbxContent>
                          <w:p/>
                        </w:txbxContent>
                      </wps:txbx>
                      <wps:bodyPr anchor="ctr" upright="1"/>
                    </wps:wsp>
                  </a:graphicData>
                </a:graphic>
              </wp:anchor>
            </w:drawing>
          </mc:Choice>
          <mc:Fallback>
            <w:pict>
              <v:shape id="椭圆 6" o:spid="_x0000_s1026" o:spt="3" type="#_x0000_t3" style="position:absolute;left:0pt;margin-left:745.9pt;margin-top:268.9pt;height:9pt;width:6.75pt;z-index:251671552;v-text-anchor:middle;mso-width-relative:page;mso-height-relative:page;" fillcolor="#FF00FF" filled="t" stroked="t" coordsize="21600,21600" o:gfxdata="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LFy2T3AAAAA0BAAAPAAAA&#10;AAAAAAEAIAAAACIAAABkcnMvZG93bnJldi54bWxQSwECFAAUAAAACACHTuJA6OEivhECAAA6BAAA&#10;DgAAAAAAAAABACAAAAArAQAAZHJzL2Uyb0RvYy54bWxQSwUGAAAAAAYABgBZAQAArgUAAAAA&#10;">
                <v:fill on="t" focussize="0,0"/>
                <v:stroke weight="1pt" color="#000000" joinstyle="miter"/>
                <v:imagedata o:title=""/>
                <o:lock v:ext="edit" aspectratio="f"/>
                <v:textbox>
                  <w:txbxContent>
                    <w:p/>
                  </w:txbxContent>
                </v:textbox>
              </v:shape>
            </w:pict>
          </mc:Fallback>
        </mc:AlternateContent>
      </w:r>
      <w:r>
        <w:rPr>
          <w:b/>
          <w:sz w:val="28"/>
          <w:szCs w:val="28"/>
        </w:rPr>
        <mc:AlternateContent>
          <mc:Choice Requires="wps">
            <w:drawing>
              <wp:anchor distT="0" distB="0" distL="114300" distR="114300" simplePos="0" relativeHeight="251674624" behindDoc="0" locked="0" layoutInCell="1" allowOverlap="1">
                <wp:simplePos x="0" y="0"/>
                <wp:positionH relativeFrom="column">
                  <wp:posOffset>9899650</wp:posOffset>
                </wp:positionH>
                <wp:positionV relativeFrom="paragraph">
                  <wp:posOffset>4082415</wp:posOffset>
                </wp:positionV>
                <wp:extent cx="114300" cy="123825"/>
                <wp:effectExtent l="17780" t="22860" r="20320" b="24765"/>
                <wp:wrapNone/>
                <wp:docPr id="386" name="五角星 10"/>
                <wp:cNvGraphicFramePr/>
                <a:graphic xmlns:a="http://schemas.openxmlformats.org/drawingml/2006/main">
                  <a:graphicData uri="http://schemas.microsoft.com/office/word/2010/wordprocessingShape">
                    <wps:wsp>
                      <wps:cNvSpPr/>
                      <wps:spPr>
                        <a:xfrm>
                          <a:off x="0" y="0"/>
                          <a:ext cx="114300" cy="123825"/>
                        </a:xfrm>
                        <a:custGeom>
                          <a:avLst/>
                          <a:gdLst/>
                          <a:ahLst/>
                          <a:cxnLst>
                            <a:cxn ang="0">
                              <a:pos x="0" y="47297"/>
                            </a:cxn>
                            <a:cxn ang="0">
                              <a:pos x="43659" y="47297"/>
                            </a:cxn>
                            <a:cxn ang="0">
                              <a:pos x="57150" y="0"/>
                            </a:cxn>
                            <a:cxn ang="0">
                              <a:pos x="70641" y="47297"/>
                            </a:cxn>
                            <a:cxn ang="0">
                              <a:pos x="114300" y="47297"/>
                            </a:cxn>
                            <a:cxn ang="0">
                              <a:pos x="78979" y="76528"/>
                            </a:cxn>
                            <a:cxn ang="0">
                              <a:pos x="92471" y="123825"/>
                            </a:cxn>
                            <a:cxn ang="0">
                              <a:pos x="57150" y="94593"/>
                            </a:cxn>
                            <a:cxn ang="0">
                              <a:pos x="21829" y="123825"/>
                            </a:cxn>
                            <a:cxn ang="0">
                              <a:pos x="35321" y="76528"/>
                            </a:cxn>
                            <a:cxn ang="0">
                              <a:pos x="0" y="47297"/>
                            </a:cxn>
                          </a:cxnLst>
                          <a:pathLst>
                            <a:path w="114300" h="123825">
                              <a:moveTo>
                                <a:pt x="0" y="47297"/>
                              </a:moveTo>
                              <a:lnTo>
                                <a:pt x="43659" y="47297"/>
                              </a:lnTo>
                              <a:lnTo>
                                <a:pt x="57150" y="0"/>
                              </a:lnTo>
                              <a:lnTo>
                                <a:pt x="70641" y="47297"/>
                              </a:lnTo>
                              <a:lnTo>
                                <a:pt x="114300" y="47297"/>
                              </a:lnTo>
                              <a:lnTo>
                                <a:pt x="78979" y="76528"/>
                              </a:lnTo>
                              <a:lnTo>
                                <a:pt x="92471" y="123825"/>
                              </a:lnTo>
                              <a:lnTo>
                                <a:pt x="57150" y="94593"/>
                              </a:lnTo>
                              <a:lnTo>
                                <a:pt x="21829" y="123825"/>
                              </a:lnTo>
                              <a:lnTo>
                                <a:pt x="35321" y="76528"/>
                              </a:lnTo>
                              <a:lnTo>
                                <a:pt x="0" y="47297"/>
                              </a:lnTo>
                              <a:close/>
                            </a:path>
                          </a:pathLst>
                        </a:custGeom>
                        <a:solidFill>
                          <a:srgbClr val="FF0000"/>
                        </a:solidFill>
                        <a:ln w="12700" cap="flat" cmpd="sng">
                          <a:solidFill>
                            <a:srgbClr val="000000"/>
                          </a:solidFill>
                          <a:prstDash val="solid"/>
                          <a:miter/>
                          <a:headEnd type="none" w="med" len="med"/>
                          <a:tailEnd type="none" w="med" len="med"/>
                        </a:ln>
                      </wps:spPr>
                      <wps:bodyPr anchor="ctr" upright="1"/>
                    </wps:wsp>
                  </a:graphicData>
                </a:graphic>
              </wp:anchor>
            </w:drawing>
          </mc:Choice>
          <mc:Fallback>
            <w:pict>
              <v:shape id="五角星 10" o:spid="_x0000_s1026" o:spt="100" style="position:absolute;left:0pt;margin-left:779.5pt;margin-top:321.45pt;height:9.75pt;width:9pt;z-index:251674624;v-text-anchor:middle;mso-width-relative:page;mso-height-relative:page;" fillcolor="#FF0000" filled="t" stroked="t" coordsize="114300,123825" o:gfxdata="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" path="m0,47297l43659,47297,57150,0,70641,47297,114300,47297,78979,76528,92471,123825,57150,94593,21829,123825,35321,76528,0,47297xe">
                <v:path o:connectlocs="0,47297;43659,47297;57150,0;70641,47297;114300,47297;78979,76528;92471,123825;57150,94593;21829,123825;35321,76528;0,47297" o:connectangles="0,0,0,0,0,0,0,0,0,0,0"/>
                <v:fill on="t" focussize="0,0"/>
                <v:stroke weight="1pt" color="#000000" joinstyle="miter"/>
                <v:imagedata o:title=""/>
                <o:lock v:ext="edit" aspectratio="f"/>
              </v:shape>
            </w:pict>
          </mc:Fallback>
        </mc:AlternateContent>
      </w:r>
      <w:r>
        <w:drawing>
          <wp:inline distT="0" distB="0" distL="0" distR="0">
            <wp:extent cx="13205460" cy="7959725"/>
            <wp:effectExtent l="19050" t="19050" r="34290" b="222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a:xfrm>
                      <a:off x="0" y="0"/>
                      <a:ext cx="13205460" cy="7959725"/>
                    </a:xfrm>
                    <a:prstGeom prst="rect">
                      <a:avLst/>
                    </a:prstGeom>
                    <a:ln w="19050">
                      <a:solidFill>
                        <a:schemeClr val="tx1"/>
                      </a:solidFill>
                    </a:ln>
                  </pic:spPr>
                </pic:pic>
              </a:graphicData>
            </a:graphic>
          </wp:inline>
        </w:drawing>
      </w:r>
    </w:p>
    <w:p>
      <w:pPr>
        <w:jc w:val="center"/>
        <w:rPr>
          <w:szCs w:val="21"/>
        </w:rPr>
      </w:pPr>
      <w:r>
        <w:rPr>
          <w:b/>
          <w:sz w:val="28"/>
          <w:szCs w:val="28"/>
          <w:u w:val="none"/>
        </w:rPr>
        <mc:AlternateContent>
          <mc:Choice Requires="wps">
            <w:drawing>
              <wp:anchor distT="0" distB="0" distL="114300" distR="114300" simplePos="0" relativeHeight="251670528" behindDoc="0" locked="0" layoutInCell="1" allowOverlap="1">
                <wp:simplePos x="0" y="0"/>
                <wp:positionH relativeFrom="column">
                  <wp:posOffset>8947150</wp:posOffset>
                </wp:positionH>
                <wp:positionV relativeFrom="paragraph">
                  <wp:posOffset>170815</wp:posOffset>
                </wp:positionV>
                <wp:extent cx="85725" cy="114300"/>
                <wp:effectExtent l="6350" t="6350" r="22225" b="12700"/>
                <wp:wrapNone/>
                <wp:docPr id="382" name="椭圆 5"/>
                <wp:cNvGraphicFramePr/>
                <a:graphic xmlns:a="http://schemas.openxmlformats.org/drawingml/2006/main">
                  <a:graphicData uri="http://schemas.microsoft.com/office/word/2010/wordprocessingShape">
                    <wps:wsp>
                      <wps:cNvSpPr/>
                      <wps:spPr>
                        <a:xfrm>
                          <a:off x="0" y="0"/>
                          <a:ext cx="85725" cy="114300"/>
                        </a:xfrm>
                        <a:prstGeom prst="ellipse">
                          <a:avLst/>
                        </a:prstGeom>
                        <a:solidFill>
                          <a:srgbClr val="FF00FF"/>
                        </a:solidFill>
                        <a:ln w="12700" cap="flat" cmpd="sng">
                          <a:solidFill>
                            <a:srgbClr val="000000"/>
                          </a:solidFill>
                          <a:prstDash val="solid"/>
                          <a:miter/>
                          <a:headEnd type="none" w="med" len="med"/>
                          <a:tailEnd type="none" w="med" len="med"/>
                        </a:ln>
                      </wps:spPr>
                      <wps:txbx>
                        <w:txbxContent>
                          <w:p/>
                        </w:txbxContent>
                      </wps:txbx>
                      <wps:bodyPr anchor="ctr" upright="1"/>
                    </wps:wsp>
                  </a:graphicData>
                </a:graphic>
              </wp:anchor>
            </w:drawing>
          </mc:Choice>
          <mc:Fallback>
            <w:pict>
              <v:shape id="椭圆 5" o:spid="_x0000_s1026" o:spt="3" type="#_x0000_t3" style="position:absolute;left:0pt;margin-left:704.5pt;margin-top:13.45pt;height:9pt;width:6.75pt;z-index:251670528;v-text-anchor:middle;mso-width-relative:page;mso-height-relative:page;" fillcolor="#FF00FF" filled="t" stroked="t" coordsize="21600,21600" o:gfxdata="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ycO6O2QAAAAsBAAAPAAAAAAAA&#10;AAEAIAAAACIAAABkcnMvZG93bnJldi54bWxQSwECFAAUAAAACACHTuJACDDknxECAAA6BAAADgAA&#10;AAAAAAABACAAAAAoAQAAZHJzL2Uyb0RvYy54bWxQSwUGAAAAAAYABgBZAQAAqwUAAAAA&#10;">
                <v:fill on="t" focussize="0,0"/>
                <v:stroke weight="1pt" color="#000000" joinstyle="miter"/>
                <v:imagedata o:title=""/>
                <o:lock v:ext="edit" aspectratio="f"/>
                <v:textbox>
                  <w:txbxContent>
                    <w:p/>
                  </w:txbxContent>
                </v:textbox>
              </v:shape>
            </w:pict>
          </mc:Fallback>
        </mc:AlternateContent>
      </w:r>
      <w:r>
        <w:rPr>
          <w:rFonts w:hint="eastAsia"/>
          <w:b/>
          <w:sz w:val="28"/>
          <w:szCs w:val="28"/>
          <w:u w:val="none"/>
        </w:rPr>
        <w:t>附图</w:t>
      </w:r>
      <w:r>
        <w:rPr>
          <w:b/>
          <w:sz w:val="28"/>
          <w:szCs w:val="28"/>
          <w:u w:val="none"/>
        </w:rPr>
        <w:t>四</w:t>
      </w:r>
      <w:r>
        <w:rPr>
          <w:rFonts w:hint="eastAsia"/>
          <w:b/>
          <w:sz w:val="28"/>
          <w:szCs w:val="28"/>
          <w:u w:val="none"/>
          <w:lang w:val="en-US" w:eastAsia="zh-CN"/>
        </w:rPr>
        <w:t xml:space="preserve">  </w:t>
      </w:r>
      <w:r>
        <w:rPr>
          <w:rFonts w:hint="eastAsia"/>
          <w:b/>
          <w:sz w:val="28"/>
          <w:szCs w:val="28"/>
          <w:u w:val="none"/>
        </w:rPr>
        <w:t>项目</w:t>
      </w:r>
      <w:r>
        <w:rPr>
          <w:b/>
          <w:sz w:val="28"/>
          <w:szCs w:val="28"/>
          <w:u w:val="none"/>
        </w:rPr>
        <w:t>与饮用水源保护地关系图</w:t>
      </w:r>
      <w:r>
        <w:rPr>
          <w:rFonts w:hint="eastAsia"/>
          <w:b/>
          <w:sz w:val="28"/>
          <w:szCs w:val="28"/>
          <w:u w:val="none"/>
          <w:lang w:val="en-US" w:eastAsia="zh-CN"/>
        </w:rPr>
        <w:t xml:space="preserve">  </w:t>
      </w:r>
      <w:r>
        <w:rPr>
          <w:rFonts w:hint="eastAsia"/>
          <w:szCs w:val="21"/>
          <w:lang w:val="en-US" w:eastAsia="zh-CN"/>
        </w:rPr>
        <w:t>兰青乡</w:t>
      </w:r>
      <w:r>
        <w:rPr>
          <w:szCs w:val="21"/>
        </w:rPr>
        <w:t>集中</w:t>
      </w:r>
      <w:r>
        <w:rPr>
          <w:rFonts w:hint="eastAsia"/>
          <w:szCs w:val="21"/>
        </w:rPr>
        <w:t>饮用水井</w:t>
      </w:r>
    </w:p>
    <w:p>
      <w:pPr>
        <w:rPr>
          <w:b/>
          <w:sz w:val="28"/>
          <w:szCs w:val="28"/>
        </w:rPr>
      </w:pPr>
      <w:r>
        <w:rPr>
          <w:b/>
          <w:sz w:val="28"/>
          <w:szCs w:val="28"/>
        </w:rPr>
        <mc:AlternateContent>
          <mc:Choice Requires="wps">
            <w:drawing>
              <wp:anchor distT="0" distB="0" distL="114300" distR="114300" simplePos="0" relativeHeight="251673600" behindDoc="0" locked="0" layoutInCell="1" allowOverlap="1">
                <wp:simplePos x="0" y="0"/>
                <wp:positionH relativeFrom="margin">
                  <wp:posOffset>11734800</wp:posOffset>
                </wp:positionH>
                <wp:positionV relativeFrom="paragraph">
                  <wp:posOffset>3821430</wp:posOffset>
                </wp:positionV>
                <wp:extent cx="1047750" cy="361950"/>
                <wp:effectExtent l="1523365" t="590550" r="19685" b="19050"/>
                <wp:wrapNone/>
                <wp:docPr id="385" name="圆角矩形标注 9"/>
                <wp:cNvGraphicFramePr/>
                <a:graphic xmlns:a="http://schemas.openxmlformats.org/drawingml/2006/main">
                  <a:graphicData uri="http://schemas.microsoft.com/office/word/2010/wordprocessingShape">
                    <wps:wsp>
                      <wps:cNvSpPr/>
                      <wps:spPr>
                        <a:xfrm>
                          <a:off x="0" y="0"/>
                          <a:ext cx="1047750" cy="361950"/>
                        </a:xfrm>
                        <a:prstGeom prst="wedgeRoundRectCallout">
                          <a:avLst>
                            <a:gd name="adj1" fmla="val -190602"/>
                            <a:gd name="adj2" fmla="val -207537"/>
                            <a:gd name="adj3" fmla="val 16667"/>
                          </a:avLst>
                        </a:prstGeom>
                        <a:noFill/>
                        <a:ln w="12700" cap="flat" cmpd="sng">
                          <a:solidFill>
                            <a:srgbClr val="000000"/>
                          </a:solidFill>
                          <a:prstDash val="solid"/>
                          <a:miter/>
                          <a:headEnd type="none" w="med" len="med"/>
                          <a:tailEnd type="none" w="med" len="med"/>
                        </a:ln>
                      </wps:spPr>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所在地</w:t>
                            </w:r>
                          </w:p>
                        </w:txbxContent>
                      </wps:txbx>
                      <wps:bodyPr anchor="ctr" upright="1"/>
                    </wps:wsp>
                  </a:graphicData>
                </a:graphic>
              </wp:anchor>
            </w:drawing>
          </mc:Choice>
          <mc:Fallback>
            <w:pict>
              <v:shape id="圆角矩形标注 9" o:spid="_x0000_s1026" o:spt="62" type="#_x0000_t62" style="position:absolute;left:0pt;margin-left:924pt;margin-top:300.9pt;height:28.5pt;width:82.5pt;mso-position-horizontal-relative:margin;z-index:251673600;v-text-anchor:middle;mso-width-relative:page;mso-height-relative:page;" filled="f" stroked="t" coordsize="21600,21600" o:gfxdata="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B6z&#10;5kPcAAAADQEAAA8AAAAAAAAAAQAgAAAAIgAAAGRycy9kb3ducmV2LnhtbFBLAQIUABQAAAAIAIdO&#10;4kD5kcgrWAIAAKYEAAAOAAAAAAAAAAEAIAAAACsBAABkcnMvZTJvRG9jLnhtbFBLBQYAAAAABgAG&#10;AFkBAAD1BQAAAAA=&#10;" adj="-30370,-34028,14400">
                <v:fill on="f" focussize="0,0"/>
                <v:stroke weight="1pt" color="#000000"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所在地</w:t>
                      </w:r>
                    </w:p>
                  </w:txbxContent>
                </v:textbox>
              </v:shape>
            </w:pict>
          </mc:Fallback>
        </mc:AlternateContent>
      </w:r>
      <w:r>
        <w:rPr>
          <w:b/>
          <w:sz w:val="28"/>
          <w:szCs w:val="28"/>
        </w:rPr>
        <mc:AlternateContent>
          <mc:Choice Requires="wps">
            <w:drawing>
              <wp:anchor distT="0" distB="0" distL="114300" distR="114300" simplePos="0" relativeHeight="251672576" behindDoc="0" locked="0" layoutInCell="1" allowOverlap="1">
                <wp:simplePos x="0" y="0"/>
                <wp:positionH relativeFrom="column">
                  <wp:posOffset>10148570</wp:posOffset>
                </wp:positionH>
                <wp:positionV relativeFrom="paragraph">
                  <wp:posOffset>3109595</wp:posOffset>
                </wp:positionV>
                <wp:extent cx="114300" cy="123825"/>
                <wp:effectExtent l="17780" t="22860" r="20320" b="24765"/>
                <wp:wrapNone/>
                <wp:docPr id="384" name="五角星 8"/>
                <wp:cNvGraphicFramePr/>
                <a:graphic xmlns:a="http://schemas.openxmlformats.org/drawingml/2006/main">
                  <a:graphicData uri="http://schemas.microsoft.com/office/word/2010/wordprocessingShape">
                    <wps:wsp>
                      <wps:cNvSpPr/>
                      <wps:spPr>
                        <a:xfrm>
                          <a:off x="0" y="0"/>
                          <a:ext cx="114300" cy="123825"/>
                        </a:xfrm>
                        <a:custGeom>
                          <a:avLst/>
                          <a:gdLst/>
                          <a:ahLst/>
                          <a:cxnLst>
                            <a:cxn ang="0">
                              <a:pos x="0" y="47297"/>
                            </a:cxn>
                            <a:cxn ang="0">
                              <a:pos x="43659" y="47297"/>
                            </a:cxn>
                            <a:cxn ang="0">
                              <a:pos x="57150" y="0"/>
                            </a:cxn>
                            <a:cxn ang="0">
                              <a:pos x="70641" y="47297"/>
                            </a:cxn>
                            <a:cxn ang="0">
                              <a:pos x="114300" y="47297"/>
                            </a:cxn>
                            <a:cxn ang="0">
                              <a:pos x="78979" y="76528"/>
                            </a:cxn>
                            <a:cxn ang="0">
                              <a:pos x="92471" y="123825"/>
                            </a:cxn>
                            <a:cxn ang="0">
                              <a:pos x="57150" y="94593"/>
                            </a:cxn>
                            <a:cxn ang="0">
                              <a:pos x="21829" y="123825"/>
                            </a:cxn>
                            <a:cxn ang="0">
                              <a:pos x="35321" y="76528"/>
                            </a:cxn>
                            <a:cxn ang="0">
                              <a:pos x="0" y="47297"/>
                            </a:cxn>
                          </a:cxnLst>
                          <a:pathLst>
                            <a:path w="114300" h="123825">
                              <a:moveTo>
                                <a:pt x="0" y="47297"/>
                              </a:moveTo>
                              <a:lnTo>
                                <a:pt x="43659" y="47297"/>
                              </a:lnTo>
                              <a:lnTo>
                                <a:pt x="57150" y="0"/>
                              </a:lnTo>
                              <a:lnTo>
                                <a:pt x="70641" y="47297"/>
                              </a:lnTo>
                              <a:lnTo>
                                <a:pt x="114300" y="47297"/>
                              </a:lnTo>
                              <a:lnTo>
                                <a:pt x="78979" y="76528"/>
                              </a:lnTo>
                              <a:lnTo>
                                <a:pt x="92471" y="123825"/>
                              </a:lnTo>
                              <a:lnTo>
                                <a:pt x="57150" y="94593"/>
                              </a:lnTo>
                              <a:lnTo>
                                <a:pt x="21829" y="123825"/>
                              </a:lnTo>
                              <a:lnTo>
                                <a:pt x="35321" y="76528"/>
                              </a:lnTo>
                              <a:lnTo>
                                <a:pt x="0" y="47297"/>
                              </a:lnTo>
                              <a:close/>
                            </a:path>
                          </a:pathLst>
                        </a:custGeom>
                        <a:solidFill>
                          <a:srgbClr val="FF0000"/>
                        </a:solidFill>
                        <a:ln w="12700" cap="flat" cmpd="sng">
                          <a:solidFill>
                            <a:srgbClr val="000000"/>
                          </a:solidFill>
                          <a:prstDash val="solid"/>
                          <a:miter/>
                          <a:headEnd type="none" w="med" len="med"/>
                          <a:tailEnd type="none" w="med" len="med"/>
                        </a:ln>
                      </wps:spPr>
                      <wps:bodyPr anchor="ctr" upright="1"/>
                    </wps:wsp>
                  </a:graphicData>
                </a:graphic>
              </wp:anchor>
            </w:drawing>
          </mc:Choice>
          <mc:Fallback>
            <w:pict>
              <v:shape id="五角星 8" o:spid="_x0000_s1026" o:spt="100" style="position:absolute;left:0pt;margin-left:799.1pt;margin-top:244.85pt;height:9.75pt;width:9pt;z-index:251672576;v-text-anchor:middle;mso-width-relative:page;mso-height-relative:page;" fillcolor="#FF0000" filled="t" stroked="t" coordsize="114300,123825" o:gfxdata="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" path="m0,47297l43659,47297,57150,0,70641,47297,114300,47297,78979,76528,92471,123825,57150,94593,21829,123825,35321,76528,0,47297xe">
                <v:path o:connectlocs="0,47297;43659,47297;57150,0;70641,47297;114300,47297;78979,76528;92471,123825;57150,94593;21829,123825;35321,76528;0,47297" o:connectangles="0,0,0,0,0,0,0,0,0,0,0"/>
                <v:fill on="t" focussize="0,0"/>
                <v:stroke weight="1pt" color="#000000" joinstyle="miter"/>
                <v:imagedata o:title=""/>
                <o:lock v:ext="edit" aspectratio="f"/>
              </v:shape>
            </w:pict>
          </mc:Fallback>
        </mc:AlternateContent>
      </w:r>
      <w:r>
        <w:rPr>
          <w:b/>
          <w:sz w:val="28"/>
          <w:szCs w:val="28"/>
        </w:rPr>
        <mc:AlternateContent>
          <mc:Choice Requires="wps">
            <w:drawing>
              <wp:anchor distT="0" distB="0" distL="114300" distR="114300" simplePos="0" relativeHeight="251666432" behindDoc="1" locked="0" layoutInCell="1" allowOverlap="1">
                <wp:simplePos x="0" y="0"/>
                <wp:positionH relativeFrom="column">
                  <wp:posOffset>4274820</wp:posOffset>
                </wp:positionH>
                <wp:positionV relativeFrom="paragraph">
                  <wp:posOffset>3382010</wp:posOffset>
                </wp:positionV>
                <wp:extent cx="114300" cy="123825"/>
                <wp:effectExtent l="17780" t="22860" r="20320" b="24765"/>
                <wp:wrapNone/>
                <wp:docPr id="378" name="任意多边形 79"/>
                <wp:cNvGraphicFramePr/>
                <a:graphic xmlns:a="http://schemas.openxmlformats.org/drawingml/2006/main">
                  <a:graphicData uri="http://schemas.microsoft.com/office/word/2010/wordprocessingShape">
                    <wps:wsp>
                      <wps:cNvSpPr/>
                      <wps:spPr>
                        <a:xfrm>
                          <a:off x="0" y="0"/>
                          <a:ext cx="114300" cy="123825"/>
                        </a:xfrm>
                        <a:custGeom>
                          <a:avLst/>
                          <a:gdLst/>
                          <a:ahLst/>
                          <a:cxnLst>
                            <a:cxn ang="0">
                              <a:pos x="0" y="47297"/>
                            </a:cxn>
                            <a:cxn ang="0">
                              <a:pos x="43659" y="47297"/>
                            </a:cxn>
                            <a:cxn ang="0">
                              <a:pos x="57150" y="0"/>
                            </a:cxn>
                            <a:cxn ang="0">
                              <a:pos x="70641" y="47297"/>
                            </a:cxn>
                            <a:cxn ang="0">
                              <a:pos x="114300" y="47297"/>
                            </a:cxn>
                            <a:cxn ang="0">
                              <a:pos x="78979" y="76528"/>
                            </a:cxn>
                            <a:cxn ang="0">
                              <a:pos x="92471" y="123825"/>
                            </a:cxn>
                            <a:cxn ang="0">
                              <a:pos x="57150" y="94593"/>
                            </a:cxn>
                            <a:cxn ang="0">
                              <a:pos x="21829" y="123825"/>
                            </a:cxn>
                            <a:cxn ang="0">
                              <a:pos x="35321" y="76528"/>
                            </a:cxn>
                            <a:cxn ang="0">
                              <a:pos x="0" y="47297"/>
                            </a:cxn>
                          </a:cxnLst>
                          <a:pathLst>
                            <a:path w="114300" h="123825">
                              <a:moveTo>
                                <a:pt x="0" y="47297"/>
                              </a:moveTo>
                              <a:lnTo>
                                <a:pt x="43659" y="47297"/>
                              </a:lnTo>
                              <a:lnTo>
                                <a:pt x="57150" y="0"/>
                              </a:lnTo>
                              <a:lnTo>
                                <a:pt x="70641" y="47297"/>
                              </a:lnTo>
                              <a:lnTo>
                                <a:pt x="114300" y="47297"/>
                              </a:lnTo>
                              <a:lnTo>
                                <a:pt x="78979" y="76528"/>
                              </a:lnTo>
                              <a:lnTo>
                                <a:pt x="92471" y="123825"/>
                              </a:lnTo>
                              <a:lnTo>
                                <a:pt x="57150" y="94593"/>
                              </a:lnTo>
                              <a:lnTo>
                                <a:pt x="21829" y="123825"/>
                              </a:lnTo>
                              <a:lnTo>
                                <a:pt x="35321" y="76528"/>
                              </a:lnTo>
                              <a:lnTo>
                                <a:pt x="0" y="47297"/>
                              </a:lnTo>
                              <a:close/>
                            </a:path>
                          </a:pathLst>
                        </a:custGeom>
                        <a:solidFill>
                          <a:srgbClr val="FF0000"/>
                        </a:solidFill>
                        <a:ln w="12700" cap="flat" cmpd="sng">
                          <a:solidFill>
                            <a:srgbClr val="000000"/>
                          </a:solidFill>
                          <a:prstDash val="solid"/>
                          <a:miter/>
                          <a:headEnd type="none" w="med" len="med"/>
                          <a:tailEnd type="none" w="med" len="med"/>
                        </a:ln>
                      </wps:spPr>
                      <wps:bodyPr anchor="ctr" upright="1"/>
                    </wps:wsp>
                  </a:graphicData>
                </a:graphic>
              </wp:anchor>
            </w:drawing>
          </mc:Choice>
          <mc:Fallback>
            <w:pict>
              <v:shape id="任意多边形 79" o:spid="_x0000_s1026" o:spt="100" style="position:absolute;left:0pt;margin-left:336.6pt;margin-top:266.3pt;height:9.75pt;width:9pt;z-index:-251650048;v-text-anchor:middle;mso-width-relative:page;mso-height-relative:page;" fillcolor="#FF0000" filled="t" stroked="t" coordsize="114300,123825" o:gfxdata="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" path="m0,47297l43659,47297,57150,0,70641,47297,114300,47297,78979,76528,92471,123825,57150,94593,21829,123825,35321,76528,0,47297xe">
                <v:path o:connectlocs="0,47297;43659,47297;57150,0;70641,47297;114300,47297;78979,76528;92471,123825;57150,94593;21829,123825;35321,76528;0,47297" o:connectangles="0,0,0,0,0,0,0,0,0,0,0"/>
                <v:fill on="t" focussize="0,0"/>
                <v:stroke weight="1pt" color="#000000" joinstyle="miter"/>
                <v:imagedata o:title=""/>
                <o:lock v:ext="edit" aspectratio="f"/>
              </v:shape>
            </w:pict>
          </mc:Fallback>
        </mc:AlternateContent>
      </w:r>
      <w:r>
        <w:rPr>
          <w:b/>
          <w:sz w:val="28"/>
          <w:szCs w:val="28"/>
        </w:rPr>
        <mc:AlternateContent>
          <mc:Choice Requires="wps">
            <w:drawing>
              <wp:anchor distT="0" distB="0" distL="114300" distR="114300" simplePos="0" relativeHeight="251667456" behindDoc="1" locked="0" layoutInCell="1" allowOverlap="1">
                <wp:simplePos x="0" y="0"/>
                <wp:positionH relativeFrom="margin">
                  <wp:posOffset>2910840</wp:posOffset>
                </wp:positionH>
                <wp:positionV relativeFrom="paragraph">
                  <wp:posOffset>5303520</wp:posOffset>
                </wp:positionV>
                <wp:extent cx="1047750" cy="361950"/>
                <wp:effectExtent l="6350" t="1904365" r="374650" b="19685"/>
                <wp:wrapNone/>
                <wp:docPr id="379" name="自选图形 80"/>
                <wp:cNvGraphicFramePr/>
                <a:graphic xmlns:a="http://schemas.openxmlformats.org/drawingml/2006/main">
                  <a:graphicData uri="http://schemas.microsoft.com/office/word/2010/wordprocessingShape">
                    <wps:wsp>
                      <wps:cNvSpPr/>
                      <wps:spPr>
                        <a:xfrm>
                          <a:off x="0" y="0"/>
                          <a:ext cx="1047750" cy="361950"/>
                        </a:xfrm>
                        <a:prstGeom prst="wedgeRoundRectCallout">
                          <a:avLst>
                            <a:gd name="adj1" fmla="val 83333"/>
                            <a:gd name="adj2" fmla="val -562625"/>
                            <a:gd name="adj3" fmla="val 16667"/>
                          </a:avLst>
                        </a:prstGeom>
                        <a:noFill/>
                        <a:ln w="12700" cap="flat" cmpd="sng">
                          <a:solidFill>
                            <a:srgbClr val="000000"/>
                          </a:solidFill>
                          <a:prstDash val="solid"/>
                          <a:miter/>
                          <a:headEnd type="none" w="med" len="med"/>
                          <a:tailEnd type="none" w="med" len="med"/>
                        </a:ln>
                      </wps:spPr>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所在地</w:t>
                            </w:r>
                          </w:p>
                        </w:txbxContent>
                      </wps:txbx>
                      <wps:bodyPr anchor="ctr" upright="1"/>
                    </wps:wsp>
                  </a:graphicData>
                </a:graphic>
              </wp:anchor>
            </w:drawing>
          </mc:Choice>
          <mc:Fallback>
            <w:pict>
              <v:shape id="自选图形 80" o:spid="_x0000_s1026" o:spt="62" type="#_x0000_t62" style="position:absolute;left:0pt;margin-left:229.2pt;margin-top:417.6pt;height:28.5pt;width:82.5pt;mso-position-horizontal-relative:margin;z-index:-251649024;v-text-anchor:middle;mso-width-relative:page;mso-height-relative:page;" filled="f" stroked="t" coordsize="21600,21600" o:gfxdata="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9E9uTdoAAAALAQAADwAA&#10;AAAAAAABACAAAAAiAAAAZHJzL2Rvd25yZXYueG1sUEsBAhQAFAAAAAgAh07iQK4WVsRNAgAAnwQA&#10;AA4AAAAAAAAAAQAgAAAAKQEAAGRycy9lMm9Eb2MueG1sUEsFBgAAAAAGAAYAWQEAAOgFAAAAAA==&#10;" adj="28800,-110727,14400">
                <v:fill on="f" focussize="0,0"/>
                <v:stroke weight="1pt" color="#000000"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所在地</w:t>
                      </w:r>
                    </w:p>
                  </w:txbxContent>
                </v:textbox>
              </v:shape>
            </w:pict>
          </mc:Fallback>
        </mc:AlternateContent>
      </w:r>
      <w:r>
        <w:rPr>
          <w:b/>
          <w:sz w:val="28"/>
          <w:szCs w:val="28"/>
        </w:rPr>
        <mc:AlternateContent>
          <mc:Choice Requires="wps">
            <w:drawing>
              <wp:anchor distT="0" distB="0" distL="114300" distR="114300" simplePos="0" relativeHeight="251665408" behindDoc="1" locked="0" layoutInCell="1" allowOverlap="1">
                <wp:simplePos x="0" y="0"/>
                <wp:positionH relativeFrom="column">
                  <wp:posOffset>1274445</wp:posOffset>
                </wp:positionH>
                <wp:positionV relativeFrom="paragraph">
                  <wp:posOffset>2753995</wp:posOffset>
                </wp:positionV>
                <wp:extent cx="53340" cy="416560"/>
                <wp:effectExtent l="4445" t="635" r="37465" b="1905"/>
                <wp:wrapNone/>
                <wp:docPr id="377" name="自选图形 81"/>
                <wp:cNvGraphicFramePr/>
                <a:graphic xmlns:a="http://schemas.openxmlformats.org/drawingml/2006/main">
                  <a:graphicData uri="http://schemas.microsoft.com/office/word/2010/wordprocessingShape">
                    <wps:wsp>
                      <wps:cNvCnPr/>
                      <wps:spPr>
                        <a:xfrm>
                          <a:off x="0" y="0"/>
                          <a:ext cx="53340" cy="416560"/>
                        </a:xfrm>
                        <a:prstGeom prst="straightConnector1">
                          <a:avLst/>
                        </a:prstGeom>
                        <a:ln w="6350" cap="flat" cmpd="sng">
                          <a:solidFill>
                            <a:srgbClr val="5B9BD5"/>
                          </a:solidFill>
                          <a:prstDash val="solid"/>
                          <a:miter/>
                          <a:headEnd type="none" w="med" len="med"/>
                          <a:tailEnd type="triangle" w="med" len="med"/>
                        </a:ln>
                      </wps:spPr>
                      <wps:bodyPr/>
                    </wps:wsp>
                  </a:graphicData>
                </a:graphic>
              </wp:anchor>
            </w:drawing>
          </mc:Choice>
          <mc:Fallback>
            <w:pict>
              <v:shape id="自选图形 81" o:spid="_x0000_s1026" o:spt="32" type="#_x0000_t32" style="position:absolute;left:0pt;margin-left:100.35pt;margin-top:216.85pt;height:32.8pt;width:4.2pt;z-index:-251651072;mso-width-relative:page;mso-height-relative:page;" filled="f" stroked="t" coordsize="21600,21600" o:gfxdata="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jpgQ42AAAAAsBAAAPAAAAAAAAAAEAIAAA&#10;ACIAAABkcnMvZG93bnJldi54bWxQSwECFAAUAAAACACHTuJACeYt3AwCAAD3AwAADgAAAAAAAAAB&#10;ACAAAAAnAQAAZHJzL2Uyb0RvYy54bWxQSwUGAAAAAAYABgBZAQAApQUAAAAA&#10;">
                <v:fill on="f" focussize="0,0"/>
                <v:stroke weight="0.5pt" color="#5B9BD5" joinstyle="miter" endarrow="block"/>
                <v:imagedata o:title=""/>
                <o:lock v:ext="edit" aspectratio="f"/>
              </v:shape>
            </w:pict>
          </mc:Fallback>
        </mc:AlternateContent>
      </w:r>
      <w:r>
        <w:rPr>
          <w:b/>
          <w:sz w:val="28"/>
          <w:szCs w:val="28"/>
        </w:rPr>
        <mc:AlternateContent>
          <mc:Choice Requires="wps">
            <w:drawing>
              <wp:anchor distT="0" distB="0" distL="114300" distR="114300" simplePos="0" relativeHeight="251698176" behindDoc="0" locked="0" layoutInCell="1" allowOverlap="1">
                <wp:simplePos x="0" y="0"/>
                <wp:positionH relativeFrom="column">
                  <wp:posOffset>875665</wp:posOffset>
                </wp:positionH>
                <wp:positionV relativeFrom="paragraph">
                  <wp:posOffset>2795905</wp:posOffset>
                </wp:positionV>
                <wp:extent cx="53340" cy="416560"/>
                <wp:effectExtent l="4445" t="635" r="37465" b="1905"/>
                <wp:wrapNone/>
                <wp:docPr id="409" name="自选图形 82"/>
                <wp:cNvGraphicFramePr/>
                <a:graphic xmlns:a="http://schemas.openxmlformats.org/drawingml/2006/main">
                  <a:graphicData uri="http://schemas.microsoft.com/office/word/2010/wordprocessingShape">
                    <wps:wsp>
                      <wps:cNvCnPr/>
                      <wps:spPr>
                        <a:xfrm>
                          <a:off x="0" y="0"/>
                          <a:ext cx="53340" cy="416560"/>
                        </a:xfrm>
                        <a:prstGeom prst="straightConnector1">
                          <a:avLst/>
                        </a:prstGeom>
                        <a:ln w="6350" cap="flat" cmpd="sng">
                          <a:solidFill>
                            <a:srgbClr val="5B9BD5"/>
                          </a:solidFill>
                          <a:prstDash val="solid"/>
                          <a:miter/>
                          <a:headEnd type="none" w="med" len="med"/>
                          <a:tailEnd type="triangle" w="med" len="med"/>
                        </a:ln>
                      </wps:spPr>
                      <wps:bodyPr/>
                    </wps:wsp>
                  </a:graphicData>
                </a:graphic>
              </wp:anchor>
            </w:drawing>
          </mc:Choice>
          <mc:Fallback>
            <w:pict>
              <v:shape id="自选图形 82" o:spid="_x0000_s1026" o:spt="32" type="#_x0000_t32" style="position:absolute;left:0pt;margin-left:68.95pt;margin-top:220.15pt;height:32.8pt;width:4.2pt;z-index:251698176;mso-width-relative:page;mso-height-relative:page;" filled="f" stroked="t" coordsize="21600,21600" o:gfxdata="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v3QXzdsAAAALAQAADwAAAAAAAAABACAA&#10;AAAiAAAAZHJzL2Rvd25yZXYueG1sUEsBAhQAFAAAAAgAh07iQL53IRYKAgAA9wMAAA4AAAAAAAAA&#10;AQAgAAAAKgEAAGRycy9lMm9Eb2MueG1sUEsFBgAAAAAGAAYAWQEAAKYFAAAAAA==&#10;">
                <v:fill on="f" focussize="0,0"/>
                <v:stroke weight="0.5pt" color="#5B9BD5" joinstyle="miter" endarrow="block"/>
                <v:imagedata o:title=""/>
                <o:lock v:ext="edit" aspectratio="f"/>
              </v:shape>
            </w:pict>
          </mc:Fallback>
        </mc:AlternateContent>
      </w:r>
      <w:r>
        <w:rPr>
          <w:rFonts w:hint="eastAsia"/>
          <w:b/>
          <w:sz w:val="28"/>
          <w:szCs w:val="28"/>
        </w:rPr>
        <w:drawing>
          <wp:inline distT="0" distB="0" distL="0" distR="0">
            <wp:extent cx="13149580" cy="8036560"/>
            <wp:effectExtent l="19050" t="19050" r="33020" b="2159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a:xfrm>
                      <a:off x="0" y="0"/>
                      <a:ext cx="13149580" cy="8036560"/>
                    </a:xfrm>
                    <a:prstGeom prst="rect">
                      <a:avLst/>
                    </a:prstGeom>
                    <a:ln w="19050">
                      <a:solidFill>
                        <a:schemeClr val="tx1"/>
                      </a:solidFill>
                    </a:ln>
                  </pic:spPr>
                </pic:pic>
              </a:graphicData>
            </a:graphic>
          </wp:inline>
        </w:drawing>
      </w:r>
      <w:r>
        <w:rPr>
          <w:b/>
          <w:sz w:val="28"/>
          <w:szCs w:val="28"/>
        </w:rPr>
        <mc:AlternateContent>
          <mc:Choice Requires="wps">
            <w:drawing>
              <wp:anchor distT="0" distB="0" distL="114300" distR="114300" simplePos="0" relativeHeight="251685888" behindDoc="0" locked="0" layoutInCell="1" allowOverlap="1">
                <wp:simplePos x="0" y="0"/>
                <wp:positionH relativeFrom="column">
                  <wp:posOffset>6948805</wp:posOffset>
                </wp:positionH>
                <wp:positionV relativeFrom="paragraph">
                  <wp:posOffset>4342130</wp:posOffset>
                </wp:positionV>
                <wp:extent cx="299720" cy="45720"/>
                <wp:effectExtent l="635" t="26035" r="4445" b="23495"/>
                <wp:wrapNone/>
                <wp:docPr id="397" name="直接箭头连接符 136"/>
                <wp:cNvGraphicFramePr/>
                <a:graphic xmlns:a="http://schemas.openxmlformats.org/drawingml/2006/main">
                  <a:graphicData uri="http://schemas.microsoft.com/office/word/2010/wordprocessingShape">
                    <wps:wsp>
                      <wps:cNvCnPr/>
                      <wps:spPr>
                        <a:xfrm flipV="1">
                          <a:off x="0" y="0"/>
                          <a:ext cx="299720" cy="45720"/>
                        </a:xfrm>
                        <a:prstGeom prst="straightConnector1">
                          <a:avLst/>
                        </a:prstGeom>
                        <a:ln w="6350" cap="flat" cmpd="sng">
                          <a:solidFill>
                            <a:srgbClr val="5B9BD5"/>
                          </a:solidFill>
                          <a:prstDash val="solid"/>
                          <a:miter/>
                          <a:headEnd type="none" w="med" len="med"/>
                          <a:tailEnd type="triangle" w="med" len="med"/>
                        </a:ln>
                      </wps:spPr>
                      <wps:bodyPr/>
                    </wps:wsp>
                  </a:graphicData>
                </a:graphic>
              </wp:anchor>
            </w:drawing>
          </mc:Choice>
          <mc:Fallback>
            <w:pict>
              <v:shape id="直接箭头连接符 136" o:spid="_x0000_s1026" o:spt="32" type="#_x0000_t32" style="position:absolute;left:0pt;flip:y;margin-left:547.15pt;margin-top:341.9pt;height:3.6pt;width:23.6pt;z-index:251685888;mso-width-relative:page;mso-height-relative:page;" filled="f" stroked="t" coordsize="21600,21600" o:gfxdata="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HkE1g2gAAAA0B&#10;AAAPAAAAAAAAAAEAIAAAACIAAABkcnMvZG93bnJldi54bWxQSwECFAAUAAAACACHTuJA8WE/FxkC&#10;AAALBAAADgAAAAAAAAABACAAAAApAQAAZHJzL2Uyb0RvYy54bWxQSwUGAAAAAAYABgBZAQAAtAUA&#10;AAAA&#10;">
                <v:fill on="f" focussize="0,0"/>
                <v:stroke weight="0.5pt" color="#5B9BD5" joinstyle="miter" endarrow="block"/>
                <v:imagedata o:title=""/>
                <o:lock v:ext="edit" aspectratio="f"/>
              </v:shape>
            </w:pict>
          </mc:Fallback>
        </mc:AlternateContent>
      </w:r>
      <w:r>
        <w:rPr>
          <w:b/>
          <w:sz w:val="28"/>
          <w:szCs w:val="28"/>
        </w:rPr>
        <mc:AlternateContent>
          <mc:Choice Requires="wps">
            <w:drawing>
              <wp:anchor distT="0" distB="0" distL="114300" distR="114300" simplePos="0" relativeHeight="251686912" behindDoc="0" locked="0" layoutInCell="1" allowOverlap="1">
                <wp:simplePos x="0" y="0"/>
                <wp:positionH relativeFrom="column">
                  <wp:posOffset>7343775</wp:posOffset>
                </wp:positionH>
                <wp:positionV relativeFrom="paragraph">
                  <wp:posOffset>4150995</wp:posOffset>
                </wp:positionV>
                <wp:extent cx="1111885" cy="361950"/>
                <wp:effectExtent l="0" t="0" r="0" b="0"/>
                <wp:wrapNone/>
                <wp:docPr id="398" name="矩形 137"/>
                <wp:cNvGraphicFramePr/>
                <a:graphic xmlns:a="http://schemas.openxmlformats.org/drawingml/2006/main">
                  <a:graphicData uri="http://schemas.microsoft.com/office/word/2010/wordprocessingShape">
                    <wps:wsp>
                      <wps:cNvSpPr/>
                      <wps:spPr>
                        <a:xfrm>
                          <a:off x="0" y="0"/>
                          <a:ext cx="1111911" cy="361950"/>
                        </a:xfrm>
                        <a:prstGeom prst="rect">
                          <a:avLst/>
                        </a:prstGeom>
                        <a:no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2060"/>
                              </w:rPr>
                            </w:pPr>
                            <w:r>
                              <w:rPr>
                                <w:rFonts w:hint="eastAsia"/>
                                <w:color w:val="002060"/>
                              </w:rPr>
                              <w:t>地表水</w:t>
                            </w:r>
                            <w:r>
                              <w:rPr>
                                <w:color w:val="002060"/>
                              </w:rPr>
                              <w:t>流向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37" o:spid="_x0000_s1026" o:spt="1" style="position:absolute;left:0pt;margin-left:578.25pt;margin-top:326.85pt;height:28.5pt;width:87.55pt;z-index:251686912;v-text-anchor:middle;mso-width-relative:page;mso-height-relative:page;" filled="f" stroked="f" coordsize="21600,21600" o:gfxdata="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DIYVi/aAAAADQEAAA8AAAAAAAAAAQAgAAAAIgAAAGRycy9kb3ducmV2LnhtbFBLAQIUABQAAAAI&#10;AIdO4kC2yJk0XQIAAKgEAAAOAAAAAAAAAAEAIAAAACkBAABkcnMvZTJvRG9jLnhtbFBLBQYAAAAA&#10;BgAGAFkBAAD4BQAAAAA=&#10;">
                <v:fill on="f" focussize="0,0"/>
                <v:stroke on="f" weight="2pt"/>
                <v:imagedata o:title=""/>
                <o:lock v:ext="edit" aspectratio="f"/>
                <v:textbox>
                  <w:txbxContent>
                    <w:p>
                      <w:pPr>
                        <w:jc w:val="center"/>
                        <w:rPr>
                          <w:color w:val="002060"/>
                        </w:rPr>
                      </w:pPr>
                      <w:r>
                        <w:rPr>
                          <w:rFonts w:hint="eastAsia"/>
                          <w:color w:val="002060"/>
                        </w:rPr>
                        <w:t>地表水</w:t>
                      </w:r>
                      <w:r>
                        <w:rPr>
                          <w:color w:val="002060"/>
                        </w:rPr>
                        <w:t>流向</w:t>
                      </w:r>
                    </w:p>
                  </w:txbxContent>
                </v:textbox>
              </v:rect>
            </w:pict>
          </mc:Fallback>
        </mc:AlternateContent>
      </w:r>
      <w:r>
        <w:rPr>
          <w:b/>
          <w:sz w:val="28"/>
          <w:szCs w:val="28"/>
        </w:rPr>
        <mc:AlternateContent>
          <mc:Choice Requires="wps">
            <w:drawing>
              <wp:anchor distT="0" distB="0" distL="114300" distR="114300" simplePos="0" relativeHeight="251684864" behindDoc="0" locked="0" layoutInCell="1" allowOverlap="1">
                <wp:simplePos x="0" y="0"/>
                <wp:positionH relativeFrom="column">
                  <wp:posOffset>2356485</wp:posOffset>
                </wp:positionH>
                <wp:positionV relativeFrom="paragraph">
                  <wp:posOffset>4418965</wp:posOffset>
                </wp:positionV>
                <wp:extent cx="595630" cy="45720"/>
                <wp:effectExtent l="635" t="4445" r="13335" b="45085"/>
                <wp:wrapNone/>
                <wp:docPr id="396" name="直接箭头连接符 135"/>
                <wp:cNvGraphicFramePr/>
                <a:graphic xmlns:a="http://schemas.openxmlformats.org/drawingml/2006/main">
                  <a:graphicData uri="http://schemas.microsoft.com/office/word/2010/wordprocessingShape">
                    <wps:wsp>
                      <wps:cNvCnPr/>
                      <wps:spPr>
                        <a:xfrm>
                          <a:off x="0" y="0"/>
                          <a:ext cx="595630" cy="45720"/>
                        </a:xfrm>
                        <a:prstGeom prst="straightConnector1">
                          <a:avLst/>
                        </a:prstGeom>
                        <a:ln w="6350" cap="flat" cmpd="sng">
                          <a:solidFill>
                            <a:srgbClr val="5B9BD5"/>
                          </a:solidFill>
                          <a:prstDash val="solid"/>
                          <a:miter/>
                          <a:headEnd type="none" w="med" len="med"/>
                          <a:tailEnd type="triangle" w="med" len="med"/>
                        </a:ln>
                      </wps:spPr>
                      <wps:bodyPr/>
                    </wps:wsp>
                  </a:graphicData>
                </a:graphic>
              </wp:anchor>
            </w:drawing>
          </mc:Choice>
          <mc:Fallback>
            <w:pict>
              <v:shape id="直接箭头连接符 135" o:spid="_x0000_s1026" o:spt="32" type="#_x0000_t32" style="position:absolute;left:0pt;margin-left:185.55pt;margin-top:347.95pt;height:3.6pt;width:46.9pt;z-index:251684864;mso-width-relative:page;mso-height-relative:page;" filled="f" stroked="t" coordsize="21600,21600" o:gfxdata="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MLFiN/bAAAACwEAAA8A&#10;AAAAAAAAAQAgAAAAIgAAAGRycy9kb3ducmV2LnhtbFBLAQIUABQAAAAIAIdO4kAO3Nq7FAIAAAEE&#10;AAAOAAAAAAAAAAEAIAAAACoBAABkcnMvZTJvRG9jLnhtbFBLBQYAAAAABgAGAFkBAACwBQAAAAA=&#10;">
                <v:fill on="f" focussize="0,0"/>
                <v:stroke weight="0.5pt" color="#5B9BD5" joinstyle="miter" endarrow="block"/>
                <v:imagedata o:title=""/>
                <o:lock v:ext="edit" aspectratio="f"/>
              </v:shape>
            </w:pict>
          </mc:Fallback>
        </mc:AlternateContent>
      </w:r>
      <w:r>
        <w:rPr>
          <w:b/>
          <w:sz w:val="28"/>
          <w:szCs w:val="28"/>
        </w:rPr>
        <mc:AlternateContent>
          <mc:Choice Requires="wps">
            <w:drawing>
              <wp:anchor distT="0" distB="0" distL="114300" distR="114300" simplePos="0" relativeHeight="251683840" behindDoc="0" locked="0" layoutInCell="1" allowOverlap="1">
                <wp:simplePos x="0" y="0"/>
                <wp:positionH relativeFrom="column">
                  <wp:posOffset>1400175</wp:posOffset>
                </wp:positionH>
                <wp:positionV relativeFrom="paragraph">
                  <wp:posOffset>3926205</wp:posOffset>
                </wp:positionV>
                <wp:extent cx="257175" cy="209550"/>
                <wp:effectExtent l="3175" t="3810" r="6350" b="15240"/>
                <wp:wrapNone/>
                <wp:docPr id="395" name="直接箭头连接符 133"/>
                <wp:cNvGraphicFramePr/>
                <a:graphic xmlns:a="http://schemas.openxmlformats.org/drawingml/2006/main">
                  <a:graphicData uri="http://schemas.microsoft.com/office/word/2010/wordprocessingShape">
                    <wps:wsp>
                      <wps:cNvCnPr/>
                      <wps:spPr>
                        <a:xfrm>
                          <a:off x="0" y="0"/>
                          <a:ext cx="257175" cy="209550"/>
                        </a:xfrm>
                        <a:prstGeom prst="straightConnector1">
                          <a:avLst/>
                        </a:prstGeom>
                        <a:ln w="6350" cap="flat" cmpd="sng">
                          <a:solidFill>
                            <a:srgbClr val="5B9BD5"/>
                          </a:solidFill>
                          <a:prstDash val="solid"/>
                          <a:miter/>
                          <a:headEnd type="none" w="med" len="med"/>
                          <a:tailEnd type="triangle" w="med" len="med"/>
                        </a:ln>
                      </wps:spPr>
                      <wps:bodyPr/>
                    </wps:wsp>
                  </a:graphicData>
                </a:graphic>
              </wp:anchor>
            </w:drawing>
          </mc:Choice>
          <mc:Fallback>
            <w:pict>
              <v:shape id="直接箭头连接符 133" o:spid="_x0000_s1026" o:spt="32" type="#_x0000_t32" style="position:absolute;left:0pt;margin-left:110.25pt;margin-top:309.15pt;height:16.5pt;width:20.25pt;z-index:251683840;mso-width-relative:page;mso-height-relative:page;" filled="f" stroked="t" coordsize="21600,21600" o:gfxdata="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N6xb5LaAAAACwEAAA8A&#10;AAAAAAAAAQAgAAAAIgAAAGRycy9kb3ducmV2LnhtbFBLAQIUABQAAAAIAIdO4kBg3BFUFQIAAAIE&#10;AAAOAAAAAAAAAAEAIAAAACkBAABkcnMvZTJvRG9jLnhtbFBLBQYAAAAABgAGAFkBAACwBQAAAAA=&#10;">
                <v:fill on="f" focussize="0,0"/>
                <v:stroke weight="0.5pt" color="#5B9BD5" joinstyle="miter" endarrow="block"/>
                <v:imagedata o:title=""/>
                <o:lock v:ext="edit" aspectratio="f"/>
              </v:shape>
            </w:pict>
          </mc:Fallback>
        </mc:AlternateContent>
      </w:r>
      <w:r>
        <w:rPr>
          <w:b/>
          <w:sz w:val="28"/>
          <w:szCs w:val="28"/>
        </w:rPr>
        <mc:AlternateContent>
          <mc:Choice Requires="wps">
            <w:drawing>
              <wp:anchor distT="0" distB="0" distL="114300" distR="114300" simplePos="0" relativeHeight="251682816" behindDoc="0" locked="0" layoutInCell="1" allowOverlap="1">
                <wp:simplePos x="0" y="0"/>
                <wp:positionH relativeFrom="column">
                  <wp:posOffset>1158240</wp:posOffset>
                </wp:positionH>
                <wp:positionV relativeFrom="paragraph">
                  <wp:posOffset>3589655</wp:posOffset>
                </wp:positionV>
                <wp:extent cx="414655" cy="361950"/>
                <wp:effectExtent l="0" t="0" r="0" b="0"/>
                <wp:wrapNone/>
                <wp:docPr id="394" name="矩形 116"/>
                <wp:cNvGraphicFramePr/>
                <a:graphic xmlns:a="http://schemas.openxmlformats.org/drawingml/2006/main">
                  <a:graphicData uri="http://schemas.microsoft.com/office/word/2010/wordprocessingShape">
                    <wps:wsp>
                      <wps:cNvSpPr/>
                      <wps:spPr>
                        <a:xfrm>
                          <a:off x="0" y="0"/>
                          <a:ext cx="414655" cy="361950"/>
                        </a:xfrm>
                        <a:prstGeom prst="rect">
                          <a:avLst/>
                        </a:prstGeom>
                        <a:no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2060"/>
                              </w:rPr>
                            </w:pPr>
                            <w:r>
                              <w:rPr>
                                <w:rFonts w:hint="eastAsia"/>
                                <w:color w:val="002060"/>
                              </w:rPr>
                              <w:t>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16" o:spid="_x0000_s1026" o:spt="1" style="position:absolute;left:0pt;margin-left:91.2pt;margin-top:282.65pt;height:28.5pt;width:32.65pt;z-index:251682816;v-text-anchor:middle;mso-width-relative:page;mso-height-relative:page;" filled="f" stroked="f" coordsize="21600,21600" o:gfxdata="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HHMQ7aAAAACwEAAA8AAAAAAAAAAQAgAAAAIgAAAGRycy9kb3ducmV2LnhtbFBLAQIUABQAAAAI&#10;AIdO4kCBKWdmXQIAAKcEAAAOAAAAAAAAAAEAIAAAACkBAABkcnMvZTJvRG9jLnhtbFBLBQYAAAAA&#10;BgAGAFkBAAD4BQAAAAA=&#10;">
                <v:fill on="f" focussize="0,0"/>
                <v:stroke on="f" weight="2pt"/>
                <v:imagedata o:title=""/>
                <o:lock v:ext="edit" aspectratio="f"/>
                <v:textbox>
                  <w:txbxContent>
                    <w:p>
                      <w:pPr>
                        <w:jc w:val="center"/>
                        <w:rPr>
                          <w:color w:val="002060"/>
                        </w:rPr>
                      </w:pPr>
                      <w:r>
                        <w:rPr>
                          <w:rFonts w:hint="eastAsia"/>
                          <w:color w:val="002060"/>
                        </w:rPr>
                        <w:t>河</w:t>
                      </w:r>
                    </w:p>
                  </w:txbxContent>
                </v:textbox>
              </v:rect>
            </w:pict>
          </mc:Fallback>
        </mc:AlternateContent>
      </w:r>
      <w:r>
        <w:rPr>
          <w:b/>
          <w:sz w:val="28"/>
          <w:szCs w:val="28"/>
        </w:rPr>
        <mc:AlternateContent>
          <mc:Choice Requires="wps">
            <w:drawing>
              <wp:anchor distT="0" distB="0" distL="114300" distR="114300" simplePos="0" relativeHeight="251679744" behindDoc="0" locked="0" layoutInCell="1" allowOverlap="1">
                <wp:simplePos x="0" y="0"/>
                <wp:positionH relativeFrom="column">
                  <wp:posOffset>1040765</wp:posOffset>
                </wp:positionH>
                <wp:positionV relativeFrom="paragraph">
                  <wp:posOffset>3390265</wp:posOffset>
                </wp:positionV>
                <wp:extent cx="414655" cy="361950"/>
                <wp:effectExtent l="0" t="0" r="0" b="0"/>
                <wp:wrapNone/>
                <wp:docPr id="391" name="矩形 113"/>
                <wp:cNvGraphicFramePr/>
                <a:graphic xmlns:a="http://schemas.openxmlformats.org/drawingml/2006/main">
                  <a:graphicData uri="http://schemas.microsoft.com/office/word/2010/wordprocessingShape">
                    <wps:wsp>
                      <wps:cNvSpPr/>
                      <wps:spPr>
                        <a:xfrm>
                          <a:off x="0" y="0"/>
                          <a:ext cx="414655" cy="361950"/>
                        </a:xfrm>
                        <a:prstGeom prst="rect">
                          <a:avLst/>
                        </a:prstGeom>
                        <a:no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2060"/>
                              </w:rPr>
                            </w:pPr>
                            <w:r>
                              <w:rPr>
                                <w:rFonts w:hint="eastAsia"/>
                                <w:color w:val="002060"/>
                              </w:rPr>
                              <w:t>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13" o:spid="_x0000_s1026" o:spt="1" style="position:absolute;left:0pt;margin-left:81.95pt;margin-top:266.95pt;height:28.5pt;width:32.65pt;z-index:251679744;v-text-anchor:middle;mso-width-relative:page;mso-height-relative:page;" filled="f" stroked="f" coordsize="21600,21600" o:gfxdata="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1V7LnNkAAAALAQAADwAAAAAAAAABACAAAAAiAAAAZHJzL2Rvd25yZXYueG1sUEsBAhQAFAAAAAgA&#10;h07iQNZt4WZdAgAApwQAAA4AAAAAAAAAAQAgAAAAKAEAAGRycy9lMm9Eb2MueG1sUEsFBgAAAAAG&#10;AAYAWQEAAPcFAAAAAA==&#10;">
                <v:fill on="f" focussize="0,0"/>
                <v:stroke on="f" weight="2pt"/>
                <v:imagedata o:title=""/>
                <o:lock v:ext="edit" aspectratio="f"/>
                <v:textbox>
                  <w:txbxContent>
                    <w:p>
                      <w:pPr>
                        <w:jc w:val="center"/>
                        <w:rPr>
                          <w:color w:val="002060"/>
                        </w:rPr>
                      </w:pPr>
                      <w:r>
                        <w:rPr>
                          <w:rFonts w:hint="eastAsia"/>
                          <w:color w:val="002060"/>
                        </w:rPr>
                        <w:t>淮</w:t>
                      </w:r>
                    </w:p>
                  </w:txbxContent>
                </v:textbox>
              </v:rect>
            </w:pict>
          </mc:Fallback>
        </mc:AlternateContent>
      </w:r>
      <w:r>
        <w:rPr>
          <w:b/>
          <w:sz w:val="28"/>
          <w:szCs w:val="28"/>
        </w:rPr>
        <mc:AlternateContent>
          <mc:Choice Requires="wps">
            <w:drawing>
              <wp:anchor distT="0" distB="0" distL="114300" distR="114300" simplePos="0" relativeHeight="251681792" behindDoc="0" locked="0" layoutInCell="1" allowOverlap="1">
                <wp:simplePos x="0" y="0"/>
                <wp:positionH relativeFrom="column">
                  <wp:posOffset>1508125</wp:posOffset>
                </wp:positionH>
                <wp:positionV relativeFrom="paragraph">
                  <wp:posOffset>3843020</wp:posOffset>
                </wp:positionV>
                <wp:extent cx="415290" cy="361950"/>
                <wp:effectExtent l="0" t="0" r="0" b="0"/>
                <wp:wrapNone/>
                <wp:docPr id="393" name="矩形 115"/>
                <wp:cNvGraphicFramePr/>
                <a:graphic xmlns:a="http://schemas.openxmlformats.org/drawingml/2006/main">
                  <a:graphicData uri="http://schemas.microsoft.com/office/word/2010/wordprocessingShape">
                    <wps:wsp>
                      <wps:cNvSpPr/>
                      <wps:spPr>
                        <a:xfrm>
                          <a:off x="0" y="0"/>
                          <a:ext cx="415005" cy="361950"/>
                        </a:xfrm>
                        <a:prstGeom prst="rect">
                          <a:avLst/>
                        </a:prstGeom>
                        <a:no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2060"/>
                              </w:rPr>
                            </w:pPr>
                            <w:r>
                              <w:rPr>
                                <w:rFonts w:hint="eastAsia"/>
                                <w:color w:val="002060"/>
                              </w:rPr>
                              <w:t>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15" o:spid="_x0000_s1026" o:spt="1" style="position:absolute;left:0pt;margin-left:118.75pt;margin-top:302.6pt;height:28.5pt;width:32.7pt;z-index:251681792;v-text-anchor:middle;mso-width-relative:page;mso-height-relative:page;" filled="f" stroked="f" coordsize="21600,21600" o:gfxdata="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ie6+M2gAAAAsBAAAPAAAAAAAAAAEAIAAAACIAAABkcnMvZG93bnJldi54bWxQSwECFAAUAAAA&#10;CACHTuJAD0QuQF4CAACnBAAADgAAAAAAAAABACAAAAApAQAAZHJzL2Uyb0RvYy54bWxQSwUGAAAA&#10;AAYABgBZAQAA+QUAAAAA&#10;">
                <v:fill on="f" focussize="0,0"/>
                <v:stroke on="f" weight="2pt"/>
                <v:imagedata o:title=""/>
                <o:lock v:ext="edit" aspectratio="f"/>
                <v:textbox>
                  <w:txbxContent>
                    <w:p>
                      <w:pPr>
                        <w:jc w:val="center"/>
                        <w:rPr>
                          <w:color w:val="002060"/>
                        </w:rPr>
                      </w:pPr>
                      <w:r>
                        <w:rPr>
                          <w:rFonts w:hint="eastAsia"/>
                          <w:color w:val="002060"/>
                        </w:rPr>
                        <w:t>流</w:t>
                      </w:r>
                    </w:p>
                  </w:txbxContent>
                </v:textbox>
              </v:rect>
            </w:pict>
          </mc:Fallback>
        </mc:AlternateContent>
      </w:r>
      <w:r>
        <w:rPr>
          <w:b/>
          <w:sz w:val="28"/>
          <w:szCs w:val="28"/>
        </w:rPr>
        <mc:AlternateContent>
          <mc:Choice Requires="wps">
            <w:drawing>
              <wp:anchor distT="0" distB="0" distL="114300" distR="114300" simplePos="0" relativeHeight="251680768" behindDoc="0" locked="0" layoutInCell="1" allowOverlap="1">
                <wp:simplePos x="0" y="0"/>
                <wp:positionH relativeFrom="column">
                  <wp:posOffset>1350010</wp:posOffset>
                </wp:positionH>
                <wp:positionV relativeFrom="paragraph">
                  <wp:posOffset>3683635</wp:posOffset>
                </wp:positionV>
                <wp:extent cx="415290" cy="361950"/>
                <wp:effectExtent l="0" t="0" r="0" b="0"/>
                <wp:wrapNone/>
                <wp:docPr id="392" name="矩形 114"/>
                <wp:cNvGraphicFramePr/>
                <a:graphic xmlns:a="http://schemas.openxmlformats.org/drawingml/2006/main">
                  <a:graphicData uri="http://schemas.microsoft.com/office/word/2010/wordprocessingShape">
                    <wps:wsp>
                      <wps:cNvSpPr/>
                      <wps:spPr>
                        <a:xfrm>
                          <a:off x="0" y="0"/>
                          <a:ext cx="415005" cy="361950"/>
                        </a:xfrm>
                        <a:prstGeom prst="rect">
                          <a:avLst/>
                        </a:prstGeom>
                        <a:no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2060"/>
                              </w:rPr>
                            </w:pPr>
                            <w:r>
                              <w:rPr>
                                <w:rFonts w:hint="eastAsia"/>
                                <w:color w:val="002060"/>
                              </w:rPr>
                              <w:t>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14" o:spid="_x0000_s1026" o:spt="1" style="position:absolute;left:0pt;margin-left:106.3pt;margin-top:290.05pt;height:28.5pt;width:32.7pt;z-index:251680768;v-text-anchor:middle;mso-width-relative:page;mso-height-relative:page;" filled="f" stroked="f" coordsize="21600,21600" o:gfxdata="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cAS3BdkAAAALAQAADwAAAAAAAAABACAAAAAiAAAAZHJzL2Rvd25yZXYueG1sUEsBAhQAFAAAAAgA&#10;h07iQIv41fZdAgAApwQAAA4AAAAAAAAAAQAgAAAAKAEAAGRycy9lMm9Eb2MueG1sUEsFBgAAAAAG&#10;AAYAWQEAAPcFAAAAAA==&#10;">
                <v:fill on="f" focussize="0,0"/>
                <v:stroke on="f" weight="2pt"/>
                <v:imagedata o:title=""/>
                <o:lock v:ext="edit" aspectratio="f"/>
                <v:textbox>
                  <w:txbxContent>
                    <w:p>
                      <w:pPr>
                        <w:jc w:val="center"/>
                        <w:rPr>
                          <w:color w:val="002060"/>
                        </w:rPr>
                      </w:pPr>
                      <w:r>
                        <w:rPr>
                          <w:rFonts w:hint="eastAsia"/>
                          <w:color w:val="002060"/>
                        </w:rPr>
                        <w:t>支</w:t>
                      </w:r>
                    </w:p>
                  </w:txbxContent>
                </v:textbox>
              </v:rect>
            </w:pict>
          </mc:Fallback>
        </mc:AlternateContent>
      </w:r>
      <w:r>
        <w:rPr>
          <w:b/>
          <w:sz w:val="28"/>
          <w:szCs w:val="28"/>
        </w:rPr>
        <mc:AlternateContent>
          <mc:Choice Requires="wps">
            <w:drawing>
              <wp:anchor distT="0" distB="0" distL="114300" distR="114300" simplePos="0" relativeHeight="251676672" behindDoc="0" locked="0" layoutInCell="1" allowOverlap="1">
                <wp:simplePos x="0" y="0"/>
                <wp:positionH relativeFrom="column">
                  <wp:posOffset>46355</wp:posOffset>
                </wp:positionH>
                <wp:positionV relativeFrom="paragraph">
                  <wp:posOffset>120650</wp:posOffset>
                </wp:positionV>
                <wp:extent cx="222250" cy="540385"/>
                <wp:effectExtent l="15240" t="8890" r="29210" b="22225"/>
                <wp:wrapNone/>
                <wp:docPr id="388" name="上箭头 92"/>
                <wp:cNvGraphicFramePr/>
                <a:graphic xmlns:a="http://schemas.openxmlformats.org/drawingml/2006/main">
                  <a:graphicData uri="http://schemas.microsoft.com/office/word/2010/wordprocessingShape">
                    <wps:wsp>
                      <wps:cNvSpPr/>
                      <wps:spPr>
                        <a:xfrm>
                          <a:off x="0" y="0"/>
                          <a:ext cx="222250" cy="540385"/>
                        </a:xfrm>
                        <a:prstGeom prst="upArrow">
                          <a:avLst>
                            <a:gd name="adj1" fmla="val 50000"/>
                            <a:gd name="adj2" fmla="val 50001"/>
                          </a:avLst>
                        </a:prstGeom>
                        <a:solidFill>
                          <a:srgbClr val="000000"/>
                        </a:solidFill>
                        <a:ln w="12700" cap="flat" cmpd="sng">
                          <a:solidFill>
                            <a:srgbClr val="000000"/>
                          </a:solidFill>
                          <a:prstDash val="solid"/>
                          <a:miter/>
                          <a:headEnd type="none" w="med" len="med"/>
                          <a:tailEnd type="none" w="med" len="med"/>
                        </a:ln>
                      </wps:spPr>
                      <wps:bodyPr anchor="ctr" upright="1"/>
                    </wps:wsp>
                  </a:graphicData>
                </a:graphic>
              </wp:anchor>
            </w:drawing>
          </mc:Choice>
          <mc:Fallback>
            <w:pict>
              <v:shape id="上箭头 92" o:spid="_x0000_s1026" o:spt="68" type="#_x0000_t68" style="position:absolute;left:0pt;margin-left:3.65pt;margin-top:9.5pt;height:42.55pt;width:17.5pt;z-index:251676672;v-text-anchor:middle;mso-width-relative:page;mso-height-relative:page;" fillcolor="#000000" filled="t" stroked="t" coordsize="21600,21600" o:gfxdata="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BhY&#10;CuHWAAAABwEAAA8AAAAAAAAAAQAgAAAAIgAAAGRycy9kb3ducmV2LnhtbFBLAQIUABQAAAAIAIdO&#10;4kCVzgQJJQIAAIUEAAAOAAAAAAAAAAEAIAAAACUBAABkcnMvZTJvRG9jLnhtbFBLBQYAAAAABgAG&#10;AFkBAAC8BQAAAAA=&#10;" adj="4441,5400">
                <v:fill on="t" focussize="0,0"/>
                <v:stroke weight="1pt" color="#000000" joinstyle="miter"/>
                <v:imagedata o:title=""/>
                <o:lock v:ext="edit" aspectratio="f"/>
              </v:shape>
            </w:pict>
          </mc:Fallback>
        </mc:AlternateContent>
      </w:r>
      <w:r>
        <w:rPr>
          <w:b/>
          <w:sz w:val="28"/>
          <w:szCs w:val="28"/>
        </w:rPr>
        <mc:AlternateContent>
          <mc:Choice Requires="wps">
            <w:drawing>
              <wp:anchor distT="0" distB="0" distL="114300" distR="114300" simplePos="0" relativeHeight="251677696" behindDoc="0" locked="0" layoutInCell="1" allowOverlap="1">
                <wp:simplePos x="0" y="0"/>
                <wp:positionH relativeFrom="column">
                  <wp:posOffset>221615</wp:posOffset>
                </wp:positionH>
                <wp:positionV relativeFrom="paragraph">
                  <wp:posOffset>236855</wp:posOffset>
                </wp:positionV>
                <wp:extent cx="365760" cy="325755"/>
                <wp:effectExtent l="0" t="0" r="0" b="0"/>
                <wp:wrapNone/>
                <wp:docPr id="389" name="文本框 93"/>
                <wp:cNvGraphicFramePr/>
                <a:graphic xmlns:a="http://schemas.openxmlformats.org/drawingml/2006/main">
                  <a:graphicData uri="http://schemas.microsoft.com/office/word/2010/wordprocessingShape">
                    <wps:wsp>
                      <wps:cNvSpPr txBox="1"/>
                      <wps:spPr>
                        <a:xfrm>
                          <a:off x="0" y="0"/>
                          <a:ext cx="365760" cy="3260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rPr>
                                <w:b/>
                              </w:rPr>
                            </w:pPr>
                            <w:r>
                              <w:rPr>
                                <w:rFonts w:hint="eastAsia"/>
                                <w:b/>
                              </w:rPr>
                              <w:t>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93" o:spid="_x0000_s1026" o:spt="202" type="#_x0000_t202" style="position:absolute;left:0pt;margin-left:17.45pt;margin-top:18.65pt;height:25.65pt;width:28.8pt;z-index:251677696;mso-width-relative:page;mso-height-relative:page;" filled="f" stroked="f" coordsize="21600,21600" o:gfxdata="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LsDDwnZAAAABwEAAA8AAAAAAAAAAQAgAAAA&#10;IgAAAGRycy9kb3ducmV2LnhtbFBLAQIUABQAAAAIAIdO4kD1WAZlQwIAAHYEAAAOAAAAAAAAAAEA&#10;IAAAACgBAABkcnMvZTJvRG9jLnhtbFBLBQYAAAAABgAGAFkBAADdBQAAAAA=&#10;">
                <v:fill on="f" focussize="0,0"/>
                <v:stroke on="f" weight="0.5pt"/>
                <v:imagedata o:title=""/>
                <o:lock v:ext="edit" aspectratio="f"/>
                <v:textbox>
                  <w:txbxContent>
                    <w:p>
                      <w:pPr>
                        <w:rPr>
                          <w:b/>
                        </w:rPr>
                      </w:pPr>
                      <w:r>
                        <w:rPr>
                          <w:rFonts w:hint="eastAsia"/>
                          <w:b/>
                        </w:rPr>
                        <w:t>北</w:t>
                      </w:r>
                    </w:p>
                  </w:txbxContent>
                </v:textbox>
              </v:shape>
            </w:pict>
          </mc:Fallback>
        </mc:AlternateContent>
      </w:r>
    </w:p>
    <w:p>
      <w:pPr>
        <w:jc w:val="center"/>
        <w:rPr>
          <w:b/>
          <w:sz w:val="28"/>
          <w:szCs w:val="28"/>
          <w:u w:val="none"/>
        </w:rPr>
      </w:pPr>
      <w:r>
        <w:rPr>
          <w:rFonts w:hint="eastAsia"/>
          <w:b/>
          <w:sz w:val="28"/>
          <w:szCs w:val="28"/>
          <w:u w:val="none"/>
        </w:rPr>
        <w:t>附图</w:t>
      </w:r>
      <w:r>
        <w:rPr>
          <w:b/>
          <w:sz w:val="28"/>
          <w:szCs w:val="28"/>
          <w:u w:val="none"/>
        </w:rPr>
        <w:t>五</w:t>
      </w:r>
      <w:r>
        <w:rPr>
          <w:rFonts w:hint="eastAsia"/>
          <w:b/>
          <w:sz w:val="28"/>
          <w:szCs w:val="28"/>
          <w:u w:val="none"/>
        </w:rPr>
        <w:t>项目区域</w:t>
      </w:r>
      <w:r>
        <w:rPr>
          <w:b/>
          <w:sz w:val="28"/>
          <w:szCs w:val="28"/>
          <w:u w:val="none"/>
        </w:rPr>
        <w:t>水系图</w:t>
      </w:r>
    </w:p>
    <w:p>
      <w:pPr>
        <w:rPr>
          <w:b/>
          <w:sz w:val="28"/>
          <w:szCs w:val="28"/>
        </w:rPr>
      </w:pPr>
    </w:p>
    <w:p>
      <w:pPr>
        <w:jc w:val="center"/>
        <w:rPr>
          <w:rFonts w:hint="eastAsia"/>
          <w:b/>
          <w:sz w:val="28"/>
          <w:szCs w:val="28"/>
        </w:rPr>
      </w:pPr>
      <w:bookmarkStart w:id="573" w:name="_GoBack"/>
      <w:r>
        <w:drawing>
          <wp:inline distT="0" distB="0" distL="114300" distR="114300">
            <wp:extent cx="13485495" cy="8434070"/>
            <wp:effectExtent l="0" t="0" r="1905" b="508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65"/>
                    <a:stretch>
                      <a:fillRect/>
                    </a:stretch>
                  </pic:blipFill>
                  <pic:spPr>
                    <a:xfrm>
                      <a:off x="0" y="0"/>
                      <a:ext cx="13485495" cy="8434070"/>
                    </a:xfrm>
                    <a:prstGeom prst="rect">
                      <a:avLst/>
                    </a:prstGeom>
                    <a:noFill/>
                    <a:ln>
                      <a:noFill/>
                    </a:ln>
                  </pic:spPr>
                </pic:pic>
              </a:graphicData>
            </a:graphic>
          </wp:inline>
        </w:drawing>
      </w:r>
      <w:bookmarkEnd w:id="573"/>
    </w:p>
    <w:p>
      <w:pPr>
        <w:jc w:val="center"/>
        <w:rPr>
          <w:b/>
          <w:sz w:val="28"/>
          <w:szCs w:val="28"/>
        </w:rPr>
      </w:pPr>
      <w:r>
        <w:rPr>
          <w:rFonts w:hint="eastAsia"/>
          <w:b/>
          <w:sz w:val="28"/>
          <w:szCs w:val="28"/>
        </w:rPr>
        <w:t>附图</w:t>
      </w:r>
      <w:r>
        <w:rPr>
          <w:b/>
          <w:sz w:val="28"/>
          <w:szCs w:val="28"/>
        </w:rPr>
        <w:t>六</w:t>
      </w:r>
      <w:r>
        <w:rPr>
          <w:rFonts w:hint="eastAsia"/>
          <w:b/>
          <w:sz w:val="28"/>
          <w:szCs w:val="28"/>
        </w:rPr>
        <w:t>项目</w:t>
      </w:r>
      <w:r>
        <w:rPr>
          <w:b/>
          <w:sz w:val="28"/>
          <w:szCs w:val="28"/>
        </w:rPr>
        <w:t>监测点位图</w:t>
      </w:r>
    </w:p>
    <w:p>
      <w:pPr>
        <w:jc w:val="center"/>
        <w:rPr>
          <w:b/>
          <w:sz w:val="28"/>
          <w:szCs w:val="28"/>
        </w:rPr>
        <w:sectPr>
          <w:pgSz w:w="23817" w:h="16838" w:orient="landscape"/>
          <w:pgMar w:top="1230" w:right="1440" w:bottom="1230" w:left="1440" w:header="851" w:footer="992" w:gutter="0"/>
          <w:cols w:space="0" w:num="1"/>
          <w:rtlGutter w:val="0"/>
          <w:docGrid w:type="linesAndChars" w:linePitch="312" w:charSpace="295"/>
        </w:sectPr>
      </w:pPr>
    </w:p>
    <w:p>
      <w:pPr>
        <w:jc w:val="center"/>
        <w:rPr>
          <w:rFonts w:hint="eastAsia" w:eastAsiaTheme="minorEastAsia"/>
          <w:lang w:eastAsia="zh-CN"/>
        </w:rPr>
        <w:sectPr>
          <w:pgSz w:w="16838" w:h="23817"/>
          <w:pgMar w:top="1440" w:right="1230" w:bottom="1440" w:left="1230" w:header="851" w:footer="992" w:gutter="0"/>
          <w:cols w:space="0" w:num="1"/>
          <w:rtlGutter w:val="0"/>
          <w:docGrid w:type="linesAndChars" w:linePitch="312" w:charSpace="295"/>
        </w:sectPr>
      </w:pPr>
      <w:r>
        <w:rPr>
          <w:rFonts w:hint="eastAsia" w:eastAsiaTheme="minorEastAsia"/>
          <w:lang w:eastAsia="zh-CN"/>
        </w:rPr>
        <w:drawing>
          <wp:inline distT="0" distB="0" distL="114300" distR="114300">
            <wp:extent cx="8347710" cy="12084685"/>
            <wp:effectExtent l="0" t="0" r="8890" b="5715"/>
            <wp:docPr id="11" name="图片 11" descr="52084184682345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520841846823452621"/>
                    <pic:cNvPicPr>
                      <a:picLocks noChangeAspect="1"/>
                    </pic:cNvPicPr>
                  </pic:nvPicPr>
                  <pic:blipFill>
                    <a:blip r:embed="rId66"/>
                    <a:srcRect l="5685" t="2667" r="7167" b="4222"/>
                    <a:stretch>
                      <a:fillRect/>
                    </a:stretch>
                  </pic:blipFill>
                  <pic:spPr>
                    <a:xfrm>
                      <a:off x="0" y="0"/>
                      <a:ext cx="8347710" cy="12084685"/>
                    </a:xfrm>
                    <a:prstGeom prst="rect">
                      <a:avLst/>
                    </a:prstGeom>
                  </pic:spPr>
                </pic:pic>
              </a:graphicData>
            </a:graphic>
          </wp:inline>
        </w:drawing>
      </w:r>
    </w:p>
    <w:p>
      <w:pPr>
        <w:jc w:val="center"/>
        <w:rPr>
          <w:rFonts w:hint="eastAsia" w:eastAsiaTheme="minorEastAsia"/>
          <w:lang w:eastAsia="zh-CN"/>
        </w:rPr>
      </w:pPr>
      <w:r>
        <w:rPr>
          <w:rFonts w:hint="eastAsia" w:eastAsiaTheme="minorEastAsia"/>
          <w:lang w:eastAsia="zh-CN"/>
        </w:rPr>
        <w:drawing>
          <wp:anchor distT="0" distB="0" distL="114935" distR="114935" simplePos="0" relativeHeight="251773952" behindDoc="1" locked="0" layoutInCell="1" allowOverlap="1">
            <wp:simplePos x="0" y="0"/>
            <wp:positionH relativeFrom="column">
              <wp:posOffset>564515</wp:posOffset>
            </wp:positionH>
            <wp:positionV relativeFrom="paragraph">
              <wp:posOffset>72390</wp:posOffset>
            </wp:positionV>
            <wp:extent cx="7997825" cy="12521565"/>
            <wp:effectExtent l="0" t="0" r="3175" b="13335"/>
            <wp:wrapNone/>
            <wp:docPr id="35" name="图片 35" descr="第1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第1页"/>
                    <pic:cNvPicPr>
                      <a:picLocks noChangeAspect="1"/>
                    </pic:cNvPicPr>
                  </pic:nvPicPr>
                  <pic:blipFill>
                    <a:blip r:embed="rId67"/>
                    <a:srcRect l="14065" t="8460" r="12386" b="8164"/>
                    <a:stretch>
                      <a:fillRect/>
                    </a:stretch>
                  </pic:blipFill>
                  <pic:spPr>
                    <a:xfrm>
                      <a:off x="0" y="0"/>
                      <a:ext cx="7997825" cy="12521565"/>
                    </a:xfrm>
                    <a:prstGeom prst="rect">
                      <a:avLst/>
                    </a:prstGeom>
                  </pic:spPr>
                </pic:pic>
              </a:graphicData>
            </a:graphic>
          </wp:anchor>
        </w:drawing>
      </w:r>
    </w:p>
    <w:p>
      <w:pPr>
        <w:tabs>
          <w:tab w:val="center" w:pos="7189"/>
        </w:tabs>
        <w:bidi w:val="0"/>
        <w:jc w:val="left"/>
        <w:rPr>
          <w:rFonts w:hint="eastAsia" w:cstheme="minorBidi"/>
          <w:kern w:val="2"/>
          <w:sz w:val="21"/>
          <w:szCs w:val="22"/>
          <w:lang w:val="en-US" w:eastAsia="zh-CN" w:bidi="ar-SA"/>
        </w:rPr>
      </w:pPr>
      <w:r>
        <w:rPr>
          <w:rFonts w:hint="eastAsia" w:cstheme="minorBidi"/>
          <w:kern w:val="2"/>
          <w:sz w:val="21"/>
          <w:szCs w:val="22"/>
          <w:lang w:val="en-US" w:eastAsia="zh-CN" w:bidi="ar-SA"/>
        </w:rPr>
        <w:tab/>
      </w: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tabs>
          <w:tab w:val="center" w:pos="7189"/>
        </w:tabs>
        <w:bidi w:val="0"/>
        <w:jc w:val="left"/>
        <w:rPr>
          <w:rFonts w:hint="eastAsia" w:cstheme="minorBidi"/>
          <w:kern w:val="2"/>
          <w:sz w:val="21"/>
          <w:szCs w:val="22"/>
          <w:lang w:val="en-US" w:eastAsia="zh-CN" w:bidi="ar-SA"/>
        </w:rPr>
      </w:pPr>
    </w:p>
    <w:p>
      <w:pPr>
        <w:adjustRightInd w:val="0"/>
        <w:snapToGrid w:val="0"/>
        <w:jc w:val="center"/>
        <w:rPr>
          <w:b/>
          <w:sz w:val="28"/>
          <w:szCs w:val="28"/>
        </w:rPr>
        <w:sectPr>
          <w:pgSz w:w="16838" w:h="23817"/>
          <w:pgMar w:top="1440" w:right="1230" w:bottom="1440" w:left="1230" w:header="851" w:footer="992" w:gutter="0"/>
          <w:cols w:space="0" w:num="1"/>
          <w:rtlGutter w:val="0"/>
          <w:docGrid w:type="linesAndChars" w:linePitch="312" w:charSpace="295"/>
        </w:sectPr>
      </w:pPr>
      <w:r>
        <w:rPr>
          <w:rFonts w:hint="eastAsia"/>
          <w:b/>
          <w:sz w:val="28"/>
          <w:szCs w:val="28"/>
        </w:rPr>
        <w:t>附图七项目</w:t>
      </w:r>
      <w:r>
        <w:rPr>
          <w:b/>
          <w:sz w:val="28"/>
          <w:szCs w:val="28"/>
        </w:rPr>
        <w:t>分区防渗图</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40"/>
        <w:gridCol w:w="5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2" w:hRule="atLeast"/>
          <w:jc w:val="center"/>
        </w:trPr>
        <w:tc>
          <w:tcPr>
            <w:tcW w:w="5540" w:type="dxa"/>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Times New Roman"/>
                <w:lang w:eastAsia="zh-CN"/>
              </w:rPr>
            </w:pPr>
            <w:r>
              <w:rPr>
                <w:rFonts w:hint="eastAsia" w:ascii="Calibri" w:hAnsi="Calibri" w:eastAsia="宋体" w:cs="Times New Roman"/>
                <w:lang w:eastAsia="zh-CN"/>
              </w:rPr>
              <w:drawing>
                <wp:inline distT="0" distB="0" distL="114300" distR="114300">
                  <wp:extent cx="3379470" cy="3189605"/>
                  <wp:effectExtent l="0" t="0" r="11430" b="10795"/>
                  <wp:docPr id="43" name="图片 43" descr="c232028e21e7ffa7f7f19826cb6b0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232028e21e7ffa7f7f19826cb6b04e"/>
                          <pic:cNvPicPr>
                            <a:picLocks noChangeAspect="1"/>
                          </pic:cNvPicPr>
                        </pic:nvPicPr>
                        <pic:blipFill>
                          <a:blip r:embed="rId68"/>
                          <a:stretch>
                            <a:fillRect/>
                          </a:stretch>
                        </pic:blipFill>
                        <pic:spPr>
                          <a:xfrm>
                            <a:off x="0" y="0"/>
                            <a:ext cx="3379470" cy="3189605"/>
                          </a:xfrm>
                          <a:prstGeom prst="rect">
                            <a:avLst/>
                          </a:prstGeom>
                        </pic:spPr>
                      </pic:pic>
                    </a:graphicData>
                  </a:graphic>
                </wp:inline>
              </w:drawing>
            </w:r>
          </w:p>
        </w:tc>
        <w:tc>
          <w:tcPr>
            <w:tcW w:w="5800" w:type="dxa"/>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Times New Roman"/>
                <w:lang w:eastAsia="zh-CN"/>
              </w:rPr>
            </w:pPr>
            <w:r>
              <w:rPr>
                <w:rFonts w:hint="eastAsia" w:ascii="Calibri" w:hAnsi="Calibri" w:eastAsia="宋体" w:cs="Times New Roman"/>
                <w:lang w:eastAsia="zh-CN"/>
              </w:rPr>
              <w:drawing>
                <wp:inline distT="0" distB="0" distL="114300" distR="114300">
                  <wp:extent cx="3535680" cy="3110230"/>
                  <wp:effectExtent l="0" t="0" r="7620" b="13970"/>
                  <wp:docPr id="44" name="图片 44" descr="5bc2961ab56cbd126eaf200a71586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5bc2961ab56cbd126eaf200a71586db"/>
                          <pic:cNvPicPr>
                            <a:picLocks noChangeAspect="1"/>
                          </pic:cNvPicPr>
                        </pic:nvPicPr>
                        <pic:blipFill>
                          <a:blip r:embed="rId69"/>
                          <a:stretch>
                            <a:fillRect/>
                          </a:stretch>
                        </pic:blipFill>
                        <pic:spPr>
                          <a:xfrm>
                            <a:off x="0" y="0"/>
                            <a:ext cx="3535680" cy="311023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5540" w:type="dxa"/>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Times New Roman"/>
                <w:lang w:eastAsia="zh-CN"/>
              </w:rPr>
            </w:pPr>
            <w:r>
              <w:rPr>
                <w:rFonts w:hint="eastAsia" w:ascii="Calibri" w:hAnsi="Calibri" w:eastAsia="宋体" w:cs="Times New Roman"/>
              </w:rPr>
              <w:t>项目东侧为</w:t>
            </w:r>
            <w:r>
              <w:rPr>
                <w:rFonts w:hint="eastAsia" w:ascii="Calibri" w:hAnsi="Calibri" w:eastAsia="宋体" w:cs="Times New Roman"/>
                <w:lang w:val="en-US" w:eastAsia="zh-CN"/>
              </w:rPr>
              <w:t>农田</w:t>
            </w:r>
          </w:p>
        </w:tc>
        <w:tc>
          <w:tcPr>
            <w:tcW w:w="5800"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Times New Roman"/>
                <w:lang w:val="en-US" w:eastAsia="zh-CN"/>
              </w:rPr>
            </w:pPr>
            <w:r>
              <w:rPr>
                <w:rFonts w:ascii="Calibri" w:hAnsi="Calibri" w:eastAsia="宋体" w:cs="Times New Roman"/>
              </w:rPr>
              <w:t>项目</w:t>
            </w:r>
            <w:r>
              <w:rPr>
                <w:rFonts w:hint="eastAsia" w:ascii="Calibri" w:hAnsi="Calibri" w:eastAsia="宋体" w:cs="Times New Roman"/>
              </w:rPr>
              <w:t>南侧为</w:t>
            </w:r>
            <w:r>
              <w:rPr>
                <w:rFonts w:hint="eastAsia" w:ascii="Calibri" w:hAnsi="Calibri" w:eastAsia="宋体" w:cs="Times New Roman"/>
                <w:lang w:val="en-US" w:eastAsia="zh-CN"/>
              </w:rPr>
              <w:t>农田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6" w:hRule="atLeast"/>
          <w:jc w:val="center"/>
        </w:trPr>
        <w:tc>
          <w:tcPr>
            <w:tcW w:w="5540" w:type="dxa"/>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Times New Roman"/>
                <w:lang w:eastAsia="zh-CN"/>
              </w:rPr>
            </w:pPr>
            <w:r>
              <w:rPr>
                <w:rFonts w:hint="eastAsia" w:ascii="Calibri" w:hAnsi="Calibri" w:eastAsia="宋体" w:cs="Times New Roman"/>
                <w:lang w:eastAsia="zh-CN"/>
              </w:rPr>
              <w:drawing>
                <wp:inline distT="0" distB="0" distL="114300" distR="114300">
                  <wp:extent cx="3379470" cy="3464560"/>
                  <wp:effectExtent l="0" t="0" r="11430" b="2540"/>
                  <wp:docPr id="45" name="图片 45" descr="d74e7bfa3bccdb3364bd5602069b5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74e7bfa3bccdb3364bd5602069b5be"/>
                          <pic:cNvPicPr>
                            <a:picLocks noChangeAspect="1"/>
                          </pic:cNvPicPr>
                        </pic:nvPicPr>
                        <pic:blipFill>
                          <a:blip r:embed="rId70"/>
                          <a:stretch>
                            <a:fillRect/>
                          </a:stretch>
                        </pic:blipFill>
                        <pic:spPr>
                          <a:xfrm>
                            <a:off x="0" y="0"/>
                            <a:ext cx="3379470" cy="3464560"/>
                          </a:xfrm>
                          <a:prstGeom prst="rect">
                            <a:avLst/>
                          </a:prstGeom>
                        </pic:spPr>
                      </pic:pic>
                    </a:graphicData>
                  </a:graphic>
                </wp:inline>
              </w:drawing>
            </w:r>
          </w:p>
        </w:tc>
        <w:tc>
          <w:tcPr>
            <w:tcW w:w="5800" w:type="dxa"/>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Times New Roman"/>
                <w:lang w:eastAsia="zh-CN"/>
              </w:rPr>
            </w:pPr>
            <w:r>
              <w:rPr>
                <w:rFonts w:hint="eastAsia" w:ascii="Calibri" w:hAnsi="Calibri" w:eastAsia="宋体" w:cs="Times New Roman"/>
                <w:lang w:eastAsia="zh-CN"/>
              </w:rPr>
              <w:drawing>
                <wp:inline distT="0" distB="0" distL="114300" distR="114300">
                  <wp:extent cx="3533140" cy="3463925"/>
                  <wp:effectExtent l="0" t="0" r="10160" b="3175"/>
                  <wp:docPr id="46" name="图片 46" descr="df9f6858c195fb4b9420863a09e5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df9f6858c195fb4b9420863a09e5027"/>
                          <pic:cNvPicPr>
                            <a:picLocks noChangeAspect="1"/>
                          </pic:cNvPicPr>
                        </pic:nvPicPr>
                        <pic:blipFill>
                          <a:blip r:embed="rId71"/>
                          <a:stretch>
                            <a:fillRect/>
                          </a:stretch>
                        </pic:blipFill>
                        <pic:spPr>
                          <a:xfrm>
                            <a:off x="0" y="0"/>
                            <a:ext cx="3533140" cy="34639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540"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Times New Roman"/>
                <w:lang w:val="en-US" w:eastAsia="zh-CN"/>
              </w:rPr>
            </w:pPr>
            <w:r>
              <w:rPr>
                <w:rFonts w:ascii="Calibri" w:hAnsi="Calibri" w:eastAsia="宋体" w:cs="Times New Roman"/>
              </w:rPr>
              <w:t>项目</w:t>
            </w:r>
            <w:r>
              <w:rPr>
                <w:rFonts w:hint="eastAsia" w:ascii="Calibri" w:hAnsi="Calibri" w:eastAsia="宋体" w:cs="Times New Roman"/>
              </w:rPr>
              <w:t>西侧为</w:t>
            </w:r>
            <w:r>
              <w:rPr>
                <w:rFonts w:hint="eastAsia" w:ascii="Calibri" w:hAnsi="Calibri" w:eastAsia="宋体" w:cs="Times New Roman"/>
                <w:lang w:val="en-US" w:eastAsia="zh-CN"/>
              </w:rPr>
              <w:t>废气厂房</w:t>
            </w:r>
          </w:p>
        </w:tc>
        <w:tc>
          <w:tcPr>
            <w:tcW w:w="5800" w:type="dxa"/>
            <w:noWrap w:val="0"/>
            <w:vAlign w:val="center"/>
          </w:tcPr>
          <w:p>
            <w:pPr>
              <w:keepNext w:val="0"/>
              <w:keepLines w:val="0"/>
              <w:suppressLineNumbers w:val="0"/>
              <w:spacing w:before="0" w:beforeAutospacing="0" w:after="0" w:afterAutospacing="0"/>
              <w:ind w:left="0" w:right="0"/>
              <w:jc w:val="center"/>
              <w:rPr>
                <w:rFonts w:ascii="Calibri" w:hAnsi="Calibri" w:eastAsia="宋体" w:cs="Times New Roman"/>
              </w:rPr>
            </w:pPr>
            <w:r>
              <w:rPr>
                <w:rFonts w:ascii="Calibri" w:hAnsi="Calibri" w:eastAsia="宋体" w:cs="Times New Roman"/>
              </w:rPr>
              <w:t>项目</w:t>
            </w:r>
            <w:r>
              <w:rPr>
                <w:rFonts w:hint="eastAsia" w:ascii="Calibri" w:hAnsi="Calibri" w:eastAsia="宋体" w:cs="Times New Roman"/>
              </w:rPr>
              <w:t>北侧为</w:t>
            </w:r>
            <w:r>
              <w:rPr>
                <w:rFonts w:hint="eastAsia" w:ascii="Calibri" w:hAnsi="Calibri" w:eastAsia="宋体" w:cs="Times New Roman"/>
                <w:lang w:val="en-US" w:eastAsia="zh-CN"/>
              </w:rPr>
              <w:t>农田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4" w:hRule="atLeast"/>
          <w:jc w:val="center"/>
        </w:trPr>
        <w:tc>
          <w:tcPr>
            <w:tcW w:w="5540" w:type="dxa"/>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Times New Roman"/>
                <w:lang w:eastAsia="zh-CN"/>
              </w:rPr>
            </w:pPr>
            <w:r>
              <w:rPr>
                <w:rFonts w:hint="eastAsia" w:ascii="Calibri" w:hAnsi="Calibri" w:eastAsia="宋体" w:cs="Times New Roman"/>
                <w:lang w:eastAsia="zh-CN"/>
              </w:rPr>
              <w:drawing>
                <wp:inline distT="0" distB="0" distL="114300" distR="114300">
                  <wp:extent cx="3379470" cy="3623945"/>
                  <wp:effectExtent l="0" t="0" r="11430" b="14605"/>
                  <wp:docPr id="47" name="图片 47" descr="6fbd8a689eb36c8a01a3a7ed48911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6fbd8a689eb36c8a01a3a7ed48911a1"/>
                          <pic:cNvPicPr>
                            <a:picLocks noChangeAspect="1"/>
                          </pic:cNvPicPr>
                        </pic:nvPicPr>
                        <pic:blipFill>
                          <a:blip r:embed="rId72"/>
                          <a:stretch>
                            <a:fillRect/>
                          </a:stretch>
                        </pic:blipFill>
                        <pic:spPr>
                          <a:xfrm>
                            <a:off x="0" y="0"/>
                            <a:ext cx="3379470" cy="3623945"/>
                          </a:xfrm>
                          <a:prstGeom prst="rect">
                            <a:avLst/>
                          </a:prstGeom>
                        </pic:spPr>
                      </pic:pic>
                    </a:graphicData>
                  </a:graphic>
                </wp:inline>
              </w:drawing>
            </w:r>
          </w:p>
        </w:tc>
        <w:tc>
          <w:tcPr>
            <w:tcW w:w="5800" w:type="dxa"/>
            <w:noWrap w:val="0"/>
            <w:vAlign w:val="center"/>
          </w:tcPr>
          <w:p>
            <w:pPr>
              <w:keepNext w:val="0"/>
              <w:keepLines w:val="0"/>
              <w:suppressLineNumbers w:val="0"/>
              <w:spacing w:before="0" w:beforeAutospacing="0" w:after="0" w:afterAutospacing="0"/>
              <w:ind w:left="0" w:right="0"/>
              <w:jc w:val="center"/>
              <w:rPr>
                <w:rFonts w:hint="eastAsia" w:ascii="Calibri" w:hAnsi="Calibri" w:eastAsia="宋体" w:cs="Times New Roman"/>
                <w:lang w:eastAsia="zh-CN"/>
              </w:rPr>
            </w:pPr>
            <w:r>
              <w:rPr>
                <w:rFonts w:hint="eastAsia" w:ascii="Calibri" w:hAnsi="Calibri" w:eastAsia="宋体" w:cs="Times New Roman"/>
                <w:lang w:eastAsia="zh-CN"/>
              </w:rPr>
              <w:drawing>
                <wp:inline distT="0" distB="0" distL="114300" distR="114300">
                  <wp:extent cx="3533140" cy="3620770"/>
                  <wp:effectExtent l="0" t="0" r="10160" b="17780"/>
                  <wp:docPr id="48" name="图片 48" descr="37d7812595d7e02d78a0d5de026d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37d7812595d7e02d78a0d5de026d13b"/>
                          <pic:cNvPicPr>
                            <a:picLocks noChangeAspect="1"/>
                          </pic:cNvPicPr>
                        </pic:nvPicPr>
                        <pic:blipFill>
                          <a:blip r:embed="rId73"/>
                          <a:stretch>
                            <a:fillRect/>
                          </a:stretch>
                        </pic:blipFill>
                        <pic:spPr>
                          <a:xfrm>
                            <a:off x="0" y="0"/>
                            <a:ext cx="3533140" cy="36207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5540" w:type="dxa"/>
            <w:noWrap w:val="0"/>
            <w:vAlign w:val="center"/>
          </w:tcPr>
          <w:p>
            <w:pPr>
              <w:keepNext w:val="0"/>
              <w:keepLines w:val="0"/>
              <w:suppressLineNumbers w:val="0"/>
              <w:spacing w:before="0" w:beforeAutospacing="0" w:after="0" w:afterAutospacing="0"/>
              <w:ind w:left="0" w:right="0"/>
              <w:jc w:val="center"/>
              <w:rPr>
                <w:rFonts w:hint="default" w:ascii="Calibri" w:hAnsi="Calibri" w:eastAsia="宋体" w:cs="Times New Roman"/>
                <w:lang w:val="en-US" w:eastAsia="zh-CN"/>
              </w:rPr>
            </w:pPr>
            <w:r>
              <w:rPr>
                <w:rFonts w:hint="eastAsia" w:ascii="Calibri" w:hAnsi="Calibri" w:eastAsia="宋体" w:cs="Times New Roman"/>
              </w:rPr>
              <w:t>项目</w:t>
            </w:r>
            <w:r>
              <w:rPr>
                <w:rFonts w:hint="eastAsia" w:ascii="Calibri" w:hAnsi="Calibri" w:eastAsia="宋体" w:cs="Times New Roman"/>
                <w:lang w:val="en-US" w:eastAsia="zh-CN"/>
              </w:rPr>
              <w:t>区现状</w:t>
            </w:r>
          </w:p>
        </w:tc>
        <w:tc>
          <w:tcPr>
            <w:tcW w:w="5800" w:type="dxa"/>
            <w:noWrap w:val="0"/>
            <w:vAlign w:val="center"/>
          </w:tcPr>
          <w:p>
            <w:pPr>
              <w:keepNext w:val="0"/>
              <w:keepLines w:val="0"/>
              <w:suppressLineNumbers w:val="0"/>
              <w:spacing w:before="0" w:beforeAutospacing="0" w:after="0" w:afterAutospacing="0"/>
              <w:ind w:left="0" w:right="0"/>
              <w:jc w:val="center"/>
              <w:rPr>
                <w:rFonts w:ascii="Calibri" w:hAnsi="Calibri" w:eastAsia="宋体" w:cs="Times New Roman"/>
              </w:rPr>
            </w:pPr>
            <w:r>
              <w:rPr>
                <w:rFonts w:hint="eastAsia" w:ascii="Calibri" w:hAnsi="Calibri" w:eastAsia="宋体" w:cs="Times New Roman"/>
              </w:rPr>
              <w:t>项目</w:t>
            </w:r>
            <w:r>
              <w:rPr>
                <w:rFonts w:hint="eastAsia" w:ascii="Calibri" w:hAnsi="Calibri" w:eastAsia="宋体" w:cs="Times New Roman"/>
                <w:lang w:val="en-US" w:eastAsia="zh-CN"/>
              </w:rPr>
              <w:t>区现状</w:t>
            </w:r>
          </w:p>
        </w:tc>
      </w:tr>
    </w:tbl>
    <w:p>
      <w:pPr>
        <w:jc w:val="center"/>
        <w:rPr>
          <w:b/>
          <w:sz w:val="28"/>
          <w:szCs w:val="28"/>
        </w:rPr>
      </w:pPr>
      <w:r>
        <w:rPr>
          <w:rFonts w:hint="eastAsia"/>
          <w:b/>
          <w:sz w:val="28"/>
          <w:szCs w:val="28"/>
        </w:rPr>
        <w:t>附图</w:t>
      </w:r>
      <w:r>
        <w:rPr>
          <w:rFonts w:hint="eastAsia"/>
          <w:b/>
          <w:sz w:val="28"/>
          <w:szCs w:val="28"/>
          <w:lang w:val="en-US" w:eastAsia="zh-CN"/>
        </w:rPr>
        <w:t xml:space="preserve">八  </w:t>
      </w:r>
      <w:r>
        <w:rPr>
          <w:rFonts w:hint="eastAsia"/>
          <w:b/>
          <w:sz w:val="28"/>
          <w:szCs w:val="28"/>
        </w:rPr>
        <w:t>项目区</w:t>
      </w:r>
      <w:r>
        <w:rPr>
          <w:b/>
          <w:sz w:val="28"/>
          <w:szCs w:val="28"/>
        </w:rPr>
        <w:t>现状照片</w:t>
      </w:r>
    </w:p>
    <w:p/>
    <w:p/>
    <w:p/>
    <w:p/>
    <w:p/>
    <w:p/>
    <w:p/>
    <w:p/>
    <w:p/>
    <w:p/>
    <w:p/>
    <w:p/>
    <w:p/>
    <w:p/>
    <w:p/>
    <w:p/>
    <w:p/>
    <w:p/>
    <w:p/>
    <w:p/>
    <w:p/>
    <w:p/>
    <w:p/>
    <w:p>
      <w:pPr>
        <w:rPr>
          <w:rFonts w:hint="default"/>
        </w:rPr>
      </w:pPr>
      <w:r>
        <mc:AlternateContent>
          <mc:Choice Requires="wps">
            <w:drawing>
              <wp:anchor distT="0" distB="0" distL="114300" distR="114300" simplePos="0" relativeHeight="251774976" behindDoc="0" locked="0" layoutInCell="1" allowOverlap="1">
                <wp:simplePos x="0" y="0"/>
                <wp:positionH relativeFrom="column">
                  <wp:posOffset>5666105</wp:posOffset>
                </wp:positionH>
                <wp:positionV relativeFrom="paragraph">
                  <wp:posOffset>122555</wp:posOffset>
                </wp:positionV>
                <wp:extent cx="1097280" cy="462280"/>
                <wp:effectExtent l="0" t="0" r="0" b="0"/>
                <wp:wrapNone/>
                <wp:docPr id="374" name="文本框 17"/>
                <wp:cNvGraphicFramePr/>
                <a:graphic xmlns:a="http://schemas.openxmlformats.org/drawingml/2006/main">
                  <a:graphicData uri="http://schemas.microsoft.com/office/word/2010/wordprocessingShape">
                    <wps:wsp>
                      <wps:cNvSpPr txBox="1"/>
                      <wps:spPr>
                        <a:xfrm>
                          <a:off x="0" y="0"/>
                          <a:ext cx="1097280" cy="462280"/>
                        </a:xfrm>
                        <a:prstGeom prst="rect">
                          <a:avLst/>
                        </a:prstGeom>
                        <a:noFill/>
                        <a:ln>
                          <a:noFill/>
                        </a:ln>
                      </wps:spPr>
                      <wps:txbx>
                        <w:txbxContent>
                          <w:p>
                            <w:pPr>
                              <w:rPr>
                                <w:b/>
                                <w:sz w:val="44"/>
                                <w:szCs w:val="44"/>
                              </w:rPr>
                            </w:pPr>
                            <w:r>
                              <w:rPr>
                                <w:rFonts w:hint="eastAsia"/>
                                <w:b/>
                                <w:sz w:val="44"/>
                                <w:szCs w:val="44"/>
                              </w:rPr>
                              <w:t>附件一</w:t>
                            </w:r>
                          </w:p>
                        </w:txbxContent>
                      </wps:txbx>
                      <wps:bodyPr upright="1"/>
                    </wps:wsp>
                  </a:graphicData>
                </a:graphic>
              </wp:anchor>
            </w:drawing>
          </mc:Choice>
          <mc:Fallback>
            <w:pict>
              <v:shape id="文本框 17" o:spid="_x0000_s1026" o:spt="202" type="#_x0000_t202" style="position:absolute;left:0pt;margin-left:446.15pt;margin-top:9.65pt;height:36.4pt;width:86.4pt;z-index:251774976;mso-width-relative:page;mso-height-relative:page;" filled="f" stroked="f" coordsize="21600,21600" o:gfxdata="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dT+jrNcA&#10;AAAKAQAADwAAAAAAAAABACAAAAAiAAAAZHJzL2Rvd25yZXYueG1sUEsBAhQAFAAAAAgAh07iQFoA&#10;WUyuAQAAUQMAAA4AAAAAAAAAAQAgAAAAJgEAAGRycy9lMm9Eb2MueG1sUEsFBgAAAAAGAAYAWQEA&#10;AEYFAAAAAA==&#10;">
                <v:fill on="f" focussize="0,0"/>
                <v:stroke on="f"/>
                <v:imagedata o:title=""/>
                <o:lock v:ext="edit" aspectratio="f"/>
                <v:textbox>
                  <w:txbxContent>
                    <w:p>
                      <w:pPr>
                        <w:rPr>
                          <w:b/>
                          <w:sz w:val="44"/>
                          <w:szCs w:val="44"/>
                        </w:rPr>
                      </w:pPr>
                      <w:r>
                        <w:rPr>
                          <w:rFonts w:hint="eastAsia"/>
                          <w:b/>
                          <w:sz w:val="44"/>
                          <w:szCs w:val="44"/>
                        </w:rPr>
                        <w:t>附件一</w:t>
                      </w:r>
                    </w:p>
                  </w:txbxContent>
                </v:textbox>
              </v:shape>
            </w:pict>
          </mc:Fallback>
        </mc:AlternateContent>
      </w:r>
      <w:r>
        <w:rPr>
          <w:rFonts w:hint="eastAsia" w:eastAsiaTheme="minorEastAsia"/>
          <w:lang w:eastAsia="zh-CN"/>
        </w:rPr>
        <w:drawing>
          <wp:inline distT="0" distB="0" distL="114300" distR="114300">
            <wp:extent cx="6690995" cy="8896985"/>
            <wp:effectExtent l="0" t="0" r="14605" b="18415"/>
            <wp:docPr id="25" name="图片 25" descr="4545583c44c9bebb4d3c6c5006201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4545583c44c9bebb4d3c6c5006201fa"/>
                    <pic:cNvPicPr>
                      <a:picLocks noChangeAspect="1"/>
                    </pic:cNvPicPr>
                  </pic:nvPicPr>
                  <pic:blipFill>
                    <a:blip r:embed="rId74"/>
                    <a:stretch>
                      <a:fillRect/>
                    </a:stretch>
                  </pic:blipFill>
                  <pic:spPr>
                    <a:xfrm>
                      <a:off x="0" y="0"/>
                      <a:ext cx="6690995" cy="8896985"/>
                    </a:xfrm>
                    <a:prstGeom prst="rect">
                      <a:avLst/>
                    </a:prstGeom>
                  </pic:spPr>
                </pic:pic>
              </a:graphicData>
            </a:graphic>
          </wp:inline>
        </w:drawing>
      </w:r>
    </w:p>
    <w:p>
      <w:r>
        <w:drawing>
          <wp:inline distT="0" distB="0" distL="114300" distR="114300">
            <wp:extent cx="6678930" cy="8989060"/>
            <wp:effectExtent l="0" t="0" r="7620" b="254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
                    <pic:cNvPicPr>
                      <a:picLocks noChangeAspect="1"/>
                    </pic:cNvPicPr>
                  </pic:nvPicPr>
                  <pic:blipFill>
                    <a:blip r:embed="rId75"/>
                    <a:stretch>
                      <a:fillRect/>
                    </a:stretch>
                  </pic:blipFill>
                  <pic:spPr>
                    <a:xfrm>
                      <a:off x="0" y="0"/>
                      <a:ext cx="6678930" cy="8989060"/>
                    </a:xfrm>
                    <a:prstGeom prst="rect">
                      <a:avLst/>
                    </a:prstGeom>
                    <a:noFill/>
                    <a:ln>
                      <a:noFill/>
                    </a:ln>
                  </pic:spPr>
                </pic:pic>
              </a:graphicData>
            </a:graphic>
          </wp:inline>
        </w:drawing>
      </w:r>
      <w:r>
        <mc:AlternateContent>
          <mc:Choice Requires="wps">
            <w:drawing>
              <wp:anchor distT="0" distB="0" distL="114300" distR="114300" simplePos="0" relativeHeight="251661312" behindDoc="0" locked="0" layoutInCell="1" allowOverlap="1">
                <wp:simplePos x="0" y="0"/>
                <wp:positionH relativeFrom="column">
                  <wp:posOffset>2935605</wp:posOffset>
                </wp:positionH>
                <wp:positionV relativeFrom="paragraph">
                  <wp:posOffset>88265</wp:posOffset>
                </wp:positionV>
                <wp:extent cx="1097280" cy="462280"/>
                <wp:effectExtent l="0" t="0" r="0" b="0"/>
                <wp:wrapNone/>
                <wp:docPr id="373" name="文本框 8"/>
                <wp:cNvGraphicFramePr/>
                <a:graphic xmlns:a="http://schemas.openxmlformats.org/drawingml/2006/main">
                  <a:graphicData uri="http://schemas.microsoft.com/office/word/2010/wordprocessingShape">
                    <wps:wsp>
                      <wps:cNvSpPr txBox="1"/>
                      <wps:spPr>
                        <a:xfrm>
                          <a:off x="0" y="0"/>
                          <a:ext cx="1097280" cy="462280"/>
                        </a:xfrm>
                        <a:prstGeom prst="rect">
                          <a:avLst/>
                        </a:prstGeom>
                        <a:noFill/>
                        <a:ln>
                          <a:noFill/>
                        </a:ln>
                      </wps:spPr>
                      <wps:txbx>
                        <w:txbxContent>
                          <w:p>
                            <w:pPr>
                              <w:rPr>
                                <w:b/>
                                <w:sz w:val="44"/>
                                <w:szCs w:val="44"/>
                              </w:rPr>
                            </w:pPr>
                            <w:r>
                              <w:rPr>
                                <w:rFonts w:hint="eastAsia"/>
                                <w:b/>
                                <w:sz w:val="44"/>
                                <w:szCs w:val="44"/>
                              </w:rPr>
                              <w:t>附件二</w:t>
                            </w:r>
                          </w:p>
                        </w:txbxContent>
                      </wps:txbx>
                      <wps:bodyPr upright="1"/>
                    </wps:wsp>
                  </a:graphicData>
                </a:graphic>
              </wp:anchor>
            </w:drawing>
          </mc:Choice>
          <mc:Fallback>
            <w:pict>
              <v:shape id="文本框 8" o:spid="_x0000_s1026" o:spt="202" type="#_x0000_t202" style="position:absolute;left:0pt;margin-left:231.15pt;margin-top:6.95pt;height:36.4pt;width:86.4pt;z-index:251661312;mso-width-relative:page;mso-height-relative:page;" filled="f" stroked="f" coordsize="21600,21600" o:gfxdata="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XHwZe9gA&#10;AAAJAQAADwAAAAAAAAABACAAAAAiAAAAZHJzL2Rvd25yZXYueG1sUEsBAhQAFAAAAAgAh07iQMmX&#10;wZCtAQAAUAMAAA4AAAAAAAAAAQAgAAAAJwEAAGRycy9lMm9Eb2MueG1sUEsFBgAAAAAGAAYAWQEA&#10;AEYFAAAAAA==&#10;">
                <v:fill on="f" focussize="0,0"/>
                <v:stroke on="f"/>
                <v:imagedata o:title=""/>
                <o:lock v:ext="edit" aspectratio="f"/>
                <v:textbox>
                  <w:txbxContent>
                    <w:p>
                      <w:pPr>
                        <w:rPr>
                          <w:b/>
                          <w:sz w:val="44"/>
                          <w:szCs w:val="44"/>
                        </w:rPr>
                      </w:pPr>
                      <w:r>
                        <w:rPr>
                          <w:rFonts w:hint="eastAsia"/>
                          <w:b/>
                          <w:sz w:val="44"/>
                          <w:szCs w:val="44"/>
                        </w:rPr>
                        <w:t>附件二</w:t>
                      </w:r>
                    </w:p>
                  </w:txbxContent>
                </v:textbox>
              </v:shape>
            </w:pict>
          </mc:Fallback>
        </mc:AlternateContent>
      </w:r>
    </w:p>
    <w:p/>
    <w:p>
      <w:pPr>
        <w:rPr>
          <w:rFonts w:hint="default" w:eastAsiaTheme="minorEastAsia"/>
          <w:lang w:eastAsia="zh-CN"/>
        </w:rPr>
      </w:pPr>
      <w:r>
        <mc:AlternateContent>
          <mc:Choice Requires="wps">
            <w:drawing>
              <wp:anchor distT="0" distB="0" distL="114300" distR="114300" simplePos="0" relativeHeight="251776000" behindDoc="0" locked="0" layoutInCell="1" allowOverlap="1">
                <wp:simplePos x="0" y="0"/>
                <wp:positionH relativeFrom="column">
                  <wp:posOffset>2728595</wp:posOffset>
                </wp:positionH>
                <wp:positionV relativeFrom="paragraph">
                  <wp:posOffset>-201930</wp:posOffset>
                </wp:positionV>
                <wp:extent cx="1097280" cy="462280"/>
                <wp:effectExtent l="0" t="0" r="0" b="0"/>
                <wp:wrapNone/>
                <wp:docPr id="371" name="文本框 2"/>
                <wp:cNvGraphicFramePr/>
                <a:graphic xmlns:a="http://schemas.openxmlformats.org/drawingml/2006/main">
                  <a:graphicData uri="http://schemas.microsoft.com/office/word/2010/wordprocessingShape">
                    <wps:wsp>
                      <wps:cNvSpPr txBox="1"/>
                      <wps:spPr>
                        <a:xfrm>
                          <a:off x="0" y="0"/>
                          <a:ext cx="1097280" cy="462280"/>
                        </a:xfrm>
                        <a:prstGeom prst="rect">
                          <a:avLst/>
                        </a:prstGeom>
                        <a:noFill/>
                        <a:ln>
                          <a:noFill/>
                        </a:ln>
                      </wps:spPr>
                      <wps:txbx>
                        <w:txbxContent>
                          <w:p>
                            <w:pPr>
                              <w:rPr>
                                <w:b/>
                                <w:sz w:val="44"/>
                                <w:szCs w:val="44"/>
                              </w:rPr>
                            </w:pPr>
                            <w:r>
                              <w:rPr>
                                <w:rFonts w:hint="eastAsia"/>
                                <w:b/>
                                <w:sz w:val="44"/>
                                <w:szCs w:val="44"/>
                              </w:rPr>
                              <w:t>附件三</w:t>
                            </w:r>
                          </w:p>
                        </w:txbxContent>
                      </wps:txbx>
                      <wps:bodyPr upright="1"/>
                    </wps:wsp>
                  </a:graphicData>
                </a:graphic>
              </wp:anchor>
            </w:drawing>
          </mc:Choice>
          <mc:Fallback>
            <w:pict>
              <v:shape id="文本框 2" o:spid="_x0000_s1026" o:spt="202" type="#_x0000_t202" style="position:absolute;left:0pt;margin-left:214.85pt;margin-top:-15.9pt;height:36.4pt;width:86.4pt;z-index:251776000;mso-width-relative:page;mso-height-relative:page;" filled="f" stroked="f" coordsize="21600,21600" o:gfxdata="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dynOS1wAA&#10;AAoBAAAPAAAAAAAAAAEAIAAAACIAAABkcnMvZG93bnJldi54bWxQSwECFAAUAAAACACHTuJA+UZp&#10;vK0BAABQAwAADgAAAAAAAAABACAAAAAmAQAAZHJzL2Uyb0RvYy54bWxQSwUGAAAAAAYABgBZAQAA&#10;RQUAAAAA&#10;">
                <v:fill on="f" focussize="0,0"/>
                <v:stroke on="f"/>
                <v:imagedata o:title=""/>
                <o:lock v:ext="edit" aspectratio="f"/>
                <v:textbox>
                  <w:txbxContent>
                    <w:p>
                      <w:pPr>
                        <w:rPr>
                          <w:b/>
                          <w:sz w:val="44"/>
                          <w:szCs w:val="44"/>
                        </w:rPr>
                      </w:pPr>
                      <w:r>
                        <w:rPr>
                          <w:rFonts w:hint="eastAsia"/>
                          <w:b/>
                          <w:sz w:val="44"/>
                          <w:szCs w:val="44"/>
                        </w:rPr>
                        <w:t>附件三</w:t>
                      </w:r>
                    </w:p>
                  </w:txbxContent>
                </v:textbox>
              </v:shape>
            </w:pict>
          </mc:Fallback>
        </mc:AlternateContent>
      </w:r>
      <w:r>
        <w:rPr>
          <w:rFonts w:hint="default" w:eastAsiaTheme="minorEastAsia"/>
          <w:lang w:eastAsia="zh-CN"/>
        </w:rPr>
        <w:drawing>
          <wp:inline distT="0" distB="0" distL="114300" distR="114300">
            <wp:extent cx="6689090" cy="8525510"/>
            <wp:effectExtent l="0" t="0" r="16510" b="8890"/>
            <wp:docPr id="26" name="图片 26" descr="c33d04bf508cafa58ab5bc1a5855c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33d04bf508cafa58ab5bc1a5855cc7"/>
                    <pic:cNvPicPr>
                      <a:picLocks noChangeAspect="1"/>
                    </pic:cNvPicPr>
                  </pic:nvPicPr>
                  <pic:blipFill>
                    <a:blip r:embed="rId76"/>
                    <a:stretch>
                      <a:fillRect/>
                    </a:stretch>
                  </pic:blipFill>
                  <pic:spPr>
                    <a:xfrm>
                      <a:off x="0" y="0"/>
                      <a:ext cx="6689090" cy="8525510"/>
                    </a:xfrm>
                    <a:prstGeom prst="rect">
                      <a:avLst/>
                    </a:prstGeom>
                  </pic:spPr>
                </pic:pic>
              </a:graphicData>
            </a:graphic>
          </wp:inline>
        </w:drawing>
      </w:r>
    </w:p>
    <w:p/>
    <w:p/>
    <w:p/>
    <w:p/>
    <w:p/>
    <w:p/>
    <w:p/>
    <w:p/>
    <w:p/>
    <w:p/>
    <w:p/>
    <w:p/>
    <w:p/>
    <w:p/>
    <w:p/>
    <w:p/>
    <w:p/>
    <w:p/>
    <w:p/>
    <w:p/>
    <w:p/>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
    <w:p>
      <w:r>
        <w:rPr>
          <w:rFonts w:hint="eastAsia" w:eastAsiaTheme="minorEastAsia"/>
          <w:lang w:eastAsia="zh-CN"/>
        </w:rPr>
        <w:drawing>
          <wp:anchor distT="0" distB="0" distL="114300" distR="114300" simplePos="0" relativeHeight="251663360" behindDoc="0" locked="0" layoutInCell="1" allowOverlap="1">
            <wp:simplePos x="0" y="0"/>
            <wp:positionH relativeFrom="column">
              <wp:posOffset>-1217295</wp:posOffset>
            </wp:positionH>
            <wp:positionV relativeFrom="page">
              <wp:posOffset>1880235</wp:posOffset>
            </wp:positionV>
            <wp:extent cx="9384665" cy="6573520"/>
            <wp:effectExtent l="0" t="0" r="17780" b="6985"/>
            <wp:wrapNone/>
            <wp:docPr id="24" name="图片 24" descr="微信图片_2020062809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微信图片_20200628094421"/>
                    <pic:cNvPicPr>
                      <a:picLocks noChangeAspect="1"/>
                    </pic:cNvPicPr>
                  </pic:nvPicPr>
                  <pic:blipFill>
                    <a:blip r:embed="rId77"/>
                    <a:stretch>
                      <a:fillRect/>
                    </a:stretch>
                  </pic:blipFill>
                  <pic:spPr>
                    <a:xfrm rot="5400000">
                      <a:off x="0" y="0"/>
                      <a:ext cx="9384665" cy="6573520"/>
                    </a:xfrm>
                    <a:prstGeom prst="rect">
                      <a:avLst/>
                    </a:prstGeom>
                  </pic:spPr>
                </pic:pic>
              </a:graphicData>
            </a:graphic>
          </wp:anchor>
        </w:drawing>
      </w:r>
    </w:p>
    <w:p/>
    <w:p/>
    <w:p>
      <w:pPr>
        <w:rPr>
          <w:rFonts w:hint="eastAsia" w:eastAsiaTheme="minorEastAsia"/>
          <w:lang w:eastAsia="zh-CN"/>
        </w:rPr>
      </w:pPr>
      <w:r>
        <mc:AlternateContent>
          <mc:Choice Requires="wps">
            <w:drawing>
              <wp:anchor distT="0" distB="0" distL="114300" distR="114300" simplePos="0" relativeHeight="251662336" behindDoc="0" locked="0" layoutInCell="1" allowOverlap="1">
                <wp:simplePos x="0" y="0"/>
                <wp:positionH relativeFrom="column">
                  <wp:posOffset>2827020</wp:posOffset>
                </wp:positionH>
                <wp:positionV relativeFrom="paragraph">
                  <wp:posOffset>55245</wp:posOffset>
                </wp:positionV>
                <wp:extent cx="1828800" cy="635635"/>
                <wp:effectExtent l="0" t="0" r="0" b="0"/>
                <wp:wrapNone/>
                <wp:docPr id="375" name="文本框 18"/>
                <wp:cNvGraphicFramePr/>
                <a:graphic xmlns:a="http://schemas.openxmlformats.org/drawingml/2006/main">
                  <a:graphicData uri="http://schemas.microsoft.com/office/word/2010/wordprocessingShape">
                    <wps:wsp>
                      <wps:cNvSpPr txBox="1"/>
                      <wps:spPr>
                        <a:xfrm>
                          <a:off x="0" y="0"/>
                          <a:ext cx="1828800" cy="635635"/>
                        </a:xfrm>
                        <a:prstGeom prst="rect">
                          <a:avLst/>
                        </a:prstGeom>
                        <a:noFill/>
                        <a:ln>
                          <a:noFill/>
                        </a:ln>
                      </wps:spPr>
                      <wps:txbx>
                        <w:txbxContent>
                          <w:p>
                            <w:pPr>
                              <w:rPr>
                                <w:rFonts w:hint="eastAsia" w:eastAsiaTheme="minorEastAsia"/>
                                <w:b/>
                                <w:sz w:val="44"/>
                                <w:szCs w:val="44"/>
                                <w:lang w:eastAsia="zh-CN"/>
                              </w:rPr>
                            </w:pPr>
                            <w:r>
                              <w:rPr>
                                <w:rFonts w:hint="eastAsia"/>
                                <w:b/>
                                <w:sz w:val="44"/>
                                <w:szCs w:val="44"/>
                              </w:rPr>
                              <w:t>附件</w:t>
                            </w:r>
                            <w:r>
                              <w:rPr>
                                <w:rFonts w:hint="eastAsia"/>
                                <w:b/>
                                <w:sz w:val="44"/>
                                <w:szCs w:val="44"/>
                                <w:lang w:val="en-US" w:eastAsia="zh-CN"/>
                              </w:rPr>
                              <w:t>四</w:t>
                            </w:r>
                          </w:p>
                        </w:txbxContent>
                      </wps:txbx>
                      <wps:bodyPr upright="1"/>
                    </wps:wsp>
                  </a:graphicData>
                </a:graphic>
              </wp:anchor>
            </w:drawing>
          </mc:Choice>
          <mc:Fallback>
            <w:pict>
              <v:shape id="文本框 18" o:spid="_x0000_s1026" o:spt="202" type="#_x0000_t202" style="position:absolute;left:0pt;margin-left:222.6pt;margin-top:4.35pt;height:50.05pt;width:144pt;z-index:251662336;mso-width-relative:page;mso-height-relative:page;" filled="f" stroked="f" coordsize="21600,21600" o:gfxdata="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xWNf11gAA&#10;AAkBAAAPAAAAAAAAAAEAIAAAACIAAABkcnMvZG93bnJldi54bWxQSwECFAAUAAAACACHTuJAlTEQ&#10;FK4BAABRAwAADgAAAAAAAAABACAAAAAlAQAAZHJzL2Uyb0RvYy54bWxQSwUGAAAAAAYABgBZAQAA&#10;RQUAAAAA&#10;">
                <v:fill on="f" focussize="0,0"/>
                <v:stroke on="f"/>
                <v:imagedata o:title=""/>
                <o:lock v:ext="edit" aspectratio="f"/>
                <v:textbox>
                  <w:txbxContent>
                    <w:p>
                      <w:pPr>
                        <w:rPr>
                          <w:rFonts w:hint="eastAsia" w:eastAsiaTheme="minorEastAsia"/>
                          <w:b/>
                          <w:sz w:val="44"/>
                          <w:szCs w:val="44"/>
                          <w:lang w:eastAsia="zh-CN"/>
                        </w:rPr>
                      </w:pPr>
                      <w:r>
                        <w:rPr>
                          <w:rFonts w:hint="eastAsia"/>
                          <w:b/>
                          <w:sz w:val="44"/>
                          <w:szCs w:val="44"/>
                        </w:rPr>
                        <w:t>附件</w:t>
                      </w:r>
                      <w:r>
                        <w:rPr>
                          <w:rFonts w:hint="eastAsia"/>
                          <w:b/>
                          <w:sz w:val="44"/>
                          <w:szCs w:val="44"/>
                          <w:lang w:val="en-US" w:eastAsia="zh-CN"/>
                        </w:rPr>
                        <w:t>四</w:t>
                      </w:r>
                    </w:p>
                  </w:txbxContent>
                </v:textbox>
              </v:shape>
            </w:pict>
          </mc:Fallback>
        </mc:AlternateContent>
      </w:r>
      <w:r>
        <w:rPr>
          <w:rFonts w:hint="eastAsia" w:eastAsiaTheme="minorEastAsia"/>
          <w:lang w:eastAsia="zh-CN"/>
        </w:rPr>
        <w:drawing>
          <wp:inline distT="0" distB="0" distL="114300" distR="114300">
            <wp:extent cx="6370320" cy="8366125"/>
            <wp:effectExtent l="0" t="0" r="11430" b="15875"/>
            <wp:docPr id="1"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
                    <pic:cNvPicPr>
                      <a:picLocks noChangeAspect="1"/>
                    </pic:cNvPicPr>
                  </pic:nvPicPr>
                  <pic:blipFill>
                    <a:blip r:embed="rId78"/>
                    <a:stretch>
                      <a:fillRect/>
                    </a:stretch>
                  </pic:blipFill>
                  <pic:spPr>
                    <a:xfrm>
                      <a:off x="0" y="0"/>
                      <a:ext cx="6370320" cy="8366125"/>
                    </a:xfrm>
                    <a:prstGeom prst="rect">
                      <a:avLst/>
                    </a:prstGeom>
                  </pic:spPr>
                </pic:pic>
              </a:graphicData>
            </a:graphic>
          </wp:inline>
        </w:drawing>
      </w: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p>
    <w:p>
      <w:pPr>
        <w:rPr>
          <w:rFonts w:hint="eastAsia" w:eastAsiaTheme="minorEastAsia"/>
          <w:lang w:eastAsia="zh-CN"/>
        </w:rPr>
      </w:pPr>
      <w:r>
        <w:rPr>
          <w:rFonts w:hint="eastAsia" w:eastAsiaTheme="minorEastAsia"/>
          <w:lang w:eastAsia="zh-CN"/>
        </w:rPr>
        <w:drawing>
          <wp:inline distT="0" distB="0" distL="114300" distR="114300">
            <wp:extent cx="6253480" cy="8343265"/>
            <wp:effectExtent l="0" t="0" r="13970" b="635"/>
            <wp:docPr id="2" name="图片 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
                    <pic:cNvPicPr>
                      <a:picLocks noChangeAspect="1"/>
                    </pic:cNvPicPr>
                  </pic:nvPicPr>
                  <pic:blipFill>
                    <a:blip r:embed="rId79"/>
                    <a:stretch>
                      <a:fillRect/>
                    </a:stretch>
                  </pic:blipFill>
                  <pic:spPr>
                    <a:xfrm>
                      <a:off x="0" y="0"/>
                      <a:ext cx="6253480" cy="8343265"/>
                    </a:xfrm>
                    <a:prstGeom prst="rect">
                      <a:avLst/>
                    </a:prstGeom>
                  </pic:spPr>
                </pic:pic>
              </a:graphicData>
            </a:graphic>
          </wp:inline>
        </w:drawing>
      </w:r>
    </w:p>
    <w:p>
      <w:pPr>
        <w:bidi w:val="0"/>
        <w:rPr>
          <w:rFonts w:hint="eastAsia" w:asciiTheme="minorHAnsi" w:hAnsiTheme="minorHAnsi" w:eastAsiaTheme="minorEastAsia" w:cstheme="minorBidi"/>
          <w:kern w:val="2"/>
          <w:sz w:val="21"/>
          <w:szCs w:val="22"/>
          <w:lang w:val="en-US" w:eastAsia="zh-CN" w:bidi="ar-SA"/>
        </w:rPr>
      </w:pPr>
    </w:p>
    <w:p>
      <w:pPr>
        <w:bidi w:val="0"/>
        <w:jc w:val="right"/>
        <w:rPr>
          <w:rFonts w:hint="eastAsia"/>
          <w:lang w:val="en-US" w:eastAsia="zh-CN"/>
        </w:rPr>
      </w:pPr>
      <w:r>
        <w:rPr>
          <w:rFonts w:hint="eastAsia" w:eastAsiaTheme="minorEastAsia"/>
          <w:lang w:eastAsia="zh-CN"/>
        </w:rPr>
        <w:drawing>
          <wp:inline distT="0" distB="0" distL="114300" distR="114300">
            <wp:extent cx="6603365" cy="9344025"/>
            <wp:effectExtent l="0" t="0" r="6985" b="9525"/>
            <wp:docPr id="3" name="图片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
                    <pic:cNvPicPr>
                      <a:picLocks noChangeAspect="1"/>
                    </pic:cNvPicPr>
                  </pic:nvPicPr>
                  <pic:blipFill>
                    <a:blip r:embed="rId80"/>
                    <a:stretch>
                      <a:fillRect/>
                    </a:stretch>
                  </pic:blipFill>
                  <pic:spPr>
                    <a:xfrm>
                      <a:off x="0" y="0"/>
                      <a:ext cx="6603365" cy="9344025"/>
                    </a:xfrm>
                    <a:prstGeom prst="rect">
                      <a:avLst/>
                    </a:prstGeom>
                  </pic:spPr>
                </pic:pic>
              </a:graphicData>
            </a:graphic>
          </wp:inline>
        </w:drawing>
      </w:r>
    </w:p>
    <w:p>
      <w:pPr>
        <w:bidi w:val="0"/>
        <w:jc w:val="right"/>
        <w:rPr>
          <w:rFonts w:hint="eastAsia"/>
          <w:lang w:val="en-US" w:eastAsia="zh-CN"/>
        </w:rPr>
      </w:pPr>
      <w:r>
        <w:rPr>
          <w:rFonts w:hint="eastAsia" w:eastAsiaTheme="minorEastAsia"/>
          <w:lang w:eastAsia="zh-CN"/>
        </w:rPr>
        <w:drawing>
          <wp:inline distT="0" distB="0" distL="114300" distR="114300">
            <wp:extent cx="6687820" cy="9328785"/>
            <wp:effectExtent l="0" t="0" r="17780" b="5715"/>
            <wp:docPr id="4" name="图片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4"/>
                    <pic:cNvPicPr>
                      <a:picLocks noChangeAspect="1"/>
                    </pic:cNvPicPr>
                  </pic:nvPicPr>
                  <pic:blipFill>
                    <a:blip r:embed="rId81"/>
                    <a:stretch>
                      <a:fillRect/>
                    </a:stretch>
                  </pic:blipFill>
                  <pic:spPr>
                    <a:xfrm>
                      <a:off x="0" y="0"/>
                      <a:ext cx="6687820" cy="9328785"/>
                    </a:xfrm>
                    <a:prstGeom prst="rect">
                      <a:avLst/>
                    </a:prstGeom>
                  </pic:spPr>
                </pic:pic>
              </a:graphicData>
            </a:graphic>
          </wp:inline>
        </w:drawing>
      </w:r>
    </w:p>
    <w:p>
      <w:pPr>
        <w:bidi w:val="0"/>
        <w:jc w:val="right"/>
        <w:rPr>
          <w:rFonts w:hint="eastAsia"/>
          <w:lang w:val="en-US" w:eastAsia="zh-CN"/>
        </w:rPr>
      </w:pPr>
      <w:r>
        <w:rPr>
          <w:rFonts w:hint="eastAsia" w:eastAsiaTheme="minorEastAsia"/>
          <w:lang w:eastAsia="zh-CN"/>
        </w:rPr>
        <w:drawing>
          <wp:inline distT="0" distB="0" distL="114300" distR="114300">
            <wp:extent cx="6772275" cy="9399905"/>
            <wp:effectExtent l="0" t="0" r="9525" b="10795"/>
            <wp:docPr id="5" name="图片 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
                    <pic:cNvPicPr>
                      <a:picLocks noChangeAspect="1"/>
                    </pic:cNvPicPr>
                  </pic:nvPicPr>
                  <pic:blipFill>
                    <a:blip r:embed="rId82"/>
                    <a:stretch>
                      <a:fillRect/>
                    </a:stretch>
                  </pic:blipFill>
                  <pic:spPr>
                    <a:xfrm>
                      <a:off x="0" y="0"/>
                      <a:ext cx="6772275" cy="9399905"/>
                    </a:xfrm>
                    <a:prstGeom prst="rect">
                      <a:avLst/>
                    </a:prstGeom>
                  </pic:spPr>
                </pic:pic>
              </a:graphicData>
            </a:graphic>
          </wp:inline>
        </w:drawing>
      </w:r>
    </w:p>
    <w:p>
      <w:pPr>
        <w:bidi w:val="0"/>
        <w:jc w:val="right"/>
        <w:rPr>
          <w:rFonts w:hint="eastAsia"/>
          <w:lang w:val="en-US" w:eastAsia="zh-CN"/>
        </w:rPr>
      </w:pPr>
      <w:r>
        <w:rPr>
          <w:rFonts w:hint="eastAsia" w:eastAsiaTheme="minorEastAsia"/>
          <w:lang w:eastAsia="zh-CN"/>
        </w:rPr>
        <w:drawing>
          <wp:inline distT="0" distB="0" distL="114300" distR="114300">
            <wp:extent cx="6741160" cy="9718040"/>
            <wp:effectExtent l="0" t="0" r="2540" b="16510"/>
            <wp:docPr id="13" name="图片 1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6"/>
                    <pic:cNvPicPr>
                      <a:picLocks noChangeAspect="1"/>
                    </pic:cNvPicPr>
                  </pic:nvPicPr>
                  <pic:blipFill>
                    <a:blip r:embed="rId83"/>
                    <a:stretch>
                      <a:fillRect/>
                    </a:stretch>
                  </pic:blipFill>
                  <pic:spPr>
                    <a:xfrm>
                      <a:off x="0" y="0"/>
                      <a:ext cx="6741160" cy="9718040"/>
                    </a:xfrm>
                    <a:prstGeom prst="rect">
                      <a:avLst/>
                    </a:prstGeom>
                  </pic:spPr>
                </pic:pic>
              </a:graphicData>
            </a:graphic>
          </wp:inline>
        </w:drawing>
      </w:r>
    </w:p>
    <w:p>
      <w:pPr>
        <w:bidi w:val="0"/>
        <w:jc w:val="right"/>
        <w:rPr>
          <w:rFonts w:hint="eastAsia"/>
          <w:lang w:val="en-US" w:eastAsia="zh-CN"/>
        </w:rPr>
      </w:pPr>
      <w:r>
        <w:rPr>
          <w:rFonts w:hint="eastAsia" w:eastAsiaTheme="minorEastAsia"/>
          <w:lang w:eastAsia="zh-CN"/>
        </w:rPr>
        <w:drawing>
          <wp:inline distT="0" distB="0" distL="114300" distR="114300">
            <wp:extent cx="6666865" cy="9062720"/>
            <wp:effectExtent l="0" t="0" r="635" b="5080"/>
            <wp:docPr id="14" name="图片 1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7"/>
                    <pic:cNvPicPr>
                      <a:picLocks noChangeAspect="1"/>
                    </pic:cNvPicPr>
                  </pic:nvPicPr>
                  <pic:blipFill>
                    <a:blip r:embed="rId84"/>
                    <a:stretch>
                      <a:fillRect/>
                    </a:stretch>
                  </pic:blipFill>
                  <pic:spPr>
                    <a:xfrm>
                      <a:off x="0" y="0"/>
                      <a:ext cx="6666865" cy="9062720"/>
                    </a:xfrm>
                    <a:prstGeom prst="rect">
                      <a:avLst/>
                    </a:prstGeom>
                  </pic:spPr>
                </pic:pic>
              </a:graphicData>
            </a:graphic>
          </wp:inline>
        </w:drawing>
      </w:r>
    </w:p>
    <w:p>
      <w:pPr>
        <w:bidi w:val="0"/>
        <w:jc w:val="right"/>
        <w:rPr>
          <w:rFonts w:hint="eastAsia"/>
          <w:lang w:val="en-US" w:eastAsia="zh-CN"/>
        </w:rPr>
      </w:pPr>
      <w:r>
        <w:rPr>
          <w:rFonts w:hint="eastAsia" w:eastAsiaTheme="minorEastAsia"/>
          <w:lang w:eastAsia="zh-CN"/>
        </w:rPr>
        <w:drawing>
          <wp:inline distT="0" distB="0" distL="114300" distR="114300">
            <wp:extent cx="6697980" cy="9520555"/>
            <wp:effectExtent l="0" t="0" r="7620" b="4445"/>
            <wp:docPr id="15" name="图片 1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8"/>
                    <pic:cNvPicPr>
                      <a:picLocks noChangeAspect="1"/>
                    </pic:cNvPicPr>
                  </pic:nvPicPr>
                  <pic:blipFill>
                    <a:blip r:embed="rId85"/>
                    <a:stretch>
                      <a:fillRect/>
                    </a:stretch>
                  </pic:blipFill>
                  <pic:spPr>
                    <a:xfrm>
                      <a:off x="0" y="0"/>
                      <a:ext cx="6697980" cy="9520555"/>
                    </a:xfrm>
                    <a:prstGeom prst="rect">
                      <a:avLst/>
                    </a:prstGeom>
                  </pic:spPr>
                </pic:pic>
              </a:graphicData>
            </a:graphic>
          </wp:inline>
        </w:drawing>
      </w:r>
    </w:p>
    <w:p>
      <w:pPr>
        <w:bidi w:val="0"/>
        <w:jc w:val="right"/>
        <w:rPr>
          <w:rFonts w:hint="eastAsia"/>
          <w:lang w:val="en-US" w:eastAsia="zh-CN"/>
        </w:rPr>
      </w:pPr>
      <w:r>
        <w:rPr>
          <w:rFonts w:hint="eastAsia" w:eastAsiaTheme="minorEastAsia"/>
          <w:lang w:eastAsia="zh-CN"/>
        </w:rPr>
        <w:drawing>
          <wp:inline distT="0" distB="0" distL="114300" distR="114300">
            <wp:extent cx="6708775" cy="9440545"/>
            <wp:effectExtent l="0" t="0" r="15875" b="8255"/>
            <wp:docPr id="16" name="图片 16"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9"/>
                    <pic:cNvPicPr>
                      <a:picLocks noChangeAspect="1"/>
                    </pic:cNvPicPr>
                  </pic:nvPicPr>
                  <pic:blipFill>
                    <a:blip r:embed="rId86"/>
                    <a:stretch>
                      <a:fillRect/>
                    </a:stretch>
                  </pic:blipFill>
                  <pic:spPr>
                    <a:xfrm>
                      <a:off x="0" y="0"/>
                      <a:ext cx="6708775" cy="9440545"/>
                    </a:xfrm>
                    <a:prstGeom prst="rect">
                      <a:avLst/>
                    </a:prstGeom>
                  </pic:spPr>
                </pic:pic>
              </a:graphicData>
            </a:graphic>
          </wp:inline>
        </w:drawing>
      </w:r>
    </w:p>
    <w:p>
      <w:pPr>
        <w:bidi w:val="0"/>
        <w:jc w:val="right"/>
        <w:rPr>
          <w:rFonts w:hint="eastAsia"/>
          <w:lang w:val="en-US" w:eastAsia="zh-CN"/>
        </w:rPr>
      </w:pPr>
      <w:r>
        <w:rPr>
          <w:rFonts w:hint="eastAsia" w:eastAsiaTheme="minorEastAsia"/>
          <w:lang w:eastAsia="zh-CN"/>
        </w:rPr>
        <w:drawing>
          <wp:inline distT="0" distB="0" distL="114300" distR="114300">
            <wp:extent cx="6708140" cy="9519285"/>
            <wp:effectExtent l="0" t="0" r="16510" b="5715"/>
            <wp:docPr id="17" name="图片 1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0"/>
                    <pic:cNvPicPr>
                      <a:picLocks noChangeAspect="1"/>
                    </pic:cNvPicPr>
                  </pic:nvPicPr>
                  <pic:blipFill>
                    <a:blip r:embed="rId87"/>
                    <a:stretch>
                      <a:fillRect/>
                    </a:stretch>
                  </pic:blipFill>
                  <pic:spPr>
                    <a:xfrm>
                      <a:off x="0" y="0"/>
                      <a:ext cx="6708140" cy="9519285"/>
                    </a:xfrm>
                    <a:prstGeom prst="rect">
                      <a:avLst/>
                    </a:prstGeom>
                  </pic:spPr>
                </pic:pic>
              </a:graphicData>
            </a:graphic>
          </wp:inline>
        </w:drawing>
      </w:r>
    </w:p>
    <w:p>
      <w:pPr>
        <w:bidi w:val="0"/>
        <w:jc w:val="right"/>
        <w:rPr>
          <w:rFonts w:hint="eastAsia"/>
          <w:lang w:val="en-US" w:eastAsia="zh-CN"/>
        </w:rPr>
      </w:pPr>
      <w:r>
        <w:rPr>
          <w:rFonts w:hint="eastAsia" w:eastAsiaTheme="minorEastAsia"/>
          <w:lang w:eastAsia="zh-CN"/>
        </w:rPr>
        <w:drawing>
          <wp:inline distT="0" distB="0" distL="114300" distR="114300">
            <wp:extent cx="6729730" cy="9489440"/>
            <wp:effectExtent l="0" t="0" r="13970" b="16510"/>
            <wp:docPr id="18" name="图片 1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1"/>
                    <pic:cNvPicPr>
                      <a:picLocks noChangeAspect="1"/>
                    </pic:cNvPicPr>
                  </pic:nvPicPr>
                  <pic:blipFill>
                    <a:blip r:embed="rId88"/>
                    <a:stretch>
                      <a:fillRect/>
                    </a:stretch>
                  </pic:blipFill>
                  <pic:spPr>
                    <a:xfrm>
                      <a:off x="0" y="0"/>
                      <a:ext cx="6729730" cy="9489440"/>
                    </a:xfrm>
                    <a:prstGeom prst="rect">
                      <a:avLst/>
                    </a:prstGeom>
                  </pic:spPr>
                </pic:pic>
              </a:graphicData>
            </a:graphic>
          </wp:inline>
        </w:drawing>
      </w:r>
    </w:p>
    <w:p>
      <w:pPr>
        <w:bidi w:val="0"/>
        <w:jc w:val="right"/>
        <w:rPr>
          <w:rFonts w:hint="eastAsia"/>
          <w:lang w:val="en-US" w:eastAsia="zh-CN"/>
        </w:rPr>
      </w:pPr>
      <w:r>
        <w:rPr>
          <w:rFonts w:hint="eastAsia" w:eastAsiaTheme="minorEastAsia"/>
          <w:lang w:eastAsia="zh-CN"/>
        </w:rPr>
        <w:drawing>
          <wp:inline distT="0" distB="0" distL="114300" distR="114300">
            <wp:extent cx="6762115" cy="9268460"/>
            <wp:effectExtent l="0" t="0" r="635" b="8890"/>
            <wp:docPr id="19" name="图片 1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2"/>
                    <pic:cNvPicPr>
                      <a:picLocks noChangeAspect="1"/>
                    </pic:cNvPicPr>
                  </pic:nvPicPr>
                  <pic:blipFill>
                    <a:blip r:embed="rId89"/>
                    <a:stretch>
                      <a:fillRect/>
                    </a:stretch>
                  </pic:blipFill>
                  <pic:spPr>
                    <a:xfrm>
                      <a:off x="0" y="0"/>
                      <a:ext cx="6762115" cy="9268460"/>
                    </a:xfrm>
                    <a:prstGeom prst="rect">
                      <a:avLst/>
                    </a:prstGeom>
                  </pic:spPr>
                </pic:pic>
              </a:graphicData>
            </a:graphic>
          </wp:inline>
        </w:drawing>
      </w:r>
    </w:p>
    <w:p>
      <w:pPr>
        <w:bidi w:val="0"/>
        <w:jc w:val="right"/>
        <w:rPr>
          <w:rFonts w:hint="eastAsia"/>
          <w:lang w:val="en-US" w:eastAsia="zh-CN"/>
        </w:rPr>
      </w:pPr>
      <w:r>
        <w:rPr>
          <w:rFonts w:hint="eastAsia" w:eastAsiaTheme="minorEastAsia"/>
          <w:lang w:eastAsia="zh-CN"/>
        </w:rPr>
        <w:drawing>
          <wp:inline distT="0" distB="0" distL="114300" distR="114300">
            <wp:extent cx="6645275" cy="9356090"/>
            <wp:effectExtent l="0" t="0" r="3175" b="16510"/>
            <wp:docPr id="20" name="图片 20"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3"/>
                    <pic:cNvPicPr>
                      <a:picLocks noChangeAspect="1"/>
                    </pic:cNvPicPr>
                  </pic:nvPicPr>
                  <pic:blipFill>
                    <a:blip r:embed="rId90"/>
                    <a:stretch>
                      <a:fillRect/>
                    </a:stretch>
                  </pic:blipFill>
                  <pic:spPr>
                    <a:xfrm>
                      <a:off x="0" y="0"/>
                      <a:ext cx="6645275" cy="9356090"/>
                    </a:xfrm>
                    <a:prstGeom prst="rect">
                      <a:avLst/>
                    </a:prstGeom>
                  </pic:spPr>
                </pic:pic>
              </a:graphicData>
            </a:graphic>
          </wp:inline>
        </w:drawing>
      </w:r>
    </w:p>
    <w:p>
      <w:pPr>
        <w:bidi w:val="0"/>
        <w:jc w:val="right"/>
        <w:rPr>
          <w:rFonts w:hint="eastAsia"/>
          <w:lang w:val="en-US" w:eastAsia="zh-CN"/>
        </w:rPr>
      </w:pPr>
      <w:r>
        <w:rPr>
          <w:rFonts w:hint="eastAsia" w:eastAsiaTheme="minorEastAsia"/>
          <w:lang w:eastAsia="zh-CN"/>
        </w:rPr>
        <w:drawing>
          <wp:inline distT="0" distB="0" distL="114300" distR="114300">
            <wp:extent cx="6570980" cy="9350375"/>
            <wp:effectExtent l="0" t="0" r="1270" b="3175"/>
            <wp:docPr id="21" name="图片 2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4"/>
                    <pic:cNvPicPr>
                      <a:picLocks noChangeAspect="1"/>
                    </pic:cNvPicPr>
                  </pic:nvPicPr>
                  <pic:blipFill>
                    <a:blip r:embed="rId91"/>
                    <a:stretch>
                      <a:fillRect/>
                    </a:stretch>
                  </pic:blipFill>
                  <pic:spPr>
                    <a:xfrm>
                      <a:off x="0" y="0"/>
                      <a:ext cx="6570980" cy="9350375"/>
                    </a:xfrm>
                    <a:prstGeom prst="rect">
                      <a:avLst/>
                    </a:prstGeom>
                  </pic:spPr>
                </pic:pic>
              </a:graphicData>
            </a:graphic>
          </wp:inline>
        </w:drawing>
      </w:r>
    </w:p>
    <w:p>
      <w:pPr>
        <w:bidi w:val="0"/>
        <w:jc w:val="right"/>
        <w:rPr>
          <w:rFonts w:hint="eastAsia"/>
          <w:lang w:val="en-US" w:eastAsia="zh-CN"/>
        </w:rPr>
      </w:pPr>
      <w:r>
        <w:rPr>
          <w:rFonts w:hint="eastAsia" w:eastAsiaTheme="minorEastAsia"/>
          <w:lang w:eastAsia="zh-CN"/>
        </w:rPr>
        <w:drawing>
          <wp:inline distT="0" distB="0" distL="114300" distR="114300">
            <wp:extent cx="6718935" cy="9622155"/>
            <wp:effectExtent l="0" t="0" r="5715" b="17145"/>
            <wp:docPr id="22" name="图片 22"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5"/>
                    <pic:cNvPicPr>
                      <a:picLocks noChangeAspect="1"/>
                    </pic:cNvPicPr>
                  </pic:nvPicPr>
                  <pic:blipFill>
                    <a:blip r:embed="rId92"/>
                    <a:stretch>
                      <a:fillRect/>
                    </a:stretch>
                  </pic:blipFill>
                  <pic:spPr>
                    <a:xfrm>
                      <a:off x="0" y="0"/>
                      <a:ext cx="6718935" cy="9622155"/>
                    </a:xfrm>
                    <a:prstGeom prst="rect">
                      <a:avLst/>
                    </a:prstGeom>
                  </pic:spPr>
                </pic:pic>
              </a:graphicData>
            </a:graphic>
          </wp:inline>
        </w:drawing>
      </w:r>
    </w:p>
    <w:p>
      <w:pPr>
        <w:bidi w:val="0"/>
        <w:jc w:val="right"/>
        <w:rPr>
          <w:rFonts w:hint="eastAsia"/>
          <w:lang w:val="en-US" w:eastAsia="zh-CN"/>
        </w:rPr>
      </w:pPr>
      <w:r>
        <w:rPr>
          <w:rFonts w:hint="eastAsia" w:eastAsiaTheme="minorEastAsia"/>
          <w:lang w:eastAsia="zh-CN"/>
        </w:rPr>
        <w:drawing>
          <wp:inline distT="0" distB="0" distL="114300" distR="114300">
            <wp:extent cx="6697980" cy="9773285"/>
            <wp:effectExtent l="0" t="0" r="7620" b="18415"/>
            <wp:docPr id="8" name="图片 8"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6"/>
                    <pic:cNvPicPr>
                      <a:picLocks noChangeAspect="1"/>
                    </pic:cNvPicPr>
                  </pic:nvPicPr>
                  <pic:blipFill>
                    <a:blip r:embed="rId93"/>
                    <a:stretch>
                      <a:fillRect/>
                    </a:stretch>
                  </pic:blipFill>
                  <pic:spPr>
                    <a:xfrm>
                      <a:off x="0" y="0"/>
                      <a:ext cx="6697980" cy="9773285"/>
                    </a:xfrm>
                    <a:prstGeom prst="rect">
                      <a:avLst/>
                    </a:prstGeom>
                  </pic:spPr>
                </pic:pic>
              </a:graphicData>
            </a:graphic>
          </wp:inline>
        </w:drawing>
      </w:r>
    </w:p>
    <w:p>
      <w:pPr>
        <w:rPr>
          <w:rFonts w:hint="eastAsia" w:eastAsiaTheme="minorEastAsia"/>
          <w:lang w:eastAsia="zh-CN"/>
        </w:rPr>
        <w:sectPr>
          <w:pgSz w:w="11906" w:h="16838"/>
          <w:pgMar w:top="680" w:right="680" w:bottom="680" w:left="680" w:header="851" w:footer="992" w:gutter="0"/>
          <w:cols w:space="425" w:num="1"/>
          <w:docGrid w:type="lines" w:linePitch="312" w:charSpace="0"/>
        </w:sectPr>
      </w:pPr>
      <w:r>
        <mc:AlternateContent>
          <mc:Choice Requires="wps">
            <w:drawing>
              <wp:anchor distT="0" distB="0" distL="114300" distR="114300" simplePos="0" relativeHeight="251660288" behindDoc="0" locked="0" layoutInCell="1" allowOverlap="1">
                <wp:simplePos x="0" y="0"/>
                <wp:positionH relativeFrom="column">
                  <wp:posOffset>2684145</wp:posOffset>
                </wp:positionH>
                <wp:positionV relativeFrom="paragraph">
                  <wp:posOffset>-10160</wp:posOffset>
                </wp:positionV>
                <wp:extent cx="1828800" cy="635635"/>
                <wp:effectExtent l="0" t="0" r="0" b="0"/>
                <wp:wrapNone/>
                <wp:docPr id="372" name="文本框 4"/>
                <wp:cNvGraphicFramePr/>
                <a:graphic xmlns:a="http://schemas.openxmlformats.org/drawingml/2006/main">
                  <a:graphicData uri="http://schemas.microsoft.com/office/word/2010/wordprocessingShape">
                    <wps:wsp>
                      <wps:cNvSpPr txBox="1"/>
                      <wps:spPr>
                        <a:xfrm>
                          <a:off x="0" y="0"/>
                          <a:ext cx="1828800" cy="635635"/>
                        </a:xfrm>
                        <a:prstGeom prst="rect">
                          <a:avLst/>
                        </a:prstGeom>
                        <a:noFill/>
                        <a:ln>
                          <a:noFill/>
                        </a:ln>
                      </wps:spPr>
                      <wps:txbx>
                        <w:txbxContent>
                          <w:p>
                            <w:pPr>
                              <w:rPr>
                                <w:rFonts w:hint="eastAsia" w:eastAsiaTheme="minorEastAsia"/>
                                <w:b/>
                                <w:sz w:val="44"/>
                                <w:szCs w:val="44"/>
                                <w:lang w:eastAsia="zh-CN"/>
                              </w:rPr>
                            </w:pPr>
                            <w:r>
                              <w:rPr>
                                <w:rFonts w:hint="eastAsia"/>
                                <w:b/>
                                <w:sz w:val="44"/>
                                <w:szCs w:val="44"/>
                              </w:rPr>
                              <w:t>附件</w:t>
                            </w:r>
                            <w:r>
                              <w:rPr>
                                <w:rFonts w:hint="eastAsia"/>
                                <w:b/>
                                <w:sz w:val="44"/>
                                <w:szCs w:val="44"/>
                                <w:lang w:val="en-US" w:eastAsia="zh-CN"/>
                              </w:rPr>
                              <w:t>五</w:t>
                            </w:r>
                          </w:p>
                        </w:txbxContent>
                      </wps:txbx>
                      <wps:bodyPr upright="1"/>
                    </wps:wsp>
                  </a:graphicData>
                </a:graphic>
              </wp:anchor>
            </w:drawing>
          </mc:Choice>
          <mc:Fallback>
            <w:pict>
              <v:shape id="文本框 4" o:spid="_x0000_s1026" o:spt="202" type="#_x0000_t202" style="position:absolute;left:0pt;margin-left:211.35pt;margin-top:-0.8pt;height:50.05pt;width:144pt;z-index:251660288;mso-width-relative:page;mso-height-relative:page;" filled="f" stroked="f" coordsize="21600,21600" o:gfxdata="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3cM7r1gAA&#10;AAkBAAAPAAAAAAAAAAEAIAAAACIAAABkcnMvZG93bnJldi54bWxQSwECFAAUAAAACACHTuJAO/xK&#10;FK4BAABQAwAADgAAAAAAAAABACAAAAAlAQAAZHJzL2Uyb0RvYy54bWxQSwUGAAAAAAYABgBZAQAA&#10;RQUAAAAA&#10;">
                <v:fill on="f" focussize="0,0"/>
                <v:stroke on="f"/>
                <v:imagedata o:title=""/>
                <o:lock v:ext="edit" aspectratio="f"/>
                <v:textbox>
                  <w:txbxContent>
                    <w:p>
                      <w:pPr>
                        <w:rPr>
                          <w:rFonts w:hint="eastAsia" w:eastAsiaTheme="minorEastAsia"/>
                          <w:b/>
                          <w:sz w:val="44"/>
                          <w:szCs w:val="44"/>
                          <w:lang w:eastAsia="zh-CN"/>
                        </w:rPr>
                      </w:pPr>
                      <w:r>
                        <w:rPr>
                          <w:rFonts w:hint="eastAsia"/>
                          <w:b/>
                          <w:sz w:val="44"/>
                          <w:szCs w:val="44"/>
                        </w:rPr>
                        <w:t>附件</w:t>
                      </w:r>
                      <w:r>
                        <w:rPr>
                          <w:rFonts w:hint="eastAsia"/>
                          <w:b/>
                          <w:sz w:val="44"/>
                          <w:szCs w:val="44"/>
                          <w:lang w:val="en-US" w:eastAsia="zh-CN"/>
                        </w:rPr>
                        <w:t>五</w:t>
                      </w:r>
                    </w:p>
                  </w:txbxContent>
                </v:textbox>
              </v:shape>
            </w:pict>
          </mc:Fallback>
        </mc:AlternateContent>
      </w:r>
      <w:r>
        <w:rPr>
          <w:rFonts w:hint="eastAsia" w:eastAsiaTheme="minorEastAsia"/>
          <w:lang w:eastAsia="zh-CN"/>
        </w:rPr>
        <w:drawing>
          <wp:inline distT="0" distB="0" distL="114300" distR="114300">
            <wp:extent cx="6210300" cy="8322945"/>
            <wp:effectExtent l="0" t="0" r="0" b="1905"/>
            <wp:docPr id="7" name="图片 7" descr="8484244ca4df9b56a6f40c2b7eb1b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8484244ca4df9b56a6f40c2b7eb1bc9"/>
                    <pic:cNvPicPr>
                      <a:picLocks noChangeAspect="1"/>
                    </pic:cNvPicPr>
                  </pic:nvPicPr>
                  <pic:blipFill>
                    <a:blip r:embed="rId94"/>
                    <a:srcRect t="6645" r="7123"/>
                    <a:stretch>
                      <a:fillRect/>
                    </a:stretch>
                  </pic:blipFill>
                  <pic:spPr>
                    <a:xfrm>
                      <a:off x="0" y="0"/>
                      <a:ext cx="6210300" cy="8322945"/>
                    </a:xfrm>
                    <a:prstGeom prst="rect">
                      <a:avLst/>
                    </a:prstGeom>
                  </pic:spPr>
                </pic:pic>
              </a:graphicData>
            </a:graphic>
          </wp:inline>
        </w:drawing>
      </w:r>
    </w:p>
    <w:p>
      <w:pPr>
        <w:rPr>
          <w:rFonts w:hint="eastAsia" w:eastAsiaTheme="minorEastAsia"/>
          <w:lang w:eastAsia="zh-CN"/>
        </w:rPr>
      </w:pPr>
    </w:p>
    <w:tbl>
      <w:tblPr>
        <w:tblStyle w:val="17"/>
        <w:tblW w:w="4998" w:type="pct"/>
        <w:tblInd w:w="0" w:type="dxa"/>
        <w:shd w:val="clear" w:color="auto" w:fill="auto"/>
        <w:tblLayout w:type="autofit"/>
        <w:tblCellMar>
          <w:top w:w="0" w:type="dxa"/>
          <w:left w:w="0" w:type="dxa"/>
          <w:bottom w:w="0" w:type="dxa"/>
          <w:right w:w="0" w:type="dxa"/>
        </w:tblCellMar>
      </w:tblPr>
      <w:tblGrid>
        <w:gridCol w:w="414"/>
        <w:gridCol w:w="414"/>
        <w:gridCol w:w="344"/>
        <w:gridCol w:w="1287"/>
        <w:gridCol w:w="1323"/>
        <w:gridCol w:w="1697"/>
        <w:gridCol w:w="1476"/>
        <w:gridCol w:w="1197"/>
        <w:gridCol w:w="1366"/>
        <w:gridCol w:w="1444"/>
        <w:gridCol w:w="423"/>
        <w:gridCol w:w="791"/>
        <w:gridCol w:w="893"/>
        <w:gridCol w:w="907"/>
        <w:gridCol w:w="476"/>
        <w:gridCol w:w="520"/>
        <w:gridCol w:w="536"/>
      </w:tblGrid>
      <w:tr>
        <w:tblPrEx>
          <w:tblCellMar>
            <w:top w:w="0" w:type="dxa"/>
            <w:left w:w="0" w:type="dxa"/>
            <w:bottom w:w="0" w:type="dxa"/>
            <w:right w:w="0" w:type="dxa"/>
          </w:tblCellMar>
        </w:tblPrEx>
        <w:trPr>
          <w:trHeight w:val="760" w:hRule="atLeast"/>
        </w:trPr>
        <w:tc>
          <w:tcPr>
            <w:tcW w:w="816" w:type="pct"/>
            <w:gridSpan w:val="4"/>
            <w:tcBorders>
              <w:top w:val="nil"/>
              <w:left w:val="nil"/>
              <w:bottom w:val="nil"/>
              <w:right w:val="nil"/>
            </w:tcBorders>
            <w:shd w:val="clear" w:color="auto" w:fill="auto"/>
            <w:noWrap/>
            <w:tcMar>
              <w:top w:w="15" w:type="dxa"/>
              <w:left w:w="15" w:type="dxa"/>
              <w:right w:w="15" w:type="dxa"/>
            </w:tcMar>
            <w:vAlign w:val="center"/>
          </w:tcPr>
          <w:p>
            <w:pPr>
              <w:jc w:val="left"/>
              <w:rPr>
                <w:rFonts w:hint="eastAsia" w:ascii="黑体" w:hAnsi="宋体" w:eastAsia="黑体" w:cs="黑体"/>
                <w:i w:val="0"/>
                <w:color w:val="000000"/>
                <w:sz w:val="32"/>
                <w:szCs w:val="32"/>
                <w:u w:val="none"/>
              </w:rPr>
            </w:pPr>
          </w:p>
        </w:tc>
        <w:tc>
          <w:tcPr>
            <w:tcW w:w="300" w:type="pct"/>
            <w:tcBorders>
              <w:top w:val="nil"/>
              <w:left w:val="nil"/>
              <w:bottom w:val="nil"/>
              <w:right w:val="nil"/>
            </w:tcBorders>
            <w:shd w:val="clear" w:color="auto" w:fill="auto"/>
            <w:noWrap/>
            <w:tcMar>
              <w:top w:w="15" w:type="dxa"/>
              <w:left w:w="15" w:type="dxa"/>
              <w:right w:w="15" w:type="dxa"/>
            </w:tcMar>
            <w:vAlign w:val="center"/>
          </w:tcPr>
          <w:p>
            <w:pPr>
              <w:rPr>
                <w:rFonts w:hint="eastAsia" w:ascii="宋体" w:hAnsi="宋体" w:eastAsia="宋体" w:cs="宋体"/>
                <w:i w:val="0"/>
                <w:color w:val="000000"/>
                <w:sz w:val="24"/>
                <w:szCs w:val="24"/>
                <w:u w:val="none"/>
              </w:rPr>
            </w:pPr>
          </w:p>
        </w:tc>
        <w:tc>
          <w:tcPr>
            <w:tcW w:w="384" w:type="pct"/>
            <w:tcBorders>
              <w:top w:val="nil"/>
              <w:left w:val="nil"/>
              <w:bottom w:val="nil"/>
              <w:right w:val="nil"/>
            </w:tcBorders>
            <w:shd w:val="clear" w:color="auto" w:fill="auto"/>
            <w:noWrap/>
            <w:tcMar>
              <w:top w:w="15" w:type="dxa"/>
              <w:left w:w="15" w:type="dxa"/>
              <w:right w:w="15" w:type="dxa"/>
            </w:tcMar>
            <w:vAlign w:val="center"/>
          </w:tcPr>
          <w:p>
            <w:pPr>
              <w:rPr>
                <w:rFonts w:hint="eastAsia" w:ascii="宋体" w:hAnsi="宋体" w:eastAsia="宋体" w:cs="宋体"/>
                <w:i w:val="0"/>
                <w:color w:val="000000"/>
                <w:sz w:val="24"/>
                <w:szCs w:val="24"/>
                <w:u w:val="none"/>
              </w:rPr>
            </w:pPr>
          </w:p>
        </w:tc>
        <w:tc>
          <w:tcPr>
            <w:tcW w:w="422" w:type="pct"/>
            <w:tcBorders>
              <w:top w:val="nil"/>
              <w:left w:val="nil"/>
              <w:bottom w:val="nil"/>
              <w:right w:val="nil"/>
            </w:tcBorders>
            <w:shd w:val="clear" w:color="auto" w:fill="auto"/>
            <w:noWrap/>
            <w:tcMar>
              <w:top w:w="15" w:type="dxa"/>
              <w:left w:w="15" w:type="dxa"/>
              <w:right w:w="15" w:type="dxa"/>
            </w:tcMar>
            <w:vAlign w:val="center"/>
          </w:tcPr>
          <w:p>
            <w:pPr>
              <w:rPr>
                <w:rFonts w:hint="eastAsia" w:ascii="宋体" w:hAnsi="宋体" w:eastAsia="宋体" w:cs="宋体"/>
                <w:i w:val="0"/>
                <w:color w:val="000000"/>
                <w:sz w:val="24"/>
                <w:szCs w:val="24"/>
                <w:u w:val="none"/>
              </w:rPr>
            </w:pPr>
          </w:p>
        </w:tc>
        <w:tc>
          <w:tcPr>
            <w:tcW w:w="341" w:type="pct"/>
            <w:tcBorders>
              <w:top w:val="nil"/>
              <w:left w:val="nil"/>
              <w:bottom w:val="nil"/>
              <w:right w:val="nil"/>
            </w:tcBorders>
            <w:shd w:val="clear" w:color="auto" w:fill="auto"/>
            <w:noWrap/>
            <w:tcMar>
              <w:top w:w="15" w:type="dxa"/>
              <w:left w:w="15" w:type="dxa"/>
              <w:right w:w="15" w:type="dxa"/>
            </w:tcMar>
            <w:vAlign w:val="center"/>
          </w:tcPr>
          <w:p>
            <w:pPr>
              <w:rPr>
                <w:rFonts w:hint="eastAsia" w:ascii="宋体" w:hAnsi="宋体" w:eastAsia="宋体" w:cs="宋体"/>
                <w:i w:val="0"/>
                <w:color w:val="000000"/>
                <w:sz w:val="24"/>
                <w:szCs w:val="24"/>
                <w:u w:val="none"/>
              </w:rPr>
            </w:pPr>
          </w:p>
        </w:tc>
        <w:tc>
          <w:tcPr>
            <w:tcW w:w="389" w:type="pct"/>
            <w:tcBorders>
              <w:top w:val="nil"/>
              <w:left w:val="nil"/>
              <w:bottom w:val="nil"/>
              <w:right w:val="nil"/>
            </w:tcBorders>
            <w:shd w:val="clear" w:color="auto" w:fill="auto"/>
            <w:noWrap/>
            <w:tcMar>
              <w:top w:w="15" w:type="dxa"/>
              <w:left w:w="15" w:type="dxa"/>
              <w:right w:w="15" w:type="dxa"/>
            </w:tcMar>
            <w:vAlign w:val="center"/>
          </w:tcPr>
          <w:p>
            <w:pPr>
              <w:rPr>
                <w:rFonts w:hint="eastAsia" w:ascii="宋体" w:hAnsi="宋体" w:eastAsia="宋体" w:cs="宋体"/>
                <w:i w:val="0"/>
                <w:color w:val="000000"/>
                <w:sz w:val="24"/>
                <w:szCs w:val="24"/>
                <w:u w:val="none"/>
              </w:rPr>
            </w:pPr>
          </w:p>
        </w:tc>
        <w:tc>
          <w:tcPr>
            <w:tcW w:w="371" w:type="pct"/>
            <w:tcBorders>
              <w:top w:val="nil"/>
              <w:left w:val="nil"/>
              <w:bottom w:val="nil"/>
              <w:right w:val="nil"/>
            </w:tcBorders>
            <w:shd w:val="clear" w:color="auto" w:fill="auto"/>
            <w:noWrap/>
            <w:tcMar>
              <w:top w:w="15" w:type="dxa"/>
              <w:left w:w="15" w:type="dxa"/>
              <w:right w:w="15" w:type="dxa"/>
            </w:tcMar>
            <w:vAlign w:val="center"/>
          </w:tcPr>
          <w:p>
            <w:pPr>
              <w:rPr>
                <w:rFonts w:hint="eastAsia" w:ascii="宋体" w:hAnsi="宋体" w:eastAsia="宋体" w:cs="宋体"/>
                <w:i w:val="0"/>
                <w:color w:val="000000"/>
                <w:sz w:val="24"/>
                <w:szCs w:val="24"/>
                <w:u w:val="none"/>
              </w:rPr>
            </w:pPr>
          </w:p>
        </w:tc>
        <w:tc>
          <w:tcPr>
            <w:tcW w:w="327" w:type="pct"/>
            <w:tcBorders>
              <w:top w:val="nil"/>
              <w:left w:val="nil"/>
              <w:bottom w:val="nil"/>
              <w:right w:val="nil"/>
            </w:tcBorders>
            <w:shd w:val="clear" w:color="auto" w:fill="auto"/>
            <w:noWrap/>
            <w:tcMar>
              <w:top w:w="15" w:type="dxa"/>
              <w:left w:w="15" w:type="dxa"/>
              <w:right w:w="15" w:type="dxa"/>
            </w:tcMar>
            <w:vAlign w:val="center"/>
          </w:tcPr>
          <w:p>
            <w:pPr>
              <w:rPr>
                <w:rFonts w:hint="eastAsia" w:ascii="宋体" w:hAnsi="宋体" w:eastAsia="宋体" w:cs="宋体"/>
                <w:i w:val="0"/>
                <w:color w:val="000000"/>
                <w:sz w:val="24"/>
                <w:szCs w:val="24"/>
                <w:u w:val="none"/>
              </w:rPr>
            </w:pPr>
          </w:p>
        </w:tc>
        <w:tc>
          <w:tcPr>
            <w:tcW w:w="303" w:type="pct"/>
            <w:tcBorders>
              <w:top w:val="nil"/>
              <w:left w:val="nil"/>
              <w:bottom w:val="nil"/>
              <w:right w:val="nil"/>
            </w:tcBorders>
            <w:shd w:val="clear" w:color="auto" w:fill="auto"/>
            <w:noWrap/>
            <w:tcMar>
              <w:top w:w="15" w:type="dxa"/>
              <w:left w:w="15" w:type="dxa"/>
              <w:right w:w="15" w:type="dxa"/>
            </w:tcMar>
            <w:vAlign w:val="center"/>
          </w:tcPr>
          <w:p>
            <w:pPr>
              <w:rPr>
                <w:rFonts w:hint="eastAsia" w:ascii="宋体" w:hAnsi="宋体" w:eastAsia="宋体" w:cs="宋体"/>
                <w:i w:val="0"/>
                <w:color w:val="000000"/>
                <w:sz w:val="24"/>
                <w:szCs w:val="24"/>
                <w:u w:val="none"/>
              </w:rPr>
            </w:pPr>
          </w:p>
        </w:tc>
        <w:tc>
          <w:tcPr>
            <w:tcW w:w="341" w:type="pct"/>
            <w:tcBorders>
              <w:top w:val="nil"/>
              <w:left w:val="nil"/>
              <w:bottom w:val="nil"/>
              <w:right w:val="nil"/>
            </w:tcBorders>
            <w:shd w:val="clear" w:color="auto" w:fill="auto"/>
            <w:noWrap/>
            <w:tcMar>
              <w:top w:w="15" w:type="dxa"/>
              <w:left w:w="15" w:type="dxa"/>
              <w:right w:w="15" w:type="dxa"/>
            </w:tcMar>
            <w:vAlign w:val="center"/>
          </w:tcPr>
          <w:p>
            <w:pPr>
              <w:rPr>
                <w:rFonts w:hint="eastAsia" w:ascii="宋体" w:hAnsi="宋体" w:eastAsia="宋体" w:cs="宋体"/>
                <w:i w:val="0"/>
                <w:color w:val="000000"/>
                <w:sz w:val="24"/>
                <w:szCs w:val="24"/>
                <w:u w:val="none"/>
              </w:rPr>
            </w:pPr>
          </w:p>
        </w:tc>
        <w:tc>
          <w:tcPr>
            <w:tcW w:w="375" w:type="pct"/>
            <w:tcBorders>
              <w:top w:val="nil"/>
              <w:left w:val="nil"/>
              <w:bottom w:val="nil"/>
              <w:right w:val="nil"/>
            </w:tcBorders>
            <w:shd w:val="clear" w:color="auto" w:fill="auto"/>
            <w:noWrap/>
            <w:tcMar>
              <w:top w:w="15" w:type="dxa"/>
              <w:left w:w="15" w:type="dxa"/>
              <w:right w:w="15" w:type="dxa"/>
            </w:tcMar>
            <w:vAlign w:val="center"/>
          </w:tcPr>
          <w:p>
            <w:pPr>
              <w:rPr>
                <w:rFonts w:hint="eastAsia" w:ascii="宋体" w:hAnsi="宋体" w:eastAsia="宋体" w:cs="宋体"/>
                <w:i w:val="0"/>
                <w:color w:val="000000"/>
                <w:sz w:val="24"/>
                <w:szCs w:val="24"/>
                <w:u w:val="none"/>
              </w:rPr>
            </w:pPr>
          </w:p>
        </w:tc>
        <w:tc>
          <w:tcPr>
            <w:tcW w:w="196" w:type="pct"/>
            <w:tcBorders>
              <w:top w:val="nil"/>
              <w:left w:val="nil"/>
              <w:bottom w:val="nil"/>
              <w:right w:val="nil"/>
            </w:tcBorders>
            <w:shd w:val="clear" w:color="auto" w:fill="auto"/>
            <w:noWrap/>
            <w:tcMar>
              <w:top w:w="15" w:type="dxa"/>
              <w:left w:w="15" w:type="dxa"/>
              <w:right w:w="15" w:type="dxa"/>
            </w:tcMar>
            <w:vAlign w:val="center"/>
          </w:tcPr>
          <w:p>
            <w:pPr>
              <w:rPr>
                <w:rFonts w:hint="eastAsia" w:ascii="宋体" w:hAnsi="宋体" w:eastAsia="宋体" w:cs="宋体"/>
                <w:i w:val="0"/>
                <w:color w:val="000000"/>
                <w:sz w:val="24"/>
                <w:szCs w:val="24"/>
                <w:u w:val="none"/>
              </w:rPr>
            </w:pPr>
          </w:p>
        </w:tc>
        <w:tc>
          <w:tcPr>
            <w:tcW w:w="214" w:type="pct"/>
            <w:tcBorders>
              <w:top w:val="nil"/>
              <w:left w:val="nil"/>
              <w:bottom w:val="nil"/>
              <w:right w:val="nil"/>
            </w:tcBorders>
            <w:shd w:val="clear" w:color="auto" w:fill="auto"/>
            <w:noWrap/>
            <w:tcMar>
              <w:top w:w="15" w:type="dxa"/>
              <w:left w:w="15" w:type="dxa"/>
              <w:right w:w="15" w:type="dxa"/>
            </w:tcMar>
            <w:vAlign w:val="center"/>
          </w:tcPr>
          <w:p>
            <w:pPr>
              <w:rPr>
                <w:rFonts w:hint="eastAsia" w:ascii="宋体" w:hAnsi="宋体" w:eastAsia="宋体" w:cs="宋体"/>
                <w:i w:val="0"/>
                <w:color w:val="000000"/>
                <w:sz w:val="24"/>
                <w:szCs w:val="24"/>
                <w:u w:val="none"/>
              </w:rPr>
            </w:pPr>
          </w:p>
        </w:tc>
        <w:tc>
          <w:tcPr>
            <w:tcW w:w="214" w:type="pct"/>
            <w:tcBorders>
              <w:top w:val="nil"/>
              <w:left w:val="nil"/>
              <w:bottom w:val="nil"/>
              <w:right w:val="nil"/>
            </w:tcBorders>
            <w:shd w:val="clear" w:color="auto" w:fill="auto"/>
            <w:noWrap/>
            <w:tcMar>
              <w:top w:w="15" w:type="dxa"/>
              <w:left w:w="15" w:type="dxa"/>
              <w:right w:w="15" w:type="dxa"/>
            </w:tcMar>
            <w:vAlign w:val="center"/>
          </w:tcPr>
          <w:p>
            <w:pPr>
              <w:rPr>
                <w:rFonts w:hint="eastAsia" w:ascii="宋体" w:hAnsi="宋体" w:eastAsia="宋体" w:cs="宋体"/>
                <w:i w:val="0"/>
                <w:color w:val="000000"/>
                <w:sz w:val="24"/>
                <w:szCs w:val="24"/>
                <w:u w:val="none"/>
              </w:rPr>
            </w:pPr>
          </w:p>
        </w:tc>
      </w:tr>
      <w:tr>
        <w:tblPrEx>
          <w:shd w:val="clear" w:color="auto" w:fill="auto"/>
          <w:tblCellMar>
            <w:top w:w="0" w:type="dxa"/>
            <w:left w:w="0" w:type="dxa"/>
            <w:bottom w:w="0" w:type="dxa"/>
            <w:right w:w="0" w:type="dxa"/>
          </w:tblCellMar>
        </w:tblPrEx>
        <w:trPr>
          <w:trHeight w:val="388" w:hRule="atLeast"/>
        </w:trPr>
        <w:tc>
          <w:tcPr>
            <w:tcW w:w="5000" w:type="pct"/>
            <w:gridSpan w:val="17"/>
            <w:vMerge w:val="restart"/>
            <w:tcBorders>
              <w:top w:val="nil"/>
              <w:left w:val="nil"/>
              <w:bottom w:val="nil"/>
              <w:right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ascii="方正小标宋简体" w:hAnsi="方正小标宋简体" w:eastAsia="方正小标宋简体" w:cs="方正小标宋简体"/>
                <w:i w:val="0"/>
                <w:color w:val="000000"/>
                <w:sz w:val="60"/>
                <w:szCs w:val="60"/>
                <w:u w:val="none"/>
              </w:rPr>
            </w:pPr>
            <w:r>
              <w:rPr>
                <w:rFonts w:hint="default" w:ascii="方正小标宋简体" w:hAnsi="方正小标宋简体" w:eastAsia="方正小标宋简体" w:cs="方正小标宋简体"/>
                <w:i w:val="0"/>
                <w:color w:val="000000"/>
                <w:kern w:val="0"/>
                <w:sz w:val="60"/>
                <w:szCs w:val="60"/>
                <w:u w:val="none"/>
                <w:lang w:val="en-US" w:eastAsia="zh-CN" w:bidi="ar"/>
              </w:rPr>
              <w:t>建设项目环境影响报告书审批基础信息表</w:t>
            </w:r>
          </w:p>
        </w:tc>
      </w:tr>
      <w:tr>
        <w:tblPrEx>
          <w:shd w:val="clear" w:color="auto" w:fill="auto"/>
          <w:tblCellMar>
            <w:top w:w="0" w:type="dxa"/>
            <w:left w:w="0" w:type="dxa"/>
            <w:bottom w:w="0" w:type="dxa"/>
            <w:right w:w="0" w:type="dxa"/>
          </w:tblCellMar>
        </w:tblPrEx>
        <w:trPr>
          <w:trHeight w:val="1140" w:hRule="atLeast"/>
        </w:trPr>
        <w:tc>
          <w:tcPr>
            <w:tcW w:w="5000" w:type="pct"/>
            <w:gridSpan w:val="17"/>
            <w:vMerge w:val="continue"/>
            <w:tcBorders>
              <w:top w:val="nil"/>
              <w:left w:val="nil"/>
              <w:bottom w:val="nil"/>
              <w:right w:val="nil"/>
            </w:tcBorders>
            <w:shd w:val="clear" w:color="auto" w:fill="auto"/>
            <w:noWrap/>
            <w:tcMar>
              <w:top w:w="15" w:type="dxa"/>
              <w:left w:w="15" w:type="dxa"/>
              <w:right w:w="15" w:type="dxa"/>
            </w:tcMar>
            <w:vAlign w:val="center"/>
          </w:tcPr>
          <w:p>
            <w:pPr>
              <w:jc w:val="center"/>
              <w:rPr>
                <w:rFonts w:hint="default" w:ascii="方正小标宋简体" w:hAnsi="方正小标宋简体" w:eastAsia="方正小标宋简体" w:cs="方正小标宋简体"/>
                <w:i w:val="0"/>
                <w:color w:val="000000"/>
                <w:sz w:val="60"/>
                <w:szCs w:val="60"/>
                <w:u w:val="none"/>
              </w:rPr>
            </w:pPr>
          </w:p>
        </w:tc>
      </w:tr>
      <w:tr>
        <w:tblPrEx>
          <w:shd w:val="clear" w:color="auto" w:fill="auto"/>
          <w:tblCellMar>
            <w:top w:w="0" w:type="dxa"/>
            <w:left w:w="0" w:type="dxa"/>
            <w:bottom w:w="0" w:type="dxa"/>
            <w:right w:w="0" w:type="dxa"/>
          </w:tblCellMar>
        </w:tblPrEx>
        <w:trPr>
          <w:trHeight w:val="680" w:hRule="atLeast"/>
        </w:trPr>
        <w:tc>
          <w:tcPr>
            <w:tcW w:w="816" w:type="pct"/>
            <w:gridSpan w:val="4"/>
            <w:tcBorders>
              <w:top w:val="nil"/>
              <w:left w:val="nil"/>
              <w:bottom w:val="nil"/>
              <w:right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填表单位（盖章）：</w:t>
            </w:r>
          </w:p>
        </w:tc>
        <w:tc>
          <w:tcPr>
            <w:tcW w:w="1449" w:type="pct"/>
            <w:gridSpan w:val="4"/>
            <w:tcBorders>
              <w:top w:val="nil"/>
              <w:left w:val="nil"/>
              <w:bottom w:val="nil"/>
              <w:right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正阳县鑫鑫向荣大型种猪养殖有限责任公司</w:t>
            </w:r>
          </w:p>
        </w:tc>
        <w:tc>
          <w:tcPr>
            <w:tcW w:w="389" w:type="pct"/>
            <w:tcBorders>
              <w:top w:val="nil"/>
              <w:left w:val="nil"/>
              <w:bottom w:val="nil"/>
              <w:right w:val="nil"/>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 xml:space="preserve"> 填表人（签字）：</w:t>
            </w:r>
          </w:p>
        </w:tc>
        <w:tc>
          <w:tcPr>
            <w:tcW w:w="698" w:type="pct"/>
            <w:gridSpan w:val="2"/>
            <w:tcBorders>
              <w:top w:val="nil"/>
              <w:left w:val="nil"/>
              <w:bottom w:val="nil"/>
              <w:right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李前进</w:t>
            </w:r>
          </w:p>
        </w:tc>
        <w:tc>
          <w:tcPr>
            <w:tcW w:w="645" w:type="pct"/>
            <w:gridSpan w:val="2"/>
            <w:tcBorders>
              <w:top w:val="nil"/>
              <w:left w:val="nil"/>
              <w:bottom w:val="nil"/>
              <w:right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 xml:space="preserve"> 项目经办人（签字）：</w:t>
            </w:r>
          </w:p>
        </w:tc>
        <w:tc>
          <w:tcPr>
            <w:tcW w:w="1000" w:type="pct"/>
            <w:gridSpan w:val="4"/>
            <w:tcBorders>
              <w:top w:val="nil"/>
              <w:left w:val="nil"/>
              <w:bottom w:val="nil"/>
              <w:right w:val="nil"/>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李前进</w:t>
            </w:r>
          </w:p>
        </w:tc>
      </w:tr>
      <w:tr>
        <w:tblPrEx>
          <w:shd w:val="clear" w:color="auto" w:fill="auto"/>
          <w:tblCellMar>
            <w:top w:w="0" w:type="dxa"/>
            <w:left w:w="0" w:type="dxa"/>
            <w:bottom w:w="0" w:type="dxa"/>
            <w:right w:w="0" w:type="dxa"/>
          </w:tblCellMar>
        </w:tblPrEx>
        <w:trPr>
          <w:trHeight w:val="315" w:hRule="atLeast"/>
        </w:trPr>
        <w:tc>
          <w:tcPr>
            <w:tcW w:w="214"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建 设</w:t>
            </w:r>
            <w:r>
              <w:rPr>
                <w:rFonts w:hint="eastAsia" w:ascii="黑体" w:hAnsi="宋体" w:eastAsia="黑体" w:cs="黑体"/>
                <w:i w:val="0"/>
                <w:color w:val="000000"/>
                <w:kern w:val="0"/>
                <w:sz w:val="22"/>
                <w:szCs w:val="22"/>
                <w:u w:val="none"/>
                <w:lang w:val="en-US" w:eastAsia="zh-CN" w:bidi="ar"/>
              </w:rPr>
              <w:br w:type="textWrapping"/>
            </w:r>
            <w:r>
              <w:rPr>
                <w:rFonts w:hint="eastAsia" w:ascii="黑体" w:hAnsi="宋体" w:eastAsia="黑体" w:cs="黑体"/>
                <w:i w:val="0"/>
                <w:color w:val="000000"/>
                <w:kern w:val="0"/>
                <w:sz w:val="22"/>
                <w:szCs w:val="22"/>
                <w:u w:val="none"/>
                <w:lang w:val="en-US" w:eastAsia="zh-CN" w:bidi="ar"/>
              </w:rPr>
              <w:t>项 目</w:t>
            </w:r>
          </w:p>
        </w:tc>
        <w:tc>
          <w:tcPr>
            <w:tcW w:w="601" w:type="pct"/>
            <w:gridSpan w:val="3"/>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项目名称</w:t>
            </w:r>
          </w:p>
        </w:tc>
        <w:tc>
          <w:tcPr>
            <w:tcW w:w="1449"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正阳县鑫鑫向荣大型种猪养殖有限责任公司年出栏1.2万头生猪养殖项目</w:t>
            </w:r>
          </w:p>
        </w:tc>
        <w:tc>
          <w:tcPr>
            <w:tcW w:w="760" w:type="pct"/>
            <w:gridSpan w:val="2"/>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建设内容</w:t>
            </w:r>
          </w:p>
        </w:tc>
        <w:tc>
          <w:tcPr>
            <w:tcW w:w="1973" w:type="pct"/>
            <w:gridSpan w:val="7"/>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项目占地面积17831.57平方米，项目总投资900万元，建设年出栏1.2万头生猪养殖项目</w:t>
            </w:r>
          </w:p>
        </w:tc>
      </w:tr>
      <w:tr>
        <w:tblPrEx>
          <w:tblCellMar>
            <w:top w:w="0" w:type="dxa"/>
            <w:left w:w="0" w:type="dxa"/>
            <w:bottom w:w="0" w:type="dxa"/>
            <w:right w:w="0" w:type="dxa"/>
          </w:tblCellMar>
        </w:tblPrEx>
        <w:trPr>
          <w:trHeight w:val="300"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601" w:type="pct"/>
            <w:gridSpan w:val="3"/>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项目代码</w:t>
            </w:r>
          </w:p>
        </w:tc>
        <w:tc>
          <w:tcPr>
            <w:tcW w:w="1449"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2103-411724-04-01-138515</w:t>
            </w:r>
          </w:p>
        </w:tc>
        <w:tc>
          <w:tcPr>
            <w:tcW w:w="760" w:type="pct"/>
            <w:gridSpan w:val="2"/>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1973" w:type="pct"/>
            <w:gridSpan w:val="7"/>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tblCellMar>
            <w:top w:w="0" w:type="dxa"/>
            <w:left w:w="0" w:type="dxa"/>
            <w:bottom w:w="0" w:type="dxa"/>
            <w:right w:w="0" w:type="dxa"/>
          </w:tblCellMar>
        </w:tblPrEx>
        <w:trPr>
          <w:trHeight w:val="300"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601" w:type="pct"/>
            <w:gridSpan w:val="3"/>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环评信用平台项目编号</w:t>
            </w:r>
          </w:p>
        </w:tc>
        <w:tc>
          <w:tcPr>
            <w:tcW w:w="1449"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760" w:type="pct"/>
            <w:gridSpan w:val="2"/>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1973" w:type="pct"/>
            <w:gridSpan w:val="7"/>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601" w:type="pct"/>
            <w:gridSpan w:val="3"/>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建设地点</w:t>
            </w:r>
          </w:p>
        </w:tc>
        <w:tc>
          <w:tcPr>
            <w:tcW w:w="1449"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驻马店市正阳县汝南埠镇大温寺村寺王店东0号</w:t>
            </w:r>
          </w:p>
        </w:tc>
        <w:tc>
          <w:tcPr>
            <w:tcW w:w="760"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建设规模</w:t>
            </w:r>
          </w:p>
        </w:tc>
        <w:tc>
          <w:tcPr>
            <w:tcW w:w="1973" w:type="pct"/>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建设年出栏1.2万头生猪养殖项目</w:t>
            </w: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601" w:type="pct"/>
            <w:gridSpan w:val="3"/>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项目建设周期（月）</w:t>
            </w:r>
          </w:p>
        </w:tc>
        <w:tc>
          <w:tcPr>
            <w:tcW w:w="1449"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 xml:space="preserve">6.0 </w:t>
            </w:r>
          </w:p>
        </w:tc>
        <w:tc>
          <w:tcPr>
            <w:tcW w:w="760"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计划开工时间</w:t>
            </w:r>
          </w:p>
        </w:tc>
        <w:tc>
          <w:tcPr>
            <w:tcW w:w="1973" w:type="pct"/>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2021年7月</w:t>
            </w: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601" w:type="pct"/>
            <w:gridSpan w:val="3"/>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建设性质</w:t>
            </w:r>
          </w:p>
        </w:tc>
        <w:tc>
          <w:tcPr>
            <w:tcW w:w="1449"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新建</w:t>
            </w:r>
          </w:p>
        </w:tc>
        <w:tc>
          <w:tcPr>
            <w:tcW w:w="760"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预计投产时间</w:t>
            </w:r>
          </w:p>
        </w:tc>
        <w:tc>
          <w:tcPr>
            <w:tcW w:w="1973" w:type="pct"/>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2022年1月</w:t>
            </w: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601" w:type="pct"/>
            <w:gridSpan w:val="3"/>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环境影响评价行业类别</w:t>
            </w:r>
          </w:p>
        </w:tc>
        <w:tc>
          <w:tcPr>
            <w:tcW w:w="1449"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一、畜牧业  1畜禽养殖场、养殖小区</w:t>
            </w:r>
          </w:p>
        </w:tc>
        <w:tc>
          <w:tcPr>
            <w:tcW w:w="760"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国民经济行业类型及代码</w:t>
            </w:r>
          </w:p>
        </w:tc>
        <w:tc>
          <w:tcPr>
            <w:tcW w:w="1973" w:type="pct"/>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A031牲畜饲养</w:t>
            </w:r>
          </w:p>
        </w:tc>
      </w:tr>
      <w:tr>
        <w:tblPrEx>
          <w:shd w:val="clear" w:color="auto" w:fill="auto"/>
          <w:tblCellMar>
            <w:top w:w="0" w:type="dxa"/>
            <w:left w:w="0" w:type="dxa"/>
            <w:bottom w:w="0" w:type="dxa"/>
            <w:right w:w="0" w:type="dxa"/>
          </w:tblCellMar>
        </w:tblPrEx>
        <w:trPr>
          <w:trHeight w:val="60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601" w:type="pct"/>
            <w:gridSpan w:val="3"/>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现有工程排污许可证或排污登记表编号（改、扩建项目）</w:t>
            </w:r>
          </w:p>
        </w:tc>
        <w:tc>
          <w:tcPr>
            <w:tcW w:w="685"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现有工程排污许可管理类别（改、扩建项目）</w:t>
            </w: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760" w:type="pct"/>
            <w:gridSpan w:val="2"/>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项目申请类别</w:t>
            </w:r>
          </w:p>
        </w:tc>
        <w:tc>
          <w:tcPr>
            <w:tcW w:w="1973" w:type="pct"/>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601" w:type="pct"/>
            <w:gridSpan w:val="3"/>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规划环评开展情况</w:t>
            </w:r>
          </w:p>
        </w:tc>
        <w:tc>
          <w:tcPr>
            <w:tcW w:w="1449"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760"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规划环评文件名</w:t>
            </w:r>
          </w:p>
        </w:tc>
        <w:tc>
          <w:tcPr>
            <w:tcW w:w="1973" w:type="pct"/>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601" w:type="pct"/>
            <w:gridSpan w:val="3"/>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规划环评审查机关</w:t>
            </w:r>
          </w:p>
        </w:tc>
        <w:tc>
          <w:tcPr>
            <w:tcW w:w="1449"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760"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规划环评审查意见文号</w:t>
            </w:r>
          </w:p>
        </w:tc>
        <w:tc>
          <w:tcPr>
            <w:tcW w:w="1973" w:type="pct"/>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tblCellMar>
            <w:top w:w="0" w:type="dxa"/>
            <w:left w:w="0" w:type="dxa"/>
            <w:bottom w:w="0" w:type="dxa"/>
            <w:right w:w="0" w:type="dxa"/>
          </w:tblCellMar>
        </w:tblPrEx>
        <w:trPr>
          <w:trHeight w:val="463"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601" w:type="pct"/>
            <w:gridSpan w:val="3"/>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Style w:val="35"/>
                <w:lang w:val="en-US" w:eastAsia="zh-CN" w:bidi="ar"/>
              </w:rPr>
              <w:t>建设地点中心坐标</w:t>
            </w:r>
            <w:r>
              <w:rPr>
                <w:rStyle w:val="36"/>
                <w:lang w:val="en-US" w:eastAsia="zh-CN" w:bidi="ar"/>
              </w:rPr>
              <w:br w:type="textWrapping"/>
            </w:r>
            <w:r>
              <w:rPr>
                <w:rStyle w:val="35"/>
                <w:lang w:val="en-US" w:eastAsia="zh-CN" w:bidi="ar"/>
              </w:rPr>
              <w:t>（非线性工程）</w:t>
            </w:r>
          </w:p>
        </w:tc>
        <w:tc>
          <w:tcPr>
            <w:tcW w:w="300"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经度</w:t>
            </w:r>
          </w:p>
        </w:tc>
        <w:tc>
          <w:tcPr>
            <w:tcW w:w="3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 xml:space="preserve">114.743183 </w:t>
            </w:r>
          </w:p>
        </w:tc>
        <w:tc>
          <w:tcPr>
            <w:tcW w:w="422"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纬度</w:t>
            </w: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 xml:space="preserve">32.610429 </w:t>
            </w:r>
          </w:p>
        </w:tc>
        <w:tc>
          <w:tcPr>
            <w:tcW w:w="389"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占地面积（平方米）</w:t>
            </w:r>
          </w:p>
        </w:tc>
        <w:tc>
          <w:tcPr>
            <w:tcW w:w="371" w:type="pct"/>
            <w:tcBorders>
              <w:top w:val="nil"/>
              <w:left w:val="nil"/>
              <w:bottom w:val="nil"/>
              <w:right w:val="nil"/>
            </w:tcBorders>
            <w:shd w:val="clear" w:color="auto" w:fill="auto"/>
            <w:noWrap/>
            <w:tcMar>
              <w:top w:w="15" w:type="dxa"/>
              <w:left w:w="15" w:type="dxa"/>
              <w:right w:w="15" w:type="dxa"/>
            </w:tcMar>
            <w:vAlign w:val="center"/>
          </w:tcPr>
          <w:p>
            <w:pPr>
              <w:keepNext w:val="0"/>
              <w:keepLines w:val="0"/>
              <w:widowControl/>
              <w:suppressLineNumbers w:val="0"/>
              <w:jc w:val="right"/>
              <w:textAlignment w:val="center"/>
              <w:rPr>
                <w:rFonts w:hint="default" w:ascii="Times New Roman" w:hAnsi="Times New Roman" w:eastAsia="宋体" w:cs="Times New Roman"/>
                <w:i w:val="0"/>
                <w:color w:val="000000"/>
                <w:sz w:val="24"/>
                <w:szCs w:val="24"/>
                <w:u w:val="none"/>
              </w:rPr>
            </w:pPr>
            <w:r>
              <w:rPr>
                <w:rFonts w:hint="default" w:ascii="Times New Roman" w:hAnsi="Times New Roman" w:eastAsia="宋体" w:cs="Times New Roman"/>
                <w:i w:val="0"/>
                <w:color w:val="000000"/>
                <w:kern w:val="0"/>
                <w:sz w:val="24"/>
                <w:szCs w:val="24"/>
                <w:u w:val="none"/>
                <w:lang w:val="en-US" w:eastAsia="zh-CN" w:bidi="ar"/>
              </w:rPr>
              <w:t>17831.57</w:t>
            </w:r>
          </w:p>
        </w:tc>
        <w:tc>
          <w:tcPr>
            <w:tcW w:w="327"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环评文件类别</w:t>
            </w:r>
          </w:p>
        </w:tc>
        <w:tc>
          <w:tcPr>
            <w:tcW w:w="1646" w:type="pct"/>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环境影响报告书</w:t>
            </w:r>
          </w:p>
        </w:tc>
      </w:tr>
      <w:tr>
        <w:tblPrEx>
          <w:shd w:val="clear" w:color="auto" w:fill="auto"/>
          <w:tblCellMar>
            <w:top w:w="0" w:type="dxa"/>
            <w:left w:w="0" w:type="dxa"/>
            <w:bottom w:w="0" w:type="dxa"/>
            <w:right w:w="0" w:type="dxa"/>
          </w:tblCellMar>
        </w:tblPrEx>
        <w:trPr>
          <w:trHeight w:val="433"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601" w:type="pct"/>
            <w:gridSpan w:val="3"/>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建设地点坐标（线性工程）</w:t>
            </w:r>
          </w:p>
        </w:tc>
        <w:tc>
          <w:tcPr>
            <w:tcW w:w="300"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起点经度</w:t>
            </w:r>
          </w:p>
        </w:tc>
        <w:tc>
          <w:tcPr>
            <w:tcW w:w="3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起点纬度</w:t>
            </w: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both"/>
              <w:rPr>
                <w:rFonts w:hint="eastAsia" w:ascii="黑体" w:hAnsi="宋体" w:eastAsia="黑体" w:cs="黑体"/>
                <w:i w:val="0"/>
                <w:color w:val="000000"/>
                <w:sz w:val="18"/>
                <w:szCs w:val="18"/>
                <w:u w:val="none"/>
              </w:rPr>
            </w:pPr>
          </w:p>
        </w:tc>
        <w:tc>
          <w:tcPr>
            <w:tcW w:w="389"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终点经度</w:t>
            </w: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both"/>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终点纬度</w:t>
            </w: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工程长度</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（千米）</w:t>
            </w:r>
          </w:p>
        </w:tc>
        <w:tc>
          <w:tcPr>
            <w:tcW w:w="1000"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601" w:type="pct"/>
            <w:gridSpan w:val="3"/>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总投资（万元）</w:t>
            </w:r>
          </w:p>
        </w:tc>
        <w:tc>
          <w:tcPr>
            <w:tcW w:w="1449"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 xml:space="preserve">900.00 </w:t>
            </w:r>
          </w:p>
        </w:tc>
        <w:tc>
          <w:tcPr>
            <w:tcW w:w="760"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环保投资（万元）</w:t>
            </w:r>
          </w:p>
        </w:tc>
        <w:tc>
          <w:tcPr>
            <w:tcW w:w="63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 xml:space="preserve">251.50 </w:t>
            </w:r>
          </w:p>
        </w:tc>
        <w:tc>
          <w:tcPr>
            <w:tcW w:w="341"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所占比例（%）</w:t>
            </w:r>
          </w:p>
        </w:tc>
        <w:tc>
          <w:tcPr>
            <w:tcW w:w="1000"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25.65%</w:t>
            </w:r>
          </w:p>
        </w:tc>
      </w:tr>
      <w:tr>
        <w:tblPrEx>
          <w:shd w:val="clear" w:color="auto" w:fill="auto"/>
          <w:tblCellMar>
            <w:top w:w="0" w:type="dxa"/>
            <w:left w:w="0" w:type="dxa"/>
            <w:bottom w:w="0" w:type="dxa"/>
            <w:right w:w="0" w:type="dxa"/>
          </w:tblCellMar>
        </w:tblPrEx>
        <w:trPr>
          <w:trHeight w:val="315" w:hRule="atLeast"/>
        </w:trPr>
        <w:tc>
          <w:tcPr>
            <w:tcW w:w="214"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建 设</w:t>
            </w:r>
            <w:r>
              <w:rPr>
                <w:rFonts w:hint="eastAsia" w:ascii="黑体" w:hAnsi="宋体" w:eastAsia="黑体" w:cs="黑体"/>
                <w:i w:val="0"/>
                <w:color w:val="000000"/>
                <w:kern w:val="0"/>
                <w:sz w:val="22"/>
                <w:szCs w:val="22"/>
                <w:u w:val="none"/>
                <w:lang w:val="en-US" w:eastAsia="zh-CN" w:bidi="ar"/>
              </w:rPr>
              <w:br w:type="textWrapping"/>
            </w:r>
            <w:r>
              <w:rPr>
                <w:rFonts w:hint="eastAsia" w:ascii="黑体" w:hAnsi="宋体" w:eastAsia="黑体" w:cs="黑体"/>
                <w:i w:val="0"/>
                <w:color w:val="000000"/>
                <w:kern w:val="0"/>
                <w:sz w:val="22"/>
                <w:szCs w:val="22"/>
                <w:u w:val="none"/>
                <w:lang w:val="en-US" w:eastAsia="zh-CN" w:bidi="ar"/>
              </w:rPr>
              <w:t>单 位</w:t>
            </w:r>
          </w:p>
        </w:tc>
        <w:tc>
          <w:tcPr>
            <w:tcW w:w="601" w:type="pct"/>
            <w:gridSpan w:val="3"/>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单位名称</w:t>
            </w:r>
          </w:p>
        </w:tc>
        <w:tc>
          <w:tcPr>
            <w:tcW w:w="685" w:type="pct"/>
            <w:gridSpan w:val="2"/>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正阳县鑫鑫向荣大型种猪养殖有限责任公司</w:t>
            </w:r>
          </w:p>
        </w:tc>
        <w:tc>
          <w:tcPr>
            <w:tcW w:w="422"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法定代表人</w:t>
            </w: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李前进</w:t>
            </w:r>
          </w:p>
        </w:tc>
        <w:tc>
          <w:tcPr>
            <w:tcW w:w="389"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环评</w:t>
            </w:r>
            <w:r>
              <w:rPr>
                <w:rFonts w:hint="eastAsia" w:ascii="黑体" w:hAnsi="宋体" w:eastAsia="黑体" w:cs="黑体"/>
                <w:i w:val="0"/>
                <w:color w:val="000000"/>
                <w:kern w:val="0"/>
                <w:sz w:val="22"/>
                <w:szCs w:val="22"/>
                <w:u w:val="none"/>
                <w:lang w:val="en-US" w:eastAsia="zh-CN" w:bidi="ar"/>
              </w:rPr>
              <w:br w:type="textWrapping"/>
            </w:r>
            <w:r>
              <w:rPr>
                <w:rFonts w:hint="eastAsia" w:ascii="黑体" w:hAnsi="宋体" w:eastAsia="黑体" w:cs="黑体"/>
                <w:i w:val="0"/>
                <w:color w:val="000000"/>
                <w:kern w:val="0"/>
                <w:sz w:val="22"/>
                <w:szCs w:val="22"/>
                <w:u w:val="none"/>
                <w:lang w:val="en-US" w:eastAsia="zh-CN" w:bidi="ar"/>
              </w:rPr>
              <w:t>编制</w:t>
            </w:r>
            <w:r>
              <w:rPr>
                <w:rFonts w:hint="eastAsia" w:ascii="黑体" w:hAnsi="宋体" w:eastAsia="黑体" w:cs="黑体"/>
                <w:i w:val="0"/>
                <w:color w:val="000000"/>
                <w:kern w:val="0"/>
                <w:sz w:val="22"/>
                <w:szCs w:val="22"/>
                <w:u w:val="none"/>
                <w:lang w:val="en-US" w:eastAsia="zh-CN" w:bidi="ar"/>
              </w:rPr>
              <w:br w:type="textWrapping"/>
            </w:r>
            <w:r>
              <w:rPr>
                <w:rFonts w:hint="eastAsia" w:ascii="黑体" w:hAnsi="宋体" w:eastAsia="黑体" w:cs="黑体"/>
                <w:i w:val="0"/>
                <w:color w:val="000000"/>
                <w:kern w:val="0"/>
                <w:sz w:val="22"/>
                <w:szCs w:val="22"/>
                <w:u w:val="none"/>
                <w:lang w:val="en-US" w:eastAsia="zh-CN" w:bidi="ar"/>
              </w:rPr>
              <w:t>单位</w:t>
            </w:r>
          </w:p>
        </w:tc>
        <w:tc>
          <w:tcPr>
            <w:tcW w:w="371"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单位名称</w:t>
            </w:r>
          </w:p>
        </w:tc>
        <w:tc>
          <w:tcPr>
            <w:tcW w:w="63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统一社会信用代码</w:t>
            </w:r>
          </w:p>
        </w:tc>
        <w:tc>
          <w:tcPr>
            <w:tcW w:w="1000"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601" w:type="pct"/>
            <w:gridSpan w:val="3"/>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68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2"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主要负责人</w:t>
            </w:r>
          </w:p>
        </w:tc>
        <w:tc>
          <w:tcPr>
            <w:tcW w:w="341" w:type="pct"/>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李前进</w:t>
            </w: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371"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编制主持人</w:t>
            </w:r>
          </w:p>
        </w:tc>
        <w:tc>
          <w:tcPr>
            <w:tcW w:w="327"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姓名</w:t>
            </w: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联系电话</w:t>
            </w:r>
          </w:p>
        </w:tc>
        <w:tc>
          <w:tcPr>
            <w:tcW w:w="1000" w:type="pct"/>
            <w:gridSpan w:val="4"/>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538"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601" w:type="pct"/>
            <w:gridSpan w:val="3"/>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685"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2"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信用编号</w:t>
            </w: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1000" w:type="pct"/>
            <w:gridSpan w:val="4"/>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473"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601" w:type="pct"/>
            <w:gridSpan w:val="3"/>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统一社会信用代码</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（组织机构代码）</w:t>
            </w:r>
          </w:p>
        </w:tc>
        <w:tc>
          <w:tcPr>
            <w:tcW w:w="685"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 xml:space="preserve"> 91411724MA9GB2Q84G</w:t>
            </w:r>
          </w:p>
        </w:tc>
        <w:tc>
          <w:tcPr>
            <w:tcW w:w="422"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联系电话</w:t>
            </w: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15103881000</w:t>
            </w: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职业资格证书</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管理号</w:t>
            </w: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1000" w:type="pct"/>
            <w:gridSpan w:val="4"/>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37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601" w:type="pct"/>
            <w:gridSpan w:val="3"/>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通讯地址</w:t>
            </w:r>
          </w:p>
        </w:tc>
        <w:tc>
          <w:tcPr>
            <w:tcW w:w="1449"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河南省驻马店市正阳县汝南埠镇大温村寺王店</w:t>
            </w: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通讯地址</w:t>
            </w:r>
          </w:p>
        </w:tc>
        <w:tc>
          <w:tcPr>
            <w:tcW w:w="1973" w:type="pct"/>
            <w:gridSpan w:val="7"/>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455" w:hRule="atLeast"/>
        </w:trPr>
        <w:tc>
          <w:tcPr>
            <w:tcW w:w="214"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污</w:t>
            </w:r>
            <w:r>
              <w:rPr>
                <w:rFonts w:hint="eastAsia" w:ascii="黑体" w:hAnsi="宋体" w:eastAsia="黑体" w:cs="黑体"/>
                <w:i w:val="0"/>
                <w:color w:val="000000"/>
                <w:kern w:val="0"/>
                <w:sz w:val="22"/>
                <w:szCs w:val="22"/>
                <w:u w:val="none"/>
                <w:lang w:val="en-US" w:eastAsia="zh-CN" w:bidi="ar"/>
              </w:rPr>
              <w:br w:type="textWrapping"/>
            </w:r>
            <w:r>
              <w:rPr>
                <w:rFonts w:hint="eastAsia" w:ascii="黑体" w:hAnsi="宋体" w:eastAsia="黑体" w:cs="黑体"/>
                <w:i w:val="0"/>
                <w:color w:val="000000"/>
                <w:kern w:val="0"/>
                <w:sz w:val="22"/>
                <w:szCs w:val="22"/>
                <w:u w:val="none"/>
                <w:lang w:val="en-US" w:eastAsia="zh-CN" w:bidi="ar"/>
              </w:rPr>
              <w:t>染</w:t>
            </w:r>
            <w:r>
              <w:rPr>
                <w:rFonts w:hint="eastAsia" w:ascii="黑体" w:hAnsi="宋体" w:eastAsia="黑体" w:cs="黑体"/>
                <w:i w:val="0"/>
                <w:color w:val="000000"/>
                <w:kern w:val="0"/>
                <w:sz w:val="22"/>
                <w:szCs w:val="22"/>
                <w:u w:val="none"/>
                <w:lang w:val="en-US" w:eastAsia="zh-CN" w:bidi="ar"/>
              </w:rPr>
              <w:br w:type="textWrapping"/>
            </w:r>
            <w:r>
              <w:rPr>
                <w:rFonts w:hint="eastAsia" w:ascii="黑体" w:hAnsi="宋体" w:eastAsia="黑体" w:cs="黑体"/>
                <w:i w:val="0"/>
                <w:color w:val="000000"/>
                <w:kern w:val="0"/>
                <w:sz w:val="22"/>
                <w:szCs w:val="22"/>
                <w:u w:val="none"/>
                <w:lang w:val="en-US" w:eastAsia="zh-CN" w:bidi="ar"/>
              </w:rPr>
              <w:t>物</w:t>
            </w:r>
            <w:r>
              <w:rPr>
                <w:rFonts w:hint="eastAsia" w:ascii="黑体" w:hAnsi="宋体" w:eastAsia="黑体" w:cs="黑体"/>
                <w:i w:val="0"/>
                <w:color w:val="000000"/>
                <w:kern w:val="0"/>
                <w:sz w:val="22"/>
                <w:szCs w:val="22"/>
                <w:u w:val="none"/>
                <w:lang w:val="en-US" w:eastAsia="zh-CN" w:bidi="ar"/>
              </w:rPr>
              <w:br w:type="textWrapping"/>
            </w:r>
            <w:r>
              <w:rPr>
                <w:rFonts w:hint="eastAsia" w:ascii="黑体" w:hAnsi="宋体" w:eastAsia="黑体" w:cs="黑体"/>
                <w:i w:val="0"/>
                <w:color w:val="000000"/>
                <w:kern w:val="0"/>
                <w:sz w:val="22"/>
                <w:szCs w:val="22"/>
                <w:u w:val="none"/>
                <w:lang w:val="en-US" w:eastAsia="zh-CN" w:bidi="ar"/>
              </w:rPr>
              <w:t>排</w:t>
            </w:r>
            <w:r>
              <w:rPr>
                <w:rFonts w:hint="eastAsia" w:ascii="黑体" w:hAnsi="宋体" w:eastAsia="黑体" w:cs="黑体"/>
                <w:i w:val="0"/>
                <w:color w:val="000000"/>
                <w:kern w:val="0"/>
                <w:sz w:val="22"/>
                <w:szCs w:val="22"/>
                <w:u w:val="none"/>
                <w:lang w:val="en-US" w:eastAsia="zh-CN" w:bidi="ar"/>
              </w:rPr>
              <w:br w:type="textWrapping"/>
            </w:r>
            <w:r>
              <w:rPr>
                <w:rFonts w:hint="eastAsia" w:ascii="黑体" w:hAnsi="宋体" w:eastAsia="黑体" w:cs="黑体"/>
                <w:i w:val="0"/>
                <w:color w:val="000000"/>
                <w:kern w:val="0"/>
                <w:sz w:val="22"/>
                <w:szCs w:val="22"/>
                <w:u w:val="none"/>
                <w:lang w:val="en-US" w:eastAsia="zh-CN" w:bidi="ar"/>
              </w:rPr>
              <w:t>放</w:t>
            </w:r>
            <w:r>
              <w:rPr>
                <w:rFonts w:hint="eastAsia" w:ascii="黑体" w:hAnsi="宋体" w:eastAsia="黑体" w:cs="黑体"/>
                <w:i w:val="0"/>
                <w:color w:val="000000"/>
                <w:kern w:val="0"/>
                <w:sz w:val="22"/>
                <w:szCs w:val="22"/>
                <w:u w:val="none"/>
                <w:lang w:val="en-US" w:eastAsia="zh-CN" w:bidi="ar"/>
              </w:rPr>
              <w:br w:type="textWrapping"/>
            </w:r>
            <w:r>
              <w:rPr>
                <w:rFonts w:hint="eastAsia" w:ascii="黑体" w:hAnsi="宋体" w:eastAsia="黑体" w:cs="黑体"/>
                <w:i w:val="0"/>
                <w:color w:val="000000"/>
                <w:kern w:val="0"/>
                <w:sz w:val="22"/>
                <w:szCs w:val="22"/>
                <w:u w:val="none"/>
                <w:lang w:val="en-US" w:eastAsia="zh-CN" w:bidi="ar"/>
              </w:rPr>
              <w:t>量</w:t>
            </w:r>
          </w:p>
        </w:tc>
        <w:tc>
          <w:tcPr>
            <w:tcW w:w="601" w:type="pct"/>
            <w:gridSpan w:val="3"/>
            <w:vMerge w:val="restart"/>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污染物</w:t>
            </w:r>
          </w:p>
        </w:tc>
        <w:tc>
          <w:tcPr>
            <w:tcW w:w="685"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现有工程</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（已建+在建）</w:t>
            </w:r>
          </w:p>
        </w:tc>
        <w:tc>
          <w:tcPr>
            <w:tcW w:w="422"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本工程</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（拟建或调整变更）</w:t>
            </w:r>
          </w:p>
        </w:tc>
        <w:tc>
          <w:tcPr>
            <w:tcW w:w="2646" w:type="pct"/>
            <w:gridSpan w:val="8"/>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总体工程</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（已建+在建+拟建或调整变更）</w:t>
            </w:r>
          </w:p>
        </w:tc>
        <w:tc>
          <w:tcPr>
            <w:tcW w:w="428" w:type="pct"/>
            <w:gridSpan w:val="2"/>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区域削减量来源（国家、省级审批项目）</w:t>
            </w:r>
          </w:p>
        </w:tc>
      </w:tr>
      <w:tr>
        <w:tblPrEx>
          <w:shd w:val="clear" w:color="auto" w:fill="auto"/>
          <w:tblCellMar>
            <w:top w:w="0" w:type="dxa"/>
            <w:left w:w="0" w:type="dxa"/>
            <w:bottom w:w="0" w:type="dxa"/>
            <w:right w:w="0" w:type="dxa"/>
          </w:tblCellMar>
        </w:tblPrEx>
        <w:trPr>
          <w:trHeight w:val="473"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601" w:type="pct"/>
            <w:gridSpan w:val="3"/>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300"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①排放量</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（吨/年）</w:t>
            </w:r>
          </w:p>
        </w:tc>
        <w:tc>
          <w:tcPr>
            <w:tcW w:w="384"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②许可排放量</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（吨/年）</w:t>
            </w:r>
          </w:p>
        </w:tc>
        <w:tc>
          <w:tcPr>
            <w:tcW w:w="422"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③预测排放量</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（吨/年）</w:t>
            </w: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④“以新带老”削减量（吨/年）</w:t>
            </w: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Style w:val="35"/>
                <w:lang w:val="en-US" w:eastAsia="zh-CN" w:bidi="ar"/>
              </w:rPr>
              <w:t>⑤区域</w:t>
            </w:r>
            <w:r>
              <w:rPr>
                <w:rStyle w:val="37"/>
                <w:lang w:val="en-US" w:eastAsia="zh-CN" w:bidi="ar"/>
              </w:rPr>
              <w:t>平衡替代本工程</w:t>
            </w:r>
            <w:r>
              <w:rPr>
                <w:rStyle w:val="35"/>
                <w:lang w:val="en-US" w:eastAsia="zh-CN" w:bidi="ar"/>
              </w:rPr>
              <w:t>削减量（吨/年）</w:t>
            </w: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⑥预测排放总量</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（吨/年）</w:t>
            </w:r>
          </w:p>
        </w:tc>
        <w:tc>
          <w:tcPr>
            <w:tcW w:w="571"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⑦排放增减量</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（吨/年）</w:t>
            </w:r>
          </w:p>
        </w:tc>
        <w:tc>
          <w:tcPr>
            <w:tcW w:w="428" w:type="pct"/>
            <w:gridSpan w:val="2"/>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restart"/>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废水</w:t>
            </w: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废水量(万吨/年)</w:t>
            </w:r>
          </w:p>
        </w:tc>
        <w:tc>
          <w:tcPr>
            <w:tcW w:w="3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57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4"/>
                <w:szCs w:val="24"/>
                <w:u w:val="none"/>
              </w:rPr>
            </w:pPr>
          </w:p>
        </w:tc>
      </w:tr>
      <w:tr>
        <w:tblPrEx>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COD</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57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4"/>
                <w:szCs w:val="24"/>
                <w:u w:val="none"/>
              </w:rPr>
            </w:pPr>
          </w:p>
        </w:tc>
      </w:tr>
      <w:tr>
        <w:tblPrEx>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氨氮</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57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4"/>
                <w:szCs w:val="24"/>
                <w:u w:val="none"/>
              </w:rPr>
            </w:pP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总磷</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57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4"/>
                <w:szCs w:val="24"/>
                <w:u w:val="none"/>
              </w:rPr>
            </w:pPr>
          </w:p>
        </w:tc>
      </w:tr>
      <w:tr>
        <w:tblPrEx>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总氮</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57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4"/>
                <w:szCs w:val="24"/>
                <w:u w:val="none"/>
              </w:rPr>
            </w:pPr>
          </w:p>
        </w:tc>
      </w:tr>
      <w:tr>
        <w:tblPrEx>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铅</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57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4"/>
                <w:szCs w:val="24"/>
                <w:u w:val="none"/>
              </w:rPr>
            </w:pPr>
          </w:p>
        </w:tc>
      </w:tr>
      <w:tr>
        <w:tblPrEx>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汞</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57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4"/>
                <w:szCs w:val="24"/>
                <w:u w:val="none"/>
              </w:rPr>
            </w:pPr>
          </w:p>
        </w:tc>
      </w:tr>
      <w:tr>
        <w:tblPrEx>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镉</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57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4"/>
                <w:szCs w:val="24"/>
                <w:u w:val="none"/>
              </w:rPr>
            </w:pP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铬</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default" w:ascii="Times New Roman" w:hAnsi="Times New Roman" w:eastAsia="宋体" w:cs="Times New Roman"/>
                <w:i w:val="0"/>
                <w:color w:val="000000"/>
                <w:sz w:val="24"/>
                <w:szCs w:val="24"/>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57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4"/>
                <w:szCs w:val="24"/>
                <w:u w:val="none"/>
              </w:rPr>
            </w:pP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类金属砷</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57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4"/>
                <w:szCs w:val="24"/>
                <w:u w:val="none"/>
              </w:rPr>
            </w:pP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其他特征污染物</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41" w:type="pct"/>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389" w:type="pct"/>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371"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327"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303"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196" w:type="pct"/>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214" w:type="pct"/>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4"/>
                <w:szCs w:val="24"/>
                <w:u w:val="none"/>
              </w:rPr>
            </w:pPr>
          </w:p>
        </w:tc>
        <w:tc>
          <w:tcPr>
            <w:tcW w:w="214" w:type="pct"/>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4"/>
                <w:szCs w:val="24"/>
                <w:u w:val="none"/>
              </w:rPr>
            </w:pPr>
          </w:p>
        </w:tc>
      </w:tr>
      <w:tr>
        <w:tblPrEx>
          <w:shd w:val="clear" w:color="auto" w:fill="auto"/>
          <w:tblCellMar>
            <w:top w:w="0" w:type="dxa"/>
            <w:left w:w="0" w:type="dxa"/>
            <w:bottom w:w="0" w:type="dxa"/>
            <w:right w:w="0" w:type="dxa"/>
          </w:tblCellMar>
        </w:tblPrEx>
        <w:trPr>
          <w:trHeight w:val="368"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restart"/>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废气</w:t>
            </w: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废气量</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（万标立方米/年）</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57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4"/>
                <w:szCs w:val="24"/>
                <w:u w:val="none"/>
              </w:rPr>
            </w:pP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二氧化硫</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right"/>
              <w:textAlignment w:val="center"/>
              <w:rPr>
                <w:rFonts w:hint="eastAsia" w:ascii="黑体" w:hAnsi="宋体" w:eastAsia="黑体" w:cs="黑体"/>
                <w:i w:val="0"/>
                <w:color w:val="000000"/>
                <w:sz w:val="20"/>
                <w:szCs w:val="20"/>
                <w:u w:val="none"/>
              </w:rPr>
            </w:pPr>
            <w:r>
              <w:rPr>
                <w:rFonts w:hint="eastAsia" w:ascii="黑体" w:hAnsi="宋体" w:eastAsia="黑体" w:cs="黑体"/>
                <w:i w:val="0"/>
                <w:color w:val="000000"/>
                <w:kern w:val="0"/>
                <w:sz w:val="20"/>
                <w:szCs w:val="20"/>
                <w:u w:val="none"/>
                <w:lang w:val="en-US" w:eastAsia="zh-CN" w:bidi="ar"/>
              </w:rPr>
              <w:t xml:space="preserve">0.001 </w:t>
            </w: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right"/>
              <w:textAlignment w:val="center"/>
              <w:rPr>
                <w:rFonts w:hint="eastAsia" w:ascii="黑体" w:hAnsi="宋体" w:eastAsia="黑体" w:cs="黑体"/>
                <w:i w:val="0"/>
                <w:color w:val="000000"/>
                <w:sz w:val="20"/>
                <w:szCs w:val="20"/>
                <w:u w:val="none"/>
              </w:rPr>
            </w:pPr>
            <w:r>
              <w:rPr>
                <w:rFonts w:hint="eastAsia" w:ascii="黑体" w:hAnsi="宋体" w:eastAsia="黑体" w:cs="黑体"/>
                <w:i w:val="0"/>
                <w:color w:val="000000"/>
                <w:kern w:val="0"/>
                <w:sz w:val="20"/>
                <w:szCs w:val="20"/>
                <w:u w:val="none"/>
                <w:lang w:val="en-US" w:eastAsia="zh-CN" w:bidi="ar"/>
              </w:rPr>
              <w:t xml:space="preserve">0.001 </w:t>
            </w:r>
          </w:p>
        </w:tc>
        <w:tc>
          <w:tcPr>
            <w:tcW w:w="1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4"/>
                <w:szCs w:val="24"/>
                <w:u w:val="none"/>
              </w:rPr>
            </w:pP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氮氧化物</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right"/>
              <w:textAlignment w:val="center"/>
              <w:rPr>
                <w:rFonts w:hint="eastAsia" w:ascii="黑体" w:hAnsi="宋体" w:eastAsia="黑体" w:cs="黑体"/>
                <w:i w:val="0"/>
                <w:color w:val="000000"/>
                <w:sz w:val="20"/>
                <w:szCs w:val="20"/>
                <w:u w:val="none"/>
              </w:rPr>
            </w:pPr>
            <w:r>
              <w:rPr>
                <w:rFonts w:hint="eastAsia" w:ascii="黑体" w:hAnsi="宋体" w:eastAsia="黑体" w:cs="黑体"/>
                <w:i w:val="0"/>
                <w:color w:val="000000"/>
                <w:kern w:val="0"/>
                <w:sz w:val="20"/>
                <w:szCs w:val="20"/>
                <w:u w:val="none"/>
                <w:lang w:val="en-US" w:eastAsia="zh-CN" w:bidi="ar"/>
              </w:rPr>
              <w:t xml:space="preserve">0.029 </w:t>
            </w: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right"/>
              <w:textAlignment w:val="center"/>
              <w:rPr>
                <w:rFonts w:hint="eastAsia" w:ascii="黑体" w:hAnsi="宋体" w:eastAsia="黑体" w:cs="黑体"/>
                <w:i w:val="0"/>
                <w:color w:val="000000"/>
                <w:sz w:val="20"/>
                <w:szCs w:val="20"/>
                <w:u w:val="none"/>
              </w:rPr>
            </w:pPr>
            <w:r>
              <w:rPr>
                <w:rFonts w:hint="eastAsia" w:ascii="黑体" w:hAnsi="宋体" w:eastAsia="黑体" w:cs="黑体"/>
                <w:i w:val="0"/>
                <w:color w:val="000000"/>
                <w:kern w:val="0"/>
                <w:sz w:val="20"/>
                <w:szCs w:val="20"/>
                <w:u w:val="none"/>
                <w:lang w:val="en-US" w:eastAsia="zh-CN" w:bidi="ar"/>
              </w:rPr>
              <w:t xml:space="preserve">0.029 </w:t>
            </w:r>
          </w:p>
        </w:tc>
        <w:tc>
          <w:tcPr>
            <w:tcW w:w="1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4"/>
                <w:szCs w:val="24"/>
                <w:u w:val="none"/>
              </w:rPr>
            </w:pP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颗粒物</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57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4"/>
                <w:szCs w:val="24"/>
                <w:u w:val="none"/>
              </w:rPr>
            </w:pP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挥发性有机物</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57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铅</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57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汞</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 xml:space="preserve"> </w:t>
            </w:r>
          </w:p>
        </w:tc>
        <w:tc>
          <w:tcPr>
            <w:tcW w:w="57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镉</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57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铬</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57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31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类金属砷</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41" w:type="pct"/>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389" w:type="pct"/>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371"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327"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303"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196" w:type="pct"/>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214" w:type="pct"/>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214" w:type="pct"/>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其他特征污染物</w:t>
            </w:r>
          </w:p>
        </w:tc>
        <w:tc>
          <w:tcPr>
            <w:tcW w:w="3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384" w:type="pct"/>
            <w:tcBorders>
              <w:top w:val="single" w:color="000000" w:sz="4" w:space="0"/>
              <w:left w:val="single" w:color="000000" w:sz="4" w:space="0"/>
              <w:bottom w:val="single" w:color="000000" w:sz="4" w:space="0"/>
              <w:right w:val="nil"/>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20"/>
                <w:szCs w:val="20"/>
                <w:u w:val="none"/>
              </w:rPr>
            </w:pP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20"/>
                <w:szCs w:val="20"/>
                <w:u w:val="none"/>
              </w:rPr>
            </w:pPr>
          </w:p>
        </w:tc>
        <w:tc>
          <w:tcPr>
            <w:tcW w:w="64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57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24"/>
                <w:szCs w:val="24"/>
                <w:u w:val="none"/>
              </w:rPr>
            </w:pPr>
          </w:p>
        </w:tc>
      </w:tr>
      <w:tr>
        <w:tblPrEx>
          <w:shd w:val="clear" w:color="auto" w:fill="auto"/>
          <w:tblCellMar>
            <w:top w:w="0" w:type="dxa"/>
            <w:left w:w="0" w:type="dxa"/>
            <w:bottom w:w="0" w:type="dxa"/>
            <w:right w:w="0" w:type="dxa"/>
          </w:tblCellMar>
        </w:tblPrEx>
        <w:trPr>
          <w:trHeight w:val="443" w:hRule="atLeast"/>
        </w:trPr>
        <w:tc>
          <w:tcPr>
            <w:tcW w:w="359" w:type="pct"/>
            <w:gridSpan w:val="2"/>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项目涉及法律法规规定的保护区情况</w:t>
            </w:r>
          </w:p>
        </w:tc>
        <w:tc>
          <w:tcPr>
            <w:tcW w:w="757" w:type="pct"/>
            <w:gridSpan w:val="3"/>
            <w:tcBorders>
              <w:top w:val="single" w:color="000000" w:sz="4" w:space="0"/>
              <w:left w:val="single" w:color="000000" w:sz="4" w:space="0"/>
              <w:bottom w:val="single" w:color="000000" w:sz="4" w:space="0"/>
              <w:right w:val="single" w:color="000000" w:sz="4" w:space="0"/>
              <w:tl2br w:val="single" w:color="000000" w:sz="4" w:space="0"/>
            </w:tcBorders>
            <w:shd w:val="clear" w:color="auto" w:fill="80C687"/>
            <w:tcMar>
              <w:top w:w="15" w:type="dxa"/>
              <w:left w:w="15" w:type="dxa"/>
              <w:right w:w="15" w:type="dxa"/>
            </w:tcMar>
            <w:vAlign w:val="top"/>
          </w:tcPr>
          <w:p>
            <w:pPr>
              <w:keepNext w:val="0"/>
              <w:keepLines w:val="0"/>
              <w:widowControl/>
              <w:suppressLineNumbers w:val="0"/>
              <w:jc w:val="center"/>
              <w:textAlignment w:val="top"/>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 xml:space="preserve">                    影响及主要措施              生态保护目标</w:t>
            </w:r>
          </w:p>
        </w:tc>
        <w:tc>
          <w:tcPr>
            <w:tcW w:w="806" w:type="pct"/>
            <w:gridSpan w:val="2"/>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名称</w:t>
            </w:r>
          </w:p>
        </w:tc>
        <w:tc>
          <w:tcPr>
            <w:tcW w:w="341"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级别</w:t>
            </w:r>
          </w:p>
        </w:tc>
        <w:tc>
          <w:tcPr>
            <w:tcW w:w="389"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主要保护对象</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（目标）</w:t>
            </w:r>
          </w:p>
        </w:tc>
        <w:tc>
          <w:tcPr>
            <w:tcW w:w="371"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工程影响情况</w:t>
            </w:r>
          </w:p>
        </w:tc>
        <w:tc>
          <w:tcPr>
            <w:tcW w:w="327"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是否占用</w:t>
            </w:r>
          </w:p>
        </w:tc>
        <w:tc>
          <w:tcPr>
            <w:tcW w:w="303"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占用面积</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（公顷）</w:t>
            </w:r>
          </w:p>
        </w:tc>
        <w:tc>
          <w:tcPr>
            <w:tcW w:w="1342" w:type="pct"/>
            <w:gridSpan w:val="5"/>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生态防护措施</w:t>
            </w:r>
          </w:p>
        </w:tc>
      </w:tr>
      <w:tr>
        <w:tblPrEx>
          <w:shd w:val="clear" w:color="auto" w:fill="auto"/>
          <w:tblCellMar>
            <w:top w:w="0" w:type="dxa"/>
            <w:left w:w="0" w:type="dxa"/>
            <w:bottom w:w="0" w:type="dxa"/>
            <w:right w:w="0" w:type="dxa"/>
          </w:tblCellMar>
        </w:tblPrEx>
        <w:trPr>
          <w:trHeight w:val="313" w:hRule="atLeast"/>
        </w:trPr>
        <w:tc>
          <w:tcPr>
            <w:tcW w:w="359" w:type="pct"/>
            <w:gridSpan w:val="2"/>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757" w:type="pct"/>
            <w:gridSpan w:val="3"/>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生态保护红线</w:t>
            </w:r>
          </w:p>
        </w:tc>
        <w:tc>
          <w:tcPr>
            <w:tcW w:w="806"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（可增行）</w:t>
            </w: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342" w:type="pct"/>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 xml:space="preserve">   避让    减缓    补偿      重建（多选）</w:t>
            </w:r>
          </w:p>
        </w:tc>
      </w:tr>
      <w:tr>
        <w:tblPrEx>
          <w:shd w:val="clear" w:color="auto" w:fill="auto"/>
          <w:tblCellMar>
            <w:top w:w="0" w:type="dxa"/>
            <w:left w:w="0" w:type="dxa"/>
            <w:bottom w:w="0" w:type="dxa"/>
            <w:right w:w="0" w:type="dxa"/>
          </w:tblCellMar>
        </w:tblPrEx>
        <w:trPr>
          <w:trHeight w:val="518" w:hRule="atLeast"/>
        </w:trPr>
        <w:tc>
          <w:tcPr>
            <w:tcW w:w="359" w:type="pct"/>
            <w:gridSpan w:val="2"/>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757" w:type="pct"/>
            <w:gridSpan w:val="3"/>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自然保护区</w:t>
            </w:r>
          </w:p>
        </w:tc>
        <w:tc>
          <w:tcPr>
            <w:tcW w:w="806"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（可增行）</w:t>
            </w: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1" w:type="pct"/>
            <w:tcBorders>
              <w:top w:val="nil"/>
              <w:left w:val="nil"/>
              <w:bottom w:val="nil"/>
              <w:right w:val="nil"/>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核心区、缓冲区、实验区</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342" w:type="pct"/>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 xml:space="preserve">   避让    减缓    补偿      重建（多选）</w:t>
            </w:r>
          </w:p>
        </w:tc>
      </w:tr>
      <w:tr>
        <w:tblPrEx>
          <w:tblCellMar>
            <w:top w:w="0" w:type="dxa"/>
            <w:left w:w="0" w:type="dxa"/>
            <w:bottom w:w="0" w:type="dxa"/>
            <w:right w:w="0" w:type="dxa"/>
          </w:tblCellMar>
        </w:tblPrEx>
        <w:trPr>
          <w:trHeight w:val="495" w:hRule="atLeast"/>
        </w:trPr>
        <w:tc>
          <w:tcPr>
            <w:tcW w:w="359" w:type="pct"/>
            <w:gridSpan w:val="2"/>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757" w:type="pct"/>
            <w:gridSpan w:val="3"/>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饮用水水源保护区（地表）</w:t>
            </w:r>
          </w:p>
        </w:tc>
        <w:tc>
          <w:tcPr>
            <w:tcW w:w="806"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（可增行）</w:t>
            </w: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w:t>
            </w: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一级保护区、二级保护区、准保护区</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342" w:type="pct"/>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 xml:space="preserve">   避让     减缓   补偿      重建（多选）</w:t>
            </w:r>
          </w:p>
        </w:tc>
      </w:tr>
      <w:tr>
        <w:tblPrEx>
          <w:shd w:val="clear" w:color="auto" w:fill="auto"/>
          <w:tblCellMar>
            <w:top w:w="0" w:type="dxa"/>
            <w:left w:w="0" w:type="dxa"/>
            <w:bottom w:w="0" w:type="dxa"/>
            <w:right w:w="0" w:type="dxa"/>
          </w:tblCellMar>
        </w:tblPrEx>
        <w:trPr>
          <w:trHeight w:val="485" w:hRule="atLeast"/>
        </w:trPr>
        <w:tc>
          <w:tcPr>
            <w:tcW w:w="359" w:type="pct"/>
            <w:gridSpan w:val="2"/>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757" w:type="pct"/>
            <w:gridSpan w:val="3"/>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饮用水水源保护区（地下）</w:t>
            </w:r>
          </w:p>
        </w:tc>
        <w:tc>
          <w:tcPr>
            <w:tcW w:w="806"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（可增行）</w:t>
            </w: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w:t>
            </w: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一级保护区、二级保护区、准保护区</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342" w:type="pct"/>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 xml:space="preserve">   避让     减缓   补偿      重建（多选）</w:t>
            </w:r>
          </w:p>
        </w:tc>
      </w:tr>
      <w:tr>
        <w:tblPrEx>
          <w:shd w:val="clear" w:color="auto" w:fill="auto"/>
          <w:tblCellMar>
            <w:top w:w="0" w:type="dxa"/>
            <w:left w:w="0" w:type="dxa"/>
            <w:bottom w:w="0" w:type="dxa"/>
            <w:right w:w="0" w:type="dxa"/>
          </w:tblCellMar>
        </w:tblPrEx>
        <w:trPr>
          <w:trHeight w:val="285" w:hRule="atLeast"/>
        </w:trPr>
        <w:tc>
          <w:tcPr>
            <w:tcW w:w="359" w:type="pct"/>
            <w:gridSpan w:val="2"/>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757" w:type="pct"/>
            <w:gridSpan w:val="3"/>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风景名胜区</w:t>
            </w:r>
          </w:p>
        </w:tc>
        <w:tc>
          <w:tcPr>
            <w:tcW w:w="806"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（可增行）</w:t>
            </w: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w:t>
            </w: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核心景区、一般景区</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342" w:type="pct"/>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 xml:space="preserve">   避让     减缓   补偿      重建（多选）</w:t>
            </w:r>
          </w:p>
        </w:tc>
      </w:tr>
      <w:tr>
        <w:tblPrEx>
          <w:shd w:val="clear" w:color="auto" w:fill="auto"/>
          <w:tblCellMar>
            <w:top w:w="0" w:type="dxa"/>
            <w:left w:w="0" w:type="dxa"/>
            <w:bottom w:w="0" w:type="dxa"/>
            <w:right w:w="0" w:type="dxa"/>
          </w:tblCellMar>
        </w:tblPrEx>
        <w:trPr>
          <w:trHeight w:val="285" w:hRule="atLeast"/>
        </w:trPr>
        <w:tc>
          <w:tcPr>
            <w:tcW w:w="359" w:type="pct"/>
            <w:gridSpan w:val="2"/>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757" w:type="pct"/>
            <w:gridSpan w:val="3"/>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其他</w:t>
            </w:r>
          </w:p>
        </w:tc>
        <w:tc>
          <w:tcPr>
            <w:tcW w:w="806"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（可增行）</w:t>
            </w:r>
          </w:p>
        </w:tc>
        <w:tc>
          <w:tcPr>
            <w:tcW w:w="3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宋体" w:hAnsi="宋体" w:eastAsia="宋体" w:cs="宋体"/>
                <w:i w:val="0"/>
                <w:color w:val="000000"/>
                <w:sz w:val="24"/>
                <w:szCs w:val="24"/>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342" w:type="pct"/>
            <w:gridSpan w:val="5"/>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 xml:space="preserve">   避让     减缓   补偿      重建（多选）</w:t>
            </w:r>
          </w:p>
        </w:tc>
      </w:tr>
      <w:tr>
        <w:tblPrEx>
          <w:shd w:val="clear" w:color="auto" w:fill="auto"/>
          <w:tblCellMar>
            <w:top w:w="0" w:type="dxa"/>
            <w:left w:w="0" w:type="dxa"/>
            <w:bottom w:w="0" w:type="dxa"/>
            <w:right w:w="0" w:type="dxa"/>
          </w:tblCellMar>
        </w:tblPrEx>
        <w:trPr>
          <w:trHeight w:val="375" w:hRule="atLeast"/>
        </w:trPr>
        <w:tc>
          <w:tcPr>
            <w:tcW w:w="359" w:type="pct"/>
            <w:gridSpan w:val="2"/>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主要原料及燃料信息</w:t>
            </w:r>
          </w:p>
        </w:tc>
        <w:tc>
          <w:tcPr>
            <w:tcW w:w="2994" w:type="pct"/>
            <w:gridSpan w:val="9"/>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主要原料</w:t>
            </w:r>
          </w:p>
        </w:tc>
        <w:tc>
          <w:tcPr>
            <w:tcW w:w="1646" w:type="pct"/>
            <w:gridSpan w:val="6"/>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主要燃料</w:t>
            </w:r>
          </w:p>
        </w:tc>
      </w:tr>
      <w:tr>
        <w:tblPrEx>
          <w:shd w:val="clear" w:color="auto" w:fill="auto"/>
          <w:tblCellMar>
            <w:top w:w="0" w:type="dxa"/>
            <w:left w:w="0" w:type="dxa"/>
            <w:bottom w:w="0" w:type="dxa"/>
            <w:right w:w="0" w:type="dxa"/>
          </w:tblCellMar>
        </w:tblPrEx>
        <w:trPr>
          <w:trHeight w:val="450" w:hRule="atLeast"/>
        </w:trPr>
        <w:tc>
          <w:tcPr>
            <w:tcW w:w="359" w:type="pct"/>
            <w:gridSpan w:val="2"/>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lef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序号</w:t>
            </w:r>
          </w:p>
        </w:tc>
        <w:tc>
          <w:tcPr>
            <w:tcW w:w="613"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名称</w:t>
            </w:r>
          </w:p>
        </w:tc>
        <w:tc>
          <w:tcPr>
            <w:tcW w:w="806"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年最大使用量</w:t>
            </w: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计量单位</w:t>
            </w: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有毒有害物质及含量（%）</w:t>
            </w:r>
          </w:p>
        </w:tc>
        <w:tc>
          <w:tcPr>
            <w:tcW w:w="303"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序号</w:t>
            </w:r>
          </w:p>
        </w:tc>
        <w:tc>
          <w:tcPr>
            <w:tcW w:w="341"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名称</w:t>
            </w:r>
          </w:p>
        </w:tc>
        <w:tc>
          <w:tcPr>
            <w:tcW w:w="375"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灰分(%)</w:t>
            </w:r>
          </w:p>
        </w:tc>
        <w:tc>
          <w:tcPr>
            <w:tcW w:w="196"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硫分(%)</w:t>
            </w:r>
          </w:p>
        </w:tc>
        <w:tc>
          <w:tcPr>
            <w:tcW w:w="214"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年最大使用量</w:t>
            </w:r>
          </w:p>
        </w:tc>
        <w:tc>
          <w:tcPr>
            <w:tcW w:w="214"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计量单位</w:t>
            </w:r>
          </w:p>
        </w:tc>
      </w:tr>
      <w:tr>
        <w:tblPrEx>
          <w:shd w:val="clear" w:color="auto" w:fill="auto"/>
          <w:tblCellMar>
            <w:top w:w="0" w:type="dxa"/>
            <w:left w:w="0" w:type="dxa"/>
            <w:bottom w:w="0" w:type="dxa"/>
            <w:right w:w="0" w:type="dxa"/>
          </w:tblCellMar>
        </w:tblPrEx>
        <w:trPr>
          <w:trHeight w:val="335" w:hRule="atLeast"/>
        </w:trPr>
        <w:tc>
          <w:tcPr>
            <w:tcW w:w="359" w:type="pct"/>
            <w:gridSpan w:val="2"/>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1</w:t>
            </w:r>
          </w:p>
        </w:tc>
        <w:tc>
          <w:tcPr>
            <w:tcW w:w="6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植物除臭剂</w:t>
            </w:r>
          </w:p>
        </w:tc>
        <w:tc>
          <w:tcPr>
            <w:tcW w:w="806"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0.03</w:t>
            </w: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t</w:t>
            </w: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2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2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335" w:hRule="atLeast"/>
        </w:trPr>
        <w:tc>
          <w:tcPr>
            <w:tcW w:w="359" w:type="pct"/>
            <w:gridSpan w:val="2"/>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脱硫剂</w:t>
            </w:r>
          </w:p>
        </w:tc>
        <w:tc>
          <w:tcPr>
            <w:tcW w:w="806"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0.043</w:t>
            </w: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t</w:t>
            </w: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2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2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358" w:hRule="atLeast"/>
        </w:trPr>
        <w:tc>
          <w:tcPr>
            <w:tcW w:w="359" w:type="pct"/>
            <w:gridSpan w:val="2"/>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消毒剂</w:t>
            </w:r>
          </w:p>
        </w:tc>
        <w:tc>
          <w:tcPr>
            <w:tcW w:w="806"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0.4</w:t>
            </w: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t</w:t>
            </w: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2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2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285" w:hRule="atLeast"/>
        </w:trPr>
        <w:tc>
          <w:tcPr>
            <w:tcW w:w="359" w:type="pct"/>
            <w:gridSpan w:val="2"/>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饲料</w:t>
            </w:r>
          </w:p>
        </w:tc>
        <w:tc>
          <w:tcPr>
            <w:tcW w:w="806"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3066</w:t>
            </w: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t</w:t>
            </w: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2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2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518" w:hRule="atLeast"/>
        </w:trPr>
        <w:tc>
          <w:tcPr>
            <w:tcW w:w="214"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大气污染治理与排放信息</w:t>
            </w:r>
          </w:p>
        </w:tc>
        <w:tc>
          <w:tcPr>
            <w:tcW w:w="144"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有组织</w:t>
            </w:r>
            <w:r>
              <w:rPr>
                <w:rFonts w:hint="eastAsia" w:ascii="黑体" w:hAnsi="宋体" w:eastAsia="黑体" w:cs="黑体"/>
                <w:i w:val="0"/>
                <w:color w:val="000000"/>
                <w:kern w:val="0"/>
                <w:sz w:val="22"/>
                <w:szCs w:val="22"/>
                <w:u w:val="none"/>
                <w:lang w:val="en-US" w:eastAsia="zh-CN" w:bidi="ar"/>
              </w:rPr>
              <w:br w:type="textWrapping"/>
            </w:r>
            <w:r>
              <w:rPr>
                <w:rFonts w:hint="eastAsia" w:ascii="黑体" w:hAnsi="宋体" w:eastAsia="黑体" w:cs="黑体"/>
                <w:i w:val="0"/>
                <w:color w:val="000000"/>
                <w:kern w:val="0"/>
                <w:sz w:val="22"/>
                <w:szCs w:val="22"/>
                <w:u w:val="none"/>
                <w:lang w:val="en-US" w:eastAsia="zh-CN" w:bidi="ar"/>
              </w:rPr>
              <w:t>排放（主要排放口）</w:t>
            </w:r>
          </w:p>
        </w:tc>
        <w:tc>
          <w:tcPr>
            <w:tcW w:w="144"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序号（编号）</w:t>
            </w:r>
          </w:p>
        </w:tc>
        <w:tc>
          <w:tcPr>
            <w:tcW w:w="312"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排放口名称</w:t>
            </w:r>
          </w:p>
        </w:tc>
        <w:tc>
          <w:tcPr>
            <w:tcW w:w="300"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排气筒高度（米）</w:t>
            </w:r>
          </w:p>
        </w:tc>
        <w:tc>
          <w:tcPr>
            <w:tcW w:w="1148" w:type="pct"/>
            <w:gridSpan w:val="3"/>
            <w:tcBorders>
              <w:top w:val="single" w:color="000000" w:sz="4" w:space="0"/>
              <w:left w:val="single" w:color="000000" w:sz="4" w:space="0"/>
              <w:bottom w:val="nil"/>
              <w:right w:val="single" w:color="000000" w:sz="4" w:space="0"/>
            </w:tcBorders>
            <w:shd w:val="clear" w:color="auto" w:fill="80C687"/>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污染防治设施工艺</w:t>
            </w:r>
          </w:p>
        </w:tc>
        <w:tc>
          <w:tcPr>
            <w:tcW w:w="760" w:type="pct"/>
            <w:gridSpan w:val="2"/>
            <w:tcBorders>
              <w:top w:val="single" w:color="000000" w:sz="4" w:space="0"/>
              <w:left w:val="single" w:color="000000" w:sz="4" w:space="0"/>
              <w:bottom w:val="nil"/>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生产设施</w:t>
            </w:r>
          </w:p>
        </w:tc>
        <w:tc>
          <w:tcPr>
            <w:tcW w:w="1973" w:type="pct"/>
            <w:gridSpan w:val="7"/>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污染物排放</w:t>
            </w:r>
          </w:p>
        </w:tc>
      </w:tr>
      <w:tr>
        <w:tblPrEx>
          <w:shd w:val="clear" w:color="auto" w:fill="auto"/>
          <w:tblCellMar>
            <w:top w:w="0" w:type="dxa"/>
            <w:left w:w="0" w:type="dxa"/>
            <w:bottom w:w="0" w:type="dxa"/>
            <w:right w:w="0" w:type="dxa"/>
          </w:tblCellMar>
        </w:tblPrEx>
        <w:trPr>
          <w:trHeight w:val="773"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12"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00"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序号（编号）</w:t>
            </w:r>
          </w:p>
        </w:tc>
        <w:tc>
          <w:tcPr>
            <w:tcW w:w="422" w:type="pct"/>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名称</w:t>
            </w:r>
          </w:p>
        </w:tc>
        <w:tc>
          <w:tcPr>
            <w:tcW w:w="341"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污染防治设施处理效率</w:t>
            </w:r>
          </w:p>
        </w:tc>
        <w:tc>
          <w:tcPr>
            <w:tcW w:w="389"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序号（编号）</w:t>
            </w:r>
          </w:p>
        </w:tc>
        <w:tc>
          <w:tcPr>
            <w:tcW w:w="371" w:type="pct"/>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名称</w:t>
            </w:r>
          </w:p>
        </w:tc>
        <w:tc>
          <w:tcPr>
            <w:tcW w:w="327"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污染物种类</w:t>
            </w:r>
          </w:p>
        </w:tc>
        <w:tc>
          <w:tcPr>
            <w:tcW w:w="303"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排放浓度（毫克/立方米）</w:t>
            </w:r>
          </w:p>
        </w:tc>
        <w:tc>
          <w:tcPr>
            <w:tcW w:w="341"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排放速率</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(千克/小时)</w:t>
            </w:r>
          </w:p>
        </w:tc>
        <w:tc>
          <w:tcPr>
            <w:tcW w:w="375"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lef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排放量（吨/年）</w:t>
            </w:r>
          </w:p>
        </w:tc>
        <w:tc>
          <w:tcPr>
            <w:tcW w:w="625" w:type="pct"/>
            <w:gridSpan w:val="3"/>
            <w:tcBorders>
              <w:top w:val="nil"/>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排放标准名称</w:t>
            </w:r>
          </w:p>
        </w:tc>
      </w:tr>
      <w:tr>
        <w:tblPrEx>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1</w:t>
            </w:r>
          </w:p>
        </w:tc>
        <w:tc>
          <w:tcPr>
            <w:tcW w:w="312" w:type="pct"/>
            <w:tcBorders>
              <w:top w:val="nil"/>
              <w:left w:val="nil"/>
              <w:bottom w:val="nil"/>
              <w:right w:val="nil"/>
            </w:tcBorders>
            <w:shd w:val="clear" w:color="auto" w:fill="auto"/>
            <w:noWrap/>
            <w:tcMar>
              <w:top w:w="15" w:type="dxa"/>
              <w:left w:w="15" w:type="dxa"/>
              <w:right w:w="15" w:type="dxa"/>
            </w:tcMar>
            <w:vAlign w:val="center"/>
          </w:tcPr>
          <w:p>
            <w:pPr>
              <w:keepNext w:val="0"/>
              <w:keepLines w:val="0"/>
              <w:widowControl/>
              <w:suppressLineNumbers w:val="0"/>
              <w:jc w:val="left"/>
              <w:textAlignment w:val="center"/>
              <w:rPr>
                <w:rFonts w:hint="eastAsia" w:ascii="宋体" w:hAnsi="宋体" w:eastAsia="宋体" w:cs="宋体"/>
                <w:i w:val="0"/>
                <w:color w:val="000000"/>
                <w:sz w:val="16"/>
                <w:szCs w:val="16"/>
                <w:u w:val="none"/>
              </w:rPr>
            </w:pPr>
            <w:r>
              <w:rPr>
                <w:rFonts w:hint="eastAsia" w:ascii="宋体" w:hAnsi="宋体" w:eastAsia="宋体" w:cs="宋体"/>
                <w:i w:val="0"/>
                <w:color w:val="000000"/>
                <w:kern w:val="0"/>
                <w:sz w:val="16"/>
                <w:szCs w:val="16"/>
                <w:u w:val="none"/>
                <w:lang w:val="en-US" w:eastAsia="zh-CN" w:bidi="ar"/>
              </w:rPr>
              <w:t>沼气燃烧废气排放口</w:t>
            </w:r>
          </w:p>
        </w:tc>
        <w:tc>
          <w:tcPr>
            <w:tcW w:w="3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8</w:t>
            </w:r>
          </w:p>
        </w:tc>
        <w:tc>
          <w:tcPr>
            <w:tcW w:w="3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25"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450"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2</w:t>
            </w: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食堂油烟废气排放口</w:t>
            </w:r>
          </w:p>
        </w:tc>
        <w:tc>
          <w:tcPr>
            <w:tcW w:w="3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righ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15</w:t>
            </w:r>
          </w:p>
        </w:tc>
        <w:tc>
          <w:tcPr>
            <w:tcW w:w="3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25"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25"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25"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25"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4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25"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300"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无组织</w:t>
            </w:r>
            <w:r>
              <w:rPr>
                <w:rFonts w:hint="eastAsia" w:ascii="黑体" w:hAnsi="宋体" w:eastAsia="黑体" w:cs="黑体"/>
                <w:i w:val="0"/>
                <w:color w:val="000000"/>
                <w:kern w:val="0"/>
                <w:sz w:val="22"/>
                <w:szCs w:val="22"/>
                <w:u w:val="none"/>
                <w:lang w:val="en-US" w:eastAsia="zh-CN" w:bidi="ar"/>
              </w:rPr>
              <w:br w:type="textWrapping"/>
            </w:r>
            <w:r>
              <w:rPr>
                <w:rFonts w:hint="eastAsia" w:ascii="黑体" w:hAnsi="宋体" w:eastAsia="黑体" w:cs="黑体"/>
                <w:i w:val="0"/>
                <w:color w:val="000000"/>
                <w:kern w:val="0"/>
                <w:sz w:val="22"/>
                <w:szCs w:val="22"/>
                <w:u w:val="none"/>
                <w:lang w:val="en-US" w:eastAsia="zh-CN" w:bidi="ar"/>
              </w:rPr>
              <w:t>排放</w:t>
            </w:r>
          </w:p>
        </w:tc>
        <w:tc>
          <w:tcPr>
            <w:tcW w:w="457" w:type="pct"/>
            <w:gridSpan w:val="2"/>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序号</w:t>
            </w:r>
          </w:p>
        </w:tc>
        <w:tc>
          <w:tcPr>
            <w:tcW w:w="1838" w:type="pct"/>
            <w:gridSpan w:val="5"/>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无组织排放源名称</w:t>
            </w:r>
          </w:p>
        </w:tc>
        <w:tc>
          <w:tcPr>
            <w:tcW w:w="2345" w:type="pct"/>
            <w:gridSpan w:val="8"/>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污染物排放</w:t>
            </w:r>
          </w:p>
        </w:tc>
      </w:tr>
      <w:tr>
        <w:tblPrEx>
          <w:shd w:val="clear" w:color="auto" w:fill="auto"/>
          <w:tblCellMar>
            <w:top w:w="0" w:type="dxa"/>
            <w:left w:w="0" w:type="dxa"/>
            <w:bottom w:w="0" w:type="dxa"/>
            <w:right w:w="0" w:type="dxa"/>
          </w:tblCellMar>
        </w:tblPrEx>
        <w:trPr>
          <w:trHeight w:val="52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1838" w:type="pct"/>
            <w:gridSpan w:val="5"/>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污染物种类</w:t>
            </w:r>
          </w:p>
        </w:tc>
        <w:tc>
          <w:tcPr>
            <w:tcW w:w="327"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排放浓度</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（毫克/立方米）</w:t>
            </w:r>
          </w:p>
        </w:tc>
        <w:tc>
          <w:tcPr>
            <w:tcW w:w="1646" w:type="pct"/>
            <w:gridSpan w:val="6"/>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排放标准名称</w:t>
            </w: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1</w:t>
            </w:r>
          </w:p>
        </w:tc>
        <w:tc>
          <w:tcPr>
            <w:tcW w:w="1838" w:type="pct"/>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猪舍臭气</w:t>
            </w: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氨气、硫化氢</w:t>
            </w: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646" w:type="pct"/>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《恶臭污染物排放标准》（GB14554-93）</w:t>
            </w: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2</w:t>
            </w:r>
          </w:p>
        </w:tc>
        <w:tc>
          <w:tcPr>
            <w:tcW w:w="1838" w:type="pct"/>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污水处理站臭气</w:t>
            </w: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氨气、硫化氢</w:t>
            </w: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646" w:type="pct"/>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《恶臭污染物排放标准》（GB14554-93）</w:t>
            </w: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3</w:t>
            </w:r>
          </w:p>
        </w:tc>
        <w:tc>
          <w:tcPr>
            <w:tcW w:w="1838" w:type="pct"/>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固粪处理区恶臭</w:t>
            </w: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left"/>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氨气、硫化氢</w:t>
            </w: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646" w:type="pct"/>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《恶臭污染物排放标准》（GB14554-93）</w:t>
            </w:r>
          </w:p>
        </w:tc>
      </w:tr>
      <w:tr>
        <w:tblPrEx>
          <w:shd w:val="clear" w:color="auto" w:fill="auto"/>
          <w:tblCellMar>
            <w:top w:w="0" w:type="dxa"/>
            <w:left w:w="0" w:type="dxa"/>
            <w:bottom w:w="0" w:type="dxa"/>
            <w:right w:w="0" w:type="dxa"/>
          </w:tblCellMar>
        </w:tblPrEx>
        <w:trPr>
          <w:trHeight w:val="360" w:hRule="atLeast"/>
        </w:trPr>
        <w:tc>
          <w:tcPr>
            <w:tcW w:w="214"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水污染治理与排放信息（主要排放口）</w:t>
            </w:r>
          </w:p>
        </w:tc>
        <w:tc>
          <w:tcPr>
            <w:tcW w:w="144"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车间或生产</w:t>
            </w:r>
            <w:r>
              <w:rPr>
                <w:rFonts w:hint="eastAsia" w:ascii="黑体" w:hAnsi="宋体" w:eastAsia="黑体" w:cs="黑体"/>
                <w:i w:val="0"/>
                <w:color w:val="000000"/>
                <w:kern w:val="0"/>
                <w:sz w:val="22"/>
                <w:szCs w:val="22"/>
                <w:u w:val="none"/>
                <w:lang w:val="en-US" w:eastAsia="zh-CN" w:bidi="ar"/>
              </w:rPr>
              <w:br w:type="textWrapping"/>
            </w:r>
            <w:r>
              <w:rPr>
                <w:rFonts w:hint="eastAsia" w:ascii="黑体" w:hAnsi="宋体" w:eastAsia="黑体" w:cs="黑体"/>
                <w:i w:val="0"/>
                <w:color w:val="000000"/>
                <w:kern w:val="0"/>
                <w:sz w:val="22"/>
                <w:szCs w:val="22"/>
                <w:u w:val="none"/>
                <w:lang w:val="en-US" w:eastAsia="zh-CN" w:bidi="ar"/>
              </w:rPr>
              <w:t>设施排放口</w:t>
            </w:r>
          </w:p>
        </w:tc>
        <w:tc>
          <w:tcPr>
            <w:tcW w:w="144"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序号（编号）</w:t>
            </w:r>
          </w:p>
        </w:tc>
        <w:tc>
          <w:tcPr>
            <w:tcW w:w="312"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排放口名称</w:t>
            </w:r>
          </w:p>
        </w:tc>
        <w:tc>
          <w:tcPr>
            <w:tcW w:w="1107" w:type="pct"/>
            <w:gridSpan w:val="3"/>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废水类别</w:t>
            </w:r>
          </w:p>
        </w:tc>
        <w:tc>
          <w:tcPr>
            <w:tcW w:w="1102" w:type="pct"/>
            <w:gridSpan w:val="3"/>
            <w:vMerge w:val="restart"/>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污染防治设施工艺</w:t>
            </w:r>
          </w:p>
        </w:tc>
        <w:tc>
          <w:tcPr>
            <w:tcW w:w="327"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排放去向</w:t>
            </w:r>
          </w:p>
        </w:tc>
        <w:tc>
          <w:tcPr>
            <w:tcW w:w="1646" w:type="pct"/>
            <w:gridSpan w:val="6"/>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污染物排放</w:t>
            </w:r>
          </w:p>
        </w:tc>
      </w:tr>
      <w:tr>
        <w:tblPrEx>
          <w:shd w:val="clear" w:color="auto" w:fill="auto"/>
          <w:tblCellMar>
            <w:top w:w="0" w:type="dxa"/>
            <w:left w:w="0" w:type="dxa"/>
            <w:bottom w:w="0" w:type="dxa"/>
            <w:right w:w="0" w:type="dxa"/>
          </w:tblCellMar>
        </w:tblPrEx>
        <w:trPr>
          <w:trHeight w:val="300"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12"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1107" w:type="pct"/>
            <w:gridSpan w:val="3"/>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1102" w:type="pct"/>
            <w:gridSpan w:val="3"/>
            <w:vMerge w:val="continue"/>
            <w:tcBorders>
              <w:top w:val="single" w:color="000000" w:sz="4" w:space="0"/>
              <w:left w:val="single" w:color="000000" w:sz="4" w:space="0"/>
              <w:bottom w:val="single" w:color="000000" w:sz="4" w:space="0"/>
              <w:right w:val="single" w:color="000000" w:sz="4" w:space="0"/>
            </w:tcBorders>
            <w:shd w:val="clear" w:color="auto" w:fill="80C687"/>
            <w:noWrap/>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27"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03"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污染物种类</w:t>
            </w:r>
          </w:p>
        </w:tc>
        <w:tc>
          <w:tcPr>
            <w:tcW w:w="341"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排放浓度</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（毫克/升）</w:t>
            </w:r>
          </w:p>
        </w:tc>
        <w:tc>
          <w:tcPr>
            <w:tcW w:w="375"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排放量（吨/年）</w:t>
            </w:r>
          </w:p>
        </w:tc>
        <w:tc>
          <w:tcPr>
            <w:tcW w:w="625" w:type="pct"/>
            <w:gridSpan w:val="3"/>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排放标准名称</w:t>
            </w:r>
          </w:p>
        </w:tc>
      </w:tr>
      <w:tr>
        <w:tblPrEx>
          <w:shd w:val="clear" w:color="auto" w:fill="auto"/>
          <w:tblCellMar>
            <w:top w:w="0" w:type="dxa"/>
            <w:left w:w="0" w:type="dxa"/>
            <w:bottom w:w="0" w:type="dxa"/>
            <w:right w:w="0" w:type="dxa"/>
          </w:tblCellMar>
        </w:tblPrEx>
        <w:trPr>
          <w:trHeight w:val="473"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12"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1107" w:type="pct"/>
            <w:gridSpan w:val="3"/>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序号（编号）</w:t>
            </w:r>
          </w:p>
        </w:tc>
        <w:tc>
          <w:tcPr>
            <w:tcW w:w="389"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名称</w:t>
            </w:r>
          </w:p>
        </w:tc>
        <w:tc>
          <w:tcPr>
            <w:tcW w:w="371"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污染治理设施处理水量(吨/小时）</w:t>
            </w:r>
          </w:p>
        </w:tc>
        <w:tc>
          <w:tcPr>
            <w:tcW w:w="327"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03"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5"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625" w:type="pct"/>
            <w:gridSpan w:val="3"/>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1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107"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25"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1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107"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25"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1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107"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25"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1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107"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8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25"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shd w:val="clear" w:color="auto" w:fill="auto"/>
          <w:tblCellMar>
            <w:top w:w="0" w:type="dxa"/>
            <w:left w:w="0" w:type="dxa"/>
            <w:bottom w:w="0" w:type="dxa"/>
            <w:right w:w="0" w:type="dxa"/>
          </w:tblCellMar>
        </w:tblPrEx>
        <w:trPr>
          <w:trHeight w:val="300"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总排放口（间接排放）</w:t>
            </w:r>
          </w:p>
        </w:tc>
        <w:tc>
          <w:tcPr>
            <w:tcW w:w="144" w:type="pct"/>
            <w:vMerge w:val="restart"/>
            <w:tcBorders>
              <w:top w:val="nil"/>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序号（编号）</w:t>
            </w:r>
          </w:p>
        </w:tc>
        <w:tc>
          <w:tcPr>
            <w:tcW w:w="312"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排放口名称</w:t>
            </w:r>
          </w:p>
        </w:tc>
        <w:tc>
          <w:tcPr>
            <w:tcW w:w="1107" w:type="pct"/>
            <w:gridSpan w:val="3"/>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污染防治设施工艺</w:t>
            </w:r>
          </w:p>
        </w:tc>
        <w:tc>
          <w:tcPr>
            <w:tcW w:w="341"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污染防治设施处理水量（吨/小时）</w:t>
            </w:r>
          </w:p>
        </w:tc>
        <w:tc>
          <w:tcPr>
            <w:tcW w:w="760"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受纳污水处理厂</w:t>
            </w:r>
          </w:p>
        </w:tc>
        <w:tc>
          <w:tcPr>
            <w:tcW w:w="327"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受纳污水处理厂排放标准名称</w:t>
            </w:r>
          </w:p>
        </w:tc>
        <w:tc>
          <w:tcPr>
            <w:tcW w:w="1646" w:type="pct"/>
            <w:gridSpan w:val="6"/>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污染物排放</w:t>
            </w:r>
          </w:p>
        </w:tc>
      </w:tr>
      <w:tr>
        <w:tblPrEx>
          <w:tblCellMar>
            <w:top w:w="0" w:type="dxa"/>
            <w:left w:w="0" w:type="dxa"/>
            <w:bottom w:w="0" w:type="dxa"/>
            <w:right w:w="0" w:type="dxa"/>
          </w:tblCellMar>
        </w:tblPrEx>
        <w:trPr>
          <w:trHeight w:val="300"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nil"/>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12"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1107" w:type="pct"/>
            <w:gridSpan w:val="3"/>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89"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名称</w:t>
            </w:r>
          </w:p>
        </w:tc>
        <w:tc>
          <w:tcPr>
            <w:tcW w:w="371"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编号</w:t>
            </w:r>
          </w:p>
        </w:tc>
        <w:tc>
          <w:tcPr>
            <w:tcW w:w="327"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03"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污染物种类</w:t>
            </w:r>
          </w:p>
        </w:tc>
        <w:tc>
          <w:tcPr>
            <w:tcW w:w="341"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排放浓度</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（毫克/升）</w:t>
            </w:r>
          </w:p>
        </w:tc>
        <w:tc>
          <w:tcPr>
            <w:tcW w:w="375"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排放量（吨/年）</w:t>
            </w:r>
          </w:p>
        </w:tc>
        <w:tc>
          <w:tcPr>
            <w:tcW w:w="625" w:type="pct"/>
            <w:gridSpan w:val="3"/>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排放标准名称</w:t>
            </w:r>
          </w:p>
        </w:tc>
      </w:tr>
      <w:tr>
        <w:tblPrEx>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nil"/>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12"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1107" w:type="pct"/>
            <w:gridSpan w:val="3"/>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89"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27"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03"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5"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625" w:type="pct"/>
            <w:gridSpan w:val="3"/>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1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107"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76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27"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25"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1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107"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76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27"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25"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1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107"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76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27"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25"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1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107"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76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27"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25"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shd w:val="clear" w:color="auto" w:fill="auto"/>
          <w:tblCellMar>
            <w:top w:w="0" w:type="dxa"/>
            <w:left w:w="0" w:type="dxa"/>
            <w:bottom w:w="0" w:type="dxa"/>
            <w:right w:w="0" w:type="dxa"/>
          </w:tblCellMar>
        </w:tblPrEx>
        <w:trPr>
          <w:trHeight w:val="300"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restart"/>
            <w:tcBorders>
              <w:top w:val="single" w:color="000000" w:sz="4" w:space="0"/>
              <w:left w:val="single" w:color="000000" w:sz="4" w:space="0"/>
              <w:bottom w:val="nil"/>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总排放口（直接排放）</w:t>
            </w:r>
          </w:p>
        </w:tc>
        <w:tc>
          <w:tcPr>
            <w:tcW w:w="144"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序号（编号）</w:t>
            </w:r>
          </w:p>
        </w:tc>
        <w:tc>
          <w:tcPr>
            <w:tcW w:w="312"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排放口名称</w:t>
            </w:r>
          </w:p>
        </w:tc>
        <w:tc>
          <w:tcPr>
            <w:tcW w:w="1107" w:type="pct"/>
            <w:gridSpan w:val="3"/>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污染防治设施工艺</w:t>
            </w:r>
          </w:p>
        </w:tc>
        <w:tc>
          <w:tcPr>
            <w:tcW w:w="730" w:type="pct"/>
            <w:gridSpan w:val="2"/>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污染防治设施处理水量（吨/小时）</w:t>
            </w:r>
          </w:p>
        </w:tc>
        <w:tc>
          <w:tcPr>
            <w:tcW w:w="698"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受纳水体</w:t>
            </w:r>
          </w:p>
        </w:tc>
        <w:tc>
          <w:tcPr>
            <w:tcW w:w="1646" w:type="pct"/>
            <w:gridSpan w:val="6"/>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污染物排放</w:t>
            </w:r>
          </w:p>
        </w:tc>
      </w:tr>
      <w:tr>
        <w:tblPrEx>
          <w:shd w:val="clear" w:color="auto" w:fill="auto"/>
          <w:tblCellMar>
            <w:top w:w="0" w:type="dxa"/>
            <w:left w:w="0" w:type="dxa"/>
            <w:bottom w:w="0" w:type="dxa"/>
            <w:right w:w="0" w:type="dxa"/>
          </w:tblCellMar>
        </w:tblPrEx>
        <w:trPr>
          <w:trHeight w:val="300"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nil"/>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12"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1107" w:type="pct"/>
            <w:gridSpan w:val="3"/>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730" w:type="pct"/>
            <w:gridSpan w:val="2"/>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1"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名称</w:t>
            </w:r>
          </w:p>
        </w:tc>
        <w:tc>
          <w:tcPr>
            <w:tcW w:w="327"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功能类别</w:t>
            </w:r>
          </w:p>
        </w:tc>
        <w:tc>
          <w:tcPr>
            <w:tcW w:w="303"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污染物种类</w:t>
            </w:r>
          </w:p>
        </w:tc>
        <w:tc>
          <w:tcPr>
            <w:tcW w:w="341"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排放浓度</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（毫克/升）</w:t>
            </w:r>
          </w:p>
        </w:tc>
        <w:tc>
          <w:tcPr>
            <w:tcW w:w="375"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排放量（吨/年）</w:t>
            </w:r>
          </w:p>
        </w:tc>
        <w:tc>
          <w:tcPr>
            <w:tcW w:w="625" w:type="pct"/>
            <w:gridSpan w:val="3"/>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排放标准名称</w:t>
            </w:r>
          </w:p>
        </w:tc>
      </w:tr>
      <w:tr>
        <w:tblPrEx>
          <w:shd w:val="clear" w:color="auto" w:fill="auto"/>
          <w:tblCellMar>
            <w:top w:w="0" w:type="dxa"/>
            <w:left w:w="0" w:type="dxa"/>
            <w:bottom w:w="0" w:type="dxa"/>
            <w:right w:w="0" w:type="dxa"/>
          </w:tblCellMar>
        </w:tblPrEx>
        <w:trPr>
          <w:trHeight w:val="22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nil"/>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12"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1107" w:type="pct"/>
            <w:gridSpan w:val="3"/>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730" w:type="pct"/>
            <w:gridSpan w:val="2"/>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1"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27"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03"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5"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625" w:type="pct"/>
            <w:gridSpan w:val="3"/>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nil"/>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107"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1"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25"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nil"/>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107"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1"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25"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nil"/>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107"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1"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25"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nil"/>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1107"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1"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rPr>
                <w:rFonts w:hint="eastAsia" w:ascii="黑体" w:hAnsi="宋体" w:eastAsia="黑体" w:cs="黑体"/>
                <w:i w:val="0"/>
                <w:color w:val="000000"/>
                <w:sz w:val="18"/>
                <w:szCs w:val="18"/>
                <w:u w:val="none"/>
              </w:rPr>
            </w:pPr>
          </w:p>
        </w:tc>
        <w:tc>
          <w:tcPr>
            <w:tcW w:w="625"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shd w:val="clear" w:color="auto" w:fill="auto"/>
          <w:tblCellMar>
            <w:top w:w="0" w:type="dxa"/>
            <w:left w:w="0" w:type="dxa"/>
            <w:bottom w:w="0" w:type="dxa"/>
            <w:right w:w="0" w:type="dxa"/>
          </w:tblCellMar>
        </w:tblPrEx>
        <w:trPr>
          <w:trHeight w:val="540" w:hRule="atLeast"/>
        </w:trPr>
        <w:tc>
          <w:tcPr>
            <w:tcW w:w="214"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固体废物信息</w:t>
            </w:r>
          </w:p>
        </w:tc>
        <w:tc>
          <w:tcPr>
            <w:tcW w:w="144"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废物类型</w:t>
            </w: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序号</w:t>
            </w:r>
          </w:p>
        </w:tc>
        <w:tc>
          <w:tcPr>
            <w:tcW w:w="300"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名称</w:t>
            </w:r>
          </w:p>
        </w:tc>
        <w:tc>
          <w:tcPr>
            <w:tcW w:w="806"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产生环节及装置</w:t>
            </w: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危险废物特性</w:t>
            </w:r>
          </w:p>
        </w:tc>
        <w:tc>
          <w:tcPr>
            <w:tcW w:w="371"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危险废物代码</w:t>
            </w:r>
          </w:p>
        </w:tc>
        <w:tc>
          <w:tcPr>
            <w:tcW w:w="327"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产生量</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（吨/年）</w:t>
            </w:r>
          </w:p>
        </w:tc>
        <w:tc>
          <w:tcPr>
            <w:tcW w:w="303"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贮存设施名称</w:t>
            </w:r>
          </w:p>
        </w:tc>
        <w:tc>
          <w:tcPr>
            <w:tcW w:w="341"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贮存能力</w:t>
            </w:r>
          </w:p>
        </w:tc>
        <w:tc>
          <w:tcPr>
            <w:tcW w:w="375"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自行利用</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工艺</w:t>
            </w:r>
          </w:p>
        </w:tc>
        <w:tc>
          <w:tcPr>
            <w:tcW w:w="410" w:type="pct"/>
            <w:gridSpan w:val="2"/>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自行处置</w:t>
            </w:r>
            <w:r>
              <w:rPr>
                <w:rFonts w:hint="eastAsia" w:ascii="黑体" w:hAnsi="宋体" w:eastAsia="黑体" w:cs="黑体"/>
                <w:i w:val="0"/>
                <w:color w:val="000000"/>
                <w:kern w:val="0"/>
                <w:sz w:val="18"/>
                <w:szCs w:val="18"/>
                <w:u w:val="none"/>
                <w:lang w:val="en-US" w:eastAsia="zh-CN" w:bidi="ar"/>
              </w:rPr>
              <w:br w:type="textWrapping"/>
            </w:r>
            <w:r>
              <w:rPr>
                <w:rFonts w:hint="eastAsia" w:ascii="黑体" w:hAnsi="宋体" w:eastAsia="黑体" w:cs="黑体"/>
                <w:i w:val="0"/>
                <w:color w:val="000000"/>
                <w:kern w:val="0"/>
                <w:sz w:val="18"/>
                <w:szCs w:val="18"/>
                <w:u w:val="none"/>
                <w:lang w:val="en-US" w:eastAsia="zh-CN" w:bidi="ar"/>
              </w:rPr>
              <w:t>工艺</w:t>
            </w:r>
          </w:p>
        </w:tc>
        <w:tc>
          <w:tcPr>
            <w:tcW w:w="214" w:type="pc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是否外委处置</w:t>
            </w: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一般工业固体废物</w:t>
            </w: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806"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w:t>
            </w:r>
          </w:p>
        </w:tc>
        <w:tc>
          <w:tcPr>
            <w:tcW w:w="41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w:t>
            </w:r>
          </w:p>
        </w:tc>
        <w:tc>
          <w:tcPr>
            <w:tcW w:w="2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r>
      <w:tr>
        <w:tblPrEx>
          <w:shd w:val="clear" w:color="auto" w:fill="auto"/>
          <w:tblCellMar>
            <w:top w:w="0" w:type="dxa"/>
            <w:left w:w="0" w:type="dxa"/>
            <w:bottom w:w="0" w:type="dxa"/>
            <w:right w:w="0" w:type="dxa"/>
          </w:tblCellMar>
        </w:tblPrEx>
        <w:trPr>
          <w:trHeight w:val="300"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废脱硫剂</w:t>
            </w:r>
          </w:p>
        </w:tc>
        <w:tc>
          <w:tcPr>
            <w:tcW w:w="3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806"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w:t>
            </w: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w:t>
            </w: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0.043</w:t>
            </w: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w:t>
            </w: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w:t>
            </w: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w:t>
            </w:r>
          </w:p>
        </w:tc>
        <w:tc>
          <w:tcPr>
            <w:tcW w:w="41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w:t>
            </w:r>
          </w:p>
        </w:tc>
        <w:tc>
          <w:tcPr>
            <w:tcW w:w="2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是</w:t>
            </w:r>
          </w:p>
        </w:tc>
      </w:tr>
      <w:tr>
        <w:tblPrEx>
          <w:shd w:val="clear" w:color="auto" w:fill="auto"/>
          <w:tblCellMar>
            <w:top w:w="0" w:type="dxa"/>
            <w:left w:w="0" w:type="dxa"/>
            <w:bottom w:w="0" w:type="dxa"/>
            <w:right w:w="0" w:type="dxa"/>
          </w:tblCellMar>
        </w:tblPrEx>
        <w:trPr>
          <w:trHeight w:val="480"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生活垃圾</w:t>
            </w:r>
          </w:p>
        </w:tc>
        <w:tc>
          <w:tcPr>
            <w:tcW w:w="3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806"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w:t>
            </w: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w:t>
            </w: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1.825</w:t>
            </w: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w:t>
            </w: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w:t>
            </w: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w:t>
            </w:r>
          </w:p>
        </w:tc>
        <w:tc>
          <w:tcPr>
            <w:tcW w:w="41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w:t>
            </w:r>
          </w:p>
        </w:tc>
        <w:tc>
          <w:tcPr>
            <w:tcW w:w="2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是</w:t>
            </w: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restart"/>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22"/>
                <w:szCs w:val="22"/>
                <w:u w:val="none"/>
              </w:rPr>
            </w:pPr>
            <w:r>
              <w:rPr>
                <w:rFonts w:hint="eastAsia" w:ascii="黑体" w:hAnsi="宋体" w:eastAsia="黑体" w:cs="黑体"/>
                <w:i w:val="0"/>
                <w:color w:val="000000"/>
                <w:kern w:val="0"/>
                <w:sz w:val="22"/>
                <w:szCs w:val="22"/>
                <w:u w:val="none"/>
                <w:lang w:val="en-US" w:eastAsia="zh-CN" w:bidi="ar"/>
              </w:rPr>
              <w:t>危险废物</w:t>
            </w: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医疗固废</w:t>
            </w:r>
          </w:p>
        </w:tc>
        <w:tc>
          <w:tcPr>
            <w:tcW w:w="3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806"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黑体" w:hAnsi="宋体" w:eastAsia="黑体" w:cs="黑体"/>
                <w:i w:val="0"/>
                <w:color w:val="000000"/>
                <w:sz w:val="18"/>
                <w:szCs w:val="18"/>
                <w:u w:val="none"/>
              </w:rPr>
            </w:pPr>
            <w:r>
              <w:rPr>
                <w:rFonts w:hint="eastAsia" w:ascii="黑体" w:hAnsi="宋体" w:eastAsia="黑体" w:cs="黑体"/>
                <w:i w:val="0"/>
                <w:color w:val="000000"/>
                <w:kern w:val="0"/>
                <w:sz w:val="18"/>
                <w:szCs w:val="18"/>
                <w:u w:val="none"/>
                <w:lang w:val="en-US" w:eastAsia="zh-CN" w:bidi="ar"/>
              </w:rPr>
              <w:t>0.021</w:t>
            </w: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1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2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是</w:t>
            </w: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806"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41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2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r>
        <w:tblPrEx>
          <w:shd w:val="clear" w:color="auto" w:fill="auto"/>
          <w:tblCellMar>
            <w:top w:w="0" w:type="dxa"/>
            <w:left w:w="0" w:type="dxa"/>
            <w:bottom w:w="0" w:type="dxa"/>
            <w:right w:w="0" w:type="dxa"/>
          </w:tblCellMar>
        </w:tblPrEx>
        <w:trPr>
          <w:trHeight w:val="285" w:hRule="atLeast"/>
        </w:trPr>
        <w:tc>
          <w:tcPr>
            <w:tcW w:w="21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144" w:type="pct"/>
            <w:vMerge w:val="continue"/>
            <w:tcBorders>
              <w:top w:val="single" w:color="000000" w:sz="4" w:space="0"/>
              <w:left w:val="single" w:color="000000" w:sz="4" w:space="0"/>
              <w:bottom w:val="single" w:color="000000" w:sz="4" w:space="0"/>
              <w:right w:val="single" w:color="000000" w:sz="4" w:space="0"/>
            </w:tcBorders>
            <w:shd w:val="clear" w:color="auto" w:fill="80C687"/>
            <w:tcMar>
              <w:top w:w="15" w:type="dxa"/>
              <w:left w:w="15" w:type="dxa"/>
              <w:right w:w="15" w:type="dxa"/>
            </w:tcMar>
            <w:vAlign w:val="center"/>
          </w:tcPr>
          <w:p>
            <w:pPr>
              <w:jc w:val="center"/>
              <w:rPr>
                <w:rFonts w:hint="eastAsia" w:ascii="黑体" w:hAnsi="宋体" w:eastAsia="黑体" w:cs="黑体"/>
                <w:i w:val="0"/>
                <w:color w:val="000000"/>
                <w:sz w:val="22"/>
                <w:szCs w:val="22"/>
                <w:u w:val="none"/>
              </w:rPr>
            </w:pPr>
          </w:p>
        </w:tc>
        <w:tc>
          <w:tcPr>
            <w:tcW w:w="457"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bottom"/>
          </w:tcPr>
          <w:p>
            <w:pPr>
              <w:jc w:val="center"/>
              <w:rPr>
                <w:rFonts w:hint="eastAsia" w:ascii="黑体" w:hAnsi="宋体" w:eastAsia="黑体" w:cs="黑体"/>
                <w:i w:val="0"/>
                <w:color w:val="000000"/>
                <w:sz w:val="18"/>
                <w:szCs w:val="18"/>
                <w:u w:val="none"/>
              </w:rPr>
            </w:pPr>
          </w:p>
        </w:tc>
        <w:tc>
          <w:tcPr>
            <w:tcW w:w="806"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73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bottom"/>
          </w:tcPr>
          <w:p>
            <w:pPr>
              <w:jc w:val="center"/>
              <w:rPr>
                <w:rFonts w:hint="eastAsia" w:ascii="黑体" w:hAnsi="宋体" w:eastAsia="黑体" w:cs="黑体"/>
                <w:i w:val="0"/>
                <w:color w:val="000000"/>
                <w:sz w:val="18"/>
                <w:szCs w:val="18"/>
                <w:u w:val="none"/>
              </w:rP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bottom"/>
          </w:tcPr>
          <w:p>
            <w:pPr>
              <w:jc w:val="center"/>
              <w:rPr>
                <w:rFonts w:hint="eastAsia" w:ascii="黑体" w:hAnsi="宋体" w:eastAsia="黑体" w:cs="黑体"/>
                <w:i w:val="0"/>
                <w:color w:val="000000"/>
                <w:sz w:val="18"/>
                <w:szCs w:val="18"/>
                <w:u w:val="none"/>
              </w:rPr>
            </w:pP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bottom"/>
          </w:tcPr>
          <w:p>
            <w:pPr>
              <w:jc w:val="center"/>
              <w:rPr>
                <w:rFonts w:hint="eastAsia" w:ascii="黑体" w:hAnsi="宋体" w:eastAsia="黑体" w:cs="黑体"/>
                <w:i w:val="0"/>
                <w:color w:val="000000"/>
                <w:sz w:val="18"/>
                <w:szCs w:val="18"/>
                <w:u w:val="none"/>
              </w:rPr>
            </w:pPr>
          </w:p>
        </w:tc>
        <w:tc>
          <w:tcPr>
            <w:tcW w:w="3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bottom"/>
          </w:tcPr>
          <w:p>
            <w:pPr>
              <w:jc w:val="center"/>
              <w:rPr>
                <w:rFonts w:hint="eastAsia" w:ascii="黑体" w:hAnsi="宋体" w:eastAsia="黑体" w:cs="黑体"/>
                <w:i w:val="0"/>
                <w:color w:val="000000"/>
                <w:sz w:val="18"/>
                <w:szCs w:val="18"/>
                <w:u w:val="none"/>
              </w:rPr>
            </w:pPr>
          </w:p>
        </w:tc>
        <w:tc>
          <w:tcPr>
            <w:tcW w:w="3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bottom"/>
          </w:tcPr>
          <w:p>
            <w:pPr>
              <w:jc w:val="center"/>
              <w:rPr>
                <w:rFonts w:hint="eastAsia" w:ascii="黑体" w:hAnsi="宋体" w:eastAsia="黑体" w:cs="黑体"/>
                <w:i w:val="0"/>
                <w:color w:val="000000"/>
                <w:sz w:val="18"/>
                <w:szCs w:val="18"/>
                <w:u w:val="none"/>
              </w:rPr>
            </w:pPr>
          </w:p>
        </w:tc>
        <w:tc>
          <w:tcPr>
            <w:tcW w:w="41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黑体" w:hAnsi="宋体" w:eastAsia="黑体" w:cs="黑体"/>
                <w:i w:val="0"/>
                <w:color w:val="000000"/>
                <w:sz w:val="18"/>
                <w:szCs w:val="18"/>
                <w:u w:val="none"/>
              </w:rPr>
            </w:pPr>
          </w:p>
        </w:tc>
        <w:tc>
          <w:tcPr>
            <w:tcW w:w="2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4"/>
                <w:szCs w:val="24"/>
                <w:u w:val="none"/>
              </w:rPr>
            </w:pPr>
          </w:p>
        </w:tc>
      </w:tr>
    </w:tbl>
    <w:p>
      <w:pPr>
        <w:rPr>
          <w:rFonts w:hint="eastAsia" w:eastAsiaTheme="minorEastAsia"/>
          <w:lang w:eastAsia="zh-CN"/>
        </w:rPr>
      </w:pPr>
    </w:p>
    <w:sectPr>
      <w:pgSz w:w="16838" w:h="11906" w:orient="landscape"/>
      <w:pgMar w:top="680" w:right="680" w:bottom="680" w:left="68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Unicode MS">
    <w:altName w:val="宋体"/>
    <w:panose1 w:val="020B0604020202020204"/>
    <w:charset w:val="86"/>
    <w:family w:val="swiss"/>
    <w:pitch w:val="default"/>
    <w:sig w:usb0="00000000" w:usb1="00000000" w:usb2="0000003F" w:usb3="00000000" w:csb0="603F01FF" w:csb1="FFFF0000"/>
  </w:font>
  <w:font w:name="Calibri Light">
    <w:panose1 w:val="020F0302020204030204"/>
    <w:charset w:val="00"/>
    <w:family w:val="swiss"/>
    <w:pitch w:val="default"/>
    <w:sig w:usb0="E4002EFF" w:usb1="C000247B" w:usb2="00000009" w:usb3="00000000" w:csb0="200001FF" w:csb1="00000000"/>
  </w:font>
  <w:font w:name="楷体_GB2312">
    <w:altName w:val="楷体"/>
    <w:panose1 w:val="00000000000000000000"/>
    <w:charset w:val="86"/>
    <w:family w:val="auto"/>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MS Mincho">
    <w:altName w:val="Yu Gothic UI"/>
    <w:panose1 w:val="02020609040205080304"/>
    <w:charset w:val="80"/>
    <w:family w:val="moder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Wingdings 2">
    <w:panose1 w:val="05020102010507070707"/>
    <w:charset w:val="02"/>
    <w:family w:val="auto"/>
    <w:pitch w:val="default"/>
    <w:sig w:usb0="00000000" w:usb1="00000000" w:usb2="00000000" w:usb3="00000000" w:csb0="80000000"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0000000000000000000"/>
    <w:charset w:val="86"/>
    <w:family w:val="auto"/>
    <w:pitch w:val="default"/>
    <w:sig w:usb0="00000000" w:usb1="00000000" w:usb2="00000000" w:usb3="00000000" w:csb0="00040000" w:csb1="00000000"/>
  </w:font>
  <w:font w:name="MS Gothic">
    <w:panose1 w:val="020B0609070205080204"/>
    <w:charset w:val="80"/>
    <w:family w:val="modern"/>
    <w:pitch w:val="default"/>
    <w:sig w:usb0="E00002FF" w:usb1="6AC7FDFB" w:usb2="08000012" w:usb3="00000000" w:csb0="4002009F" w:csb1="DFD70000"/>
  </w:font>
  <w:font w:name="方正小标宋简体">
    <w:altName w:val="黑体"/>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r>
      <mc:AlternateContent>
        <mc:Choice Requires="wps">
          <w:drawing>
            <wp:anchor distT="0" distB="0" distL="114300" distR="114300" simplePos="0" relativeHeight="251707392" behindDoc="0" locked="0" layoutInCell="1" allowOverlap="1">
              <wp:simplePos x="0" y="0"/>
              <wp:positionH relativeFrom="margin">
                <wp:align>center</wp:align>
              </wp:positionH>
              <wp:positionV relativeFrom="paragraph">
                <wp:posOffset>0</wp:posOffset>
              </wp:positionV>
              <wp:extent cx="190500" cy="131445"/>
              <wp:effectExtent l="0" t="0" r="0" b="0"/>
              <wp:wrapNone/>
              <wp:docPr id="482" name="文本框 2060"/>
              <wp:cNvGraphicFramePr/>
              <a:graphic xmlns:a="http://schemas.openxmlformats.org/drawingml/2006/main">
                <a:graphicData uri="http://schemas.microsoft.com/office/word/2010/wordprocessingShape">
                  <wps:wsp>
                    <wps:cNvSpPr txBox="1"/>
                    <wps:spPr>
                      <a:xfrm>
                        <a:off x="0" y="0"/>
                        <a:ext cx="190500" cy="131445"/>
                      </a:xfrm>
                      <a:prstGeom prst="rect">
                        <a:avLst/>
                      </a:prstGeom>
                      <a:noFill/>
                      <a:ln>
                        <a:noFill/>
                      </a:ln>
                    </wps:spPr>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II</w:t>
                          </w:r>
                          <w:r>
                            <w:rPr>
                              <w:rFonts w:hint="eastAsia"/>
                              <w:sz w:val="18"/>
                            </w:rPr>
                            <w:fldChar w:fldCharType="end"/>
                          </w:r>
                        </w:p>
                      </w:txbxContent>
                    </wps:txbx>
                    <wps:bodyPr wrap="none" lIns="0" tIns="0" rIns="0" bIns="0" upright="0">
                      <a:spAutoFit/>
                    </wps:bodyPr>
                  </wps:wsp>
                </a:graphicData>
              </a:graphic>
            </wp:anchor>
          </w:drawing>
        </mc:Choice>
        <mc:Fallback>
          <w:pict>
            <v:shape id="文本框 2060" o:spid="_x0000_s1026" o:spt="202" type="#_x0000_t202" style="position:absolute;left:0pt;margin-top:0pt;height:10.35pt;width:15pt;mso-position-horizontal:center;mso-position-horizontal-relative:margin;mso-wrap-style:none;z-index:251707392;mso-width-relative:page;mso-height-relative:page;" filled="f" stroked="f" coordsize="21600,21600" o:gfxdata="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KKkUuzQAAAAAwEAAA8AAAAAAAAAAQAgAAAAIgAAAGRycy9k&#10;b3ducmV2LnhtbFBLAQIUABQAAAAIAIdO4kDFRkN70QEAAJwDAAAOAAAAAAAAAAEAIAAAAB8BAABk&#10;cnMvZTJvRG9jLnhtbFBLBQYAAAAABgAGAFkBAABiBQAAAAA=&#10;">
              <v:fill on="f" focussize="0,0"/>
              <v:stroke on="f"/>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II</w:t>
                    </w:r>
                    <w:r>
                      <w:rPr>
                        <w:rFonts w:hint="eastAsia"/>
                        <w:sz w:val="18"/>
                      </w:rPr>
                      <w:fldChar w:fldCharType="end"/>
                    </w:r>
                  </w:p>
                </w:txbxContent>
              </v:textbox>
            </v:shape>
          </w:pict>
        </mc:Fallback>
      </mc:AlternateContent>
    </w:r>
  </w:p>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hint="eastAsia" w:eastAsia="黑体"/>
        <w:szCs w:val="21"/>
      </w:rPr>
    </w:pPr>
    <w:r>
      <mc:AlternateContent>
        <mc:Choice Requires="wps">
          <w:drawing>
            <wp:anchor distT="0" distB="0" distL="114300" distR="114300" simplePos="0" relativeHeight="251719680" behindDoc="0" locked="0" layoutInCell="1" allowOverlap="1">
              <wp:simplePos x="0" y="0"/>
              <wp:positionH relativeFrom="margin">
                <wp:align>center</wp:align>
              </wp:positionH>
              <wp:positionV relativeFrom="paragraph">
                <wp:posOffset>0</wp:posOffset>
              </wp:positionV>
              <wp:extent cx="304800" cy="131445"/>
              <wp:effectExtent l="0" t="0" r="0" b="0"/>
              <wp:wrapNone/>
              <wp:docPr id="494" name="文本框 23"/>
              <wp:cNvGraphicFramePr/>
              <a:graphic xmlns:a="http://schemas.openxmlformats.org/drawingml/2006/main">
                <a:graphicData uri="http://schemas.microsoft.com/office/word/2010/wordprocessingShape">
                  <wps:wsp>
                    <wps:cNvSpPr txBox="1"/>
                    <wps:spPr>
                      <a:xfrm>
                        <a:off x="0" y="0"/>
                        <a:ext cx="304800" cy="131445"/>
                      </a:xfrm>
                      <a:prstGeom prst="rect">
                        <a:avLst/>
                      </a:prstGeom>
                      <a:noFill/>
                      <a:ln>
                        <a:noFill/>
                      </a:ln>
                    </wps:spPr>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- 213 -</w:t>
                          </w:r>
                          <w:r>
                            <w:rPr>
                              <w:rFonts w:hint="eastAsia"/>
                              <w:sz w:val="18"/>
                            </w:rPr>
                            <w:fldChar w:fldCharType="end"/>
                          </w:r>
                        </w:p>
                      </w:txbxContent>
                    </wps:txbx>
                    <wps:bodyPr wrap="none" lIns="0" tIns="0" rIns="0" bIns="0" upright="0">
                      <a:spAutoFit/>
                    </wps:bodyPr>
                  </wps:wsp>
                </a:graphicData>
              </a:graphic>
            </wp:anchor>
          </w:drawing>
        </mc:Choice>
        <mc:Fallback>
          <w:pict>
            <v:shape id="文本框 23" o:spid="_x0000_s1026" o:spt="202" type="#_x0000_t202" style="position:absolute;left:0pt;margin-top:0pt;height:10.35pt;width:24pt;mso-position-horizontal:center;mso-position-horizontal-relative:margin;mso-wrap-style:none;z-index:251719680;mso-width-relative:page;mso-height-relative:page;" filled="f" stroked="f" coordsize="21600,21600" o:gfxdata="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90WbE9AAAAADAQAADwAAAAAAAAABACAAAAAiAAAAZHJzL2Rv&#10;d25yZXYueG1sUEsBAhQAFAAAAAgAh07iQMMA3IHQAQAAmgMAAA4AAAAAAAAAAQAgAAAAHwEAAGRy&#10;cy9lMm9Eb2MueG1sUEsFBgAAAAAGAAYAWQEAAGEFAAAAAA==&#10;">
              <v:fill on="f" focussize="0,0"/>
              <v:stroke on="f"/>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- 213 -</w:t>
                    </w:r>
                    <w:r>
                      <w:rPr>
                        <w:rFonts w:hint="eastAsia"/>
                        <w:sz w:val="18"/>
                      </w:rP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hint="eastAsia" w:eastAsia="黑体"/>
        <w:szCs w:val="21"/>
      </w:rPr>
    </w:pPr>
    <w:r>
      <mc:AlternateContent>
        <mc:Choice Requires="wps">
          <w:drawing>
            <wp:anchor distT="0" distB="0" distL="114300" distR="114300" simplePos="0" relativeHeight="251714560" behindDoc="0" locked="0" layoutInCell="1" allowOverlap="1">
              <wp:simplePos x="0" y="0"/>
              <wp:positionH relativeFrom="margin">
                <wp:align>center</wp:align>
              </wp:positionH>
              <wp:positionV relativeFrom="paragraph">
                <wp:posOffset>0</wp:posOffset>
              </wp:positionV>
              <wp:extent cx="304800" cy="131445"/>
              <wp:effectExtent l="0" t="0" r="0" b="0"/>
              <wp:wrapNone/>
              <wp:docPr id="489" name="文本框 24"/>
              <wp:cNvGraphicFramePr/>
              <a:graphic xmlns:a="http://schemas.openxmlformats.org/drawingml/2006/main">
                <a:graphicData uri="http://schemas.microsoft.com/office/word/2010/wordprocessingShape">
                  <wps:wsp>
                    <wps:cNvSpPr txBox="1"/>
                    <wps:spPr>
                      <a:xfrm>
                        <a:off x="0" y="0"/>
                        <a:ext cx="304800" cy="131445"/>
                      </a:xfrm>
                      <a:prstGeom prst="rect">
                        <a:avLst/>
                      </a:prstGeom>
                      <a:noFill/>
                      <a:ln>
                        <a:noFill/>
                      </a:ln>
                    </wps:spPr>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- 223 -</w:t>
                          </w:r>
                          <w:r>
                            <w:rPr>
                              <w:rFonts w:hint="eastAsia"/>
                              <w:sz w:val="18"/>
                            </w:rPr>
                            <w:fldChar w:fldCharType="end"/>
                          </w:r>
                        </w:p>
                      </w:txbxContent>
                    </wps:txbx>
                    <wps:bodyPr wrap="none" lIns="0" tIns="0" rIns="0" bIns="0" upright="0">
                      <a:spAutoFit/>
                    </wps:bodyPr>
                  </wps:wsp>
                </a:graphicData>
              </a:graphic>
            </wp:anchor>
          </w:drawing>
        </mc:Choice>
        <mc:Fallback>
          <w:pict>
            <v:shape id="文本框 24" o:spid="_x0000_s1026" o:spt="202" type="#_x0000_t202" style="position:absolute;left:0pt;margin-top:0pt;height:10.35pt;width:24pt;mso-position-horizontal:center;mso-position-horizontal-relative:margin;mso-wrap-style:none;z-index:251714560;mso-width-relative:page;mso-height-relative:page;" filled="f" stroked="f" coordsize="21600,21600" o:gfxdata="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90WbE9AAAAADAQAADwAAAAAAAAABACAAAAAiAAAAZHJzL2Rv&#10;d25yZXYueG1sUEsBAhQAFAAAAAgAh07iQF5GwV3QAQAAmgMAAA4AAAAAAAAAAQAgAAAAHwEAAGRy&#10;cy9lMm9Eb2MueG1sUEsFBgAAAAAGAAYAWQEAAGEFAAAAAA==&#10;">
              <v:fill on="f" focussize="0,0"/>
              <v:stroke on="f"/>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- 223 -</w:t>
                    </w:r>
                    <w:r>
                      <w:rPr>
                        <w:rFonts w:hint="eastAsia"/>
                        <w:sz w:val="18"/>
                      </w:rP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hint="eastAsia" w:eastAsia="黑体"/>
        <w:szCs w:val="21"/>
      </w:rPr>
    </w:pPr>
    <w:r>
      <mc:AlternateContent>
        <mc:Choice Requires="wps">
          <w:drawing>
            <wp:anchor distT="0" distB="0" distL="114300" distR="114300" simplePos="0" relativeHeight="251715584" behindDoc="0" locked="0" layoutInCell="1" allowOverlap="1">
              <wp:simplePos x="0" y="0"/>
              <wp:positionH relativeFrom="margin">
                <wp:align>center</wp:align>
              </wp:positionH>
              <wp:positionV relativeFrom="paragraph">
                <wp:posOffset>0</wp:posOffset>
              </wp:positionV>
              <wp:extent cx="304800" cy="131445"/>
              <wp:effectExtent l="0" t="0" r="0" b="0"/>
              <wp:wrapNone/>
              <wp:docPr id="490" name="文本框 25"/>
              <wp:cNvGraphicFramePr/>
              <a:graphic xmlns:a="http://schemas.openxmlformats.org/drawingml/2006/main">
                <a:graphicData uri="http://schemas.microsoft.com/office/word/2010/wordprocessingShape">
                  <wps:wsp>
                    <wps:cNvSpPr txBox="1"/>
                    <wps:spPr>
                      <a:xfrm>
                        <a:off x="0" y="0"/>
                        <a:ext cx="304800" cy="131445"/>
                      </a:xfrm>
                      <a:prstGeom prst="rect">
                        <a:avLst/>
                      </a:prstGeom>
                      <a:noFill/>
                      <a:ln>
                        <a:noFill/>
                      </a:ln>
                    </wps:spPr>
                    <wps:txbx>
                      <w:txbxContent>
                        <w:p>
                          <w:pPr>
                            <w:snapToGrid w:val="0"/>
                            <w:rPr>
                              <w:rFonts w:hint="eastAsia"/>
                              <w:sz w:val="18"/>
                            </w:rPr>
                          </w:pPr>
                          <w:r>
                            <w:rPr>
                              <w:sz w:val="18"/>
                            </w:rPr>
                            <w:t xml:space="preserve"> </w:t>
                          </w:r>
                        </w:p>
                      </w:txbxContent>
                    </wps:txbx>
                    <wps:bodyPr wrap="none" lIns="0" tIns="0" rIns="0" bIns="0" upright="0">
                      <a:spAutoFit/>
                    </wps:bodyPr>
                  </wps:wsp>
                </a:graphicData>
              </a:graphic>
            </wp:anchor>
          </w:drawing>
        </mc:Choice>
        <mc:Fallback>
          <w:pict>
            <v:shape id="文本框 25" o:spid="_x0000_s1026" o:spt="202" type="#_x0000_t202" style="position:absolute;left:0pt;margin-top:0pt;height:10.35pt;width:24pt;mso-position-horizontal:center;mso-position-horizontal-relative:margin;mso-wrap-style:none;z-index:251715584;mso-width-relative:page;mso-height-relative:page;" filled="f" stroked="f" coordsize="21600,21600" o:gfxdata="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90WbE9AAAAADAQAADwAAAAAAAAABACAAAAAiAAAAZHJzL2Rv&#10;d25yZXYueG1sUEsBAhQAFAAAAAgAh07iQBOvmvLQAQAAmgMAAA4AAAAAAAAAAQAgAAAAHwEAAGRy&#10;cy9lMm9Eb2MueG1sUEsFBgAAAAAGAAYAWQEAAGEFAAAAAA==&#10;">
              <v:fill on="f" focussize="0,0"/>
              <v:stroke on="f"/>
              <v:imagedata o:title=""/>
              <o:lock v:ext="edit" aspectratio="f"/>
              <v:textbox inset="0mm,0mm,0mm,0mm" style="mso-fit-shape-to-text:t;">
                <w:txbxContent>
                  <w:p>
                    <w:pPr>
                      <w:snapToGrid w:val="0"/>
                      <w:rPr>
                        <w:rFonts w:hint="eastAsia"/>
                        <w:sz w:val="18"/>
                      </w:rPr>
                    </w:pPr>
                    <w:r>
                      <w:rPr>
                        <w:sz w:val="18"/>
                      </w:rPr>
                      <w:t xml:space="preserve"> </w:t>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hint="eastAsia" w:eastAsia="黑体"/>
        <w:szCs w:val="21"/>
      </w:rPr>
    </w:pPr>
    <w:r>
      <mc:AlternateContent>
        <mc:Choice Requires="wps">
          <w:drawing>
            <wp:anchor distT="0" distB="0" distL="114300" distR="114300" simplePos="0" relativeHeight="251716608" behindDoc="0" locked="0" layoutInCell="1" allowOverlap="1">
              <wp:simplePos x="0" y="0"/>
              <wp:positionH relativeFrom="margin">
                <wp:align>center</wp:align>
              </wp:positionH>
              <wp:positionV relativeFrom="paragraph">
                <wp:posOffset>0</wp:posOffset>
              </wp:positionV>
              <wp:extent cx="304800" cy="131445"/>
              <wp:effectExtent l="0" t="0" r="0" b="0"/>
              <wp:wrapNone/>
              <wp:docPr id="491" name="文本框 26"/>
              <wp:cNvGraphicFramePr/>
              <a:graphic xmlns:a="http://schemas.openxmlformats.org/drawingml/2006/main">
                <a:graphicData uri="http://schemas.microsoft.com/office/word/2010/wordprocessingShape">
                  <wps:wsp>
                    <wps:cNvSpPr txBox="1"/>
                    <wps:spPr>
                      <a:xfrm>
                        <a:off x="0" y="0"/>
                        <a:ext cx="304800" cy="131445"/>
                      </a:xfrm>
                      <a:prstGeom prst="rect">
                        <a:avLst/>
                      </a:prstGeom>
                      <a:noFill/>
                      <a:ln>
                        <a:noFill/>
                      </a:ln>
                    </wps:spPr>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- 239 -</w:t>
                          </w:r>
                          <w:r>
                            <w:rPr>
                              <w:rFonts w:hint="eastAsia"/>
                              <w:sz w:val="18"/>
                            </w:rPr>
                            <w:fldChar w:fldCharType="end"/>
                          </w:r>
                        </w:p>
                      </w:txbxContent>
                    </wps:txbx>
                    <wps:bodyPr wrap="none" lIns="0" tIns="0" rIns="0" bIns="0" upright="0">
                      <a:spAutoFit/>
                    </wps:bodyPr>
                  </wps:wsp>
                </a:graphicData>
              </a:graphic>
            </wp:anchor>
          </w:drawing>
        </mc:Choice>
        <mc:Fallback>
          <w:pict>
            <v:shape id="文本框 26" o:spid="_x0000_s1026" o:spt="202" type="#_x0000_t202" style="position:absolute;left:0pt;margin-top:0pt;height:10.35pt;width:24pt;mso-position-horizontal:center;mso-position-horizontal-relative:margin;mso-wrap-style:none;z-index:251716608;mso-width-relative:page;mso-height-relative:page;" filled="f" stroked="f" coordsize="21600,21600" o:gfxdata="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3RZsT0AAAAAMBAAAPAAAAAAAAAAEAIAAAACIAAABkcnMvZG93&#10;bnJldi54bWxQSwECFAAUAAAACACHTuJAOXf+jc8BAACaAwAADgAAAAAAAAABACAAAAAfAQAAZHJz&#10;L2Uyb0RvYy54bWxQSwUGAAAAAAYABgBZAQAAYAUAAAAA&#10;">
              <v:fill on="f" focussize="0,0"/>
              <v:stroke on="f"/>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- 239 -</w:t>
                    </w:r>
                    <w:r>
                      <w:rPr>
                        <w:rFonts w:hint="eastAsia"/>
                        <w:sz w:val="18"/>
                      </w:rP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top w:val="none" w:color="auto" w:sz="0" w:space="2"/>
        <w:right w:val="none" w:color="auto" w:sz="0" w:space="5"/>
      </w:pBdr>
      <w:tabs>
        <w:tab w:val="left" w:pos="2820"/>
        <w:tab w:val="right" w:pos="13662"/>
      </w:tabs>
      <w:rPr>
        <w:bCs/>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w:fldChar w:fldCharType="begin"/>
    </w:r>
    <w:r>
      <w:instrText xml:space="preserve">PAGE   \* MERGEFORMAT</w:instrText>
    </w:r>
    <w:r>
      <w:fldChar w:fldCharType="separate"/>
    </w:r>
    <w:r>
      <w:rPr>
        <w:lang w:val="zh-CN"/>
      </w:rPr>
      <w:t>-</w:t>
    </w:r>
    <w:r>
      <w:t xml:space="preserve"> 5 -</w:t>
    </w:r>
    <w:r>
      <w:fldChar w:fldCharType="end"/>
    </w:r>
    <w:r>
      <mc:AlternateContent>
        <mc:Choice Requires="wps">
          <w:drawing>
            <wp:anchor distT="0" distB="0" distL="114300" distR="114300" simplePos="0" relativeHeight="251713536" behindDoc="0" locked="0" layoutInCell="1" allowOverlap="1">
              <wp:simplePos x="0" y="0"/>
              <wp:positionH relativeFrom="margin">
                <wp:align>center</wp:align>
              </wp:positionH>
              <wp:positionV relativeFrom="paragraph">
                <wp:posOffset>0</wp:posOffset>
              </wp:positionV>
              <wp:extent cx="190500" cy="131445"/>
              <wp:effectExtent l="0" t="0" r="0" b="0"/>
              <wp:wrapNone/>
              <wp:docPr id="488" name="文本框 15"/>
              <wp:cNvGraphicFramePr/>
              <a:graphic xmlns:a="http://schemas.openxmlformats.org/drawingml/2006/main">
                <a:graphicData uri="http://schemas.microsoft.com/office/word/2010/wordprocessingShape">
                  <wps:wsp>
                    <wps:cNvSpPr txBox="1"/>
                    <wps:spPr>
                      <a:xfrm>
                        <a:off x="0" y="0"/>
                        <a:ext cx="190500" cy="131445"/>
                      </a:xfrm>
                      <a:prstGeom prst="rect">
                        <a:avLst/>
                      </a:prstGeom>
                      <a:noFill/>
                      <a:ln>
                        <a:noFill/>
                      </a:ln>
                    </wps:spPr>
                    <wps:txbx>
                      <w:txbxContent>
                        <w:p>
                          <w:pPr>
                            <w:snapToGrid w:val="0"/>
                            <w:rPr>
                              <w:rFonts w:hint="eastAsia"/>
                              <w:sz w:val="18"/>
                            </w:rPr>
                          </w:pPr>
                        </w:p>
                      </w:txbxContent>
                    </wps:txbx>
                    <wps:bodyPr wrap="none" lIns="0" tIns="0" rIns="0" bIns="0" upright="0">
                      <a:spAutoFit/>
                    </wps:bodyPr>
                  </wps:wsp>
                </a:graphicData>
              </a:graphic>
            </wp:anchor>
          </w:drawing>
        </mc:Choice>
        <mc:Fallback>
          <w:pict>
            <v:shape id="文本框 15" o:spid="_x0000_s1026" o:spt="202" type="#_x0000_t202" style="position:absolute;left:0pt;margin-top:0pt;height:10.35pt;width:15pt;mso-position-horizontal:center;mso-position-horizontal-relative:margin;mso-wrap-style:none;z-index:251713536;mso-width-relative:page;mso-height-relative:page;" filled="f" stroked="f" coordsize="21600,21600" o:gfxdata="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oqRS7NAAAAADAQAADwAAAAAAAAABACAAAAAiAAAAZHJzL2Rv&#10;d25yZXYueG1sUEsBAhQAFAAAAAgAh07iQLAZhCbQAQAAmgMAAA4AAAAAAAAAAQAgAAAAHwEAAGRy&#10;cy9lMm9Eb2MueG1sUEsFBgAAAAAGAAYAWQEAAGEFAAAAAA==&#10;">
              <v:fill on="f" focussize="0,0"/>
              <v:stroke on="f"/>
              <v:imagedata o:title=""/>
              <o:lock v:ext="edit" aspectratio="f"/>
              <v:textbox inset="0mm,0mm,0mm,0mm" style="mso-fit-shape-to-text:t;">
                <w:txbxContent>
                  <w:p>
                    <w:pPr>
                      <w:snapToGrid w:val="0"/>
                      <w:rPr>
                        <w:rFonts w:hint="eastAsia"/>
                        <w:sz w:val="18"/>
                      </w:rPr>
                    </w:pPr>
                  </w:p>
                </w:txbxContent>
              </v:textbox>
            </v:shape>
          </w:pict>
        </mc:Fallback>
      </mc:AlternateContent>
    </w:r>
  </w:p>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hint="eastAsia"/>
      </w:rPr>
    </w:pPr>
    <w:r>
      <mc:AlternateContent>
        <mc:Choice Requires="wps">
          <w:drawing>
            <wp:anchor distT="0" distB="0" distL="114300" distR="114300" simplePos="0" relativeHeight="251710464" behindDoc="0" locked="0" layoutInCell="1" allowOverlap="1">
              <wp:simplePos x="0" y="0"/>
              <wp:positionH relativeFrom="margin">
                <wp:align>center</wp:align>
              </wp:positionH>
              <wp:positionV relativeFrom="paragraph">
                <wp:posOffset>0</wp:posOffset>
              </wp:positionV>
              <wp:extent cx="247650" cy="131445"/>
              <wp:effectExtent l="0" t="0" r="0" b="0"/>
              <wp:wrapNone/>
              <wp:docPr id="485" name="文本框 2067"/>
              <wp:cNvGraphicFramePr/>
              <a:graphic xmlns:a="http://schemas.openxmlformats.org/drawingml/2006/main">
                <a:graphicData uri="http://schemas.microsoft.com/office/word/2010/wordprocessingShape">
                  <wps:wsp>
                    <wps:cNvSpPr txBox="1"/>
                    <wps:spPr>
                      <a:xfrm>
                        <a:off x="0" y="0"/>
                        <a:ext cx="247650" cy="131445"/>
                      </a:xfrm>
                      <a:prstGeom prst="rect">
                        <a:avLst/>
                      </a:prstGeom>
                      <a:noFill/>
                      <a:ln>
                        <a:noFill/>
                      </a:ln>
                    </wps:spPr>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- 23 -</w:t>
                          </w:r>
                          <w:r>
                            <w:rPr>
                              <w:rFonts w:hint="eastAsia"/>
                              <w:sz w:val="18"/>
                            </w:rPr>
                            <w:fldChar w:fldCharType="end"/>
                          </w:r>
                        </w:p>
                      </w:txbxContent>
                    </wps:txbx>
                    <wps:bodyPr wrap="none" lIns="0" tIns="0" rIns="0" bIns="0" upright="0">
                      <a:spAutoFit/>
                    </wps:bodyPr>
                  </wps:wsp>
                </a:graphicData>
              </a:graphic>
            </wp:anchor>
          </w:drawing>
        </mc:Choice>
        <mc:Fallback>
          <w:pict>
            <v:shape id="文本框 2067" o:spid="_x0000_s1026" o:spt="202" type="#_x0000_t202" style="position:absolute;left:0pt;margin-top:0pt;height:10.35pt;width:19.5pt;mso-position-horizontal:center;mso-position-horizontal-relative:margin;mso-wrap-style:none;z-index:251710464;mso-width-relative:page;mso-height-relative:page;" filled="f" stroked="f" coordsize="21600,21600" o:gfxdata="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XsUjg0AAAAAMBAAAPAAAAAAAAAAEAIAAAACIAAABkcnMv&#10;ZG93bnJldi54bWxQSwECFAAUAAAACACHTuJAvuyjWNIBAACcAwAADgAAAAAAAAABACAAAAAfAQAA&#10;ZHJzL2Uyb0RvYy54bWxQSwUGAAAAAAYABgBZAQAAYwUAAAAA&#10;">
              <v:fill on="f" focussize="0,0"/>
              <v:stroke on="f"/>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- 23 -</w:t>
                    </w:r>
                    <w:r>
                      <w:rPr>
                        <w:rFonts w:hint="eastAsia"/>
                        <w:sz w:val="18"/>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hint="eastAsia"/>
      </w:rPr>
    </w:pPr>
    <w:r>
      <mc:AlternateContent>
        <mc:Choice Requires="wps">
          <w:drawing>
            <wp:anchor distT="0" distB="0" distL="114300" distR="114300" simplePos="0" relativeHeight="251717632" behindDoc="0" locked="0" layoutInCell="1" allowOverlap="1">
              <wp:simplePos x="0" y="0"/>
              <wp:positionH relativeFrom="margin">
                <wp:align>center</wp:align>
              </wp:positionH>
              <wp:positionV relativeFrom="paragraph">
                <wp:posOffset>0</wp:posOffset>
              </wp:positionV>
              <wp:extent cx="247650" cy="131445"/>
              <wp:effectExtent l="0" t="0" r="0" b="0"/>
              <wp:wrapNone/>
              <wp:docPr id="492" name="文本框 17"/>
              <wp:cNvGraphicFramePr/>
              <a:graphic xmlns:a="http://schemas.openxmlformats.org/drawingml/2006/main">
                <a:graphicData uri="http://schemas.microsoft.com/office/word/2010/wordprocessingShape">
                  <wps:wsp>
                    <wps:cNvSpPr txBox="1"/>
                    <wps:spPr>
                      <a:xfrm>
                        <a:off x="0" y="0"/>
                        <a:ext cx="247650" cy="131445"/>
                      </a:xfrm>
                      <a:prstGeom prst="rect">
                        <a:avLst/>
                      </a:prstGeom>
                      <a:noFill/>
                      <a:ln>
                        <a:noFill/>
                      </a:ln>
                    </wps:spPr>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- 69 -</w:t>
                          </w:r>
                          <w:r>
                            <w:rPr>
                              <w:rFonts w:hint="eastAsia"/>
                              <w:sz w:val="18"/>
                            </w:rPr>
                            <w:fldChar w:fldCharType="end"/>
                          </w:r>
                        </w:p>
                      </w:txbxContent>
                    </wps:txbx>
                    <wps:bodyPr wrap="none" lIns="0" tIns="0" rIns="0" bIns="0" upright="0">
                      <a:spAutoFit/>
                    </wps:bodyPr>
                  </wps:wsp>
                </a:graphicData>
              </a:graphic>
            </wp:anchor>
          </w:drawing>
        </mc:Choice>
        <mc:Fallback>
          <w:pict>
            <v:shape id="文本框 17" o:spid="_x0000_s1026" o:spt="202" type="#_x0000_t202" style="position:absolute;left:0pt;margin-top:0pt;height:10.35pt;width:19.5pt;mso-position-horizontal:center;mso-position-horizontal-relative:margin;mso-wrap-style:none;z-index:251717632;mso-width-relative:page;mso-height-relative:page;" filled="f" stroked="f" coordsize="21600,21600" o:gfxdata="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V7FI4NAAAAADAQAADwAAAAAAAAABACAAAAAiAAAAZHJzL2Rv&#10;d25yZXYueG1sUEsBAhQAFAAAAAgAh07iQNeqe7vQAQAAmgMAAA4AAAAAAAAAAQAgAAAAHwEAAGRy&#10;cy9lMm9Eb2MueG1sUEsFBgAAAAAGAAYAWQEAAGEFAAAAAA==&#10;">
              <v:fill on="f" focussize="0,0"/>
              <v:stroke on="f"/>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- 69 -</w:t>
                    </w:r>
                    <w:r>
                      <w:rPr>
                        <w:rFonts w:hint="eastAsia"/>
                        <w:sz w:val="18"/>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365"/>
      </w:tabs>
      <w:rPr>
        <w:rFonts w:hint="eastAsia"/>
      </w:rPr>
    </w:pPr>
    <w:r>
      <mc:AlternateContent>
        <mc:Choice Requires="wps">
          <w:drawing>
            <wp:anchor distT="0" distB="0" distL="114300" distR="114300" simplePos="0" relativeHeight="251718656" behindDoc="0" locked="0" layoutInCell="1" allowOverlap="1">
              <wp:simplePos x="0" y="0"/>
              <wp:positionH relativeFrom="margin">
                <wp:align>center</wp:align>
              </wp:positionH>
              <wp:positionV relativeFrom="paragraph">
                <wp:posOffset>0</wp:posOffset>
              </wp:positionV>
              <wp:extent cx="247650" cy="131445"/>
              <wp:effectExtent l="0" t="0" r="0" b="0"/>
              <wp:wrapNone/>
              <wp:docPr id="493" name="文本框 18"/>
              <wp:cNvGraphicFramePr/>
              <a:graphic xmlns:a="http://schemas.openxmlformats.org/drawingml/2006/main">
                <a:graphicData uri="http://schemas.microsoft.com/office/word/2010/wordprocessingShape">
                  <wps:wsp>
                    <wps:cNvSpPr txBox="1"/>
                    <wps:spPr>
                      <a:xfrm>
                        <a:off x="0" y="0"/>
                        <a:ext cx="247650" cy="131445"/>
                      </a:xfrm>
                      <a:prstGeom prst="rect">
                        <a:avLst/>
                      </a:prstGeom>
                      <a:noFill/>
                      <a:ln>
                        <a:noFill/>
                      </a:ln>
                    </wps:spPr>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- 83 -</w:t>
                          </w:r>
                          <w:r>
                            <w:rPr>
                              <w:rFonts w:hint="eastAsia"/>
                              <w:sz w:val="18"/>
                            </w:rPr>
                            <w:fldChar w:fldCharType="end"/>
                          </w:r>
                        </w:p>
                      </w:txbxContent>
                    </wps:txbx>
                    <wps:bodyPr wrap="none" lIns="0" tIns="0" rIns="0" bIns="0" upright="0">
                      <a:spAutoFit/>
                    </wps:bodyPr>
                  </wps:wsp>
                </a:graphicData>
              </a:graphic>
            </wp:anchor>
          </w:drawing>
        </mc:Choice>
        <mc:Fallback>
          <w:pict>
            <v:shape id="文本框 18" o:spid="_x0000_s1026" o:spt="202" type="#_x0000_t202" style="position:absolute;left:0pt;margin-top:0pt;height:10.35pt;width:19.5pt;mso-position-horizontal:center;mso-position-horizontal-relative:margin;mso-wrap-style:none;z-index:251718656;mso-width-relative:page;mso-height-relative:page;" filled="f" stroked="f" coordsize="21600,21600" o:gfxdata="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FexSODQAAAAAwEAAA8AAAAAAAAAAQAgAAAAIgAAAGRycy9k&#10;b3ducmV2LnhtbFBLAQIUABQAAAAIAIdO4kDs/ggU0QEAAJoDAAAOAAAAAAAAAAEAIAAAAB8BAABk&#10;cnMvZTJvRG9jLnhtbFBLBQYAAAAABgAGAFkBAABiBQAAAAA=&#10;">
              <v:fill on="f" focussize="0,0"/>
              <v:stroke on="f"/>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- 83 -</w:t>
                    </w:r>
                    <w:r>
                      <w:rPr>
                        <w:rFonts w:hint="eastAsia"/>
                        <w:sz w:val="18"/>
                      </w:rPr>
                      <w:fldChar w:fldCharType="end"/>
                    </w:r>
                  </w:p>
                </w:txbxContent>
              </v:textbox>
            </v:shape>
          </w:pict>
        </mc:Fallback>
      </mc:AlternateContent>
    </w:r>
    <w: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hint="eastAsia" w:eastAsia="黑体"/>
        <w:szCs w:val="21"/>
      </w:rPr>
    </w:pPr>
    <w:r>
      <mc:AlternateContent>
        <mc:Choice Requires="wps">
          <w:drawing>
            <wp:anchor distT="0" distB="0" distL="114300" distR="114300" simplePos="0" relativeHeight="251708416" behindDoc="0" locked="0" layoutInCell="1" allowOverlap="1">
              <wp:simplePos x="0" y="0"/>
              <wp:positionH relativeFrom="margin">
                <wp:align>center</wp:align>
              </wp:positionH>
              <wp:positionV relativeFrom="paragraph">
                <wp:posOffset>0</wp:posOffset>
              </wp:positionV>
              <wp:extent cx="247650" cy="131445"/>
              <wp:effectExtent l="0" t="0" r="0" b="0"/>
              <wp:wrapNone/>
              <wp:docPr id="483" name="文本框 2063"/>
              <wp:cNvGraphicFramePr/>
              <a:graphic xmlns:a="http://schemas.openxmlformats.org/drawingml/2006/main">
                <a:graphicData uri="http://schemas.microsoft.com/office/word/2010/wordprocessingShape">
                  <wps:wsp>
                    <wps:cNvSpPr txBox="1"/>
                    <wps:spPr>
                      <a:xfrm>
                        <a:off x="0" y="0"/>
                        <a:ext cx="247650" cy="131445"/>
                      </a:xfrm>
                      <a:prstGeom prst="rect">
                        <a:avLst/>
                      </a:prstGeom>
                      <a:noFill/>
                      <a:ln>
                        <a:noFill/>
                      </a:ln>
                    </wps:spPr>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- 98 -</w:t>
                          </w:r>
                          <w:r>
                            <w:rPr>
                              <w:rFonts w:hint="eastAsia"/>
                              <w:sz w:val="18"/>
                            </w:rPr>
                            <w:fldChar w:fldCharType="end"/>
                          </w:r>
                        </w:p>
                      </w:txbxContent>
                    </wps:txbx>
                    <wps:bodyPr wrap="none" lIns="0" tIns="0" rIns="0" bIns="0" upright="0">
                      <a:spAutoFit/>
                    </wps:bodyPr>
                  </wps:wsp>
                </a:graphicData>
              </a:graphic>
            </wp:anchor>
          </w:drawing>
        </mc:Choice>
        <mc:Fallback>
          <w:pict>
            <v:shape id="文本框 2063" o:spid="_x0000_s1026" o:spt="202" type="#_x0000_t202" style="position:absolute;left:0pt;margin-top:0pt;height:10.35pt;width:19.5pt;mso-position-horizontal:center;mso-position-horizontal-relative:margin;mso-wrap-style:none;z-index:251708416;mso-width-relative:page;mso-height-relative:page;" filled="f" stroked="f" coordsize="21600,21600" o:gfxdata="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XsUjg0AAAAAMBAAAPAAAAAAAAAAEAIAAAACIAAABkcnMv&#10;ZG93bnJldi54bWxQSwECFAAUAAAACACHTuJAhLW2xdIBAACcAwAADgAAAAAAAAABACAAAAAfAQAA&#10;ZHJzL2Uyb0RvYy54bWxQSwUGAAAAAAYABgBZAQAAYwUAAAAA&#10;">
              <v:fill on="f" focussize="0,0"/>
              <v:stroke on="f"/>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- 98 -</w:t>
                    </w:r>
                    <w:r>
                      <w:rPr>
                        <w:rFonts w:hint="eastAsia"/>
                        <w:sz w:val="18"/>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hint="eastAsia" w:eastAsia="黑体"/>
        <w:szCs w:val="21"/>
      </w:rPr>
    </w:pPr>
    <w:r>
      <mc:AlternateContent>
        <mc:Choice Requires="wps">
          <w:drawing>
            <wp:anchor distT="0" distB="0" distL="114300" distR="114300" simplePos="0" relativeHeight="2517125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87"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- 101 -</w:t>
                          </w:r>
                          <w:r>
                            <w:rPr>
                              <w:rFonts w:hint="eastAsia"/>
                              <w:sz w:val="18"/>
                            </w:rPr>
                            <w:fldChar w:fldCharType="end"/>
                          </w:r>
                        </w:p>
                      </w:txbxContent>
                    </wps:txbx>
                    <wps:bodyPr wrap="none" lIns="0" tIns="0" rIns="0" bIns="0" upright="0">
                      <a:spAutoFit/>
                    </wps:bodyPr>
                  </wps:wsp>
                </a:graphicData>
              </a:graphic>
            </wp:anchor>
          </w:drawing>
        </mc:Choice>
        <mc:Fallback>
          <w:pict>
            <v:shape id="文本框 20" o:spid="_x0000_s1026" o:spt="202" type="#_x0000_t202" style="position:absolute;left:0pt;margin-top:0pt;height:144pt;width:144pt;mso-position-horizontal:center;mso-position-horizontal-relative:margin;mso-wrap-style:none;z-index:2517125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PfI/9DLAQAAnAMAAA4AAAAAAAAAAQAgAAAAHgEAAGRycy9lMm9E&#10;b2MueG1sUEsFBgAAAAAGAAYAWQEAAFsFAAAAAA==&#10;">
              <v:fill on="f" focussize="0,0"/>
              <v:stroke on="f"/>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- 101 -</w:t>
                    </w:r>
                    <w:r>
                      <w:rPr>
                        <w:rFonts w:hint="eastAsia"/>
                        <w:sz w:val="18"/>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hint="eastAsia" w:eastAsia="黑体"/>
        <w:szCs w:val="21"/>
      </w:rPr>
    </w:pPr>
    <w:r>
      <mc:AlternateContent>
        <mc:Choice Requires="wps">
          <w:drawing>
            <wp:anchor distT="0" distB="0" distL="114300" distR="114300" simplePos="0" relativeHeight="251709440" behindDoc="0" locked="0" layoutInCell="1" allowOverlap="1">
              <wp:simplePos x="0" y="0"/>
              <wp:positionH relativeFrom="margin">
                <wp:align>center</wp:align>
              </wp:positionH>
              <wp:positionV relativeFrom="paragraph">
                <wp:posOffset>0</wp:posOffset>
              </wp:positionV>
              <wp:extent cx="304800" cy="131445"/>
              <wp:effectExtent l="0" t="0" r="0" b="0"/>
              <wp:wrapNone/>
              <wp:docPr id="484" name="文本框 2065"/>
              <wp:cNvGraphicFramePr/>
              <a:graphic xmlns:a="http://schemas.openxmlformats.org/drawingml/2006/main">
                <a:graphicData uri="http://schemas.microsoft.com/office/word/2010/wordprocessingShape">
                  <wps:wsp>
                    <wps:cNvSpPr txBox="1"/>
                    <wps:spPr>
                      <a:xfrm>
                        <a:off x="0" y="0"/>
                        <a:ext cx="304800" cy="131445"/>
                      </a:xfrm>
                      <a:prstGeom prst="rect">
                        <a:avLst/>
                      </a:prstGeom>
                      <a:noFill/>
                      <a:ln>
                        <a:noFill/>
                      </a:ln>
                    </wps:spPr>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- 1 -</w:t>
                          </w:r>
                          <w:r>
                            <w:rPr>
                              <w:rFonts w:hint="eastAsia"/>
                              <w:sz w:val="18"/>
                            </w:rPr>
                            <w:fldChar w:fldCharType="end"/>
                          </w:r>
                        </w:p>
                      </w:txbxContent>
                    </wps:txbx>
                    <wps:bodyPr wrap="none" lIns="0" tIns="0" rIns="0" bIns="0" upright="0">
                      <a:spAutoFit/>
                    </wps:bodyPr>
                  </wps:wsp>
                </a:graphicData>
              </a:graphic>
            </wp:anchor>
          </w:drawing>
        </mc:Choice>
        <mc:Fallback>
          <w:pict>
            <v:shape id="文本框 2065" o:spid="_x0000_s1026" o:spt="202" type="#_x0000_t202" style="position:absolute;left:0pt;margin-top:0pt;height:10.35pt;width:24pt;mso-position-horizontal:center;mso-position-horizontal-relative:margin;mso-wrap-style:none;z-index:251709440;mso-width-relative:page;mso-height-relative:page;" filled="f" stroked="f" coordsize="21600,21600" o:gfxdata="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PdFmxPQAAAAAwEAAA8AAAAAAAAAAQAgAAAAIgAAAGRycy9k&#10;b3ducmV2LnhtbFBLAQIUABQAAAAIAIdO4kBQtI5X0QEAAJwDAAAOAAAAAAAAAAEAIAAAAB8BAABk&#10;cnMvZTJvRG9jLnhtbFBLBQYAAAAABgAGAFkBAABiBQAAAAA=&#10;">
              <v:fill on="f" focussize="0,0"/>
              <v:stroke on="f"/>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- 1 -</w:t>
                    </w:r>
                    <w:r>
                      <w:rPr>
                        <w:rFonts w:hint="eastAsia"/>
                        <w:sz w:val="18"/>
                      </w:rP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hint="eastAsia" w:eastAsia="黑体"/>
        <w:szCs w:val="21"/>
      </w:rPr>
    </w:pPr>
    <w:r>
      <mc:AlternateContent>
        <mc:Choice Requires="wps">
          <w:drawing>
            <wp:anchor distT="0" distB="0" distL="114300" distR="114300" simplePos="0" relativeHeight="251711488" behindDoc="0" locked="0" layoutInCell="1" allowOverlap="1">
              <wp:simplePos x="0" y="0"/>
              <wp:positionH relativeFrom="margin">
                <wp:align>center</wp:align>
              </wp:positionH>
              <wp:positionV relativeFrom="paragraph">
                <wp:posOffset>0</wp:posOffset>
              </wp:positionV>
              <wp:extent cx="304800" cy="131445"/>
              <wp:effectExtent l="0" t="0" r="0" b="0"/>
              <wp:wrapNone/>
              <wp:docPr id="486" name="文本框 2066"/>
              <wp:cNvGraphicFramePr/>
              <a:graphic xmlns:a="http://schemas.openxmlformats.org/drawingml/2006/main">
                <a:graphicData uri="http://schemas.microsoft.com/office/word/2010/wordprocessingShape">
                  <wps:wsp>
                    <wps:cNvSpPr txBox="1"/>
                    <wps:spPr>
                      <a:xfrm>
                        <a:off x="0" y="0"/>
                        <a:ext cx="304800" cy="131445"/>
                      </a:xfrm>
                      <a:prstGeom prst="rect">
                        <a:avLst/>
                      </a:prstGeom>
                      <a:noFill/>
                      <a:ln>
                        <a:noFill/>
                      </a:ln>
                    </wps:spPr>
                    <wps:txbx>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- 135 -</w:t>
                          </w:r>
                          <w:r>
                            <w:rPr>
                              <w:rFonts w:hint="eastAsia"/>
                              <w:sz w:val="18"/>
                            </w:rPr>
                            <w:fldChar w:fldCharType="end"/>
                          </w:r>
                        </w:p>
                      </w:txbxContent>
                    </wps:txbx>
                    <wps:bodyPr wrap="none" lIns="0" tIns="0" rIns="0" bIns="0" upright="0">
                      <a:spAutoFit/>
                    </wps:bodyPr>
                  </wps:wsp>
                </a:graphicData>
              </a:graphic>
            </wp:anchor>
          </w:drawing>
        </mc:Choice>
        <mc:Fallback>
          <w:pict>
            <v:shape id="文本框 2066" o:spid="_x0000_s1026" o:spt="202" type="#_x0000_t202" style="position:absolute;left:0pt;margin-top:0pt;height:10.35pt;width:24pt;mso-position-horizontal:center;mso-position-horizontal-relative:margin;mso-wrap-style:none;z-index:251711488;mso-width-relative:page;mso-height-relative:page;" filled="f" stroked="f" coordsize="21600,21600" o:gfxdata="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">
              <v:fill on="f" focussize="0,0"/>
              <v:stroke on="f"/>
              <v:imagedata o:title=""/>
              <o:lock v:ext="edit" aspectratio="f"/>
              <v:textbox inset="0mm,0mm,0mm,0mm" style="mso-fit-shape-to-text:t;">
                <w:txbxContent>
                  <w:p>
                    <w:pPr>
                      <w:snapToGrid w:val="0"/>
                      <w:rPr>
                        <w:rFonts w:hint="eastAsia"/>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- 135 -</w:t>
                    </w:r>
                    <w:r>
                      <w:rPr>
                        <w:rFonts w:hint="eastAsia"/>
                        <w:sz w:val="18"/>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p>
  <w:p>
    <w:pPr>
      <w:pStyle w:val="10"/>
      <w:pBdr>
        <w:bottom w:val="double" w:color="auto" w:sz="8" w:space="1"/>
      </w:pBdr>
      <w:jc w:val="center"/>
      <w:rPr>
        <w:b/>
        <w:bCs/>
        <w:szCs w:val="18"/>
        <w:u w:val="single"/>
      </w:rPr>
    </w:pPr>
    <w:r>
      <w:rPr>
        <w:rFonts w:hint="eastAsia" w:hAnsi="宋体"/>
        <w:szCs w:val="18"/>
        <w:lang w:eastAsia="zh-CN"/>
      </w:rPr>
      <w:t>正阳县鑫鑫向荣大型种猪养殖有限责任公司年出栏1.2万头生猪养殖项目</w:t>
    </w:r>
    <w:r>
      <w:rPr>
        <w:rFonts w:hint="eastAsia" w:hAnsi="宋体"/>
        <w:szCs w:val="18"/>
      </w:rPr>
      <w:t>环境</w:t>
    </w:r>
    <w:r>
      <w:rPr>
        <w:rFonts w:hAnsi="宋体"/>
        <w:szCs w:val="18"/>
      </w:rPr>
      <w:t>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double" w:color="auto" w:sz="8" w:space="1"/>
      </w:pBdr>
      <w:jc w:val="center"/>
      <w:rPr>
        <w:b/>
        <w:bCs/>
        <w:szCs w:val="18"/>
        <w:u w:val="single"/>
      </w:rPr>
    </w:pPr>
    <w:r>
      <w:rPr>
        <w:rFonts w:hint="eastAsia" w:hAnsi="宋体"/>
        <w:szCs w:val="18"/>
        <w:lang w:eastAsia="zh-CN"/>
      </w:rPr>
      <w:t>正阳县鑫鑫向荣大型种猪养殖有限责任公司年出栏1.2万头生猪养殖项目</w:t>
    </w:r>
    <w:r>
      <w:rPr>
        <w:rFonts w:hint="eastAsia" w:hAnsi="宋体"/>
        <w:szCs w:val="18"/>
      </w:rPr>
      <w:t>环境</w:t>
    </w:r>
    <w:r>
      <w:rPr>
        <w:rFonts w:hAnsi="宋体"/>
        <w:szCs w:val="18"/>
      </w:rPr>
      <w:t>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p>
  <w:p>
    <w:pPr>
      <w:pStyle w:val="10"/>
      <w:pBdr>
        <w:bottom w:val="double" w:color="auto" w:sz="8" w:space="1"/>
      </w:pBdr>
      <w:jc w:val="center"/>
      <w:rPr>
        <w:b/>
        <w:bCs/>
        <w:szCs w:val="18"/>
        <w:u w:val="single"/>
      </w:rPr>
    </w:pPr>
    <w:r>
      <w:rPr>
        <w:rFonts w:hint="eastAsia" w:hAnsi="宋体"/>
        <w:szCs w:val="18"/>
        <w:lang w:eastAsia="zh-CN"/>
      </w:rPr>
      <w:t>正阳县鑫鑫向荣大型种猪养殖有限责任公司年出栏1.2万头生猪养殖项目</w:t>
    </w:r>
    <w:r>
      <w:rPr>
        <w:rFonts w:hint="eastAsia" w:hAnsi="宋体"/>
        <w:szCs w:val="18"/>
      </w:rPr>
      <w:t>环境</w:t>
    </w:r>
    <w:r>
      <w:rPr>
        <w:rFonts w:hAnsi="宋体"/>
        <w:szCs w:val="18"/>
      </w:rPr>
      <w:t>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p>
  <w:p>
    <w:pPr>
      <w:pStyle w:val="10"/>
      <w:pBdr>
        <w:bottom w:val="double" w:color="auto" w:sz="8" w:space="1"/>
      </w:pBdr>
      <w:jc w:val="center"/>
      <w:rPr>
        <w:b/>
        <w:bCs/>
        <w:szCs w:val="18"/>
        <w:u w:val="single"/>
      </w:rPr>
    </w:pPr>
    <w:r>
      <w:rPr>
        <w:rFonts w:hint="eastAsia" w:hAnsi="宋体"/>
        <w:szCs w:val="18"/>
        <w:lang w:eastAsia="zh-CN"/>
      </w:rPr>
      <w:t>正阳县鑫鑫向荣大型种猪养殖有限责任公司年出栏1.2万头生猪养殖项目</w:t>
    </w:r>
    <w:r>
      <w:rPr>
        <w:rFonts w:hint="eastAsia" w:hAnsi="宋体"/>
        <w:szCs w:val="18"/>
      </w:rPr>
      <w:t>环境</w:t>
    </w:r>
    <w:r>
      <w:rPr>
        <w:rFonts w:hAnsi="宋体"/>
        <w:szCs w:val="18"/>
      </w:rPr>
      <w:t>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p>
  <w:p>
    <w:pPr>
      <w:pStyle w:val="10"/>
      <w:pBdr>
        <w:bottom w:val="double" w:color="auto" w:sz="8" w:space="1"/>
      </w:pBdr>
      <w:jc w:val="center"/>
      <w:rPr>
        <w:b/>
        <w:bCs/>
        <w:szCs w:val="18"/>
        <w:u w:val="single"/>
      </w:rPr>
    </w:pPr>
    <w:r>
      <w:rPr>
        <w:rFonts w:hint="eastAsia" w:hAnsi="宋体"/>
        <w:szCs w:val="18"/>
        <w:lang w:eastAsia="zh-CN"/>
      </w:rPr>
      <w:t>正阳县鑫鑫向荣大型种猪养殖有限责任公司年出栏1.2万头生猪养殖项目</w:t>
    </w:r>
    <w:r>
      <w:rPr>
        <w:rFonts w:hint="eastAsia" w:hAnsi="宋体"/>
        <w:szCs w:val="18"/>
      </w:rPr>
      <w:t>环境</w:t>
    </w:r>
    <w:r>
      <w:rPr>
        <w:rFonts w:hAnsi="宋体"/>
        <w:szCs w:val="18"/>
      </w:rPr>
      <w:t>影响报告书</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p>
  <w:p>
    <w:pPr>
      <w:pStyle w:val="10"/>
      <w:pBdr>
        <w:bottom w:val="double" w:color="auto" w:sz="8" w:space="1"/>
      </w:pBdr>
      <w:jc w:val="center"/>
      <w:rPr>
        <w:b/>
        <w:bCs/>
        <w:szCs w:val="18"/>
        <w:u w:val="single"/>
      </w:rPr>
    </w:pPr>
    <w:r>
      <w:rPr>
        <w:rFonts w:hint="eastAsia" w:hAnsi="宋体"/>
        <w:szCs w:val="18"/>
        <w:lang w:eastAsia="zh-CN"/>
      </w:rPr>
      <w:t>正阳县鑫鑫向荣大型种猪养殖有限责任公司年出栏1.2万头生猪养殖项目</w:t>
    </w:r>
    <w:r>
      <w:rPr>
        <w:rFonts w:hint="eastAsia" w:hAnsi="宋体"/>
        <w:szCs w:val="18"/>
      </w:rPr>
      <w:t>环境</w:t>
    </w:r>
    <w:r>
      <w:rPr>
        <w:rFonts w:hAnsi="宋体"/>
        <w:szCs w:val="18"/>
      </w:rPr>
      <w:t>影响报告书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p>
  <w:p>
    <w:pPr>
      <w:pStyle w:val="10"/>
      <w:pBdr>
        <w:bottom w:val="double" w:color="auto" w:sz="8" w:space="1"/>
      </w:pBdr>
      <w:jc w:val="center"/>
      <w:rPr>
        <w:rFonts w:hint="eastAsia"/>
        <w:b/>
        <w:bCs/>
        <w:szCs w:val="18"/>
        <w:u w:val="single"/>
        <w:lang w:eastAsia="zh-CN"/>
      </w:rPr>
    </w:pPr>
    <w:r>
      <w:rPr>
        <w:rFonts w:hint="eastAsia" w:hAnsi="宋体"/>
        <w:szCs w:val="18"/>
        <w:lang w:eastAsia="zh-CN"/>
      </w:rPr>
      <w:t>正阳县鑫鑫向荣大型种猪养殖有限责任公司年出栏1.2万头生猪养殖项目</w:t>
    </w:r>
    <w:r>
      <w:rPr>
        <w:rFonts w:hint="eastAsia" w:hAnsi="宋体"/>
        <w:szCs w:val="18"/>
      </w:rPr>
      <w:t>环境</w:t>
    </w:r>
    <w:r>
      <w:rPr>
        <w:rFonts w:hAnsi="宋体"/>
        <w:szCs w:val="18"/>
      </w:rPr>
      <w:t>影响报告书</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p>
  <w:p>
    <w:pPr>
      <w:pStyle w:val="10"/>
      <w:pBdr>
        <w:bottom w:val="double" w:color="auto" w:sz="8" w:space="1"/>
      </w:pBdr>
      <w:jc w:val="center"/>
      <w:rPr>
        <w:b/>
        <w:bCs/>
        <w:szCs w:val="18"/>
        <w:u w:val="single"/>
      </w:rPr>
    </w:pPr>
    <w:r>
      <w:rPr>
        <w:rFonts w:hint="eastAsia"/>
        <w:szCs w:val="18"/>
      </w:rPr>
      <w:t>正阳</w:t>
    </w:r>
    <w:r>
      <w:rPr>
        <w:szCs w:val="18"/>
      </w:rPr>
      <w:t>牧原农牧有限公司</w:t>
    </w:r>
    <w:r>
      <w:rPr>
        <w:rFonts w:hint="eastAsia"/>
        <w:szCs w:val="18"/>
      </w:rPr>
      <w:t>正阳五场</w:t>
    </w:r>
    <w:r>
      <w:rPr>
        <w:szCs w:val="18"/>
      </w:rPr>
      <w:t>生猪养殖项目</w:t>
    </w:r>
    <w:r>
      <w:rPr>
        <w:rFonts w:hint="eastAsia" w:hAnsi="宋体"/>
        <w:szCs w:val="18"/>
      </w:rPr>
      <w:t>环境</w:t>
    </w:r>
    <w:r>
      <w:rPr>
        <w:rFonts w:hAnsi="宋体"/>
        <w:szCs w:val="18"/>
      </w:rPr>
      <w:t>影响报告书</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pPr>
  </w:p>
  <w:p>
    <w:pPr>
      <w:pStyle w:val="10"/>
      <w:pBdr>
        <w:bottom w:val="double" w:color="auto" w:sz="8" w:space="1"/>
      </w:pBdr>
      <w:jc w:val="center"/>
      <w:rPr>
        <w:b/>
        <w:bCs/>
        <w:szCs w:val="18"/>
        <w:u w:val="single"/>
      </w:rPr>
    </w:pPr>
    <w:r>
      <w:rPr>
        <w:rFonts w:hint="eastAsia" w:hAnsi="宋体"/>
        <w:szCs w:val="18"/>
        <w:lang w:eastAsia="zh-CN"/>
      </w:rPr>
      <w:t>正阳县鑫鑫向荣大型种猪养殖有限责任公司年出栏1.2万头生猪养殖项目</w:t>
    </w:r>
    <w:r>
      <w:rPr>
        <w:rFonts w:hint="eastAsia" w:hAnsi="宋体"/>
        <w:szCs w:val="18"/>
      </w:rPr>
      <w:t>环境</w:t>
    </w:r>
    <w:r>
      <w:rPr>
        <w:rFonts w:hAnsi="宋体"/>
        <w:szCs w:val="18"/>
      </w:rPr>
      <w:t>影响报告书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70C22BD"/>
    <w:multiLevelType w:val="singleLevel"/>
    <w:tmpl w:val="970C22BD"/>
    <w:lvl w:ilvl="0" w:tentative="0">
      <w:start w:val="1"/>
      <w:numFmt w:val="decimal"/>
      <w:suff w:val="nothing"/>
      <w:lvlText w:val="（%1）"/>
      <w:lvlJc w:val="left"/>
    </w:lvl>
  </w:abstractNum>
  <w:abstractNum w:abstractNumId="1">
    <w:nsid w:val="FFFFFFFB"/>
    <w:multiLevelType w:val="multilevel"/>
    <w:tmpl w:val="FFFFFFFB"/>
    <w:lvl w:ilvl="0" w:tentative="0">
      <w:start w:val="5"/>
      <w:numFmt w:val="decimal"/>
      <w:lvlText w:val="%1."/>
      <w:legacy w:legacy="1" w:legacySpace="144" w:legacyIndent="0"/>
      <w:lvlJc w:val="left"/>
    </w:lvl>
    <w:lvl w:ilvl="1" w:tentative="0">
      <w:start w:val="1"/>
      <w:numFmt w:val="decimal"/>
      <w:lvlText w:val="%1.%2"/>
      <w:legacy w:legacy="1" w:legacySpace="144" w:legacyIndent="0"/>
      <w:lvlJc w:val="left"/>
    </w:lvl>
    <w:lvl w:ilvl="2" w:tentative="0">
      <w:start w:val="1"/>
      <w:numFmt w:val="decimal"/>
      <w:lvlText w:val="%1.%2.%3"/>
      <w:legacy w:legacy="1" w:legacySpace="144" w:legacyIndent="0"/>
      <w:lvlJc w:val="left"/>
    </w:lvl>
    <w:lvl w:ilvl="3" w:tentative="0">
      <w:start w:val="1"/>
      <w:numFmt w:val="decimal"/>
      <w:lvlText w:val="%1.%2.%3.%4"/>
      <w:legacy w:legacy="1" w:legacySpace="144" w:legacyIndent="0"/>
      <w:lvlJc w:val="left"/>
    </w:lvl>
    <w:lvl w:ilvl="4" w:tentative="0">
      <w:start w:val="1"/>
      <w:numFmt w:val="decimal"/>
      <w:pStyle w:val="4"/>
      <w:lvlText w:val="%1.%2.%3.%4.%5"/>
      <w:legacy w:legacy="1" w:legacySpace="144" w:legacyIndent="0"/>
      <w:lvlJc w:val="left"/>
    </w:lvl>
    <w:lvl w:ilvl="5" w:tentative="0">
      <w:start w:val="1"/>
      <w:numFmt w:val="decimal"/>
      <w:lvlText w:val="%1.%2.%3.%4.%5.%6"/>
      <w:legacy w:legacy="1" w:legacySpace="144" w:legacyIndent="0"/>
      <w:lvlJc w:val="left"/>
    </w:lvl>
    <w:lvl w:ilvl="6" w:tentative="0">
      <w:start w:val="1"/>
      <w:numFmt w:val="decimal"/>
      <w:lvlText w:val="%1.%2.%3.%4.%5.%6.%7"/>
      <w:legacy w:legacy="1" w:legacySpace="144" w:legacyIndent="0"/>
      <w:lvlJc w:val="left"/>
    </w:lvl>
    <w:lvl w:ilvl="7" w:tentative="0">
      <w:start w:val="1"/>
      <w:numFmt w:val="decimal"/>
      <w:lvlText w:val="%1.%2.%3.%4.%5.%6.%7.%8"/>
      <w:legacy w:legacy="1" w:legacySpace="144" w:legacyIndent="0"/>
      <w:lvlJc w:val="left"/>
    </w:lvl>
    <w:lvl w:ilvl="8" w:tentative="0">
      <w:start w:val="1"/>
      <w:numFmt w:val="decimal"/>
      <w:lvlText w:val="%1.%2.%3.%4.%5.%6.%7.%8.%9"/>
      <w:legacy w:legacy="1" w:legacySpace="144" w:legacyIndent="0"/>
      <w:lvlJc w:val="left"/>
    </w:lvl>
  </w:abstractNum>
  <w:abstractNum w:abstractNumId="2">
    <w:nsid w:val="0000000B"/>
    <w:multiLevelType w:val="singleLevel"/>
    <w:tmpl w:val="0000000B"/>
    <w:lvl w:ilvl="0" w:tentative="0">
      <w:start w:val="3"/>
      <w:numFmt w:val="decimal"/>
      <w:suff w:val="nothing"/>
      <w:lvlText w:val="（%1）"/>
      <w:lvlJc w:val="left"/>
      <w:rPr>
        <w:rFonts w:cs="Times New Roman"/>
        <w:color w:val="auto"/>
      </w:rPr>
    </w:lvl>
  </w:abstractNum>
  <w:abstractNum w:abstractNumId="3">
    <w:nsid w:val="4CFF25FC"/>
    <w:multiLevelType w:val="multilevel"/>
    <w:tmpl w:val="4CFF25FC"/>
    <w:lvl w:ilvl="0" w:tentative="0">
      <w:start w:val="1"/>
      <w:numFmt w:val="decimal"/>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63335C8E"/>
    <w:multiLevelType w:val="multilevel"/>
    <w:tmpl w:val="63335C8E"/>
    <w:lvl w:ilvl="0" w:tentative="0">
      <w:start w:val="1"/>
      <w:numFmt w:val="decimalEnclosedCircle"/>
      <w:lvlText w:val="%1"/>
      <w:lvlJc w:val="left"/>
      <w:pPr>
        <w:ind w:left="927" w:hanging="360"/>
      </w:pPr>
      <w:rPr>
        <w:rFonts w:hint="default" w:ascii="宋体" w:hAnsi="宋体" w:cs="宋体"/>
      </w:rPr>
    </w:lvl>
    <w:lvl w:ilvl="1" w:tentative="0">
      <w:start w:val="1"/>
      <w:numFmt w:val="lowerLetter"/>
      <w:lvlText w:val="%2)"/>
      <w:lvlJc w:val="left"/>
      <w:pPr>
        <w:ind w:left="1296" w:hanging="420"/>
      </w:pPr>
    </w:lvl>
    <w:lvl w:ilvl="2" w:tentative="0">
      <w:start w:val="1"/>
      <w:numFmt w:val="lowerRoman"/>
      <w:lvlText w:val="%3."/>
      <w:lvlJc w:val="right"/>
      <w:pPr>
        <w:ind w:left="1716" w:hanging="420"/>
      </w:pPr>
    </w:lvl>
    <w:lvl w:ilvl="3" w:tentative="0">
      <w:start w:val="1"/>
      <w:numFmt w:val="decimal"/>
      <w:lvlText w:val="%4."/>
      <w:lvlJc w:val="left"/>
      <w:pPr>
        <w:ind w:left="2136" w:hanging="420"/>
      </w:pPr>
    </w:lvl>
    <w:lvl w:ilvl="4" w:tentative="0">
      <w:start w:val="1"/>
      <w:numFmt w:val="lowerLetter"/>
      <w:lvlText w:val="%5)"/>
      <w:lvlJc w:val="left"/>
      <w:pPr>
        <w:ind w:left="2556" w:hanging="420"/>
      </w:pPr>
    </w:lvl>
    <w:lvl w:ilvl="5" w:tentative="0">
      <w:start w:val="1"/>
      <w:numFmt w:val="lowerRoman"/>
      <w:lvlText w:val="%6."/>
      <w:lvlJc w:val="right"/>
      <w:pPr>
        <w:ind w:left="2976" w:hanging="420"/>
      </w:pPr>
    </w:lvl>
    <w:lvl w:ilvl="6" w:tentative="0">
      <w:start w:val="1"/>
      <w:numFmt w:val="decimal"/>
      <w:lvlText w:val="%7."/>
      <w:lvlJc w:val="left"/>
      <w:pPr>
        <w:ind w:left="3396" w:hanging="420"/>
      </w:pPr>
    </w:lvl>
    <w:lvl w:ilvl="7" w:tentative="0">
      <w:start w:val="1"/>
      <w:numFmt w:val="lowerLetter"/>
      <w:lvlText w:val="%8)"/>
      <w:lvlJc w:val="left"/>
      <w:pPr>
        <w:ind w:left="3816" w:hanging="420"/>
      </w:pPr>
    </w:lvl>
    <w:lvl w:ilvl="8" w:tentative="0">
      <w:start w:val="1"/>
      <w:numFmt w:val="lowerRoman"/>
      <w:lvlText w:val="%9."/>
      <w:lvlJc w:val="right"/>
      <w:pPr>
        <w:ind w:left="4236" w:hanging="420"/>
      </w:pPr>
    </w:lvl>
  </w:abstractNum>
  <w:abstractNum w:abstractNumId="5">
    <w:nsid w:val="6691C2CE"/>
    <w:multiLevelType w:val="singleLevel"/>
    <w:tmpl w:val="6691C2CE"/>
    <w:lvl w:ilvl="0" w:tentative="0">
      <w:start w:val="1"/>
      <w:numFmt w:val="decimal"/>
      <w:suff w:val="nothing"/>
      <w:lvlText w:val="（%1）"/>
      <w:lvlJc w:val="left"/>
    </w:lvl>
  </w:abstractNum>
  <w:abstractNum w:abstractNumId="6">
    <w:nsid w:val="76B439A5"/>
    <w:multiLevelType w:val="multilevel"/>
    <w:tmpl w:val="76B439A5"/>
    <w:lvl w:ilvl="0" w:tentative="0">
      <w:start w:val="1"/>
      <w:numFmt w:val="decimalEnclosedCircle"/>
      <w:lvlText w:val="%1"/>
      <w:lvlJc w:val="left"/>
      <w:pPr>
        <w:ind w:left="1069" w:hanging="360"/>
      </w:pPr>
      <w:rPr>
        <w:rFonts w:hint="default" w:ascii="宋体" w:hAnsi="宋体" w:cs="宋体"/>
      </w:rPr>
    </w:lvl>
    <w:lvl w:ilvl="1" w:tentative="0">
      <w:start w:val="1"/>
      <w:numFmt w:val="lowerLetter"/>
      <w:lvlText w:val="%2)"/>
      <w:lvlJc w:val="left"/>
      <w:pPr>
        <w:ind w:left="1296" w:hanging="420"/>
      </w:pPr>
    </w:lvl>
    <w:lvl w:ilvl="2" w:tentative="0">
      <w:start w:val="1"/>
      <w:numFmt w:val="lowerRoman"/>
      <w:lvlText w:val="%3."/>
      <w:lvlJc w:val="right"/>
      <w:pPr>
        <w:ind w:left="1716" w:hanging="420"/>
      </w:pPr>
    </w:lvl>
    <w:lvl w:ilvl="3" w:tentative="0">
      <w:start w:val="1"/>
      <w:numFmt w:val="decimal"/>
      <w:lvlText w:val="%4."/>
      <w:lvlJc w:val="left"/>
      <w:pPr>
        <w:ind w:left="2136" w:hanging="420"/>
      </w:pPr>
    </w:lvl>
    <w:lvl w:ilvl="4" w:tentative="0">
      <w:start w:val="1"/>
      <w:numFmt w:val="lowerLetter"/>
      <w:lvlText w:val="%5)"/>
      <w:lvlJc w:val="left"/>
      <w:pPr>
        <w:ind w:left="2556" w:hanging="420"/>
      </w:pPr>
    </w:lvl>
    <w:lvl w:ilvl="5" w:tentative="0">
      <w:start w:val="1"/>
      <w:numFmt w:val="lowerRoman"/>
      <w:lvlText w:val="%6."/>
      <w:lvlJc w:val="right"/>
      <w:pPr>
        <w:ind w:left="2976" w:hanging="420"/>
      </w:pPr>
    </w:lvl>
    <w:lvl w:ilvl="6" w:tentative="0">
      <w:start w:val="1"/>
      <w:numFmt w:val="decimal"/>
      <w:lvlText w:val="%7."/>
      <w:lvlJc w:val="left"/>
      <w:pPr>
        <w:ind w:left="3396" w:hanging="420"/>
      </w:pPr>
    </w:lvl>
    <w:lvl w:ilvl="7" w:tentative="0">
      <w:start w:val="1"/>
      <w:numFmt w:val="lowerLetter"/>
      <w:lvlText w:val="%8)"/>
      <w:lvlJc w:val="left"/>
      <w:pPr>
        <w:ind w:left="3816" w:hanging="420"/>
      </w:pPr>
    </w:lvl>
    <w:lvl w:ilvl="8" w:tentative="0">
      <w:start w:val="1"/>
      <w:numFmt w:val="lowerRoman"/>
      <w:lvlText w:val="%9."/>
      <w:lvlJc w:val="right"/>
      <w:pPr>
        <w:ind w:left="4236" w:hanging="420"/>
      </w:pPr>
    </w:lvl>
  </w:abstractNum>
  <w:num w:numId="1">
    <w:abstractNumId w:val="1"/>
  </w:num>
  <w:num w:numId="2">
    <w:abstractNumId w:val="0"/>
  </w:num>
  <w:num w:numId="3">
    <w:abstractNumId w:val="2"/>
  </w:num>
  <w:num w:numId="4">
    <w:abstractNumId w:val="4"/>
  </w:num>
  <w:num w:numId="5">
    <w:abstractNumId w:val="5"/>
  </w:num>
  <w:num w:numId="6">
    <w:abstractNumId w:val="3"/>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5994"/>
    <w:rsid w:val="0006591F"/>
    <w:rsid w:val="000F2670"/>
    <w:rsid w:val="001109FC"/>
    <w:rsid w:val="001F21DD"/>
    <w:rsid w:val="001F25E3"/>
    <w:rsid w:val="002A430F"/>
    <w:rsid w:val="002F0478"/>
    <w:rsid w:val="00363291"/>
    <w:rsid w:val="0036763A"/>
    <w:rsid w:val="004116B2"/>
    <w:rsid w:val="004C5CBF"/>
    <w:rsid w:val="005E63FD"/>
    <w:rsid w:val="00665285"/>
    <w:rsid w:val="00774299"/>
    <w:rsid w:val="008713C5"/>
    <w:rsid w:val="008C2CCE"/>
    <w:rsid w:val="00935994"/>
    <w:rsid w:val="00972FD7"/>
    <w:rsid w:val="00B03F0D"/>
    <w:rsid w:val="00B61484"/>
    <w:rsid w:val="00CF0320"/>
    <w:rsid w:val="00DC3C45"/>
    <w:rsid w:val="00E46603"/>
    <w:rsid w:val="00EA6E37"/>
    <w:rsid w:val="03DF57E1"/>
    <w:rsid w:val="059161B2"/>
    <w:rsid w:val="06C87236"/>
    <w:rsid w:val="0EA303AF"/>
    <w:rsid w:val="101B58D5"/>
    <w:rsid w:val="14FC5B3E"/>
    <w:rsid w:val="15D40505"/>
    <w:rsid w:val="191C74A2"/>
    <w:rsid w:val="1E0D0675"/>
    <w:rsid w:val="320E028A"/>
    <w:rsid w:val="32F25C17"/>
    <w:rsid w:val="361E533D"/>
    <w:rsid w:val="3AF95183"/>
    <w:rsid w:val="3BB40EB4"/>
    <w:rsid w:val="4604376C"/>
    <w:rsid w:val="59E713AD"/>
    <w:rsid w:val="61742778"/>
    <w:rsid w:val="61CD43FB"/>
    <w:rsid w:val="70FF5B1E"/>
    <w:rsid w:val="73A41231"/>
    <w:rsid w:val="741A6D7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semiHidden="0"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nhideWhenUsed="0" w:uiPriority="0" w:semiHidden="0" w:name="Body Text First Indent 2"/>
    <w:lsdException w:uiPriority="99" w:name="Note Heading"/>
    <w:lsdException w:qFormat="1" w:unhideWhenUsed="0" w:uiPriority="0" w:semiHidden="0"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3"/>
    <w:basedOn w:val="1"/>
    <w:next w:val="1"/>
    <w:qFormat/>
    <w:uiPriority w:val="0"/>
    <w:pPr>
      <w:keepNext/>
      <w:keepLines/>
      <w:spacing w:before="260" w:beforeLines="0" w:after="260" w:afterLines="0" w:line="416" w:lineRule="auto"/>
      <w:outlineLvl w:val="2"/>
    </w:pPr>
    <w:rPr>
      <w:rFonts w:ascii="Times New Roman" w:eastAsia="宋体"/>
      <w:b/>
      <w:bCs/>
      <w:spacing w:val="0"/>
      <w:kern w:val="2"/>
      <w:sz w:val="32"/>
      <w:szCs w:val="32"/>
    </w:rPr>
  </w:style>
  <w:style w:type="paragraph" w:styleId="3">
    <w:name w:val="heading 4"/>
    <w:basedOn w:val="1"/>
    <w:next w:val="1"/>
    <w:qFormat/>
    <w:uiPriority w:val="0"/>
    <w:pPr>
      <w:keepNext/>
      <w:keepLines/>
      <w:spacing w:before="280" w:after="290" w:line="376" w:lineRule="auto"/>
      <w:outlineLvl w:val="3"/>
    </w:pPr>
    <w:rPr>
      <w:rFonts w:hAnsi="Arial" w:eastAsia="黑体"/>
      <w:b/>
      <w:bCs/>
      <w:spacing w:val="0"/>
      <w:kern w:val="2"/>
      <w:szCs w:val="28"/>
    </w:rPr>
  </w:style>
  <w:style w:type="paragraph" w:styleId="4">
    <w:name w:val="heading 5"/>
    <w:basedOn w:val="1"/>
    <w:next w:val="1"/>
    <w:qFormat/>
    <w:uiPriority w:val="0"/>
    <w:pPr>
      <w:keepNext/>
      <w:keepLines/>
      <w:numPr>
        <w:ilvl w:val="4"/>
        <w:numId w:val="1"/>
      </w:numPr>
      <w:adjustRightInd w:val="0"/>
      <w:spacing w:before="280" w:after="290" w:line="376" w:lineRule="atLeast"/>
      <w:jc w:val="left"/>
      <w:textAlignment w:val="baseline"/>
      <w:outlineLvl w:val="4"/>
    </w:pPr>
    <w:rPr>
      <w:b/>
      <w:kern w:val="0"/>
      <w:sz w:val="28"/>
      <w:szCs w:val="20"/>
    </w:rPr>
  </w:style>
  <w:style w:type="character" w:default="1" w:styleId="18">
    <w:name w:val="Default Paragraph Font"/>
    <w:semiHidden/>
    <w:unhideWhenUsed/>
    <w:qFormat/>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5">
    <w:name w:val="annotation text"/>
    <w:basedOn w:val="1"/>
    <w:qFormat/>
    <w:uiPriority w:val="0"/>
    <w:pPr>
      <w:jc w:val="left"/>
    </w:pPr>
  </w:style>
  <w:style w:type="paragraph" w:styleId="6">
    <w:name w:val="Body Text"/>
    <w:basedOn w:val="1"/>
    <w:qFormat/>
    <w:uiPriority w:val="0"/>
    <w:pPr>
      <w:spacing w:after="120"/>
    </w:pPr>
  </w:style>
  <w:style w:type="paragraph" w:styleId="7">
    <w:name w:val="Body Text Indent"/>
    <w:basedOn w:val="1"/>
    <w:qFormat/>
    <w:uiPriority w:val="0"/>
    <w:pPr>
      <w:spacing w:after="120"/>
      <w:ind w:left="420" w:leftChars="200"/>
    </w:pPr>
  </w:style>
  <w:style w:type="paragraph" w:styleId="8">
    <w:name w:val="Balloon Text"/>
    <w:basedOn w:val="1"/>
    <w:link w:val="22"/>
    <w:semiHidden/>
    <w:unhideWhenUsed/>
    <w:qFormat/>
    <w:uiPriority w:val="99"/>
    <w:rPr>
      <w:sz w:val="18"/>
      <w:szCs w:val="18"/>
    </w:rPr>
  </w:style>
  <w:style w:type="paragraph" w:styleId="9">
    <w:name w:val="footer"/>
    <w:basedOn w:val="1"/>
    <w:link w:val="21"/>
    <w:semiHidden/>
    <w:unhideWhenUsed/>
    <w:qFormat/>
    <w:uiPriority w:val="99"/>
    <w:pPr>
      <w:tabs>
        <w:tab w:val="center" w:pos="4153"/>
        <w:tab w:val="right" w:pos="8306"/>
      </w:tabs>
      <w:snapToGrid w:val="0"/>
      <w:jc w:val="left"/>
    </w:pPr>
    <w:rPr>
      <w:sz w:val="18"/>
      <w:szCs w:val="18"/>
    </w:rPr>
  </w:style>
  <w:style w:type="paragraph" w:styleId="10">
    <w:name w:val="header"/>
    <w:basedOn w:val="1"/>
    <w:link w:val="20"/>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11">
    <w:name w:val="toc 1"/>
    <w:basedOn w:val="1"/>
    <w:next w:val="1"/>
    <w:qFormat/>
    <w:uiPriority w:val="39"/>
    <w:pPr>
      <w:tabs>
        <w:tab w:val="right" w:leader="hyphen" w:pos="8720"/>
      </w:tabs>
      <w:spacing w:line="440" w:lineRule="exact"/>
      <w:jc w:val="left"/>
    </w:pPr>
    <w:rPr>
      <w:rFonts w:ascii="宋体" w:hAnsi="宋体" w:eastAsia="宋体" w:cs="宋体"/>
      <w:b/>
      <w:bCs/>
      <w:caps/>
      <w:kern w:val="0"/>
      <w:sz w:val="24"/>
    </w:rPr>
  </w:style>
  <w:style w:type="paragraph" w:styleId="12">
    <w:name w:val="toc 2"/>
    <w:basedOn w:val="1"/>
    <w:next w:val="1"/>
    <w:qFormat/>
    <w:uiPriority w:val="39"/>
    <w:pPr>
      <w:ind w:left="420" w:leftChars="200"/>
    </w:pPr>
  </w:style>
  <w:style w:type="paragraph" w:styleId="13">
    <w:name w:val="Body Text 2"/>
    <w:basedOn w:val="1"/>
    <w:qFormat/>
    <w:uiPriority w:val="0"/>
    <w:pPr>
      <w:spacing w:after="120" w:afterLines="0" w:line="480" w:lineRule="auto"/>
    </w:pPr>
    <w:rPr>
      <w:rFonts w:ascii="Times New Roman" w:hAnsi="Times New Roman" w:eastAsia="宋体" w:cs="Times New Roman"/>
      <w:szCs w:val="24"/>
    </w:rPr>
  </w:style>
  <w:style w:type="paragraph" w:styleId="14">
    <w:name w:val="Normal (Web)"/>
    <w:basedOn w:val="1"/>
    <w:qFormat/>
    <w:uiPriority w:val="0"/>
    <w:pPr>
      <w:widowControl/>
      <w:spacing w:before="100" w:beforeLines="0" w:beforeAutospacing="1" w:after="100" w:afterLines="0" w:afterAutospacing="1" w:line="360" w:lineRule="atLeast"/>
      <w:jc w:val="left"/>
    </w:pPr>
    <w:rPr>
      <w:rFonts w:ascii="Arial Unicode MS" w:hAnsi="Arial Unicode MS" w:eastAsia="Arial Unicode MS" w:cs="Arial Unicode MS"/>
      <w:color w:val="000000"/>
      <w:kern w:val="0"/>
      <w:sz w:val="24"/>
    </w:rPr>
  </w:style>
  <w:style w:type="paragraph" w:styleId="15">
    <w:name w:val="Title"/>
    <w:basedOn w:val="1"/>
    <w:next w:val="1"/>
    <w:qFormat/>
    <w:uiPriority w:val="0"/>
    <w:pPr>
      <w:spacing w:before="240" w:after="60"/>
      <w:jc w:val="center"/>
      <w:outlineLvl w:val="0"/>
    </w:pPr>
    <w:rPr>
      <w:rFonts w:ascii="Calibri Light" w:hAnsi="Calibri Light"/>
      <w:b/>
      <w:bCs/>
      <w:spacing w:val="-6"/>
      <w:kern w:val="0"/>
      <w:sz w:val="32"/>
      <w:szCs w:val="32"/>
    </w:rPr>
  </w:style>
  <w:style w:type="paragraph" w:styleId="16">
    <w:name w:val="Body Text First Indent 2"/>
    <w:basedOn w:val="1"/>
    <w:next w:val="1"/>
    <w:qFormat/>
    <w:uiPriority w:val="0"/>
    <w:pPr>
      <w:ind w:firstLine="420" w:firstLineChars="200"/>
    </w:pPr>
    <w:rPr>
      <w:lang w:val="en-US" w:eastAsia="zh-CN"/>
    </w:rPr>
  </w:style>
  <w:style w:type="character" w:styleId="19">
    <w:name w:val="Hyperlink"/>
    <w:qFormat/>
    <w:uiPriority w:val="99"/>
    <w:rPr>
      <w:color w:val="333333"/>
      <w:u w:val="none"/>
    </w:rPr>
  </w:style>
  <w:style w:type="character" w:customStyle="1" w:styleId="20">
    <w:name w:val="页眉 Char"/>
    <w:basedOn w:val="18"/>
    <w:link w:val="10"/>
    <w:semiHidden/>
    <w:qFormat/>
    <w:uiPriority w:val="99"/>
    <w:rPr>
      <w:sz w:val="18"/>
      <w:szCs w:val="18"/>
    </w:rPr>
  </w:style>
  <w:style w:type="character" w:customStyle="1" w:styleId="21">
    <w:name w:val="页脚 Char"/>
    <w:basedOn w:val="18"/>
    <w:link w:val="9"/>
    <w:semiHidden/>
    <w:qFormat/>
    <w:uiPriority w:val="99"/>
    <w:rPr>
      <w:sz w:val="18"/>
      <w:szCs w:val="18"/>
    </w:rPr>
  </w:style>
  <w:style w:type="character" w:customStyle="1" w:styleId="22">
    <w:name w:val="批注框文本 Char"/>
    <w:basedOn w:val="18"/>
    <w:link w:val="8"/>
    <w:semiHidden/>
    <w:qFormat/>
    <w:uiPriority w:val="99"/>
    <w:rPr>
      <w:sz w:val="18"/>
      <w:szCs w:val="18"/>
    </w:rPr>
  </w:style>
  <w:style w:type="paragraph" w:customStyle="1" w:styleId="23">
    <w:name w:val="格式正文"/>
    <w:basedOn w:val="1"/>
    <w:qFormat/>
    <w:uiPriority w:val="0"/>
    <w:pPr>
      <w:spacing w:line="520" w:lineRule="exact"/>
      <w:ind w:firstLine="200" w:firstLineChars="200"/>
    </w:pPr>
    <w:rPr>
      <w:sz w:val="24"/>
      <w:szCs w:val="20"/>
    </w:rPr>
  </w:style>
  <w:style w:type="paragraph" w:customStyle="1" w:styleId="24">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25">
    <w:name w:val="报告书正文"/>
    <w:basedOn w:val="1"/>
    <w:next w:val="1"/>
    <w:qFormat/>
    <w:uiPriority w:val="0"/>
    <w:pPr>
      <w:spacing w:line="360" w:lineRule="auto"/>
      <w:ind w:firstLine="200" w:firstLineChars="200"/>
    </w:pPr>
    <w:rPr>
      <w:sz w:val="24"/>
    </w:rPr>
  </w:style>
  <w:style w:type="paragraph" w:customStyle="1" w:styleId="26">
    <w:name w:val="文字"/>
    <w:basedOn w:val="1"/>
    <w:qFormat/>
    <w:uiPriority w:val="0"/>
    <w:pPr>
      <w:widowControl/>
      <w:spacing w:after="156" w:afterLines="50" w:line="360" w:lineRule="auto"/>
      <w:ind w:firstLine="420"/>
    </w:pPr>
    <w:rPr>
      <w:kern w:val="0"/>
      <w:sz w:val="24"/>
    </w:rPr>
  </w:style>
  <w:style w:type="paragraph" w:customStyle="1" w:styleId="27">
    <w:name w:val="A 正文"/>
    <w:basedOn w:val="1"/>
    <w:qFormat/>
    <w:uiPriority w:val="0"/>
    <w:pPr>
      <w:spacing w:line="520" w:lineRule="exact"/>
      <w:ind w:firstLine="480" w:firstLineChars="200"/>
    </w:pPr>
    <w:rPr>
      <w:bCs/>
      <w:sz w:val="24"/>
    </w:rPr>
  </w:style>
  <w:style w:type="paragraph" w:customStyle="1" w:styleId="28">
    <w:name w:val="表内内容"/>
    <w:basedOn w:val="1"/>
    <w:qFormat/>
    <w:uiPriority w:val="0"/>
    <w:pPr>
      <w:jc w:val="center"/>
    </w:pPr>
    <w:rPr>
      <w:szCs w:val="21"/>
    </w:rPr>
  </w:style>
  <w:style w:type="paragraph" w:customStyle="1" w:styleId="29">
    <w:name w:val="样式标题5"/>
    <w:basedOn w:val="1"/>
    <w:next w:val="25"/>
    <w:qFormat/>
    <w:uiPriority w:val="0"/>
    <w:pPr>
      <w:spacing w:line="520" w:lineRule="exact"/>
      <w:ind w:firstLine="400"/>
    </w:pPr>
    <w:rPr>
      <w:rFonts w:ascii="Times New Roman" w:hAnsi="Times New Roman"/>
      <w:kern w:val="2"/>
      <w:sz w:val="24"/>
      <w:szCs w:val="24"/>
    </w:rPr>
  </w:style>
  <w:style w:type="paragraph" w:styleId="30">
    <w:name w:val="List Paragraph"/>
    <w:basedOn w:val="1"/>
    <w:qFormat/>
    <w:uiPriority w:val="1"/>
    <w:pPr>
      <w:keepNext w:val="0"/>
      <w:keepLines w:val="0"/>
      <w:widowControl w:val="0"/>
      <w:suppressLineNumbers w:val="0"/>
      <w:spacing w:before="0" w:beforeAutospacing="0" w:after="0" w:afterAutospacing="0"/>
      <w:ind w:left="0" w:right="0" w:firstLine="420" w:firstLineChars="200"/>
      <w:jc w:val="both"/>
    </w:pPr>
    <w:rPr>
      <w:rFonts w:hint="default" w:ascii="Calibri" w:hAnsi="Calibri" w:eastAsia="楷体_GB2312" w:cs="Calibri"/>
      <w:spacing w:val="-6"/>
      <w:kern w:val="0"/>
      <w:sz w:val="28"/>
      <w:szCs w:val="28"/>
      <w:lang w:val="en-US" w:eastAsia="zh-CN" w:bidi="ar"/>
    </w:rPr>
  </w:style>
  <w:style w:type="paragraph" w:customStyle="1" w:styleId="31">
    <w:name w:val="表格文字"/>
    <w:next w:val="6"/>
    <w:qFormat/>
    <w:uiPriority w:val="0"/>
    <w:pPr>
      <w:jc w:val="center"/>
    </w:pPr>
    <w:rPr>
      <w:rFonts w:ascii="Times New Roman" w:hAnsi="Times New Roman" w:eastAsia="楷体_GB2312" w:cs="Times New Roman"/>
      <w:bCs/>
      <w:sz w:val="24"/>
      <w:szCs w:val="22"/>
      <w:lang w:val="en-US" w:eastAsia="zh-CN" w:bidi="ar-SA"/>
    </w:rPr>
  </w:style>
  <w:style w:type="paragraph" w:customStyle="1" w:styleId="32">
    <w:name w:val="样式 意见正文 + 首行缩进:  2 字符2"/>
    <w:basedOn w:val="1"/>
    <w:qFormat/>
    <w:uiPriority w:val="0"/>
    <w:pPr>
      <w:spacing w:line="360" w:lineRule="auto"/>
      <w:ind w:firstLine="200" w:firstLineChars="200"/>
    </w:pPr>
    <w:rPr>
      <w:rFonts w:cs="宋体"/>
      <w:sz w:val="24"/>
      <w:szCs w:val="20"/>
    </w:rPr>
  </w:style>
  <w:style w:type="paragraph" w:customStyle="1" w:styleId="33">
    <w:name w:val="表格"/>
    <w:basedOn w:val="1"/>
    <w:qFormat/>
    <w:uiPriority w:val="0"/>
    <w:pPr>
      <w:keepNext/>
      <w:adjustRightInd w:val="0"/>
      <w:spacing w:line="312" w:lineRule="atLeast"/>
      <w:jc w:val="center"/>
      <w:textAlignment w:val="baseline"/>
    </w:pPr>
    <w:rPr>
      <w:kern w:val="0"/>
      <w:szCs w:val="20"/>
    </w:rPr>
  </w:style>
  <w:style w:type="paragraph" w:customStyle="1" w:styleId="34">
    <w:name w:val="5正文"/>
    <w:qFormat/>
    <w:uiPriority w:val="0"/>
    <w:pPr>
      <w:widowControl w:val="0"/>
      <w:spacing w:line="520" w:lineRule="exact"/>
      <w:ind w:firstLine="200" w:firstLineChars="200"/>
      <w:jc w:val="both"/>
    </w:pPr>
    <w:rPr>
      <w:rFonts w:ascii="Times New Roman" w:hAnsi="Times New Roman" w:eastAsia="宋体" w:cs="Times New Roman"/>
      <w:kern w:val="2"/>
      <w:sz w:val="24"/>
      <w:szCs w:val="22"/>
      <w:lang w:val="en-US" w:eastAsia="zh-CN" w:bidi="ar-SA"/>
    </w:rPr>
  </w:style>
  <w:style w:type="character" w:customStyle="1" w:styleId="35">
    <w:name w:val="font121"/>
    <w:basedOn w:val="18"/>
    <w:qFormat/>
    <w:uiPriority w:val="0"/>
    <w:rPr>
      <w:rFonts w:hint="eastAsia" w:ascii="黑体" w:hAnsi="宋体" w:eastAsia="黑体" w:cs="黑体"/>
      <w:color w:val="000000"/>
      <w:sz w:val="18"/>
      <w:szCs w:val="18"/>
      <w:u w:val="none"/>
    </w:rPr>
  </w:style>
  <w:style w:type="character" w:customStyle="1" w:styleId="36">
    <w:name w:val="font131"/>
    <w:basedOn w:val="18"/>
    <w:qFormat/>
    <w:uiPriority w:val="0"/>
    <w:rPr>
      <w:rFonts w:hint="eastAsia" w:ascii="黑体" w:hAnsi="宋体" w:eastAsia="黑体" w:cs="黑体"/>
      <w:color w:val="000000"/>
      <w:sz w:val="18"/>
      <w:szCs w:val="18"/>
      <w:u w:val="none"/>
      <w:vertAlign w:val="superscript"/>
    </w:rPr>
  </w:style>
  <w:style w:type="character" w:customStyle="1" w:styleId="37">
    <w:name w:val="font81"/>
    <w:basedOn w:val="18"/>
    <w:qFormat/>
    <w:uiPriority w:val="0"/>
    <w:rPr>
      <w:rFonts w:hint="eastAsia" w:ascii="黑体" w:hAnsi="宋体" w:eastAsia="黑体" w:cs="黑体"/>
      <w:color w:val="000000"/>
      <w:sz w:val="18"/>
      <w:szCs w:val="18"/>
      <w:u w:val="none"/>
    </w:rPr>
  </w:style>
</w:styles>
</file>

<file path=word/_rels/document.xml.rels><?xml version="1.0" encoding="UTF-8" standalone="yes"?>
<Relationships xmlns="http://schemas.openxmlformats.org/package/2006/relationships"><Relationship Id="rId97" Type="http://schemas.openxmlformats.org/officeDocument/2006/relationships/fontTable" Target="fontTable.xml"/><Relationship Id="rId96" Type="http://schemas.openxmlformats.org/officeDocument/2006/relationships/numbering" Target="numbering.xml"/><Relationship Id="rId95" Type="http://schemas.openxmlformats.org/officeDocument/2006/relationships/customXml" Target="../customXml/item1.xml"/><Relationship Id="rId94" Type="http://schemas.openxmlformats.org/officeDocument/2006/relationships/image" Target="media/image64.jpeg"/><Relationship Id="rId93" Type="http://schemas.openxmlformats.org/officeDocument/2006/relationships/image" Target="media/image63.jpeg"/><Relationship Id="rId92" Type="http://schemas.openxmlformats.org/officeDocument/2006/relationships/image" Target="media/image62.jpeg"/><Relationship Id="rId91" Type="http://schemas.openxmlformats.org/officeDocument/2006/relationships/image" Target="media/image61.jpeg"/><Relationship Id="rId90" Type="http://schemas.openxmlformats.org/officeDocument/2006/relationships/image" Target="media/image60.jpeg"/><Relationship Id="rId9" Type="http://schemas.openxmlformats.org/officeDocument/2006/relationships/header" Target="header4.xml"/><Relationship Id="rId89" Type="http://schemas.openxmlformats.org/officeDocument/2006/relationships/image" Target="media/image59.jpeg"/><Relationship Id="rId88" Type="http://schemas.openxmlformats.org/officeDocument/2006/relationships/image" Target="media/image58.jpeg"/><Relationship Id="rId87" Type="http://schemas.openxmlformats.org/officeDocument/2006/relationships/image" Target="media/image57.jpeg"/><Relationship Id="rId86" Type="http://schemas.openxmlformats.org/officeDocument/2006/relationships/image" Target="media/image56.jpeg"/><Relationship Id="rId85" Type="http://schemas.openxmlformats.org/officeDocument/2006/relationships/image" Target="media/image55.jpeg"/><Relationship Id="rId84" Type="http://schemas.openxmlformats.org/officeDocument/2006/relationships/image" Target="media/image54.jpeg"/><Relationship Id="rId83" Type="http://schemas.openxmlformats.org/officeDocument/2006/relationships/image" Target="media/image53.jpeg"/><Relationship Id="rId82" Type="http://schemas.openxmlformats.org/officeDocument/2006/relationships/image" Target="media/image52.jpeg"/><Relationship Id="rId81" Type="http://schemas.openxmlformats.org/officeDocument/2006/relationships/image" Target="media/image51.jpeg"/><Relationship Id="rId80" Type="http://schemas.openxmlformats.org/officeDocument/2006/relationships/image" Target="media/image50.jpeg"/><Relationship Id="rId8" Type="http://schemas.openxmlformats.org/officeDocument/2006/relationships/footer" Target="footer3.xml"/><Relationship Id="rId79" Type="http://schemas.openxmlformats.org/officeDocument/2006/relationships/image" Target="media/image49.jpeg"/><Relationship Id="rId78" Type="http://schemas.openxmlformats.org/officeDocument/2006/relationships/image" Target="media/image48.jpeg"/><Relationship Id="rId77" Type="http://schemas.openxmlformats.org/officeDocument/2006/relationships/image" Target="media/image47.jpeg"/><Relationship Id="rId76" Type="http://schemas.openxmlformats.org/officeDocument/2006/relationships/image" Target="media/image46.jpeg"/><Relationship Id="rId75" Type="http://schemas.openxmlformats.org/officeDocument/2006/relationships/image" Target="media/image45.png"/><Relationship Id="rId74" Type="http://schemas.openxmlformats.org/officeDocument/2006/relationships/image" Target="media/image44.jpeg"/><Relationship Id="rId73" Type="http://schemas.openxmlformats.org/officeDocument/2006/relationships/image" Target="media/image43.jpeg"/><Relationship Id="rId72" Type="http://schemas.openxmlformats.org/officeDocument/2006/relationships/image" Target="media/image42.jpeg"/><Relationship Id="rId71" Type="http://schemas.openxmlformats.org/officeDocument/2006/relationships/image" Target="media/image41.jpeg"/><Relationship Id="rId70" Type="http://schemas.openxmlformats.org/officeDocument/2006/relationships/image" Target="media/image40.jpeg"/><Relationship Id="rId7" Type="http://schemas.openxmlformats.org/officeDocument/2006/relationships/header" Target="header3.xml"/><Relationship Id="rId69" Type="http://schemas.openxmlformats.org/officeDocument/2006/relationships/image" Target="media/image39.jpeg"/><Relationship Id="rId68" Type="http://schemas.openxmlformats.org/officeDocument/2006/relationships/image" Target="media/image38.jpeg"/><Relationship Id="rId67" Type="http://schemas.openxmlformats.org/officeDocument/2006/relationships/image" Target="media/image37.jpeg"/><Relationship Id="rId66" Type="http://schemas.openxmlformats.org/officeDocument/2006/relationships/image" Target="media/image36.jpeg"/><Relationship Id="rId65" Type="http://schemas.openxmlformats.org/officeDocument/2006/relationships/image" Target="media/image35.png"/><Relationship Id="rId64" Type="http://schemas.openxmlformats.org/officeDocument/2006/relationships/image" Target="media/image34.jpeg"/><Relationship Id="rId63" Type="http://schemas.openxmlformats.org/officeDocument/2006/relationships/image" Target="media/image33.jpeg"/><Relationship Id="rId62" Type="http://schemas.openxmlformats.org/officeDocument/2006/relationships/image" Target="media/image32.jpeg"/><Relationship Id="rId61" Type="http://schemas.openxmlformats.org/officeDocument/2006/relationships/image" Target="media/image31.emf"/><Relationship Id="rId60" Type="http://schemas.openxmlformats.org/officeDocument/2006/relationships/image" Target="media/image30.png"/><Relationship Id="rId6" Type="http://schemas.openxmlformats.org/officeDocument/2006/relationships/footer" Target="footer2.xml"/><Relationship Id="rId59" Type="http://schemas.openxmlformats.org/officeDocument/2006/relationships/image" Target="media/image29.jpeg"/><Relationship Id="rId58" Type="http://schemas.openxmlformats.org/officeDocument/2006/relationships/image" Target="media/image28.jpeg"/><Relationship Id="rId57" Type="http://schemas.openxmlformats.org/officeDocument/2006/relationships/image" Target="media/image27.png"/><Relationship Id="rId56" Type="http://schemas.openxmlformats.org/officeDocument/2006/relationships/image" Target="media/image26.jpeg"/><Relationship Id="rId55" Type="http://schemas.openxmlformats.org/officeDocument/2006/relationships/image" Target="media/image25.jpeg"/><Relationship Id="rId54" Type="http://schemas.openxmlformats.org/officeDocument/2006/relationships/image" Target="media/image24.wmf"/><Relationship Id="rId53" Type="http://schemas.openxmlformats.org/officeDocument/2006/relationships/oleObject" Target="embeddings/oleObject4.bin"/><Relationship Id="rId52" Type="http://schemas.openxmlformats.org/officeDocument/2006/relationships/image" Target="media/image23.png"/><Relationship Id="rId51" Type="http://schemas.openxmlformats.org/officeDocument/2006/relationships/image" Target="media/image22.jpeg"/><Relationship Id="rId50" Type="http://schemas.openxmlformats.org/officeDocument/2006/relationships/image" Target="media/image21.png"/><Relationship Id="rId5" Type="http://schemas.openxmlformats.org/officeDocument/2006/relationships/header" Target="header2.xml"/><Relationship Id="rId49" Type="http://schemas.openxmlformats.org/officeDocument/2006/relationships/image" Target="media/image20.png"/><Relationship Id="rId48" Type="http://schemas.openxmlformats.org/officeDocument/2006/relationships/image" Target="media/image19.wmf"/><Relationship Id="rId47" Type="http://schemas.openxmlformats.org/officeDocument/2006/relationships/image" Target="media/image18.wmf"/><Relationship Id="rId46" Type="http://schemas.openxmlformats.org/officeDocument/2006/relationships/oleObject" Target="embeddings/oleObject3.bin"/><Relationship Id="rId45" Type="http://schemas.openxmlformats.org/officeDocument/2006/relationships/image" Target="media/image17.wmf"/><Relationship Id="rId44" Type="http://schemas.openxmlformats.org/officeDocument/2006/relationships/oleObject" Target="embeddings/oleObject2.bin"/><Relationship Id="rId43" Type="http://schemas.openxmlformats.org/officeDocument/2006/relationships/image" Target="media/image16.wmf"/><Relationship Id="rId42" Type="http://schemas.openxmlformats.org/officeDocument/2006/relationships/oleObject" Target="embeddings/oleObject1.bin"/><Relationship Id="rId41" Type="http://schemas.openxmlformats.org/officeDocument/2006/relationships/image" Target="media/image15.png"/><Relationship Id="rId40" Type="http://schemas.openxmlformats.org/officeDocument/2006/relationships/image" Target="media/image14.png"/><Relationship Id="rId4" Type="http://schemas.openxmlformats.org/officeDocument/2006/relationships/footer" Target="footer1.xml"/><Relationship Id="rId39" Type="http://schemas.openxmlformats.org/officeDocument/2006/relationships/image" Target="media/image13.png"/><Relationship Id="rId38" Type="http://schemas.openxmlformats.org/officeDocument/2006/relationships/image" Target="media/image12.png"/><Relationship Id="rId37" Type="http://schemas.openxmlformats.org/officeDocument/2006/relationships/image" Target="media/image11.png"/><Relationship Id="rId36" Type="http://schemas.openxmlformats.org/officeDocument/2006/relationships/image" Target="media/image10.png"/><Relationship Id="rId35" Type="http://schemas.openxmlformats.org/officeDocument/2006/relationships/image" Target="media/image9.png"/><Relationship Id="rId34" Type="http://schemas.openxmlformats.org/officeDocument/2006/relationships/image" Target="media/image8.jpeg"/><Relationship Id="rId33" Type="http://schemas.openxmlformats.org/officeDocument/2006/relationships/image" Target="media/image7.jpeg"/><Relationship Id="rId32" Type="http://schemas.openxmlformats.org/officeDocument/2006/relationships/image" Target="media/image6.bmp"/><Relationship Id="rId31" Type="http://schemas.openxmlformats.org/officeDocument/2006/relationships/image" Target="media/image5.png"/><Relationship Id="rId30" Type="http://schemas.openxmlformats.org/officeDocument/2006/relationships/image" Target="media/image4.png"/><Relationship Id="rId3" Type="http://schemas.openxmlformats.org/officeDocument/2006/relationships/header" Target="header1.xml"/><Relationship Id="rId29" Type="http://schemas.openxmlformats.org/officeDocument/2006/relationships/image" Target="media/image3.jpeg"/><Relationship Id="rId28" Type="http://schemas.openxmlformats.org/officeDocument/2006/relationships/image" Target="media/image2.jpeg"/><Relationship Id="rId27" Type="http://schemas.openxmlformats.org/officeDocument/2006/relationships/image" Target="media/image1.jpeg"/><Relationship Id="rId26" Type="http://schemas.openxmlformats.org/officeDocument/2006/relationships/theme" Target="theme/theme1.xml"/><Relationship Id="rId25" Type="http://schemas.openxmlformats.org/officeDocument/2006/relationships/footer" Target="footer14.xml"/><Relationship Id="rId24" Type="http://schemas.openxmlformats.org/officeDocument/2006/relationships/footer" Target="footer13.xml"/><Relationship Id="rId23" Type="http://schemas.openxmlformats.org/officeDocument/2006/relationships/header" Target="header9.xml"/><Relationship Id="rId22" Type="http://schemas.openxmlformats.org/officeDocument/2006/relationships/footer" Target="footer12.xml"/><Relationship Id="rId21" Type="http://schemas.openxmlformats.org/officeDocument/2006/relationships/header" Target="header8.xml"/><Relationship Id="rId20" Type="http://schemas.openxmlformats.org/officeDocument/2006/relationships/footer" Target="footer11.xml"/><Relationship Id="rId2" Type="http://schemas.openxmlformats.org/officeDocument/2006/relationships/settings" Target="settings.xml"/><Relationship Id="rId19" Type="http://schemas.openxmlformats.org/officeDocument/2006/relationships/header" Target="header7.xml"/><Relationship Id="rId18" Type="http://schemas.openxmlformats.org/officeDocument/2006/relationships/footer" Target="footer10.xml"/><Relationship Id="rId17" Type="http://schemas.openxmlformats.org/officeDocument/2006/relationships/header" Target="header6.xml"/><Relationship Id="rId16" Type="http://schemas.openxmlformats.org/officeDocument/2006/relationships/footer" Target="footer9.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footer" Target="footer6.xml"/><Relationship Id="rId12" Type="http://schemas.openxmlformats.org/officeDocument/2006/relationships/footer" Target="footer5.xml"/><Relationship Id="rId11" Type="http://schemas.openxmlformats.org/officeDocument/2006/relationships/header" Target="head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Pages>
  <Words>12</Words>
  <Characters>70</Characters>
  <Lines>1</Lines>
  <Paragraphs>1</Paragraphs>
  <TotalTime>5</TotalTime>
  <ScaleCrop>false</ScaleCrop>
  <LinksUpToDate>false</LinksUpToDate>
  <CharactersWithSpaces>81</CharactersWithSpaces>
  <Application>WPS Office_11.1.0.10667_F1E327BC-269C-435d-A152-05C5408002CA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2020-07-28T06:59:00Z</dcterms:created>
  <dc:creator>Administrator</dc:creator>
  <cp:lastModifiedBy>裴章营</cp:lastModifiedBy>
  <dcterms:modified xsi:type="dcterms:W3CDTF">2021-08-17T07:22:23Z</dcterms:modified>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2052-11.1.0.10667</vt:lpwstr>
  </property>
  <property fmtid="{D5CDD505-2E9C-101B-9397-08002B2CF9AE}" pid="3" name="ICV">
    <vt:lpwstr>437886FB760143E991115F055FEA2359</vt:lpwstr>
  </property>
</Properties>
</file>