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新宋体" w:hAnsi="新宋体" w:eastAsia="新宋体" w:cs="Times New Roman"/>
          <w:b/>
          <w:color w:val="000000" w:themeColor="text1"/>
          <w:sz w:val="28"/>
          <w:szCs w:val="52"/>
          <w14:textFill>
            <w14:solidFill>
              <w14:schemeClr w14:val="tx1"/>
            </w14:solidFill>
          </w14:textFill>
        </w:rPr>
      </w:pPr>
      <w:r>
        <w:rPr>
          <w:rFonts w:hint="eastAsia" w:ascii="新宋体" w:hAnsi="新宋体" w:eastAsia="新宋体" w:cs="Times New Roman"/>
          <w:b/>
          <w:color w:val="000000" w:themeColor="text1"/>
          <w:sz w:val="28"/>
          <w:szCs w:val="52"/>
          <w14:textFill>
            <w14:solidFill>
              <w14:schemeClr w14:val="tx1"/>
            </w14:solidFill>
          </w14:textFill>
        </w:rPr>
        <w:t>江西今飞轮毂有限公司突发环境事件应急预案</w:t>
      </w:r>
    </w:p>
    <w:p>
      <w:pPr>
        <w:snapToGrid w:val="0"/>
        <w:jc w:val="center"/>
        <w:rPr>
          <w:rFonts w:ascii="新宋体" w:hAnsi="新宋体" w:eastAsia="新宋体" w:cs="Times New Roman"/>
          <w:b/>
          <w:color w:val="000000" w:themeColor="text1"/>
          <w:sz w:val="28"/>
          <w:szCs w:val="52"/>
          <w14:textFill>
            <w14:solidFill>
              <w14:schemeClr w14:val="tx1"/>
            </w14:solidFill>
          </w14:textFill>
        </w:rPr>
      </w:pPr>
      <w:r>
        <w:rPr>
          <w:rFonts w:hint="eastAsia" w:ascii="新宋体" w:hAnsi="新宋体" w:eastAsia="新宋体" w:cs="Times New Roman"/>
          <w:b/>
          <w:color w:val="000000" w:themeColor="text1"/>
          <w:sz w:val="28"/>
          <w:szCs w:val="52"/>
          <w:lang w:val="en-US" w:eastAsia="zh-CN"/>
          <w14:textFill>
            <w14:solidFill>
              <w14:schemeClr w14:val="tx1"/>
            </w14:solidFill>
          </w14:textFill>
        </w:rPr>
        <w:t>专家函审意见</w:t>
      </w:r>
      <w:r>
        <w:rPr>
          <w:rFonts w:hint="eastAsia" w:ascii="新宋体" w:hAnsi="新宋体" w:eastAsia="新宋体" w:cs="Times New Roman"/>
          <w:b/>
          <w:color w:val="000000" w:themeColor="text1"/>
          <w:sz w:val="28"/>
          <w:szCs w:val="52"/>
          <w14:textFill>
            <w14:solidFill>
              <w14:schemeClr w14:val="tx1"/>
            </w14:solidFill>
          </w14:textFill>
        </w:rPr>
        <w:t>修改清单</w:t>
      </w:r>
    </w:p>
    <w:tbl>
      <w:tblPr>
        <w:tblStyle w:val="7"/>
        <w:tblpPr w:leftFromText="180" w:rightFromText="180" w:vertAnchor="text" w:horzAnchor="margin" w:tblpY="15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4603"/>
        <w:gridCol w:w="33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default" w:ascii="Times New Roman" w:hAnsi="Times New Roman" w:eastAsia="宋体"/>
                <w:b/>
                <w:bCs/>
                <w:color w:val="000000" w:themeColor="text1"/>
                <w:sz w:val="21"/>
                <w:lang w:val="en-US" w:eastAsia="zh-CN"/>
                <w14:textFill>
                  <w14:solidFill>
                    <w14:schemeClr w14:val="tx1"/>
                  </w14:solidFill>
                </w14:textFill>
              </w:rPr>
            </w:pPr>
            <w:r>
              <w:rPr>
                <w:rFonts w:hint="eastAsia" w:ascii="Times New Roman" w:hAnsi="Times New Roman" w:eastAsia="宋体"/>
                <w:b/>
                <w:bCs/>
                <w:color w:val="000000" w:themeColor="text1"/>
                <w:sz w:val="21"/>
                <w:lang w:val="en-US" w:eastAsia="zh-CN"/>
                <w14:textFill>
                  <w14:solidFill>
                    <w14:schemeClr w14:val="tx1"/>
                  </w14:solidFill>
                </w14:textFill>
              </w:rPr>
              <w:t>序号</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ascii="Times New Roman" w:hAnsi="Times New Roman" w:eastAsia="宋体"/>
                <w:b/>
                <w:bCs/>
                <w:color w:val="000000" w:themeColor="text1"/>
                <w:sz w:val="21"/>
                <w14:textFill>
                  <w14:solidFill>
                    <w14:schemeClr w14:val="tx1"/>
                  </w14:solidFill>
                </w14:textFill>
              </w:rPr>
            </w:pPr>
            <w:r>
              <w:rPr>
                <w:rFonts w:hint="eastAsia" w:ascii="Times New Roman" w:hAnsi="Times New Roman" w:eastAsia="宋体"/>
                <w:b/>
                <w:bCs/>
                <w:color w:val="000000" w:themeColor="text1"/>
                <w:sz w:val="21"/>
                <w14:textFill>
                  <w14:solidFill>
                    <w14:schemeClr w14:val="tx1"/>
                  </w14:solidFill>
                </w14:textFill>
              </w:rPr>
              <w:t>专家意见</w:t>
            </w:r>
          </w:p>
        </w:tc>
        <w:tc>
          <w:tcPr>
            <w:tcW w:w="3325" w:type="dxa"/>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ascii="Times New Roman" w:hAnsi="Times New Roman" w:eastAsia="宋体"/>
                <w:b/>
                <w:bCs/>
                <w:color w:val="auto"/>
                <w:sz w:val="21"/>
              </w:rPr>
            </w:pPr>
            <w:r>
              <w:rPr>
                <w:rFonts w:hint="eastAsia" w:ascii="Times New Roman" w:hAnsi="Times New Roman" w:eastAsia="宋体"/>
                <w:b/>
                <w:bCs/>
                <w:color w:val="auto"/>
                <w:sz w:val="21"/>
              </w:rPr>
              <w:t>修改情况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1</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按照导则及国家技术规范完善企业应急预案、风险评估及应急资源调查报告格式要求，完善报告中的内容。</w:t>
            </w:r>
          </w:p>
        </w:tc>
        <w:tc>
          <w:tcPr>
            <w:tcW w:w="3325"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宋体"/>
                <w:b w:val="0"/>
                <w:color w:val="auto"/>
                <w:sz w:val="21"/>
              </w:rPr>
            </w:pPr>
            <w:r>
              <w:rPr>
                <w:rFonts w:hint="eastAsia" w:ascii="Times New Roman" w:hAnsi="Times New Roman" w:eastAsia="宋体"/>
                <w:b w:val="0"/>
                <w:color w:val="auto"/>
                <w:sz w:val="21"/>
              </w:rPr>
              <w:t>已补充相关编制依据及原则，详见编制说明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4"/>
              </w:rPr>
              <w:t>2</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完善编制依据，核实土壤质量标准以及一般固废执行标准；</w:t>
            </w:r>
          </w:p>
        </w:tc>
        <w:tc>
          <w:tcPr>
            <w:tcW w:w="3325"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已完善，已核实，</w:t>
            </w:r>
            <w:r>
              <w:rPr>
                <w:rFonts w:hint="eastAsia" w:ascii="Times New Roman" w:hAnsi="Times New Roman" w:eastAsia="宋体"/>
                <w:b w:val="0"/>
                <w:color w:val="auto"/>
                <w:sz w:val="21"/>
              </w:rPr>
              <w:t>详见</w:t>
            </w:r>
            <w:r>
              <w:rPr>
                <w:rFonts w:hint="eastAsia" w:ascii="Times New Roman" w:hAnsi="Times New Roman" w:eastAsia="宋体"/>
                <w:b w:val="0"/>
                <w:color w:val="auto"/>
                <w:sz w:val="21"/>
                <w:lang w:val="en-US" w:eastAsia="zh-CN"/>
              </w:rPr>
              <w:t>应急预案及</w:t>
            </w:r>
            <w:r>
              <w:rPr>
                <w:rFonts w:hint="eastAsia" w:ascii="Times New Roman" w:hAnsi="Times New Roman" w:eastAsia="宋体"/>
                <w:b w:val="0"/>
                <w:color w:val="auto"/>
                <w:sz w:val="21"/>
              </w:rPr>
              <w:t>编制说明</w:t>
            </w:r>
            <w:r>
              <w:rPr>
                <w:rFonts w:hint="eastAsia" w:ascii="Times New Roman" w:hAnsi="Times New Roman" w:eastAsia="宋体"/>
                <w:b w:val="0"/>
                <w:color w:val="auto"/>
                <w:sz w:val="21"/>
                <w:lang w:val="en-US" w:eastAsia="zh-CN"/>
              </w:rPr>
              <w:t>P2，P31~32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sz w:val="21"/>
                <w:szCs w:val="24"/>
                <w:lang w:val="en-US" w:eastAsia="zh-CN"/>
              </w:rPr>
            </w:pPr>
            <w:r>
              <w:rPr>
                <w:rFonts w:hint="eastAsia" w:ascii="Times New Roman" w:hAnsi="Times New Roman" w:eastAsia="宋体"/>
                <w:b w:val="0"/>
                <w:sz w:val="21"/>
                <w:szCs w:val="24"/>
                <w:lang w:val="en-US" w:eastAsia="zh-CN"/>
              </w:rPr>
              <w:t>3</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完善应急预案启动条件，如环保设施故障；</w:t>
            </w:r>
          </w:p>
        </w:tc>
        <w:tc>
          <w:tcPr>
            <w:tcW w:w="3325"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已完善，见急预案及</w:t>
            </w:r>
            <w:r>
              <w:rPr>
                <w:rFonts w:hint="eastAsia" w:ascii="Times New Roman" w:hAnsi="Times New Roman" w:eastAsia="宋体"/>
                <w:b w:val="0"/>
                <w:color w:val="auto"/>
                <w:sz w:val="21"/>
              </w:rPr>
              <w:t>编制说明</w:t>
            </w:r>
            <w:r>
              <w:rPr>
                <w:rFonts w:hint="eastAsia" w:ascii="Times New Roman" w:hAnsi="Times New Roman" w:eastAsia="宋体"/>
                <w:b w:val="0"/>
                <w:color w:val="auto"/>
                <w:sz w:val="21"/>
                <w:lang w:val="en-US" w:eastAsia="zh-CN"/>
              </w:rPr>
              <w:t>P16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sz w:val="21"/>
                <w:szCs w:val="24"/>
                <w:lang w:val="en-US" w:eastAsia="zh-CN"/>
              </w:rPr>
            </w:pPr>
            <w:r>
              <w:rPr>
                <w:rFonts w:hint="eastAsia" w:ascii="Times New Roman" w:hAnsi="Times New Roman" w:eastAsia="宋体"/>
                <w:b w:val="0"/>
                <w:sz w:val="21"/>
                <w:szCs w:val="24"/>
                <w:lang w:val="en-US" w:eastAsia="zh-CN"/>
              </w:rPr>
              <w:t>4</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核实突发环境事件及后果情景分析，如明确废水排放量、核实事故排放污染物浓度预测结果及事故排放各监测断面污染物浓度预测结果；</w:t>
            </w:r>
          </w:p>
        </w:tc>
        <w:tc>
          <w:tcPr>
            <w:tcW w:w="3325"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已核实，详见文本</w:t>
            </w:r>
            <w:r>
              <w:rPr>
                <w:rFonts w:hint="eastAsia" w:ascii="Times New Roman" w:hAnsi="Times New Roman" w:eastAsia="宋体" w:cs="Times New Roman"/>
                <w:b w:val="0"/>
                <w:color w:val="auto"/>
                <w:sz w:val="21"/>
                <w:lang w:val="en-US" w:eastAsia="zh-CN"/>
              </w:rPr>
              <w:t>风险评估报告P41~44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5</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补充事故状态废水、废气应急监测方案，及相关管理措施；</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rPr>
            </w:pPr>
            <w:r>
              <w:rPr>
                <w:rFonts w:hint="eastAsia" w:ascii="Times New Roman" w:hAnsi="Times New Roman" w:eastAsia="宋体"/>
                <w:b w:val="0"/>
                <w:color w:val="auto"/>
                <w:sz w:val="21"/>
                <w:lang w:val="en-US" w:eastAsia="zh-CN"/>
              </w:rPr>
              <w:t>已补充，见应急预案及</w:t>
            </w:r>
            <w:r>
              <w:rPr>
                <w:rFonts w:hint="eastAsia" w:ascii="Times New Roman" w:hAnsi="Times New Roman" w:eastAsia="宋体"/>
                <w:b w:val="0"/>
                <w:color w:val="auto"/>
                <w:sz w:val="21"/>
              </w:rPr>
              <w:t>编制说明</w:t>
            </w:r>
            <w:r>
              <w:rPr>
                <w:rFonts w:hint="eastAsia" w:ascii="Times New Roman" w:hAnsi="Times New Roman" w:eastAsia="宋体"/>
                <w:b w:val="0"/>
                <w:color w:val="auto"/>
                <w:sz w:val="21"/>
                <w:lang w:val="en-US" w:eastAsia="zh-CN"/>
              </w:rPr>
              <w:t>P45~47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6</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完</w:t>
            </w:r>
            <w:r>
              <w:rPr>
                <w:rFonts w:hint="eastAsia" w:ascii="Times New Roman" w:hAnsi="Times New Roman" w:eastAsia="宋体"/>
                <w:b w:val="0"/>
                <w:color w:val="auto"/>
                <w:sz w:val="21"/>
              </w:rPr>
              <w:t>善附图（比例尺、风玫瑰），完善平面布置图、补充应急监测布点图、</w:t>
            </w:r>
            <w:r>
              <w:rPr>
                <w:rFonts w:hint="eastAsia" w:ascii="Times New Roman" w:hAnsi="Times New Roman" w:eastAsia="宋体"/>
                <w:b w:val="0"/>
                <w:color w:val="000000" w:themeColor="text1"/>
                <w:sz w:val="21"/>
                <w14:textFill>
                  <w14:solidFill>
                    <w14:schemeClr w14:val="tx1"/>
                  </w14:solidFill>
                </w14:textFill>
              </w:rPr>
              <w:t>风险单元分布图、应急逃生、疏散图；</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color w:val="auto"/>
                <w:sz w:val="21"/>
                <w:lang w:val="en-US" w:eastAsia="zh-CN"/>
              </w:rPr>
            </w:pPr>
            <w:r>
              <w:rPr>
                <w:rFonts w:hint="eastAsia" w:ascii="Times New Roman" w:hAnsi="Times New Roman" w:eastAsia="宋体" w:cs="Times New Roman"/>
                <w:b w:val="0"/>
                <w:color w:val="auto"/>
                <w:sz w:val="21"/>
                <w:lang w:val="en-US" w:eastAsia="zh-CN"/>
              </w:rPr>
              <w:t>已完善详见风险评估报告附图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7</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000000" w:themeColor="text1"/>
                <w:sz w:val="21"/>
                <w14:textFill>
                  <w14:solidFill>
                    <w14:schemeClr w14:val="tx1"/>
                  </w14:solidFill>
                </w14:textFill>
              </w:rPr>
              <w:t>补充危险废物突发环境事件应急预案相关内容</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应急预案及编制说明P20~21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8</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宋体"/>
                <w:b w:val="0"/>
                <w:color w:val="000000" w:themeColor="text1"/>
                <w:sz w:val="21"/>
                <w14:textFill>
                  <w14:solidFill>
                    <w14:schemeClr w14:val="tx1"/>
                  </w14:solidFill>
                </w14:textFill>
              </w:rPr>
            </w:pPr>
            <w:r>
              <w:rPr>
                <w:rFonts w:ascii="Times New Roman" w:hAnsi="Times New Roman" w:eastAsia="宋体"/>
                <w:b w:val="0"/>
                <w:sz w:val="21"/>
                <w:szCs w:val="24"/>
              </w:rPr>
              <w:t>《危险化学品名录》</w:t>
            </w:r>
            <w:r>
              <w:rPr>
                <w:rFonts w:hint="eastAsia" w:ascii="Times New Roman" w:hAnsi="Times New Roman" w:eastAsia="宋体"/>
                <w:b w:val="0"/>
                <w:sz w:val="21"/>
                <w:szCs w:val="24"/>
              </w:rPr>
              <w:t>应更新为2</w:t>
            </w:r>
            <w:r>
              <w:rPr>
                <w:rFonts w:ascii="Times New Roman" w:hAnsi="Times New Roman" w:eastAsia="宋体"/>
                <w:b w:val="0"/>
                <w:sz w:val="21"/>
                <w:szCs w:val="24"/>
              </w:rPr>
              <w:t>018</w:t>
            </w:r>
            <w:r>
              <w:rPr>
                <w:rFonts w:hint="eastAsia" w:ascii="Times New Roman" w:hAnsi="Times New Roman" w:eastAsia="宋体"/>
                <w:b w:val="0"/>
                <w:sz w:val="21"/>
                <w:szCs w:val="24"/>
              </w:rPr>
              <w:t>年版，</w:t>
            </w:r>
            <w:r>
              <w:rPr>
                <w:rFonts w:ascii="Times New Roman" w:hAnsi="Times New Roman" w:eastAsia="宋体"/>
                <w:b w:val="0"/>
                <w:sz w:val="21"/>
                <w:szCs w:val="24"/>
              </w:rPr>
              <w:t>《中华人民共和国消防法》</w:t>
            </w:r>
            <w:r>
              <w:rPr>
                <w:rFonts w:hint="eastAsia" w:ascii="Times New Roman" w:hAnsi="Times New Roman" w:eastAsia="宋体"/>
                <w:b w:val="0"/>
                <w:sz w:val="21"/>
                <w:szCs w:val="24"/>
              </w:rPr>
              <w:t>应更新为2</w:t>
            </w:r>
            <w:r>
              <w:rPr>
                <w:rFonts w:ascii="Times New Roman" w:hAnsi="Times New Roman" w:eastAsia="宋体"/>
                <w:b w:val="0"/>
                <w:sz w:val="21"/>
                <w:szCs w:val="24"/>
              </w:rPr>
              <w:t>021</w:t>
            </w:r>
            <w:r>
              <w:rPr>
                <w:rFonts w:hint="eastAsia" w:ascii="Times New Roman" w:hAnsi="Times New Roman" w:eastAsia="宋体"/>
                <w:b w:val="0"/>
                <w:sz w:val="21"/>
                <w:szCs w:val="24"/>
              </w:rPr>
              <w:t>年修订。</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已修改，详见急预案及</w:t>
            </w:r>
            <w:r>
              <w:rPr>
                <w:rFonts w:hint="eastAsia" w:ascii="Times New Roman" w:hAnsi="Times New Roman" w:eastAsia="宋体"/>
                <w:b w:val="0"/>
                <w:color w:val="auto"/>
                <w:sz w:val="21"/>
              </w:rPr>
              <w:t>编制说明</w:t>
            </w:r>
            <w:r>
              <w:rPr>
                <w:rFonts w:hint="eastAsia" w:ascii="Times New Roman" w:hAnsi="Times New Roman" w:eastAsia="宋体"/>
                <w:b w:val="0"/>
                <w:color w:val="auto"/>
                <w:sz w:val="21"/>
                <w:lang w:val="en-US" w:eastAsia="zh-CN"/>
              </w:rPr>
              <w:t>P1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9</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4"/>
              </w:rPr>
              <w:t>风险评估表2.</w:t>
            </w:r>
            <w:r>
              <w:rPr>
                <w:rFonts w:ascii="Times New Roman" w:hAnsi="Times New Roman" w:eastAsia="宋体"/>
                <w:b w:val="0"/>
                <w:sz w:val="21"/>
                <w:szCs w:val="24"/>
              </w:rPr>
              <w:t>5-1</w:t>
            </w:r>
            <w:r>
              <w:rPr>
                <w:rFonts w:hint="eastAsia" w:ascii="Times New Roman" w:hAnsi="Times New Roman" w:eastAsia="宋体"/>
                <w:b w:val="0"/>
                <w:sz w:val="21"/>
                <w:szCs w:val="24"/>
              </w:rPr>
              <w:t>核实敏感点距离（主要调查近距离）。</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已核实，详见</w:t>
            </w:r>
            <w:r>
              <w:rPr>
                <w:rFonts w:hint="eastAsia" w:ascii="Times New Roman" w:hAnsi="Times New Roman" w:eastAsia="宋体" w:cs="Times New Roman"/>
                <w:b w:val="0"/>
                <w:color w:val="auto"/>
                <w:sz w:val="21"/>
                <w:lang w:val="en-US" w:eastAsia="zh-CN"/>
              </w:rPr>
              <w:t>风险评估报告P6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10</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4"/>
              </w:rPr>
              <w:t>应急预案表7</w:t>
            </w:r>
            <w:r>
              <w:rPr>
                <w:rFonts w:ascii="Times New Roman" w:hAnsi="Times New Roman" w:eastAsia="宋体"/>
                <w:b w:val="0"/>
                <w:sz w:val="21"/>
                <w:szCs w:val="24"/>
              </w:rPr>
              <w:t>.6-1</w:t>
            </w:r>
            <w:r>
              <w:rPr>
                <w:rFonts w:hint="eastAsia" w:ascii="Times New Roman" w:hAnsi="Times New Roman" w:eastAsia="宋体"/>
                <w:b w:val="0"/>
                <w:sz w:val="21"/>
                <w:szCs w:val="24"/>
              </w:rPr>
              <w:t>应完善医疗物资，如烧伤、解毒等常备药品。</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已完善详见表7.6-2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11</w:t>
            </w:r>
          </w:p>
        </w:tc>
        <w:tc>
          <w:tcPr>
            <w:tcW w:w="4603"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4"/>
              </w:rPr>
              <w:t>分析事故池位置、容积</w:t>
            </w:r>
            <w:r>
              <w:rPr>
                <w:rFonts w:hint="eastAsia" w:ascii="Times New Roman" w:hAnsi="Times New Roman" w:eastAsia="宋体"/>
                <w:b w:val="0"/>
                <w:color w:val="auto"/>
                <w:sz w:val="21"/>
                <w:szCs w:val="24"/>
              </w:rPr>
              <w:t>及有效性，提出定期开展应急演练的要求及回顾分析。</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已分析（</w:t>
            </w:r>
            <w:r>
              <w:rPr>
                <w:rFonts w:hint="eastAsia" w:ascii="Times New Roman" w:hAnsi="Times New Roman" w:eastAsia="宋体" w:cs="Times New Roman"/>
                <w:b w:val="0"/>
                <w:color w:val="auto"/>
                <w:sz w:val="21"/>
                <w:lang w:val="en-US" w:eastAsia="zh-CN"/>
              </w:rPr>
              <w:t>风险评估报告P41~44</w:t>
            </w:r>
            <w:r>
              <w:rPr>
                <w:rFonts w:hint="eastAsia" w:ascii="Times New Roman" w:hAnsi="Times New Roman" w:eastAsia="宋体"/>
                <w:b w:val="0"/>
                <w:color w:val="auto"/>
                <w:sz w:val="21"/>
                <w:lang w:val="en-US" w:eastAsia="zh-CN"/>
              </w:rPr>
              <w:t>）；并提出定期应急演练要求，详见</w:t>
            </w:r>
            <w:r>
              <w:rPr>
                <w:rFonts w:hint="eastAsia" w:ascii="Times New Roman" w:hAnsi="Times New Roman" w:eastAsia="宋体" w:cs="Times New Roman"/>
                <w:b w:val="0"/>
                <w:color w:val="auto"/>
                <w:sz w:val="21"/>
                <w:lang w:val="en-US" w:eastAsia="zh-CN"/>
              </w:rPr>
              <w:t>风险评估报告</w:t>
            </w:r>
            <w:r>
              <w:rPr>
                <w:rFonts w:hint="eastAsia" w:ascii="Times New Roman" w:hAnsi="Times New Roman" w:eastAsia="宋体"/>
                <w:b w:val="0"/>
                <w:color w:val="auto"/>
                <w:sz w:val="21"/>
                <w:lang w:val="en-US" w:eastAsia="zh-CN"/>
              </w:rPr>
              <w:t>P64~65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12</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color w:val="auto"/>
                <w:sz w:val="21"/>
                <w:szCs w:val="21"/>
              </w:rPr>
              <w:t>封面补充正式发布预案的版本号、发布日期等设计。</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已补充，见报告封面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13</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1"/>
              </w:rPr>
              <w:t>应急预案：补充本预案与生产安全事故预案等其他预案的衔接关系、与地方人民政府环境应急预案的衔接关系</w:t>
            </w:r>
            <w:r>
              <w:rPr>
                <w:rFonts w:hint="eastAsia" w:ascii="Times New Roman" w:hAnsi="Times New Roman" w:eastAsia="宋体"/>
                <w:b w:val="0"/>
                <w:sz w:val="21"/>
                <w:szCs w:val="21"/>
                <w:lang w:eastAsia="zh-CN"/>
              </w:rPr>
              <w:t>；</w:t>
            </w:r>
            <w:r>
              <w:rPr>
                <w:rFonts w:hint="eastAsia" w:ascii="Times New Roman" w:hAnsi="Times New Roman" w:eastAsia="宋体"/>
                <w:b w:val="0"/>
                <w:sz w:val="21"/>
                <w:szCs w:val="21"/>
              </w:rPr>
              <w:t>应急监测补充大气污染厂界气体监测和清净下水排放口可能外排渠道监测的一般原则</w:t>
            </w:r>
            <w:r>
              <w:rPr>
                <w:rFonts w:hint="eastAsia" w:ascii="Times New Roman" w:hAnsi="Times New Roman" w:eastAsia="宋体"/>
                <w:b w:val="0"/>
                <w:color w:val="auto"/>
                <w:sz w:val="21"/>
                <w:szCs w:val="21"/>
              </w:rPr>
              <w:t>；补充监测执行单位委托协议。</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已完善，见文本P7、P45~47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14</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ascii="Times New Roman" w:hAnsi="Times New Roman" w:eastAsia="宋体"/>
                <w:b w:val="0"/>
                <w:color w:val="000000" w:themeColor="text1"/>
                <w:sz w:val="21"/>
                <w14:textFill>
                  <w14:solidFill>
                    <w14:schemeClr w14:val="tx1"/>
                  </w14:solidFill>
                </w14:textFill>
              </w:rPr>
            </w:pPr>
            <w:r>
              <w:rPr>
                <w:rFonts w:hint="eastAsia" w:ascii="Times New Roman" w:hAnsi="Times New Roman" w:eastAsia="宋体"/>
                <w:b w:val="0"/>
                <w:sz w:val="21"/>
                <w:szCs w:val="21"/>
              </w:rPr>
              <w:t>核实水环境保护目标；细化土壤环境保护目标；补充企业建筑购物一览</w:t>
            </w:r>
            <w:bookmarkStart w:id="0" w:name="_GoBack"/>
            <w:bookmarkEnd w:id="0"/>
            <w:r>
              <w:rPr>
                <w:rFonts w:hint="eastAsia" w:ascii="Times New Roman" w:hAnsi="Times New Roman" w:eastAsia="宋体"/>
                <w:b w:val="0"/>
                <w:sz w:val="21"/>
                <w:szCs w:val="21"/>
              </w:rPr>
              <w:t>表及其功能；应急物资与装备一览表补充单位。</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已核实并细化，详见</w:t>
            </w:r>
            <w:r>
              <w:rPr>
                <w:rFonts w:hint="eastAsia" w:ascii="Times New Roman" w:hAnsi="Times New Roman" w:eastAsia="宋体" w:cs="Times New Roman"/>
                <w:b w:val="0"/>
                <w:color w:val="auto"/>
                <w:sz w:val="21"/>
                <w:lang w:val="en-US" w:eastAsia="zh-CN"/>
              </w:rPr>
              <w:t>风险评估报告P6；已</w:t>
            </w:r>
            <w:r>
              <w:rPr>
                <w:rFonts w:hint="eastAsia" w:ascii="Times New Roman" w:hAnsi="Times New Roman" w:eastAsia="宋体"/>
                <w:b w:val="0"/>
                <w:color w:val="auto"/>
                <w:sz w:val="21"/>
                <w:szCs w:val="21"/>
              </w:rPr>
              <w:t>补充业建筑购物一览表</w:t>
            </w:r>
            <w:r>
              <w:rPr>
                <w:rFonts w:hint="eastAsia" w:ascii="Times New Roman" w:hAnsi="Times New Roman" w:eastAsia="宋体"/>
                <w:b w:val="0"/>
                <w:color w:val="auto"/>
                <w:sz w:val="21"/>
                <w:szCs w:val="21"/>
                <w:lang w:eastAsia="zh-CN"/>
              </w:rPr>
              <w:t>，</w:t>
            </w:r>
            <w:r>
              <w:rPr>
                <w:rFonts w:hint="eastAsia" w:ascii="Times New Roman" w:hAnsi="Times New Roman" w:eastAsia="宋体"/>
                <w:b w:val="0"/>
                <w:color w:val="auto"/>
                <w:sz w:val="21"/>
                <w:lang w:val="en-US" w:eastAsia="zh-CN"/>
              </w:rPr>
              <w:t>详见</w:t>
            </w:r>
            <w:r>
              <w:rPr>
                <w:rFonts w:hint="eastAsia" w:ascii="Times New Roman" w:hAnsi="Times New Roman" w:eastAsia="宋体" w:cs="Times New Roman"/>
                <w:b w:val="0"/>
                <w:color w:val="auto"/>
                <w:sz w:val="21"/>
                <w:lang w:val="en-US" w:eastAsia="zh-CN"/>
              </w:rPr>
              <w:t>风险评估报告P11；已补充，见P59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15</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hint="eastAsia" w:ascii="Times New Roman" w:hAnsi="Times New Roman" w:eastAsia="宋体"/>
                <w:b w:val="0"/>
                <w:sz w:val="21"/>
                <w:szCs w:val="21"/>
              </w:rPr>
            </w:pPr>
            <w:r>
              <w:rPr>
                <w:rFonts w:hint="eastAsia" w:ascii="Times New Roman" w:hAnsi="Times New Roman" w:eastAsia="宋体"/>
                <w:b w:val="0"/>
                <w:sz w:val="21"/>
                <w:szCs w:val="21"/>
                <w:lang w:val="en-US" w:eastAsia="zh-CN"/>
              </w:rPr>
              <w:t>核实</w:t>
            </w:r>
            <w:r>
              <w:rPr>
                <w:rFonts w:hint="eastAsia" w:ascii="Times New Roman" w:hAnsi="Times New Roman" w:eastAsia="宋体"/>
                <w:b w:val="0"/>
                <w:sz w:val="21"/>
                <w:szCs w:val="21"/>
              </w:rPr>
              <w:t>完善风险识别</w:t>
            </w:r>
            <w:r>
              <w:rPr>
                <w:rFonts w:hint="eastAsia" w:ascii="Times New Roman" w:hAnsi="Times New Roman" w:eastAsia="宋体"/>
                <w:b w:val="0"/>
                <w:sz w:val="21"/>
                <w:szCs w:val="21"/>
                <w:lang w:eastAsia="zh-CN"/>
              </w:rPr>
              <w:t>（天然气管线爆炸属于安全事故）</w:t>
            </w:r>
            <w:r>
              <w:rPr>
                <w:rFonts w:hint="eastAsia" w:ascii="Times New Roman" w:hAnsi="Times New Roman" w:eastAsia="宋体"/>
                <w:b w:val="0"/>
                <w:sz w:val="21"/>
                <w:szCs w:val="21"/>
              </w:rPr>
              <w:t>，</w:t>
            </w:r>
            <w:r>
              <w:rPr>
                <w:rFonts w:hint="eastAsia" w:ascii="Times New Roman" w:hAnsi="Times New Roman" w:eastAsia="宋体"/>
                <w:b w:val="0"/>
                <w:color w:val="auto"/>
                <w:sz w:val="21"/>
                <w:szCs w:val="21"/>
              </w:rPr>
              <w:t>补充铝粉爆炸次生环境事件，及其相应的风险防范措施、应急处置措施</w:t>
            </w:r>
            <w:r>
              <w:rPr>
                <w:rFonts w:hint="eastAsia" w:ascii="Times New Roman" w:hAnsi="Times New Roman" w:eastAsia="宋体"/>
                <w:b w:val="0"/>
                <w:color w:val="auto"/>
                <w:sz w:val="21"/>
                <w:szCs w:val="21"/>
                <w:lang w:eastAsia="zh-CN"/>
              </w:rPr>
              <w:t>；</w:t>
            </w:r>
            <w:r>
              <w:rPr>
                <w:rFonts w:hint="eastAsia" w:ascii="Times New Roman" w:hAnsi="Times New Roman" w:eastAsia="宋体"/>
                <w:b w:val="0"/>
                <w:sz w:val="21"/>
                <w:szCs w:val="21"/>
              </w:rPr>
              <w:t>核实环境风险源强分析；补充释放环境风险物质的扩散途径。</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已核实，详见</w:t>
            </w:r>
            <w:r>
              <w:rPr>
                <w:rFonts w:hint="eastAsia" w:ascii="Times New Roman" w:hAnsi="Times New Roman" w:eastAsia="宋体" w:cs="Times New Roman"/>
                <w:b w:val="0"/>
                <w:color w:val="auto"/>
                <w:sz w:val="21"/>
                <w:lang w:val="en-US" w:eastAsia="zh-CN"/>
              </w:rPr>
              <w:t>风险评估报告P36；已补充，</w:t>
            </w:r>
            <w:r>
              <w:rPr>
                <w:rFonts w:hint="eastAsia" w:ascii="Times New Roman" w:hAnsi="Times New Roman" w:eastAsia="宋体"/>
                <w:b w:val="0"/>
                <w:color w:val="auto"/>
                <w:sz w:val="21"/>
                <w:lang w:val="en-US" w:eastAsia="zh-CN"/>
              </w:rPr>
              <w:t>详见</w:t>
            </w:r>
            <w:r>
              <w:rPr>
                <w:rFonts w:hint="eastAsia" w:ascii="Times New Roman" w:hAnsi="Times New Roman" w:eastAsia="宋体" w:cs="Times New Roman"/>
                <w:b w:val="0"/>
                <w:color w:val="auto"/>
                <w:sz w:val="21"/>
                <w:lang w:val="en-US" w:eastAsia="zh-CN"/>
              </w:rPr>
              <w:t>风险评估报告P44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16</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hint="eastAsia" w:ascii="Times New Roman" w:hAnsi="Times New Roman" w:eastAsia="宋体"/>
                <w:b w:val="0"/>
                <w:sz w:val="21"/>
                <w:szCs w:val="21"/>
                <w:lang w:val="en-US" w:eastAsia="zh-CN"/>
              </w:rPr>
            </w:pPr>
            <w:r>
              <w:rPr>
                <w:rFonts w:hint="eastAsia" w:ascii="Times New Roman" w:hAnsi="Times New Roman" w:eastAsia="宋体"/>
                <w:b w:val="0"/>
                <w:sz w:val="21"/>
                <w:szCs w:val="21"/>
              </w:rPr>
              <w:t>结企业原辅材料、生产工艺和装置，补充国内外同类企业突发环境事件信息，据此完善和细化提出本企业可能发生的突发环境事件情</w:t>
            </w:r>
            <w:r>
              <w:rPr>
                <w:rFonts w:hint="eastAsia" w:ascii="Times New Roman" w:hAnsi="Times New Roman" w:eastAsia="宋体"/>
                <w:b w:val="0"/>
                <w:color w:val="auto"/>
                <w:sz w:val="21"/>
                <w:szCs w:val="21"/>
              </w:rPr>
              <w:t>景；核实报告中最大可信事故概率及其确定依据。</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已补充，见</w:t>
            </w:r>
            <w:r>
              <w:rPr>
                <w:rFonts w:hint="eastAsia" w:ascii="Times New Roman" w:hAnsi="Times New Roman" w:eastAsia="宋体" w:cs="Times New Roman"/>
                <w:b w:val="0"/>
                <w:color w:val="auto"/>
                <w:sz w:val="21"/>
                <w:lang w:val="en-US" w:eastAsia="zh-CN"/>
              </w:rPr>
              <w:t>风险评估报告P37~39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17</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hint="eastAsia" w:ascii="Times New Roman" w:hAnsi="Times New Roman" w:eastAsia="宋体"/>
                <w:b w:val="0"/>
                <w:sz w:val="21"/>
                <w:szCs w:val="21"/>
                <w:lang w:val="en-US" w:eastAsia="zh-CN"/>
              </w:rPr>
            </w:pPr>
            <w:r>
              <w:rPr>
                <w:rFonts w:hint="eastAsia" w:ascii="Times New Roman" w:hAnsi="Times New Roman" w:eastAsia="宋体"/>
                <w:b w:val="0"/>
                <w:sz w:val="21"/>
                <w:szCs w:val="21"/>
              </w:rPr>
              <w:t>核实企业是否涉及</w:t>
            </w:r>
            <w:r>
              <w:rPr>
                <w:rFonts w:hint="eastAsia" w:ascii="Times New Roman" w:hAnsi="Times New Roman" w:eastAsia="宋体"/>
                <w:b w:val="0"/>
                <w:sz w:val="21"/>
                <w:szCs w:val="21"/>
                <w:lang w:val="en-US" w:eastAsia="zh-CN"/>
              </w:rPr>
              <w:t>清洁废水</w:t>
            </w:r>
            <w:r>
              <w:rPr>
                <w:rFonts w:hint="eastAsia" w:ascii="Times New Roman" w:hAnsi="Times New Roman" w:eastAsia="宋体"/>
                <w:b w:val="0"/>
                <w:sz w:val="21"/>
                <w:szCs w:val="21"/>
              </w:rPr>
              <w:t>（环评批复中涉及冷却水）；报告应根据现有环境风险防控与应急措施所存在的差距，补充完善相应的环境风险防控整改完善计划。</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已修改，详见</w:t>
            </w:r>
            <w:r>
              <w:rPr>
                <w:rFonts w:hint="eastAsia" w:ascii="Times New Roman" w:hAnsi="Times New Roman" w:eastAsia="宋体" w:cs="Times New Roman"/>
                <w:b w:val="0"/>
                <w:color w:val="auto"/>
                <w:sz w:val="21"/>
                <w:lang w:val="en-US" w:eastAsia="zh-CN"/>
              </w:rPr>
              <w:t>风险评估报告P56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color w:val="000000" w:themeColor="text1"/>
                <w:sz w:val="21"/>
                <w:lang w:val="en-US" w:eastAsia="zh-CN"/>
                <w14:textFill>
                  <w14:solidFill>
                    <w14:schemeClr w14:val="tx1"/>
                  </w14:solidFill>
                </w14:textFill>
              </w:rPr>
            </w:pPr>
            <w:r>
              <w:rPr>
                <w:rFonts w:hint="eastAsia" w:ascii="Times New Roman" w:hAnsi="Times New Roman" w:eastAsia="宋体"/>
                <w:b w:val="0"/>
                <w:color w:val="000000" w:themeColor="text1"/>
                <w:sz w:val="21"/>
                <w:lang w:val="en-US" w:eastAsia="zh-CN"/>
                <w14:textFill>
                  <w14:solidFill>
                    <w14:schemeClr w14:val="tx1"/>
                  </w14:solidFill>
                </w14:textFill>
              </w:rPr>
              <w:t>18</w:t>
            </w:r>
          </w:p>
        </w:tc>
        <w:tc>
          <w:tcPr>
            <w:tcW w:w="4603"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9"/>
              <w:rPr>
                <w:rFonts w:hint="eastAsia" w:ascii="Times New Roman" w:hAnsi="Times New Roman" w:eastAsia="宋体"/>
                <w:b w:val="0"/>
                <w:sz w:val="21"/>
                <w:szCs w:val="21"/>
                <w:lang w:val="en-US" w:eastAsia="zh-CN"/>
              </w:rPr>
            </w:pPr>
            <w:r>
              <w:rPr>
                <w:rFonts w:hint="eastAsia" w:ascii="Times New Roman" w:hAnsi="Times New Roman" w:eastAsia="宋体"/>
                <w:b w:val="0"/>
                <w:sz w:val="21"/>
                <w:szCs w:val="21"/>
                <w:lang w:val="en-US" w:eastAsia="zh-CN"/>
              </w:rPr>
              <w:t>附图补充企业雨水、清净下水收集、排放管网图、污水收集、排放管网图以及所有排水最终去向图；总平图指北方向有误。校核报告（出现“潦河”“南昌市”等字眼）。</w:t>
            </w:r>
          </w:p>
        </w:tc>
        <w:tc>
          <w:tcPr>
            <w:tcW w:w="33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已修改，见附图及文本</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ZTcwNDg1Y2FlNGNiM2YwMWMxY2FjMzliNWQwMzMifQ=="/>
  </w:docVars>
  <w:rsids>
    <w:rsidRoot w:val="00867B16"/>
    <w:rsid w:val="000E4530"/>
    <w:rsid w:val="000E7BFF"/>
    <w:rsid w:val="001B2E0D"/>
    <w:rsid w:val="002139B4"/>
    <w:rsid w:val="003918D8"/>
    <w:rsid w:val="003D6DDB"/>
    <w:rsid w:val="004E4994"/>
    <w:rsid w:val="004F4833"/>
    <w:rsid w:val="005F49B6"/>
    <w:rsid w:val="00707EB3"/>
    <w:rsid w:val="00764EDD"/>
    <w:rsid w:val="00812F11"/>
    <w:rsid w:val="00867B16"/>
    <w:rsid w:val="00950EA3"/>
    <w:rsid w:val="00972456"/>
    <w:rsid w:val="00A12E91"/>
    <w:rsid w:val="00A72423"/>
    <w:rsid w:val="00AC5575"/>
    <w:rsid w:val="00B41DD3"/>
    <w:rsid w:val="00C81465"/>
    <w:rsid w:val="00D638D6"/>
    <w:rsid w:val="00E06B93"/>
    <w:rsid w:val="00E228E6"/>
    <w:rsid w:val="00EA1DC1"/>
    <w:rsid w:val="00F1400C"/>
    <w:rsid w:val="00F23C0A"/>
    <w:rsid w:val="00F329B4"/>
    <w:rsid w:val="00F826FF"/>
    <w:rsid w:val="00F948B0"/>
    <w:rsid w:val="00FA0BAD"/>
    <w:rsid w:val="104D16C6"/>
    <w:rsid w:val="130F3E82"/>
    <w:rsid w:val="18F95384"/>
    <w:rsid w:val="2E95731A"/>
    <w:rsid w:val="76B462E1"/>
    <w:rsid w:val="7861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3 Char"/>
    <w:basedOn w:val="8"/>
    <w:link w:val="2"/>
    <w:qFormat/>
    <w:uiPriority w:val="0"/>
    <w:rPr>
      <w:rFonts w:ascii="Times New Roman" w:hAnsi="Times New Roman" w:eastAsia="宋体" w:cs="Times New Roman"/>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1212</Words>
  <Characters>1296</Characters>
  <Lines>11</Lines>
  <Paragraphs>3</Paragraphs>
  <TotalTime>74</TotalTime>
  <ScaleCrop>false</ScaleCrop>
  <LinksUpToDate>false</LinksUpToDate>
  <CharactersWithSpaces>1296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2022-05-20T02:54:00Z</dcterms:created>
  <dc:creator>微软用户</dc:creator>
  <cp:lastModifiedBy>1</cp:lastModifiedBy>
  <dcterms:modified xsi:type="dcterms:W3CDTF">2022-07-25T06:13:50Z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98E2AE2CE61D4D99B2547FE48DD75D8C</vt:lpwstr>
  </property>
</Properties>
</file>