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360" w:lineRule="auto"/>
        <w:jc w:val="center"/>
        <w:rPr>
          <w:rStyle w:val="5"/>
          <w:rFonts w:ascii="方正小标宋简体" w:hAnsi="仿宋" w:eastAsia="方正小标宋简体"/>
          <w:sz w:val="30"/>
          <w:szCs w:val="30"/>
        </w:rPr>
      </w:pPr>
      <w:bookmarkStart w:id="0" w:name="_GoBack"/>
      <w:bookmarkEnd w:id="0"/>
      <w:r>
        <w:rPr>
          <w:rStyle w:val="5"/>
          <w:rFonts w:hint="eastAsia" w:ascii="方正小标宋简体" w:hAnsi="仿宋" w:eastAsia="方正小标宋简体"/>
          <w:sz w:val="30"/>
          <w:szCs w:val="30"/>
        </w:rPr>
        <w:t>护送方案</w:t>
      </w:r>
    </w:p>
    <w:p>
      <w:pPr>
        <w:snapToGrid w:val="0"/>
        <w:spacing w:line="360" w:lineRule="auto"/>
        <w:ind w:firstLine="482" w:firstLineChars="200"/>
        <w:rPr>
          <w:rStyle w:val="5"/>
          <w:rFonts w:ascii="仿宋_GB2312" w:hAnsi="仿宋" w:eastAsia="仿宋_GB2312"/>
          <w:sz w:val="24"/>
          <w:szCs w:val="24"/>
        </w:rPr>
      </w:pPr>
      <w:r>
        <w:rPr>
          <w:rStyle w:val="5"/>
          <w:rFonts w:hint="eastAsia" w:ascii="仿宋_GB2312" w:hAnsi="仿宋" w:eastAsia="仿宋_GB2312"/>
          <w:sz w:val="24"/>
          <w:szCs w:val="24"/>
        </w:rPr>
        <w:t>一、基本情况</w:t>
      </w:r>
    </w:p>
    <w:p>
      <w:pPr>
        <w:snapToGrid w:val="0"/>
        <w:spacing w:line="360" w:lineRule="auto"/>
        <w:ind w:firstLine="480" w:firstLineChars="200"/>
        <w:rPr>
          <w:rStyle w:val="5"/>
          <w:rFonts w:ascii="仿宋_GB2312" w:hAnsi="仿宋" w:eastAsia="仿宋_GB2312"/>
          <w:b w:val="0"/>
          <w:sz w:val="24"/>
          <w:szCs w:val="24"/>
        </w:rPr>
      </w:pP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本承运人（申请人）本次承运货物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  <w:u w:val="single"/>
        </w:rPr>
        <w:t xml:space="preserve">      （货物名称）           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，采用牵引车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  <w:u w:val="single"/>
        </w:rPr>
        <w:t xml:space="preserve">   （牌照）  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、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  <w:u w:val="single"/>
        </w:rPr>
        <w:t xml:space="preserve">挂车   （牌照）  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运输，车辆装载货物后车货总体的长、宽、高分别为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  <w:u w:val="single"/>
        </w:rPr>
        <w:t xml:space="preserve">      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米、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  <w:u w:val="single"/>
        </w:rPr>
        <w:t xml:space="preserve">        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米、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  <w:u w:val="single"/>
        </w:rPr>
        <w:t xml:space="preserve">    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米，车货总质量为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  <w:u w:val="single"/>
        </w:rPr>
        <w:t xml:space="preserve">     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吨，运输起点（起运地）为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  <w:u w:val="single"/>
        </w:rPr>
        <w:t xml:space="preserve">     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、讫点（目的地）为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  <w:u w:val="single"/>
        </w:rPr>
        <w:t xml:space="preserve">       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，通行路线为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，行驶</w:t>
      </w:r>
      <w:r>
        <w:rPr>
          <w:rStyle w:val="5"/>
          <w:rFonts w:ascii="仿宋_GB2312" w:hAnsi="仿宋" w:eastAsia="仿宋_GB2312"/>
          <w:b w:val="0"/>
          <w:sz w:val="24"/>
          <w:szCs w:val="24"/>
        </w:rPr>
        <w:t>时间为</w:t>
      </w:r>
      <w:r>
        <w:rPr>
          <w:rFonts w:ascii="仿宋_GB2312" w:hAnsi="仿宋" w:eastAsia="仿宋_GB2312"/>
          <w:b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b/>
          <w:sz w:val="24"/>
          <w:szCs w:val="24"/>
        </w:rPr>
        <w:t>年</w:t>
      </w:r>
      <w:r>
        <w:rPr>
          <w:rFonts w:ascii="仿宋_GB2312" w:hAnsi="仿宋" w:eastAsia="仿宋_GB2312"/>
          <w:b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b/>
          <w:sz w:val="24"/>
          <w:szCs w:val="24"/>
        </w:rPr>
        <w:t>月</w:t>
      </w:r>
      <w:r>
        <w:rPr>
          <w:rFonts w:ascii="仿宋_GB2312" w:hAnsi="仿宋" w:eastAsia="仿宋_GB2312"/>
          <w:b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b/>
          <w:sz w:val="24"/>
          <w:szCs w:val="24"/>
        </w:rPr>
        <w:t>日至</w:t>
      </w:r>
      <w:r>
        <w:rPr>
          <w:rFonts w:ascii="仿宋_GB2312" w:hAnsi="仿宋" w:eastAsia="仿宋_GB2312"/>
          <w:b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b/>
          <w:sz w:val="24"/>
          <w:szCs w:val="24"/>
        </w:rPr>
        <w:t>年</w:t>
      </w:r>
      <w:r>
        <w:rPr>
          <w:rFonts w:ascii="仿宋_GB2312" w:hAnsi="仿宋" w:eastAsia="仿宋_GB2312"/>
          <w:b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b/>
          <w:sz w:val="24"/>
          <w:szCs w:val="24"/>
        </w:rPr>
        <w:t>月</w:t>
      </w:r>
      <w:r>
        <w:rPr>
          <w:rFonts w:ascii="仿宋_GB2312" w:hAnsi="仿宋" w:eastAsia="仿宋_GB2312"/>
          <w:b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b/>
          <w:sz w:val="24"/>
          <w:szCs w:val="24"/>
        </w:rPr>
        <w:t>日，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为保证运输过程的道路交通安全，制定本护送方案。</w:t>
      </w:r>
    </w:p>
    <w:p>
      <w:pPr>
        <w:snapToGrid w:val="0"/>
        <w:spacing w:line="360" w:lineRule="auto"/>
        <w:ind w:firstLine="482" w:firstLineChars="200"/>
        <w:rPr>
          <w:rStyle w:val="5"/>
          <w:rFonts w:ascii="仿宋_GB2312" w:hAnsi="仿宋" w:eastAsia="仿宋_GB2312"/>
          <w:sz w:val="24"/>
          <w:szCs w:val="24"/>
        </w:rPr>
      </w:pPr>
      <w:r>
        <w:rPr>
          <w:rStyle w:val="5"/>
          <w:rFonts w:hint="eastAsia" w:ascii="仿宋_GB2312" w:hAnsi="仿宋" w:eastAsia="仿宋_GB2312"/>
          <w:sz w:val="24"/>
          <w:szCs w:val="24"/>
        </w:rPr>
        <w:t>二、护送车辆配置方案</w:t>
      </w:r>
    </w:p>
    <w:p>
      <w:pPr>
        <w:snapToGrid w:val="0"/>
        <w:spacing w:line="360" w:lineRule="auto"/>
        <w:ind w:firstLine="480" w:firstLineChars="200"/>
        <w:rPr>
          <w:rStyle w:val="5"/>
          <w:rFonts w:ascii="仿宋_GB2312" w:hAnsi="仿宋" w:eastAsia="仿宋_GB2312"/>
          <w:b w:val="0"/>
          <w:sz w:val="24"/>
          <w:szCs w:val="24"/>
        </w:rPr>
      </w:pP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护送车辆配置方案须包含护送车辆数量、护送职责和设备配置等。</w:t>
      </w:r>
    </w:p>
    <w:p>
      <w:pPr>
        <w:snapToGrid w:val="0"/>
        <w:spacing w:line="360" w:lineRule="auto"/>
        <w:ind w:firstLine="480" w:firstLineChars="200"/>
        <w:rPr>
          <w:rStyle w:val="5"/>
          <w:rFonts w:ascii="仿宋_GB2312" w:hAnsi="仿宋" w:eastAsia="仿宋_GB2312"/>
          <w:b w:val="0"/>
          <w:sz w:val="24"/>
          <w:szCs w:val="24"/>
        </w:rPr>
      </w:pP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护送车辆须符合国家相关要求，须包含安全警示设备（行车和停车时的安全警示设备，包括反光三角警示标志、反光警示隔离带、反光锥等）、紧急情况的安全设备（干粉或二氧化碳灭火器、医用急救包等）、通信设备（每辆护送车配备2个对讲机）。</w:t>
      </w:r>
    </w:p>
    <w:p>
      <w:pPr>
        <w:snapToGrid w:val="0"/>
        <w:spacing w:line="360" w:lineRule="auto"/>
        <w:ind w:firstLine="482" w:firstLineChars="200"/>
        <w:rPr>
          <w:rStyle w:val="5"/>
          <w:rFonts w:ascii="仿宋_GB2312" w:hAnsi="仿宋" w:eastAsia="仿宋_GB2312"/>
          <w:sz w:val="24"/>
          <w:szCs w:val="24"/>
        </w:rPr>
      </w:pPr>
      <w:r>
        <w:rPr>
          <w:rStyle w:val="5"/>
          <w:rFonts w:hint="eastAsia" w:ascii="仿宋_GB2312" w:hAnsi="仿宋" w:eastAsia="仿宋_GB2312"/>
          <w:sz w:val="24"/>
          <w:szCs w:val="24"/>
        </w:rPr>
        <w:t>三、护送人员配备方案</w:t>
      </w:r>
    </w:p>
    <w:p>
      <w:pPr>
        <w:snapToGrid w:val="0"/>
        <w:spacing w:line="360" w:lineRule="auto"/>
        <w:ind w:firstLine="480" w:firstLineChars="200"/>
        <w:rPr>
          <w:rStyle w:val="5"/>
          <w:rFonts w:ascii="仿宋_GB2312" w:hAnsi="仿宋" w:eastAsia="仿宋_GB2312"/>
          <w:b w:val="0"/>
          <w:sz w:val="24"/>
          <w:szCs w:val="24"/>
        </w:rPr>
      </w:pP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护送人员配备方案须包含护送人员数量、岗位设置和职责分工，岗位必须设置安全岗、引导岗、维护岗位等。可结合实际情况采用专（兼）职方式设置岗位。</w:t>
      </w:r>
    </w:p>
    <w:p>
      <w:pPr>
        <w:tabs>
          <w:tab w:val="right" w:pos="8306"/>
        </w:tabs>
        <w:snapToGrid w:val="0"/>
        <w:spacing w:line="360" w:lineRule="auto"/>
        <w:ind w:firstLine="482" w:firstLineChars="200"/>
        <w:rPr>
          <w:rStyle w:val="5"/>
          <w:rFonts w:ascii="仿宋_GB2312" w:hAnsi="仿宋" w:eastAsia="仿宋_GB2312"/>
          <w:sz w:val="24"/>
          <w:szCs w:val="24"/>
        </w:rPr>
      </w:pPr>
      <w:r>
        <w:rPr>
          <w:rStyle w:val="5"/>
          <w:rFonts w:hint="eastAsia" w:ascii="仿宋_GB2312" w:hAnsi="仿宋" w:eastAsia="仿宋_GB2312"/>
          <w:sz w:val="24"/>
          <w:szCs w:val="24"/>
        </w:rPr>
        <w:t>四、护送路线情况说明</w:t>
      </w:r>
    </w:p>
    <w:p>
      <w:pPr>
        <w:snapToGrid w:val="0"/>
        <w:spacing w:line="360" w:lineRule="auto"/>
        <w:ind w:firstLine="480" w:firstLineChars="200"/>
        <w:rPr>
          <w:rStyle w:val="5"/>
          <w:rFonts w:ascii="仿宋_GB2312" w:hAnsi="仿宋" w:eastAsia="仿宋_GB2312"/>
          <w:b w:val="0"/>
          <w:sz w:val="24"/>
          <w:szCs w:val="24"/>
        </w:rPr>
      </w:pP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护送路线情况说明须包含全程线路图（或分省线路图）、起点、途经站点、中途拟停车休息站点、终点等是否满足运行条件。</w:t>
      </w:r>
    </w:p>
    <w:p>
      <w:pPr>
        <w:snapToGrid w:val="0"/>
        <w:spacing w:line="360" w:lineRule="auto"/>
        <w:ind w:firstLine="482" w:firstLineChars="200"/>
        <w:rPr>
          <w:rStyle w:val="5"/>
          <w:rFonts w:ascii="仿宋_GB2312" w:hAnsi="仿宋" w:eastAsia="仿宋_GB2312"/>
          <w:sz w:val="24"/>
          <w:szCs w:val="24"/>
        </w:rPr>
      </w:pPr>
      <w:r>
        <w:rPr>
          <w:rStyle w:val="5"/>
          <w:rFonts w:hint="eastAsia" w:ascii="仿宋_GB2312" w:hAnsi="仿宋" w:eastAsia="仿宋_GB2312"/>
          <w:sz w:val="24"/>
          <w:szCs w:val="24"/>
        </w:rPr>
        <w:t>五、护送操作细则</w:t>
      </w:r>
    </w:p>
    <w:p>
      <w:pPr>
        <w:snapToGrid w:val="0"/>
        <w:spacing w:line="360" w:lineRule="auto"/>
        <w:ind w:firstLine="480" w:firstLineChars="200"/>
        <w:rPr>
          <w:rStyle w:val="5"/>
          <w:rFonts w:ascii="仿宋_GB2312" w:hAnsi="仿宋" w:eastAsia="仿宋_GB2312"/>
          <w:b w:val="0"/>
          <w:sz w:val="24"/>
          <w:szCs w:val="24"/>
        </w:rPr>
      </w:pP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二级以下公路护送细则（包括桥梁、隧道、上下坡道、限高</w:t>
      </w:r>
      <w:r>
        <w:rPr>
          <w:rStyle w:val="5"/>
          <w:rFonts w:ascii="仿宋_GB2312" w:hAnsi="仿宋" w:eastAsia="仿宋_GB2312"/>
          <w:b w:val="0"/>
          <w:sz w:val="24"/>
          <w:szCs w:val="24"/>
        </w:rPr>
        <w:t>、限宽、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城镇等）、一级和高速公路护送细则（包括桥梁、隧道、匝道、上下坡道、限高、</w:t>
      </w:r>
      <w:r>
        <w:rPr>
          <w:rStyle w:val="5"/>
          <w:rFonts w:ascii="仿宋_GB2312" w:hAnsi="仿宋" w:eastAsia="仿宋_GB2312"/>
          <w:b w:val="0"/>
          <w:sz w:val="24"/>
          <w:szCs w:val="24"/>
        </w:rPr>
        <w:t>限宽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等）。</w:t>
      </w:r>
    </w:p>
    <w:p>
      <w:pPr>
        <w:snapToGrid w:val="0"/>
        <w:spacing w:line="360" w:lineRule="auto"/>
        <w:ind w:firstLine="482" w:firstLineChars="200"/>
        <w:rPr>
          <w:rStyle w:val="5"/>
          <w:rFonts w:ascii="仿宋_GB2312" w:hAnsi="仿宋" w:eastAsia="仿宋_GB2312"/>
          <w:sz w:val="24"/>
          <w:szCs w:val="24"/>
        </w:rPr>
      </w:pPr>
      <w:r>
        <w:rPr>
          <w:rStyle w:val="5"/>
          <w:rFonts w:hint="eastAsia" w:ascii="仿宋_GB2312" w:hAnsi="仿宋" w:eastAsia="仿宋_GB2312"/>
          <w:sz w:val="24"/>
          <w:szCs w:val="24"/>
        </w:rPr>
        <w:t>六、异常情况处理</w:t>
      </w:r>
    </w:p>
    <w:p>
      <w:pPr>
        <w:snapToGrid w:val="0"/>
        <w:spacing w:line="360" w:lineRule="auto"/>
        <w:ind w:firstLine="480" w:firstLineChars="200"/>
        <w:rPr>
          <w:rStyle w:val="5"/>
          <w:rFonts w:ascii="仿宋_GB2312" w:hAnsi="仿宋" w:eastAsia="仿宋_GB2312"/>
          <w:b w:val="0"/>
          <w:sz w:val="24"/>
          <w:szCs w:val="24"/>
        </w:rPr>
      </w:pP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护送中遇到突发情况（突发交通事故、自然灾害、运输车辆故障、大件设备紧固松动移位等）处理预案。</w:t>
      </w:r>
    </w:p>
    <w:p>
      <w:pPr>
        <w:snapToGrid w:val="0"/>
        <w:spacing w:line="360" w:lineRule="auto"/>
        <w:ind w:right="750" w:firstLine="3720" w:firstLineChars="1550"/>
        <w:rPr>
          <w:rStyle w:val="5"/>
          <w:rFonts w:ascii="仿宋_GB2312" w:hAnsi="仿宋" w:eastAsia="仿宋_GB2312"/>
          <w:b w:val="0"/>
          <w:sz w:val="24"/>
          <w:szCs w:val="24"/>
        </w:rPr>
      </w:pP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>企业名称（印章）</w:t>
      </w:r>
    </w:p>
    <w:p>
      <w:pPr>
        <w:rPr>
          <w:b/>
        </w:rPr>
      </w:pP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 xml:space="preserve">                      </w:t>
      </w:r>
      <w:r>
        <w:rPr>
          <w:rStyle w:val="5"/>
          <w:rFonts w:ascii="仿宋_GB2312" w:hAnsi="仿宋" w:eastAsia="仿宋_GB2312"/>
          <w:b w:val="0"/>
          <w:sz w:val="24"/>
          <w:szCs w:val="24"/>
        </w:rPr>
        <w:t xml:space="preserve">                  </w:t>
      </w:r>
      <w:r>
        <w:rPr>
          <w:rStyle w:val="5"/>
          <w:rFonts w:hint="eastAsia" w:ascii="仿宋_GB2312" w:hAnsi="仿宋" w:eastAsia="仿宋_GB2312"/>
          <w:b w:val="0"/>
          <w:sz w:val="24"/>
          <w:szCs w:val="24"/>
        </w:rPr>
        <w:t xml:space="preserve">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32"/>
    <w:rsid w:val="00032A20"/>
    <w:rsid w:val="001C0D36"/>
    <w:rsid w:val="003D0D32"/>
    <w:rsid w:val="004E5377"/>
    <w:rsid w:val="00CD1377"/>
    <w:rsid w:val="00E45C22"/>
    <w:rsid w:val="00E93058"/>
    <w:rsid w:val="00EB7645"/>
    <w:rsid w:val="0D7257D0"/>
    <w:rsid w:val="79C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725</Characters>
  <Lines>6</Lines>
  <Paragraphs>1</Paragraphs>
  <TotalTime>1</TotalTime>
  <ScaleCrop>false</ScaleCrop>
  <LinksUpToDate>false</LinksUpToDate>
  <CharactersWithSpaces>851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2019-07-18T09:27:00Z</dcterms:created>
  <dc:creator>李轶舜</dc:creator>
  <cp:lastModifiedBy>常 联系</cp:lastModifiedBy>
  <dcterms:modified xsi:type="dcterms:W3CDTF">2019-07-31T22:56:03Z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