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301" w:firstLineChars="100"/>
        <w:jc w:val="left"/>
        <w:rPr>
          <w:rFonts w:ascii="仿宋_GB2312" w:hAnsi="仿宋_GB2312" w:eastAsia="仿宋_GB2312" w:cs="仿宋_GB2312"/>
          <w:b/>
          <w:bCs/>
          <w:sz w:val="30"/>
          <w:szCs w:val="30"/>
        </w:rPr>
      </w:pP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r>
        <w:rPr>
          <w:rFonts w:hint="eastAsia" w:ascii="仿宋" w:hAnsi="仿宋" w:eastAsia="仿宋" w:cs="仿宋"/>
          <w:b/>
          <w:bCs/>
          <w:sz w:val="32"/>
          <w:szCs w:val="32"/>
          <w:lang w:val="zh-CN"/>
        </w:rPr>
        <w:t>政采编号：政采-西安市-2021-03286</w:t>
      </w:r>
    </w:p>
    <w:p>
      <w:pPr>
        <w:tabs>
          <w:tab w:val="left" w:pos="5670"/>
        </w:tabs>
        <w:autoSpaceDE w:val="0"/>
        <w:autoSpaceDN w:val="0"/>
        <w:adjustRightInd w:val="0"/>
        <w:spacing w:line="360" w:lineRule="auto"/>
        <w:ind w:firstLine="300"/>
        <w:rPr>
          <w:rFonts w:ascii="仿宋" w:hAnsi="仿宋" w:eastAsia="仿宋" w:cs="仿宋"/>
          <w:b/>
          <w:bCs/>
          <w:sz w:val="30"/>
          <w:szCs w:val="30"/>
        </w:rPr>
      </w:pPr>
      <w:r>
        <w:rPr>
          <w:rFonts w:hint="eastAsia" w:ascii="仿宋" w:hAnsi="仿宋" w:eastAsia="仿宋" w:cs="仿宋"/>
          <w:b/>
          <w:bCs/>
          <w:sz w:val="32"/>
          <w:szCs w:val="32"/>
          <w:lang w:val="zh-CN"/>
        </w:rPr>
        <w:t>项目编号：DX2021-210</w:t>
      </w:r>
    </w:p>
    <w:p>
      <w:pPr>
        <w:tabs>
          <w:tab w:val="left" w:pos="5670"/>
        </w:tabs>
        <w:autoSpaceDE w:val="0"/>
        <w:autoSpaceDN w:val="0"/>
        <w:adjustRightInd w:val="0"/>
        <w:spacing w:line="360" w:lineRule="auto"/>
        <w:ind w:firstLine="300"/>
        <w:rPr>
          <w:rFonts w:ascii="仿宋" w:hAnsi="仿宋" w:eastAsia="仿宋" w:cs="仿宋"/>
          <w:b/>
          <w:bCs/>
          <w:sz w:val="30"/>
          <w:szCs w:val="30"/>
          <w:lang w:val="zh-CN"/>
        </w:rPr>
      </w:pPr>
    </w:p>
    <w:p>
      <w:pPr>
        <w:pStyle w:val="2"/>
      </w:pPr>
    </w:p>
    <w:p>
      <w:pPr>
        <w:pStyle w:val="11"/>
        <w:tabs>
          <w:tab w:val="left" w:pos="5670"/>
        </w:tabs>
        <w:adjustRightInd w:val="0"/>
        <w:snapToGrid w:val="0"/>
        <w:spacing w:line="360" w:lineRule="auto"/>
        <w:jc w:val="both"/>
        <w:rPr>
          <w:rFonts w:ascii="宋体" w:hAnsi="宋体" w:cs="宋体"/>
          <w:spacing w:val="0"/>
          <w:w w:val="100"/>
          <w:sz w:val="44"/>
          <w:szCs w:val="44"/>
        </w:rPr>
      </w:pPr>
    </w:p>
    <w:p>
      <w:pPr>
        <w:pStyle w:val="11"/>
        <w:tabs>
          <w:tab w:val="left" w:pos="5670"/>
        </w:tabs>
        <w:adjustRightInd w:val="0"/>
        <w:snapToGrid w:val="0"/>
        <w:spacing w:line="360" w:lineRule="auto"/>
        <w:rPr>
          <w:rFonts w:ascii="宋体" w:hAnsi="宋体" w:cs="宋体"/>
          <w:spacing w:val="0"/>
          <w:w w:val="100"/>
          <w:sz w:val="44"/>
          <w:szCs w:val="44"/>
        </w:rPr>
      </w:pPr>
      <w:r>
        <w:rPr>
          <w:rFonts w:hint="eastAsia" w:ascii="宋体" w:hAnsi="宋体" w:cs="宋体"/>
          <w:spacing w:val="0"/>
          <w:w w:val="100"/>
          <w:sz w:val="44"/>
          <w:szCs w:val="44"/>
          <w:lang w:eastAsia="zh-CN"/>
        </w:rPr>
        <w:t>西安市学校中层管理人员能力提升培训项目</w:t>
      </w:r>
    </w:p>
    <w:p>
      <w:pPr>
        <w:pStyle w:val="11"/>
        <w:tabs>
          <w:tab w:val="left" w:pos="5670"/>
        </w:tabs>
        <w:adjustRightInd w:val="0"/>
        <w:snapToGrid w:val="0"/>
        <w:spacing w:line="360" w:lineRule="auto"/>
        <w:rPr>
          <w:rFonts w:ascii="宋体" w:hAnsi="宋体" w:cs="宋体"/>
          <w:spacing w:val="0"/>
          <w:w w:val="100"/>
          <w:sz w:val="44"/>
          <w:szCs w:val="44"/>
        </w:rPr>
      </w:pPr>
    </w:p>
    <w:p>
      <w:pPr>
        <w:pStyle w:val="11"/>
        <w:tabs>
          <w:tab w:val="left" w:pos="5670"/>
        </w:tabs>
        <w:adjustRightInd w:val="0"/>
        <w:snapToGrid w:val="0"/>
        <w:spacing w:line="360" w:lineRule="auto"/>
        <w:rPr>
          <w:rFonts w:ascii="宋体" w:hAnsi="宋体" w:cs="宋体"/>
          <w:spacing w:val="0"/>
          <w:w w:val="100"/>
          <w:sz w:val="44"/>
          <w:szCs w:val="44"/>
        </w:rPr>
      </w:pPr>
    </w:p>
    <w:p>
      <w:pPr>
        <w:pStyle w:val="11"/>
        <w:tabs>
          <w:tab w:val="left" w:pos="5670"/>
        </w:tabs>
        <w:adjustRightInd w:val="0"/>
        <w:snapToGrid w:val="0"/>
        <w:spacing w:line="360" w:lineRule="auto"/>
        <w:rPr>
          <w:rFonts w:ascii="宋体" w:hAnsi="宋体" w:cs="宋体"/>
          <w:spacing w:val="0"/>
          <w:w w:val="100"/>
          <w:sz w:val="44"/>
          <w:szCs w:val="44"/>
        </w:rPr>
      </w:pPr>
    </w:p>
    <w:p>
      <w:pPr>
        <w:pStyle w:val="11"/>
        <w:tabs>
          <w:tab w:val="left" w:pos="5670"/>
        </w:tabs>
        <w:adjustRightInd w:val="0"/>
        <w:snapToGrid w:val="0"/>
        <w:spacing w:line="360" w:lineRule="auto"/>
        <w:rPr>
          <w:rFonts w:ascii="仿宋_GB2312" w:hAnsi="仿宋_GB2312" w:eastAsia="仿宋_GB2312" w:cs="仿宋_GB2312"/>
          <w:spacing w:val="0"/>
          <w:w w:val="100"/>
          <w:sz w:val="44"/>
          <w:szCs w:val="44"/>
        </w:rPr>
      </w:pPr>
      <w:r>
        <w:rPr>
          <w:rFonts w:hint="eastAsia" w:ascii="宋体" w:hAnsi="宋体" w:cs="宋体"/>
          <w:spacing w:val="0"/>
          <w:w w:val="100"/>
          <w:sz w:val="44"/>
          <w:szCs w:val="44"/>
        </w:rPr>
        <w:t>竞争性磋商文件</w:t>
      </w:r>
    </w:p>
    <w:p>
      <w:pPr>
        <w:pStyle w:val="11"/>
        <w:tabs>
          <w:tab w:val="left" w:pos="5670"/>
        </w:tabs>
        <w:adjustRightInd w:val="0"/>
        <w:snapToGrid w:val="0"/>
        <w:spacing w:line="360" w:lineRule="auto"/>
        <w:jc w:val="both"/>
        <w:rPr>
          <w:rFonts w:ascii="仿宋_GB2312" w:hAnsi="仿宋_GB2312" w:eastAsia="仿宋_GB2312" w:cs="仿宋_GB2312"/>
          <w:spacing w:val="0"/>
          <w:w w:val="100"/>
          <w:sz w:val="44"/>
          <w:szCs w:val="44"/>
        </w:rPr>
      </w:pPr>
    </w:p>
    <w:p>
      <w:pPr>
        <w:pStyle w:val="11"/>
        <w:tabs>
          <w:tab w:val="left" w:pos="5670"/>
        </w:tabs>
        <w:adjustRightInd w:val="0"/>
        <w:snapToGrid w:val="0"/>
        <w:spacing w:line="360" w:lineRule="auto"/>
        <w:jc w:val="both"/>
        <w:rPr>
          <w:rFonts w:ascii="仿宋_GB2312" w:hAnsi="仿宋_GB2312" w:eastAsia="仿宋_GB2312" w:cs="仿宋_GB2312"/>
          <w:spacing w:val="0"/>
          <w:w w:val="100"/>
          <w:sz w:val="44"/>
          <w:szCs w:val="44"/>
        </w:rPr>
      </w:pPr>
    </w:p>
    <w:p>
      <w:pPr>
        <w:pStyle w:val="11"/>
        <w:tabs>
          <w:tab w:val="left" w:pos="5670"/>
        </w:tabs>
        <w:adjustRightInd w:val="0"/>
        <w:snapToGrid w:val="0"/>
        <w:spacing w:line="360" w:lineRule="auto"/>
        <w:rPr>
          <w:rFonts w:ascii="仿宋" w:hAnsi="仿宋" w:eastAsia="仿宋" w:cs="仿宋"/>
          <w:spacing w:val="0"/>
          <w:w w:val="100"/>
          <w:sz w:val="32"/>
          <w:szCs w:val="32"/>
        </w:rPr>
      </w:pPr>
    </w:p>
    <w:p>
      <w:pPr>
        <w:pStyle w:val="11"/>
        <w:tabs>
          <w:tab w:val="left" w:pos="5670"/>
        </w:tabs>
        <w:adjustRightInd w:val="0"/>
        <w:snapToGrid w:val="0"/>
        <w:spacing w:line="360" w:lineRule="auto"/>
        <w:rPr>
          <w:rFonts w:ascii="仿宋" w:hAnsi="仿宋" w:eastAsia="仿宋" w:cs="仿宋"/>
          <w:spacing w:val="0"/>
          <w:w w:val="100"/>
          <w:sz w:val="32"/>
          <w:szCs w:val="32"/>
        </w:rPr>
      </w:pPr>
    </w:p>
    <w:p>
      <w:pPr>
        <w:autoSpaceDE w:val="0"/>
        <w:autoSpaceDN w:val="0"/>
        <w:adjustRightInd w:val="0"/>
        <w:snapToGrid w:val="0"/>
        <w:spacing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陕西笃信</w:t>
      </w:r>
      <w:bookmarkStart w:id="682" w:name="_GoBack"/>
      <w:bookmarkEnd w:id="682"/>
      <w:r>
        <w:rPr>
          <w:rFonts w:hint="eastAsia" w:ascii="仿宋" w:hAnsi="仿宋" w:eastAsia="仿宋" w:cs="仿宋"/>
          <w:b/>
          <w:bCs/>
          <w:sz w:val="32"/>
          <w:szCs w:val="32"/>
          <w:lang w:val="zh-CN"/>
        </w:rPr>
        <w:t>招标有限公司</w:t>
      </w:r>
    </w:p>
    <w:p>
      <w:pPr>
        <w:autoSpaceDE w:val="0"/>
        <w:autoSpaceDN w:val="0"/>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二零二一年</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月</w:t>
      </w:r>
    </w:p>
    <w:p>
      <w:pPr>
        <w:spacing w:line="360" w:lineRule="auto"/>
        <w:jc w:val="center"/>
        <w:rPr>
          <w:rFonts w:hint="eastAsia" w:ascii="仿宋" w:hAnsi="仿宋" w:eastAsia="仿宋" w:cs="仿宋"/>
          <w:b/>
          <w:bCs/>
          <w:sz w:val="32"/>
          <w:szCs w:val="32"/>
        </w:rPr>
        <w:sectPr>
          <w:headerReference r:id="rId3" w:type="default"/>
          <w:footerReference r:id="rId4" w:type="default"/>
          <w:footerReference r:id="rId5" w:type="even"/>
          <w:pgSz w:w="11906" w:h="16838"/>
          <w:pgMar w:top="1418" w:right="1418" w:bottom="1418" w:left="1418" w:header="851" w:footer="992" w:gutter="0"/>
          <w:cols w:space="720" w:num="1"/>
          <w:docGrid w:linePitch="312" w:charSpace="0"/>
        </w:sect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19"/>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TOC \o "1-3" \h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_Toc28014 </w:instrText>
      </w:r>
      <w:r>
        <w:rPr>
          <w:rFonts w:hint="eastAsia" w:ascii="仿宋" w:hAnsi="仿宋" w:eastAsia="仿宋" w:cs="仿宋"/>
          <w:szCs w:val="21"/>
        </w:rPr>
        <w:fldChar w:fldCharType="separate"/>
      </w:r>
      <w:r>
        <w:rPr>
          <w:rFonts w:hint="eastAsia" w:ascii="仿宋" w:hAnsi="仿宋" w:eastAsia="仿宋" w:cs="仿宋"/>
          <w:szCs w:val="32"/>
          <w:lang w:val="zh-CN"/>
        </w:rPr>
        <w:t>第一部分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_Toc28014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zCs w:val="21"/>
        </w:rPr>
        <w:fldChar w:fldCharType="end"/>
      </w:r>
    </w:p>
    <w:p>
      <w:pPr>
        <w:pStyle w:val="19"/>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_Toc6879 </w:instrText>
      </w:r>
      <w:r>
        <w:rPr>
          <w:rFonts w:hint="eastAsia" w:ascii="仿宋" w:hAnsi="仿宋" w:eastAsia="仿宋" w:cs="仿宋"/>
          <w:szCs w:val="21"/>
        </w:rPr>
        <w:fldChar w:fldCharType="separate"/>
      </w:r>
      <w:r>
        <w:rPr>
          <w:rFonts w:hint="eastAsia" w:ascii="仿宋" w:hAnsi="仿宋" w:eastAsia="仿宋" w:cs="仿宋"/>
          <w:szCs w:val="32"/>
          <w:lang w:val="zh-CN"/>
        </w:rPr>
        <w:t>第二部分</w:t>
      </w:r>
      <w:r>
        <w:rPr>
          <w:rFonts w:hint="eastAsia" w:ascii="仿宋" w:hAnsi="仿宋" w:eastAsia="仿宋" w:cs="仿宋"/>
          <w:szCs w:val="32"/>
        </w:rPr>
        <w:t xml:space="preserve">   </w:t>
      </w:r>
      <w:r>
        <w:rPr>
          <w:rFonts w:hint="eastAsia" w:ascii="仿宋" w:hAnsi="仿宋" w:eastAsia="仿宋" w:cs="仿宋"/>
          <w:szCs w:val="32"/>
          <w:lang w:val="zh-CN"/>
        </w:rPr>
        <w:t>竞争性磋商须知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_Toc6879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_Toc28298 </w:instrText>
      </w:r>
      <w:r>
        <w:rPr>
          <w:rFonts w:hint="eastAsia" w:ascii="仿宋" w:hAnsi="仿宋" w:eastAsia="仿宋" w:cs="仿宋"/>
          <w:szCs w:val="21"/>
        </w:rPr>
        <w:fldChar w:fldCharType="separate"/>
      </w:r>
      <w:r>
        <w:rPr>
          <w:rFonts w:hint="eastAsia" w:ascii="仿宋" w:hAnsi="仿宋" w:eastAsia="仿宋" w:cs="仿宋"/>
          <w:bCs/>
          <w:szCs w:val="28"/>
          <w:lang w:val="zh-CN"/>
        </w:rPr>
        <w:t>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_Toc28298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_Toc9025 </w:instrText>
      </w:r>
      <w:r>
        <w:rPr>
          <w:rFonts w:hint="eastAsia" w:ascii="仿宋" w:hAnsi="仿宋" w:eastAsia="仿宋" w:cs="仿宋"/>
          <w:szCs w:val="21"/>
        </w:rPr>
        <w:fldChar w:fldCharType="separate"/>
      </w:r>
      <w:r>
        <w:rPr>
          <w:rFonts w:hint="eastAsia" w:ascii="仿宋" w:hAnsi="仿宋" w:eastAsia="仿宋" w:cs="仿宋"/>
          <w:bCs/>
          <w:szCs w:val="24"/>
          <w:lang w:val="zh-CN"/>
        </w:rPr>
        <w:t>一、总则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_Toc9025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_Toc27363 </w:instrText>
      </w:r>
      <w:r>
        <w:rPr>
          <w:rFonts w:hint="eastAsia" w:ascii="仿宋" w:hAnsi="仿宋" w:eastAsia="仿宋" w:cs="仿宋"/>
          <w:szCs w:val="21"/>
        </w:rPr>
        <w:fldChar w:fldCharType="separate"/>
      </w:r>
      <w:r>
        <w:rPr>
          <w:rFonts w:hint="eastAsia" w:ascii="仿宋" w:hAnsi="仿宋" w:eastAsia="仿宋" w:cs="仿宋"/>
          <w:bCs/>
          <w:szCs w:val="24"/>
          <w:lang w:val="zh-CN"/>
        </w:rPr>
        <w:t>（一）适用范围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_Toc27363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_Toc17369 </w:instrText>
      </w:r>
      <w:r>
        <w:rPr>
          <w:rFonts w:hint="eastAsia" w:ascii="仿宋" w:hAnsi="仿宋" w:eastAsia="仿宋" w:cs="仿宋"/>
          <w:szCs w:val="21"/>
        </w:rPr>
        <w:fldChar w:fldCharType="separate"/>
      </w:r>
      <w:r>
        <w:rPr>
          <w:rFonts w:hint="eastAsia" w:ascii="仿宋" w:hAnsi="仿宋" w:eastAsia="仿宋" w:cs="仿宋"/>
          <w:bCs/>
          <w:szCs w:val="24"/>
          <w:lang w:val="zh-CN"/>
        </w:rPr>
        <w:t>二、磋商文件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_Toc17369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_Toc17875 </w:instrText>
      </w:r>
      <w:r>
        <w:rPr>
          <w:rFonts w:hint="eastAsia" w:ascii="仿宋" w:hAnsi="仿宋" w:eastAsia="仿宋" w:cs="仿宋"/>
          <w:szCs w:val="21"/>
        </w:rPr>
        <w:fldChar w:fldCharType="separate"/>
      </w:r>
      <w:r>
        <w:rPr>
          <w:rFonts w:hint="eastAsia" w:ascii="仿宋" w:hAnsi="仿宋" w:eastAsia="仿宋" w:cs="仿宋"/>
          <w:szCs w:val="24"/>
          <w:lang w:val="zh-CN"/>
        </w:rPr>
        <w:t>（一）磋商文件及要求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_Toc17875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_Toc1029 </w:instrText>
      </w:r>
      <w:r>
        <w:rPr>
          <w:rFonts w:hint="eastAsia" w:ascii="仿宋" w:hAnsi="仿宋" w:eastAsia="仿宋" w:cs="仿宋"/>
          <w:szCs w:val="21"/>
        </w:rPr>
        <w:fldChar w:fldCharType="separate"/>
      </w:r>
      <w:r>
        <w:rPr>
          <w:rFonts w:hint="eastAsia" w:ascii="仿宋" w:hAnsi="仿宋" w:eastAsia="仿宋" w:cs="仿宋"/>
          <w:bCs/>
          <w:szCs w:val="24"/>
          <w:lang w:val="zh-CN"/>
        </w:rPr>
        <w:t>（二）磋商响应文件的澄清和修改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_Toc1029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_Toc32000 </w:instrText>
      </w:r>
      <w:r>
        <w:rPr>
          <w:rFonts w:hint="eastAsia" w:ascii="仿宋" w:hAnsi="仿宋" w:eastAsia="仿宋" w:cs="仿宋"/>
          <w:szCs w:val="21"/>
        </w:rPr>
        <w:fldChar w:fldCharType="separate"/>
      </w:r>
      <w:r>
        <w:rPr>
          <w:rFonts w:hint="eastAsia" w:ascii="仿宋" w:hAnsi="仿宋" w:eastAsia="仿宋" w:cs="仿宋"/>
          <w:bCs/>
          <w:szCs w:val="24"/>
          <w:lang w:val="zh-CN"/>
        </w:rPr>
        <w:t>（三）磋商文件的询问、质疑及答复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_Toc32000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_Toc14215 </w:instrText>
      </w:r>
      <w:r>
        <w:rPr>
          <w:rFonts w:hint="eastAsia" w:ascii="仿宋" w:hAnsi="仿宋" w:eastAsia="仿宋" w:cs="仿宋"/>
          <w:szCs w:val="21"/>
        </w:rPr>
        <w:fldChar w:fldCharType="separate"/>
      </w:r>
      <w:r>
        <w:rPr>
          <w:rFonts w:hint="eastAsia" w:ascii="仿宋" w:hAnsi="仿宋" w:eastAsia="仿宋" w:cs="仿宋"/>
          <w:bCs/>
          <w:szCs w:val="24"/>
          <w:lang w:val="zh-CN"/>
        </w:rPr>
        <w:t>（四）磋商文件的解释权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_Toc14215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_Toc5880 </w:instrText>
      </w:r>
      <w:r>
        <w:rPr>
          <w:rFonts w:hint="eastAsia" w:ascii="仿宋" w:hAnsi="仿宋" w:eastAsia="仿宋" w:cs="仿宋"/>
          <w:szCs w:val="21"/>
        </w:rPr>
        <w:fldChar w:fldCharType="separate"/>
      </w:r>
      <w:r>
        <w:rPr>
          <w:rFonts w:hint="eastAsia" w:ascii="仿宋" w:hAnsi="仿宋" w:eastAsia="仿宋" w:cs="仿宋"/>
          <w:bCs/>
          <w:szCs w:val="24"/>
          <w:lang w:val="zh-CN"/>
        </w:rPr>
        <w:t>三、磋商要求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_Toc5880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_Toc3400 </w:instrText>
      </w:r>
      <w:r>
        <w:rPr>
          <w:rFonts w:hint="eastAsia" w:ascii="仿宋" w:hAnsi="仿宋" w:eastAsia="仿宋" w:cs="仿宋"/>
          <w:szCs w:val="21"/>
        </w:rPr>
        <w:fldChar w:fldCharType="separate"/>
      </w:r>
      <w:r>
        <w:rPr>
          <w:rFonts w:hint="eastAsia" w:ascii="仿宋" w:hAnsi="仿宋" w:eastAsia="仿宋" w:cs="仿宋"/>
          <w:bCs/>
          <w:szCs w:val="24"/>
          <w:lang w:val="zh-CN"/>
        </w:rPr>
        <w:t>（一）磋商内容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_Toc3400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_Toc26464 </w:instrText>
      </w:r>
      <w:r>
        <w:rPr>
          <w:rFonts w:hint="eastAsia" w:ascii="仿宋" w:hAnsi="仿宋" w:eastAsia="仿宋" w:cs="仿宋"/>
          <w:szCs w:val="21"/>
        </w:rPr>
        <w:fldChar w:fldCharType="separate"/>
      </w:r>
      <w:r>
        <w:rPr>
          <w:rFonts w:hint="eastAsia" w:ascii="仿宋" w:hAnsi="仿宋" w:eastAsia="仿宋" w:cs="仿宋"/>
          <w:bCs/>
          <w:szCs w:val="24"/>
          <w:lang w:val="zh-CN"/>
        </w:rPr>
        <w:t>（二）合格供应商要求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_Toc26464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_Toc28971 </w:instrText>
      </w:r>
      <w:r>
        <w:rPr>
          <w:rFonts w:hint="eastAsia" w:ascii="仿宋" w:hAnsi="仿宋" w:eastAsia="仿宋" w:cs="仿宋"/>
          <w:szCs w:val="21"/>
        </w:rPr>
        <w:fldChar w:fldCharType="separate"/>
      </w:r>
      <w:r>
        <w:rPr>
          <w:rFonts w:hint="eastAsia" w:ascii="仿宋" w:hAnsi="仿宋" w:eastAsia="仿宋" w:cs="仿宋"/>
          <w:bCs/>
          <w:szCs w:val="24"/>
          <w:lang w:val="zh-CN"/>
        </w:rPr>
        <w:t>（三）限制磋商要求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_Toc28971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_Toc24069 </w:instrText>
      </w:r>
      <w:r>
        <w:rPr>
          <w:rFonts w:hint="eastAsia" w:ascii="仿宋" w:hAnsi="仿宋" w:eastAsia="仿宋" w:cs="仿宋"/>
          <w:szCs w:val="21"/>
        </w:rPr>
        <w:fldChar w:fldCharType="separate"/>
      </w:r>
      <w:r>
        <w:rPr>
          <w:rFonts w:hint="eastAsia" w:ascii="仿宋" w:hAnsi="仿宋" w:eastAsia="仿宋" w:cs="仿宋"/>
          <w:bCs/>
          <w:szCs w:val="24"/>
          <w:lang w:val="zh-CN"/>
        </w:rPr>
        <w:t>（四）磋商响应文件有效期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_Toc24069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_Toc32530 </w:instrText>
      </w:r>
      <w:r>
        <w:rPr>
          <w:rFonts w:hint="eastAsia" w:ascii="仿宋" w:hAnsi="仿宋" w:eastAsia="仿宋" w:cs="仿宋"/>
          <w:szCs w:val="21"/>
        </w:rPr>
        <w:fldChar w:fldCharType="separate"/>
      </w:r>
      <w:r>
        <w:rPr>
          <w:rFonts w:hint="eastAsia" w:ascii="仿宋" w:hAnsi="仿宋" w:eastAsia="仿宋" w:cs="仿宋"/>
          <w:szCs w:val="24"/>
          <w:lang w:val="zh-CN"/>
        </w:rPr>
        <w:t>（五）磋商响应文件的编制要求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_Toc32530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_Toc7333 </w:instrText>
      </w:r>
      <w:r>
        <w:rPr>
          <w:rFonts w:hint="eastAsia" w:ascii="仿宋" w:hAnsi="仿宋" w:eastAsia="仿宋" w:cs="仿宋"/>
          <w:szCs w:val="21"/>
        </w:rPr>
        <w:fldChar w:fldCharType="separate"/>
      </w:r>
      <w:r>
        <w:rPr>
          <w:rFonts w:hint="eastAsia" w:ascii="仿宋" w:hAnsi="仿宋" w:eastAsia="仿宋" w:cs="仿宋"/>
          <w:szCs w:val="24"/>
        </w:rPr>
        <w:t>（六）磋商报价要求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_Toc7333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_Toc22056 </w:instrText>
      </w:r>
      <w:r>
        <w:rPr>
          <w:rFonts w:hint="eastAsia" w:ascii="仿宋" w:hAnsi="仿宋" w:eastAsia="仿宋" w:cs="仿宋"/>
          <w:szCs w:val="21"/>
        </w:rPr>
        <w:fldChar w:fldCharType="separate"/>
      </w:r>
      <w:r>
        <w:rPr>
          <w:rFonts w:hint="eastAsia" w:ascii="仿宋" w:hAnsi="仿宋" w:eastAsia="仿宋" w:cs="仿宋"/>
          <w:szCs w:val="24"/>
        </w:rPr>
        <w:t>（七）磋商响应文件的式样、签署和装订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_Toc22056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_Toc29339 </w:instrText>
      </w:r>
      <w:r>
        <w:rPr>
          <w:rFonts w:hint="eastAsia" w:ascii="仿宋" w:hAnsi="仿宋" w:eastAsia="仿宋" w:cs="仿宋"/>
          <w:szCs w:val="21"/>
        </w:rPr>
        <w:fldChar w:fldCharType="separate"/>
      </w:r>
      <w:r>
        <w:rPr>
          <w:rFonts w:hint="eastAsia" w:ascii="仿宋" w:hAnsi="仿宋" w:eastAsia="仿宋" w:cs="仿宋"/>
          <w:szCs w:val="24"/>
        </w:rPr>
        <w:t>（八）</w:t>
      </w:r>
      <w:r>
        <w:rPr>
          <w:rFonts w:hint="eastAsia" w:ascii="仿宋" w:hAnsi="仿宋" w:eastAsia="仿宋" w:cs="仿宋"/>
          <w:szCs w:val="24"/>
          <w:lang w:val="zh-CN"/>
        </w:rPr>
        <w:t>磋商响应文件的密封和提交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_Toc29339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_Toc830 </w:instrText>
      </w:r>
      <w:r>
        <w:rPr>
          <w:rFonts w:hint="eastAsia" w:ascii="仿宋" w:hAnsi="仿宋" w:eastAsia="仿宋" w:cs="仿宋"/>
          <w:szCs w:val="21"/>
        </w:rPr>
        <w:fldChar w:fldCharType="separate"/>
      </w:r>
      <w:r>
        <w:rPr>
          <w:rFonts w:hint="eastAsia" w:ascii="仿宋" w:hAnsi="仿宋" w:eastAsia="仿宋" w:cs="仿宋"/>
          <w:szCs w:val="24"/>
        </w:rPr>
        <w:t>四、磋商小组组成及职责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_Toc830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_Toc7308 </w:instrText>
      </w:r>
      <w:r>
        <w:rPr>
          <w:rFonts w:hint="eastAsia" w:ascii="仿宋" w:hAnsi="仿宋" w:eastAsia="仿宋" w:cs="仿宋"/>
          <w:szCs w:val="21"/>
        </w:rPr>
        <w:fldChar w:fldCharType="separate"/>
      </w:r>
      <w:r>
        <w:rPr>
          <w:rFonts w:hint="eastAsia" w:ascii="仿宋" w:hAnsi="仿宋" w:eastAsia="仿宋" w:cs="仿宋"/>
          <w:szCs w:val="24"/>
        </w:rPr>
        <w:t>五、磋商会议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_Toc7308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_Toc14190 </w:instrText>
      </w:r>
      <w:r>
        <w:rPr>
          <w:rFonts w:hint="eastAsia" w:ascii="仿宋" w:hAnsi="仿宋" w:eastAsia="仿宋" w:cs="仿宋"/>
          <w:szCs w:val="21"/>
        </w:rPr>
        <w:fldChar w:fldCharType="separate"/>
      </w:r>
      <w:r>
        <w:rPr>
          <w:rFonts w:hint="eastAsia" w:ascii="仿宋" w:hAnsi="仿宋" w:eastAsia="仿宋" w:cs="仿宋"/>
          <w:szCs w:val="24"/>
        </w:rPr>
        <w:t>六、磋商评审程序及评审办法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_Toc14190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_Toc6427 </w:instrText>
      </w:r>
      <w:r>
        <w:rPr>
          <w:rFonts w:hint="eastAsia" w:ascii="仿宋" w:hAnsi="仿宋" w:eastAsia="仿宋" w:cs="仿宋"/>
          <w:szCs w:val="21"/>
        </w:rPr>
        <w:fldChar w:fldCharType="separate"/>
      </w:r>
      <w:r>
        <w:rPr>
          <w:rFonts w:hint="eastAsia" w:ascii="仿宋" w:hAnsi="仿宋" w:eastAsia="仿宋" w:cs="仿宋"/>
          <w:szCs w:val="24"/>
        </w:rPr>
        <w:t>（一）磋商响应文件的资格性审查：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_Toc6427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_Toc26892 </w:instrText>
      </w:r>
      <w:r>
        <w:rPr>
          <w:rFonts w:hint="eastAsia" w:ascii="仿宋" w:hAnsi="仿宋" w:eastAsia="仿宋" w:cs="仿宋"/>
          <w:szCs w:val="21"/>
        </w:rPr>
        <w:fldChar w:fldCharType="separate"/>
      </w:r>
      <w:r>
        <w:rPr>
          <w:rFonts w:hint="eastAsia" w:ascii="仿宋" w:hAnsi="仿宋" w:eastAsia="仿宋" w:cs="仿宋"/>
          <w:szCs w:val="24"/>
        </w:rPr>
        <w:t>（二）磋商响应文件符合性审查：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_Toc26892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_Toc13949 </w:instrText>
      </w:r>
      <w:r>
        <w:rPr>
          <w:rFonts w:hint="eastAsia" w:ascii="仿宋" w:hAnsi="仿宋" w:eastAsia="仿宋" w:cs="仿宋"/>
          <w:szCs w:val="21"/>
        </w:rPr>
        <w:fldChar w:fldCharType="separate"/>
      </w:r>
      <w:r>
        <w:rPr>
          <w:rFonts w:hint="eastAsia" w:ascii="仿宋" w:hAnsi="仿宋" w:eastAsia="仿宋" w:cs="仿宋"/>
          <w:szCs w:val="24"/>
        </w:rPr>
        <w:t>（三）磋商响应文件的澄清、说明或者更正：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_Toc13949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_Toc461 </w:instrText>
      </w:r>
      <w:r>
        <w:rPr>
          <w:rFonts w:hint="eastAsia" w:ascii="仿宋" w:hAnsi="仿宋" w:eastAsia="仿宋" w:cs="仿宋"/>
          <w:szCs w:val="21"/>
        </w:rPr>
        <w:fldChar w:fldCharType="separate"/>
      </w:r>
      <w:r>
        <w:rPr>
          <w:rFonts w:hint="eastAsia" w:ascii="仿宋" w:hAnsi="仿宋" w:eastAsia="仿宋" w:cs="仿宋"/>
          <w:szCs w:val="24"/>
          <w:lang w:val="zh-CN"/>
        </w:rPr>
        <w:t>（四）供应商存在下列情况之一的，磋商无效：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_Toc461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_Toc675 </w:instrText>
      </w:r>
      <w:r>
        <w:rPr>
          <w:rFonts w:hint="eastAsia" w:ascii="仿宋" w:hAnsi="仿宋" w:eastAsia="仿宋" w:cs="仿宋"/>
          <w:szCs w:val="21"/>
        </w:rPr>
        <w:fldChar w:fldCharType="separate"/>
      </w:r>
      <w:r>
        <w:rPr>
          <w:rFonts w:hint="eastAsia" w:ascii="仿宋" w:hAnsi="仿宋" w:eastAsia="仿宋" w:cs="仿宋"/>
          <w:szCs w:val="24"/>
        </w:rPr>
        <w:t>（五）磋商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_Toc675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_Toc7873 </w:instrText>
      </w:r>
      <w:r>
        <w:rPr>
          <w:rFonts w:hint="eastAsia" w:ascii="仿宋" w:hAnsi="仿宋" w:eastAsia="仿宋" w:cs="仿宋"/>
          <w:szCs w:val="21"/>
        </w:rPr>
        <w:fldChar w:fldCharType="separate"/>
      </w:r>
      <w:r>
        <w:rPr>
          <w:rFonts w:hint="eastAsia" w:ascii="仿宋" w:hAnsi="仿宋" w:eastAsia="仿宋" w:cs="仿宋"/>
          <w:szCs w:val="24"/>
        </w:rPr>
        <w:t>（六）最终报价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_Toc7873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_Toc22963 </w:instrText>
      </w:r>
      <w:r>
        <w:rPr>
          <w:rFonts w:hint="eastAsia" w:ascii="仿宋" w:hAnsi="仿宋" w:eastAsia="仿宋" w:cs="仿宋"/>
          <w:szCs w:val="21"/>
        </w:rPr>
        <w:fldChar w:fldCharType="separate"/>
      </w:r>
      <w:r>
        <w:rPr>
          <w:rFonts w:hint="eastAsia" w:ascii="仿宋" w:hAnsi="仿宋" w:eastAsia="仿宋" w:cs="仿宋"/>
          <w:szCs w:val="24"/>
        </w:rPr>
        <w:t>（七）</w:t>
      </w:r>
      <w:r>
        <w:rPr>
          <w:rFonts w:hint="eastAsia" w:ascii="仿宋" w:hAnsi="仿宋" w:eastAsia="仿宋" w:cs="仿宋"/>
          <w:szCs w:val="24"/>
          <w:lang w:val="zh-CN"/>
        </w:rPr>
        <w:t>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_Toc22963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_Toc31079 </w:instrText>
      </w:r>
      <w:r>
        <w:rPr>
          <w:rFonts w:hint="eastAsia" w:ascii="仿宋" w:hAnsi="仿宋" w:eastAsia="仿宋" w:cs="仿宋"/>
          <w:szCs w:val="21"/>
        </w:rPr>
        <w:fldChar w:fldCharType="separate"/>
      </w:r>
      <w:r>
        <w:rPr>
          <w:rFonts w:hint="eastAsia" w:ascii="仿宋" w:hAnsi="仿宋" w:eastAsia="仿宋" w:cs="仿宋"/>
          <w:szCs w:val="24"/>
          <w:lang w:val="zh-CN"/>
        </w:rPr>
        <w:t>（八）推荐成交候选供应商名单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_Toc31079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_Toc27999 </w:instrText>
      </w:r>
      <w:r>
        <w:rPr>
          <w:rFonts w:hint="eastAsia" w:ascii="仿宋" w:hAnsi="仿宋" w:eastAsia="仿宋" w:cs="仿宋"/>
          <w:szCs w:val="21"/>
        </w:rPr>
        <w:fldChar w:fldCharType="separate"/>
      </w:r>
      <w:r>
        <w:rPr>
          <w:rFonts w:hint="eastAsia" w:ascii="仿宋" w:hAnsi="仿宋" w:eastAsia="仿宋" w:cs="仿宋"/>
          <w:szCs w:val="24"/>
        </w:rPr>
        <w:t>七、确定成交供应商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_Toc27999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_Toc2604 </w:instrText>
      </w:r>
      <w:r>
        <w:rPr>
          <w:rFonts w:hint="eastAsia" w:ascii="仿宋" w:hAnsi="仿宋" w:eastAsia="仿宋" w:cs="仿宋"/>
          <w:szCs w:val="21"/>
        </w:rPr>
        <w:fldChar w:fldCharType="separate"/>
      </w:r>
      <w:r>
        <w:rPr>
          <w:rFonts w:hint="eastAsia" w:ascii="仿宋" w:hAnsi="仿宋" w:eastAsia="仿宋" w:cs="仿宋"/>
          <w:szCs w:val="24"/>
        </w:rPr>
        <w:t>八、合同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_Toc13272 </w:instrText>
      </w:r>
      <w:r>
        <w:rPr>
          <w:rFonts w:hint="eastAsia" w:ascii="仿宋" w:hAnsi="仿宋" w:eastAsia="仿宋" w:cs="仿宋"/>
          <w:szCs w:val="21"/>
        </w:rPr>
        <w:fldChar w:fldCharType="separate"/>
      </w:r>
      <w:r>
        <w:rPr>
          <w:rFonts w:hint="eastAsia" w:ascii="仿宋" w:hAnsi="仿宋" w:eastAsia="仿宋" w:cs="仿宋"/>
          <w:szCs w:val="24"/>
          <w:lang w:val="zh-CN"/>
        </w:rPr>
        <w:t>九、成交合同的履约验收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_Toc13272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_Toc14349 </w:instrText>
      </w:r>
      <w:r>
        <w:rPr>
          <w:rFonts w:hint="eastAsia" w:ascii="仿宋" w:hAnsi="仿宋" w:eastAsia="仿宋" w:cs="仿宋"/>
          <w:szCs w:val="21"/>
        </w:rPr>
        <w:fldChar w:fldCharType="separate"/>
      </w:r>
      <w:r>
        <w:rPr>
          <w:rFonts w:hint="eastAsia" w:ascii="仿宋" w:hAnsi="仿宋" w:eastAsia="仿宋" w:cs="仿宋"/>
          <w:szCs w:val="24"/>
        </w:rPr>
        <w:t>十、成交服务费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_Toc14349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_Toc25454 </w:instrText>
      </w:r>
      <w:r>
        <w:rPr>
          <w:rFonts w:hint="eastAsia" w:ascii="仿宋" w:hAnsi="仿宋" w:eastAsia="仿宋" w:cs="仿宋"/>
          <w:szCs w:val="21"/>
        </w:rPr>
        <w:fldChar w:fldCharType="separate"/>
      </w:r>
      <w:r>
        <w:rPr>
          <w:rFonts w:hint="eastAsia" w:ascii="仿宋" w:hAnsi="仿宋" w:eastAsia="仿宋" w:cs="仿宋"/>
          <w:szCs w:val="24"/>
          <w:lang w:val="zh-CN"/>
        </w:rPr>
        <w:t>十一、需要落实的政府采购政策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_Toc25454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_Toc17984 </w:instrText>
      </w:r>
      <w:r>
        <w:rPr>
          <w:rFonts w:hint="eastAsia" w:ascii="仿宋" w:hAnsi="仿宋" w:eastAsia="仿宋" w:cs="仿宋"/>
          <w:szCs w:val="21"/>
        </w:rPr>
        <w:fldChar w:fldCharType="separate"/>
      </w:r>
      <w:r>
        <w:rPr>
          <w:rFonts w:hint="eastAsia" w:ascii="仿宋" w:hAnsi="仿宋" w:eastAsia="仿宋" w:cs="仿宋"/>
          <w:szCs w:val="24"/>
          <w:lang w:val="zh-CN"/>
        </w:rPr>
        <w:t>十二、质疑与投诉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_Toc17984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_Toc2075 </w:instrText>
      </w:r>
      <w:r>
        <w:rPr>
          <w:rFonts w:hint="eastAsia" w:ascii="仿宋" w:hAnsi="仿宋" w:eastAsia="仿宋" w:cs="仿宋"/>
          <w:szCs w:val="21"/>
        </w:rPr>
        <w:fldChar w:fldCharType="separate"/>
      </w:r>
      <w:r>
        <w:rPr>
          <w:rFonts w:hint="eastAsia" w:ascii="仿宋" w:hAnsi="仿宋" w:eastAsia="仿宋" w:cs="仿宋"/>
          <w:bCs/>
          <w:szCs w:val="24"/>
          <w:lang w:val="zh-CN"/>
        </w:rPr>
        <w:t>（一）质疑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_Toc2075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_Toc30722 </w:instrText>
      </w:r>
      <w:r>
        <w:rPr>
          <w:rFonts w:hint="eastAsia" w:ascii="仿宋" w:hAnsi="仿宋" w:eastAsia="仿宋" w:cs="仿宋"/>
          <w:szCs w:val="21"/>
        </w:rPr>
        <w:fldChar w:fldCharType="separate"/>
      </w:r>
      <w:r>
        <w:rPr>
          <w:rFonts w:hint="eastAsia" w:ascii="仿宋" w:hAnsi="仿宋" w:eastAsia="仿宋" w:cs="仿宋"/>
          <w:bCs/>
          <w:szCs w:val="24"/>
          <w:lang w:val="zh-CN"/>
        </w:rPr>
        <w:t>（二）投诉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_Toc30722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szCs w:val="21"/>
        </w:rPr>
        <w:fldChar w:fldCharType="end"/>
      </w:r>
    </w:p>
    <w:p>
      <w:pPr>
        <w:pStyle w:val="19"/>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_Toc27283 </w:instrText>
      </w:r>
      <w:r>
        <w:rPr>
          <w:rFonts w:hint="eastAsia" w:ascii="仿宋" w:hAnsi="仿宋" w:eastAsia="仿宋" w:cs="仿宋"/>
          <w:szCs w:val="21"/>
        </w:rPr>
        <w:fldChar w:fldCharType="separate"/>
      </w:r>
      <w:r>
        <w:rPr>
          <w:rFonts w:hint="eastAsia" w:ascii="仿宋" w:hAnsi="仿宋" w:eastAsia="仿宋" w:cs="仿宋"/>
          <w:szCs w:val="32"/>
          <w:highlight w:val="none"/>
          <w:lang w:eastAsia="zh-CN"/>
        </w:rPr>
        <w:t>第三部分</w:t>
      </w:r>
      <w:r>
        <w:rPr>
          <w:rFonts w:hint="eastAsia" w:ascii="仿宋" w:hAnsi="仿宋" w:eastAsia="仿宋" w:cs="仿宋"/>
          <w:szCs w:val="32"/>
          <w:highlight w:val="none"/>
        </w:rPr>
        <w:t xml:space="preserve">  采购内容及要求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_Toc27283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zCs w:val="21"/>
        </w:rPr>
        <w:fldChar w:fldCharType="end"/>
      </w:r>
    </w:p>
    <w:p>
      <w:pPr>
        <w:pStyle w:val="19"/>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_Toc25602 </w:instrText>
      </w:r>
      <w:r>
        <w:rPr>
          <w:rFonts w:hint="eastAsia" w:ascii="仿宋" w:hAnsi="仿宋" w:eastAsia="仿宋" w:cs="仿宋"/>
          <w:szCs w:val="21"/>
        </w:rPr>
        <w:fldChar w:fldCharType="separate"/>
      </w:r>
      <w:r>
        <w:rPr>
          <w:rFonts w:hint="eastAsia" w:ascii="仿宋" w:hAnsi="仿宋" w:eastAsia="仿宋" w:cs="仿宋"/>
          <w:szCs w:val="32"/>
          <w:highlight w:val="none"/>
          <w:lang w:eastAsia="zh-CN"/>
        </w:rPr>
        <w:t>第四部分</w:t>
      </w:r>
      <w:r>
        <w:rPr>
          <w:rFonts w:hint="eastAsia" w:ascii="仿宋" w:hAnsi="仿宋" w:eastAsia="仿宋" w:cs="仿宋"/>
          <w:szCs w:val="32"/>
          <w:highlight w:val="none"/>
        </w:rPr>
        <w:t xml:space="preserve">  </w:t>
      </w:r>
      <w:r>
        <w:rPr>
          <w:rFonts w:hint="eastAsia" w:ascii="仿宋" w:hAnsi="仿宋" w:eastAsia="仿宋" w:cs="仿宋"/>
          <w:szCs w:val="32"/>
          <w:highlight w:val="none"/>
          <w:lang w:val="zh-CN"/>
        </w:rPr>
        <w:t>合同主要条款及格式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_Toc25602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zCs w:val="21"/>
        </w:rPr>
        <w:fldChar w:fldCharType="end"/>
      </w:r>
    </w:p>
    <w:p>
      <w:pPr>
        <w:pStyle w:val="19"/>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_Toc31875 </w:instrText>
      </w:r>
      <w:r>
        <w:rPr>
          <w:rFonts w:hint="eastAsia" w:ascii="仿宋" w:hAnsi="仿宋" w:eastAsia="仿宋" w:cs="仿宋"/>
          <w:szCs w:val="21"/>
        </w:rPr>
        <w:fldChar w:fldCharType="separate"/>
      </w:r>
      <w:r>
        <w:rPr>
          <w:rFonts w:hint="eastAsia" w:ascii="仿宋" w:hAnsi="仿宋" w:eastAsia="仿宋" w:cs="仿宋"/>
          <w:szCs w:val="32"/>
          <w:lang w:val="zh-CN"/>
        </w:rPr>
        <w:t>第五部分  磋商响应文件格式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_Toc31875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_Toc31746 </w:instrText>
      </w:r>
      <w:r>
        <w:rPr>
          <w:rFonts w:hint="eastAsia" w:ascii="仿宋" w:hAnsi="仿宋" w:eastAsia="仿宋" w:cs="仿宋"/>
          <w:szCs w:val="21"/>
        </w:rPr>
        <w:fldChar w:fldCharType="separate"/>
      </w:r>
      <w:r>
        <w:rPr>
          <w:rFonts w:hint="eastAsia" w:ascii="仿宋" w:hAnsi="仿宋" w:eastAsia="仿宋" w:cs="仿宋"/>
          <w:szCs w:val="32"/>
        </w:rPr>
        <w:t>一、磋商响应函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_Toc31746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_Toc23597 </w:instrText>
      </w:r>
      <w:r>
        <w:rPr>
          <w:rFonts w:hint="eastAsia" w:ascii="仿宋" w:hAnsi="仿宋" w:eastAsia="仿宋" w:cs="仿宋"/>
          <w:szCs w:val="21"/>
        </w:rPr>
        <w:fldChar w:fldCharType="separate"/>
      </w:r>
      <w:r>
        <w:rPr>
          <w:rFonts w:hint="eastAsia" w:ascii="仿宋" w:hAnsi="仿宋" w:eastAsia="仿宋" w:cs="仿宋"/>
          <w:szCs w:val="32"/>
        </w:rPr>
        <w:t>二、第一次磋商报价表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_Toc23597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_Toc12966 </w:instrText>
      </w:r>
      <w:r>
        <w:rPr>
          <w:rFonts w:hint="eastAsia" w:ascii="仿宋" w:hAnsi="仿宋" w:eastAsia="仿宋" w:cs="仿宋"/>
          <w:szCs w:val="21"/>
        </w:rPr>
        <w:fldChar w:fldCharType="separate"/>
      </w:r>
      <w:r>
        <w:rPr>
          <w:rFonts w:hint="eastAsia" w:ascii="仿宋" w:hAnsi="仿宋" w:eastAsia="仿宋" w:cs="仿宋"/>
          <w:szCs w:val="32"/>
        </w:rPr>
        <w:t>三、分项报价表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_Toc12966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_Toc20867 </w:instrText>
      </w:r>
      <w:r>
        <w:rPr>
          <w:rFonts w:hint="eastAsia" w:ascii="仿宋" w:hAnsi="仿宋" w:eastAsia="仿宋" w:cs="仿宋"/>
          <w:szCs w:val="21"/>
        </w:rPr>
        <w:fldChar w:fldCharType="separate"/>
      </w:r>
      <w:r>
        <w:rPr>
          <w:rFonts w:hint="eastAsia" w:ascii="仿宋" w:hAnsi="仿宋" w:eastAsia="仿宋" w:cs="仿宋"/>
          <w:szCs w:val="32"/>
        </w:rPr>
        <w:t>四、合同主要条款响应偏差表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_Toc20867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_Toc14467 </w:instrText>
      </w:r>
      <w:r>
        <w:rPr>
          <w:rFonts w:hint="eastAsia" w:ascii="仿宋" w:hAnsi="仿宋" w:eastAsia="仿宋" w:cs="仿宋"/>
          <w:szCs w:val="21"/>
        </w:rPr>
        <w:fldChar w:fldCharType="separate"/>
      </w:r>
      <w:r>
        <w:rPr>
          <w:rFonts w:hint="eastAsia" w:ascii="仿宋" w:hAnsi="仿宋" w:eastAsia="仿宋" w:cs="仿宋"/>
          <w:szCs w:val="21"/>
          <w:lang w:val="zh-CN"/>
        </w:rPr>
        <w:t>五、</w:t>
      </w:r>
      <w:r>
        <w:rPr>
          <w:rFonts w:hint="eastAsia" w:ascii="仿宋" w:hAnsi="仿宋" w:eastAsia="仿宋" w:cs="仿宋"/>
          <w:szCs w:val="21"/>
        </w:rPr>
        <w:t>拟投入本项目的主要负责人简历表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_Toc14467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_Toc31081 </w:instrText>
      </w:r>
      <w:r>
        <w:rPr>
          <w:rFonts w:hint="eastAsia" w:ascii="仿宋" w:hAnsi="仿宋" w:eastAsia="仿宋" w:cs="仿宋"/>
          <w:szCs w:val="21"/>
        </w:rPr>
        <w:fldChar w:fldCharType="separate"/>
      </w:r>
      <w:r>
        <w:rPr>
          <w:rFonts w:hint="eastAsia" w:ascii="仿宋" w:hAnsi="仿宋" w:eastAsia="仿宋" w:cs="仿宋"/>
          <w:szCs w:val="21"/>
        </w:rPr>
        <w:t>六、参与本项目主要人员表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_Toc31081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_Toc21236 </w:instrText>
      </w:r>
      <w:r>
        <w:rPr>
          <w:rFonts w:hint="eastAsia" w:ascii="仿宋" w:hAnsi="仿宋" w:eastAsia="仿宋" w:cs="仿宋"/>
          <w:szCs w:val="21"/>
        </w:rPr>
        <w:fldChar w:fldCharType="separate"/>
      </w:r>
      <w:r>
        <w:rPr>
          <w:rFonts w:hint="eastAsia" w:ascii="仿宋" w:hAnsi="仿宋" w:eastAsia="仿宋" w:cs="仿宋"/>
          <w:szCs w:val="21"/>
          <w:lang w:val="zh-CN"/>
        </w:rPr>
        <w:t>七、服务方案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_Toc21236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_Toc14286 </w:instrText>
      </w:r>
      <w:r>
        <w:rPr>
          <w:rFonts w:hint="eastAsia" w:ascii="仿宋" w:hAnsi="仿宋" w:eastAsia="仿宋" w:cs="仿宋"/>
          <w:szCs w:val="21"/>
        </w:rPr>
        <w:fldChar w:fldCharType="separate"/>
      </w:r>
      <w:r>
        <w:rPr>
          <w:rFonts w:hint="eastAsia" w:ascii="仿宋" w:hAnsi="仿宋" w:eastAsia="仿宋" w:cs="仿宋"/>
          <w:szCs w:val="21"/>
        </w:rPr>
        <w:t>八、</w:t>
      </w:r>
      <w:r>
        <w:rPr>
          <w:rFonts w:hint="eastAsia" w:ascii="仿宋" w:hAnsi="仿宋" w:eastAsia="仿宋" w:cs="仿宋"/>
          <w:szCs w:val="21"/>
          <w:lang w:val="zh-CN"/>
        </w:rPr>
        <w:t>质量保障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_Toc14286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_Toc8763 </w:instrText>
      </w:r>
      <w:r>
        <w:rPr>
          <w:rFonts w:hint="eastAsia" w:ascii="仿宋" w:hAnsi="仿宋" w:eastAsia="仿宋" w:cs="仿宋"/>
          <w:szCs w:val="21"/>
        </w:rPr>
        <w:fldChar w:fldCharType="separate"/>
      </w:r>
      <w:r>
        <w:rPr>
          <w:rFonts w:hint="eastAsia" w:ascii="仿宋" w:hAnsi="仿宋" w:eastAsia="仿宋" w:cs="仿宋"/>
          <w:szCs w:val="21"/>
        </w:rPr>
        <w:t>九、供应商资格证明文件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_Toc8763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_Toc4022 </w:instrText>
      </w:r>
      <w:r>
        <w:rPr>
          <w:rFonts w:hint="eastAsia" w:ascii="仿宋" w:hAnsi="仿宋" w:eastAsia="仿宋" w:cs="仿宋"/>
          <w:szCs w:val="21"/>
        </w:rPr>
        <w:fldChar w:fldCharType="separate"/>
      </w:r>
      <w:r>
        <w:rPr>
          <w:rFonts w:hint="eastAsia" w:ascii="仿宋" w:hAnsi="仿宋" w:eastAsia="仿宋" w:cs="仿宋"/>
          <w:bCs/>
          <w:szCs w:val="28"/>
        </w:rPr>
        <w:t>（一）供应商</w:t>
      </w:r>
      <w:r>
        <w:rPr>
          <w:rFonts w:hint="eastAsia" w:ascii="仿宋" w:hAnsi="仿宋" w:eastAsia="仿宋" w:cs="仿宋"/>
          <w:bCs/>
          <w:szCs w:val="28"/>
          <w:lang w:val="zh-CN"/>
        </w:rPr>
        <w:t>的营业执照等证明文件或自然人的身份证明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_Toc4022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_Toc6641 </w:instrText>
      </w:r>
      <w:r>
        <w:rPr>
          <w:rFonts w:hint="eastAsia" w:ascii="仿宋" w:hAnsi="仿宋" w:eastAsia="仿宋" w:cs="仿宋"/>
          <w:szCs w:val="21"/>
        </w:rPr>
        <w:fldChar w:fldCharType="separate"/>
      </w:r>
      <w:r>
        <w:rPr>
          <w:rFonts w:hint="eastAsia" w:ascii="仿宋" w:hAnsi="仿宋" w:eastAsia="仿宋" w:cs="仿宋"/>
          <w:bCs/>
          <w:szCs w:val="28"/>
          <w:lang w:val="zh-CN"/>
        </w:rPr>
        <w:t>（二）法定代表人身份证明/法定代表人授权书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_Toc6641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_Toc14444 </w:instrText>
      </w:r>
      <w:r>
        <w:rPr>
          <w:rFonts w:hint="eastAsia" w:ascii="仿宋" w:hAnsi="仿宋" w:eastAsia="仿宋" w:cs="仿宋"/>
          <w:szCs w:val="21"/>
        </w:rPr>
        <w:fldChar w:fldCharType="separate"/>
      </w:r>
      <w:r>
        <w:rPr>
          <w:rFonts w:hint="eastAsia" w:ascii="仿宋" w:hAnsi="仿宋" w:eastAsia="仿宋" w:cs="仿宋"/>
          <w:bCs/>
          <w:szCs w:val="28"/>
        </w:rPr>
        <w:t>（三）财务状况报告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_Toc14444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_Toc17890 </w:instrText>
      </w:r>
      <w:r>
        <w:rPr>
          <w:rFonts w:hint="eastAsia" w:ascii="仿宋" w:hAnsi="仿宋" w:eastAsia="仿宋" w:cs="仿宋"/>
          <w:szCs w:val="21"/>
        </w:rPr>
        <w:fldChar w:fldCharType="separate"/>
      </w:r>
      <w:r>
        <w:rPr>
          <w:rFonts w:hint="eastAsia" w:ascii="仿宋" w:hAnsi="仿宋" w:eastAsia="仿宋" w:cs="仿宋"/>
          <w:szCs w:val="28"/>
        </w:rPr>
        <w:t>（四）具有依法缴纳税收的良好记录</w:t>
      </w:r>
      <w:r>
        <w:rPr>
          <w:rFonts w:hint="eastAsia" w:ascii="仿宋" w:hAnsi="仿宋" w:eastAsia="仿宋" w:cs="仿宋"/>
          <w:szCs w:val="28"/>
        </w:rPr>
        <w:t xml:space="preserve"> </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_Toc17890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_Toc16761 </w:instrText>
      </w:r>
      <w:r>
        <w:rPr>
          <w:rFonts w:hint="eastAsia" w:ascii="仿宋" w:hAnsi="仿宋" w:eastAsia="仿宋" w:cs="仿宋"/>
          <w:szCs w:val="21"/>
        </w:rPr>
        <w:fldChar w:fldCharType="separate"/>
      </w:r>
      <w:r>
        <w:rPr>
          <w:rFonts w:hint="eastAsia" w:ascii="仿宋" w:hAnsi="仿宋" w:eastAsia="仿宋" w:cs="仿宋"/>
          <w:szCs w:val="28"/>
          <w:lang w:eastAsia="zh-CN"/>
        </w:rPr>
        <w:t>（五）</w:t>
      </w:r>
      <w:r>
        <w:rPr>
          <w:rFonts w:hint="eastAsia" w:ascii="仿宋" w:hAnsi="仿宋" w:eastAsia="仿宋" w:cs="仿宋"/>
          <w:szCs w:val="28"/>
        </w:rPr>
        <w:t>具有依法缴纳社会保障资金的良好记录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_Toc16761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_Toc1724 </w:instrText>
      </w:r>
      <w:r>
        <w:rPr>
          <w:rFonts w:hint="eastAsia" w:ascii="仿宋" w:hAnsi="仿宋" w:eastAsia="仿宋" w:cs="仿宋"/>
          <w:szCs w:val="21"/>
        </w:rPr>
        <w:fldChar w:fldCharType="separate"/>
      </w:r>
      <w:r>
        <w:rPr>
          <w:rFonts w:hint="eastAsia" w:ascii="仿宋" w:hAnsi="仿宋" w:eastAsia="仿宋" w:cs="仿宋"/>
          <w:bCs/>
          <w:szCs w:val="28"/>
        </w:rPr>
        <w:t>（</w:t>
      </w:r>
      <w:r>
        <w:rPr>
          <w:rFonts w:hint="eastAsia" w:ascii="仿宋" w:hAnsi="仿宋" w:eastAsia="仿宋" w:cs="仿宋"/>
          <w:bCs/>
          <w:szCs w:val="28"/>
          <w:lang w:eastAsia="zh-CN"/>
        </w:rPr>
        <w:t>六</w:t>
      </w:r>
      <w:r>
        <w:rPr>
          <w:rFonts w:hint="eastAsia" w:ascii="仿宋" w:hAnsi="仿宋" w:eastAsia="仿宋" w:cs="仿宋"/>
          <w:bCs/>
          <w:szCs w:val="28"/>
        </w:rPr>
        <w:t>）具有履行合同所必需的设备和专业技术能力的说明及承诺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_Toc1724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szCs w:val="21"/>
        </w:rPr>
        <w:fldChar w:fldCharType="end"/>
      </w:r>
    </w:p>
    <w:p>
      <w:pPr>
        <w:pStyle w:val="15"/>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_Toc25358 </w:instrText>
      </w:r>
      <w:r>
        <w:rPr>
          <w:rFonts w:hint="eastAsia" w:ascii="仿宋" w:hAnsi="仿宋" w:eastAsia="仿宋" w:cs="仿宋"/>
          <w:szCs w:val="21"/>
        </w:rPr>
        <w:fldChar w:fldCharType="separate"/>
      </w:r>
      <w:r>
        <w:rPr>
          <w:rFonts w:hint="eastAsia" w:ascii="仿宋" w:hAnsi="仿宋" w:eastAsia="仿宋" w:cs="仿宋"/>
          <w:szCs w:val="28"/>
        </w:rPr>
        <w:t>（</w:t>
      </w:r>
      <w:r>
        <w:rPr>
          <w:rFonts w:hint="eastAsia" w:ascii="仿宋" w:hAnsi="仿宋" w:eastAsia="仿宋" w:cs="仿宋"/>
          <w:szCs w:val="28"/>
          <w:lang w:eastAsia="zh-CN"/>
        </w:rPr>
        <w:t>七</w:t>
      </w:r>
      <w:r>
        <w:rPr>
          <w:rFonts w:hint="eastAsia" w:ascii="仿宋" w:hAnsi="仿宋" w:eastAsia="仿宋" w:cs="仿宋"/>
          <w:szCs w:val="28"/>
        </w:rPr>
        <w:t>）参加政府采购活动前三年内无重大违法记录的书面声明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_Toc25358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_Toc3385 </w:instrText>
      </w:r>
      <w:r>
        <w:rPr>
          <w:rFonts w:hint="eastAsia" w:ascii="仿宋" w:hAnsi="仿宋" w:eastAsia="仿宋" w:cs="仿宋"/>
          <w:szCs w:val="21"/>
        </w:rPr>
        <w:fldChar w:fldCharType="separate"/>
      </w:r>
      <w:r>
        <w:rPr>
          <w:rFonts w:hint="eastAsia" w:ascii="仿宋" w:hAnsi="仿宋" w:eastAsia="仿宋" w:cs="仿宋"/>
          <w:szCs w:val="28"/>
          <w:lang w:val="zh-CN"/>
        </w:rPr>
        <w:t>十、近年业绩的有关证明材料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_Toc3385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_Toc18178 </w:instrText>
      </w:r>
      <w:r>
        <w:rPr>
          <w:rFonts w:hint="eastAsia" w:ascii="仿宋" w:hAnsi="仿宋" w:eastAsia="仿宋" w:cs="仿宋"/>
          <w:szCs w:val="21"/>
        </w:rPr>
        <w:fldChar w:fldCharType="separate"/>
      </w:r>
      <w:r>
        <w:rPr>
          <w:rFonts w:hint="eastAsia" w:ascii="仿宋" w:hAnsi="仿宋" w:eastAsia="仿宋" w:cs="仿宋"/>
          <w:szCs w:val="24"/>
          <w:lang w:val="zh-CN"/>
        </w:rPr>
        <w:t>十一、供应商企业关系关联承诺书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_Toc18178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_Toc20406 </w:instrText>
      </w:r>
      <w:r>
        <w:rPr>
          <w:rFonts w:hint="eastAsia" w:ascii="仿宋" w:hAnsi="仿宋" w:eastAsia="仿宋" w:cs="仿宋"/>
          <w:szCs w:val="21"/>
        </w:rPr>
        <w:fldChar w:fldCharType="separate"/>
      </w:r>
      <w:r>
        <w:rPr>
          <w:rFonts w:hint="eastAsia" w:ascii="仿宋" w:hAnsi="仿宋" w:eastAsia="仿宋" w:cs="仿宋"/>
          <w:szCs w:val="15"/>
        </w:rPr>
        <w:t>十二、提供政府采购政策等证明材料（若有）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_Toc20406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_Toc13983 </w:instrText>
      </w:r>
      <w:r>
        <w:rPr>
          <w:rFonts w:hint="eastAsia" w:ascii="仿宋" w:hAnsi="仿宋" w:eastAsia="仿宋" w:cs="仿宋"/>
          <w:szCs w:val="21"/>
        </w:rPr>
        <w:fldChar w:fldCharType="separate"/>
      </w:r>
      <w:r>
        <w:rPr>
          <w:rFonts w:hint="eastAsia" w:ascii="仿宋" w:hAnsi="仿宋" w:eastAsia="仿宋" w:cs="仿宋"/>
          <w:szCs w:val="15"/>
          <w:lang w:val="zh-CN"/>
        </w:rPr>
        <w:t>十三、供应商廉洁自律承诺书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_Toc13983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szCs w:val="21"/>
        </w:rPr>
        <w:fldChar w:fldCharType="end"/>
      </w:r>
    </w:p>
    <w:p>
      <w:pPr>
        <w:pStyle w:val="20"/>
        <w:tabs>
          <w:tab w:val="right" w:leader="dot" w:pos="9070"/>
        </w:tabs>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_Toc21835 </w:instrText>
      </w:r>
      <w:r>
        <w:rPr>
          <w:rFonts w:hint="eastAsia" w:ascii="仿宋" w:hAnsi="仿宋" w:eastAsia="仿宋" w:cs="仿宋"/>
          <w:szCs w:val="21"/>
        </w:rPr>
        <w:fldChar w:fldCharType="separate"/>
      </w:r>
      <w:r>
        <w:rPr>
          <w:rFonts w:hint="eastAsia" w:ascii="仿宋" w:hAnsi="仿宋" w:eastAsia="仿宋" w:cs="仿宋"/>
          <w:szCs w:val="15"/>
          <w:lang w:val="zh-CN"/>
        </w:rPr>
        <w:t>十四、供应商认为有必要补充说明的事项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_Toc21835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szCs w:val="21"/>
        </w:rPr>
        <w:fldChar w:fldCharType="end"/>
      </w:r>
    </w:p>
    <w:p>
      <w:pPr>
        <w:pageBreakBefore/>
        <w:spacing w:line="360" w:lineRule="auto"/>
        <w:jc w:val="center"/>
        <w:outlineLvl w:val="0"/>
        <w:rPr>
          <w:rFonts w:ascii="仿宋_GB2312" w:hAnsi="仿宋_GB2312" w:eastAsia="仿宋_GB2312" w:cs="仿宋_GB2312"/>
          <w:b/>
          <w:sz w:val="32"/>
          <w:szCs w:val="32"/>
          <w:lang w:val="zh-CN"/>
        </w:rPr>
      </w:pPr>
      <w:r>
        <w:rPr>
          <w:rFonts w:hint="eastAsia" w:ascii="仿宋" w:hAnsi="仿宋" w:eastAsia="仿宋" w:cs="仿宋"/>
          <w:szCs w:val="21"/>
        </w:rPr>
        <w:fldChar w:fldCharType="end"/>
      </w:r>
      <w:bookmarkStart w:id="0" w:name="_Toc28369"/>
      <w:bookmarkStart w:id="1" w:name="_Toc28176"/>
      <w:bookmarkStart w:id="2" w:name="_Toc11850"/>
      <w:bookmarkStart w:id="3" w:name="_Toc28014"/>
      <w:r>
        <w:rPr>
          <w:rFonts w:hint="eastAsia" w:ascii="宋体" w:hAnsi="宋体" w:cs="宋体"/>
          <w:b/>
          <w:sz w:val="32"/>
          <w:szCs w:val="32"/>
          <w:lang w:val="zh-CN"/>
        </w:rPr>
        <w:t>第一部分   竞争性磋商公告</w:t>
      </w:r>
      <w:bookmarkEnd w:id="0"/>
      <w:bookmarkEnd w:id="1"/>
      <w:bookmarkEnd w:id="2"/>
      <w:bookmarkEnd w:id="3"/>
    </w:p>
    <w:p>
      <w:pPr>
        <w:spacing w:line="360" w:lineRule="auto"/>
        <w:ind w:firstLine="480" w:firstLineChars="200"/>
        <w:rPr>
          <w:rFonts w:ascii="仿宋" w:hAnsi="仿宋" w:eastAsia="仿宋" w:cs="仿宋"/>
          <w:sz w:val="24"/>
          <w:szCs w:val="24"/>
        </w:rPr>
      </w:pPr>
      <w:bookmarkStart w:id="4" w:name="_Toc26240"/>
      <w:bookmarkStart w:id="5" w:name="_Toc16644"/>
      <w:bookmarkStart w:id="6" w:name="_Toc22093"/>
      <w:bookmarkStart w:id="7" w:name="_Toc495681502"/>
      <w:bookmarkStart w:id="8" w:name="_Toc16236"/>
      <w:bookmarkStart w:id="9" w:name="_Toc10158"/>
      <w:bookmarkStart w:id="10" w:name="_Toc495681221"/>
      <w:bookmarkStart w:id="11" w:name="_Toc27498"/>
      <w:bookmarkStart w:id="12" w:name="_Toc18611"/>
      <w:bookmarkStart w:id="13" w:name="_Toc495681375"/>
      <w:bookmarkStart w:id="14" w:name="_Toc10932"/>
      <w:bookmarkStart w:id="15" w:name="_Toc32562"/>
      <w:bookmarkStart w:id="16" w:name="_Toc11530"/>
      <w:bookmarkStart w:id="17" w:name="_Toc21600"/>
      <w:bookmarkStart w:id="18" w:name="_Toc22995"/>
      <w:r>
        <w:rPr>
          <w:rFonts w:hint="eastAsia" w:ascii="仿宋" w:hAnsi="仿宋" w:eastAsia="仿宋" w:cs="仿宋"/>
          <w:sz w:val="24"/>
          <w:szCs w:val="24"/>
          <w:lang w:eastAsia="zh-CN"/>
        </w:rPr>
        <w:t>西安市学校中层管理人员能力提升培训项目</w:t>
      </w:r>
      <w:r>
        <w:rPr>
          <w:rFonts w:hint="eastAsia" w:ascii="仿宋" w:hAnsi="仿宋" w:eastAsia="仿宋" w:cs="仿宋"/>
          <w:sz w:val="24"/>
          <w:szCs w:val="24"/>
        </w:rPr>
        <w:t>潜在的供应商可在陕西笃信招标有限公司（西安经济技术开发区凤城十一路与文景路十字文景商务广场B座8层）获取采购文件，并于202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26</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14</w:t>
      </w:r>
      <w:r>
        <w:rPr>
          <w:rFonts w:hint="eastAsia" w:ascii="仿宋" w:hAnsi="仿宋" w:eastAsia="仿宋" w:cs="仿宋"/>
          <w:sz w:val="24"/>
          <w:szCs w:val="24"/>
        </w:rPr>
        <w:t>:30:00前递交响应文件。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一、项目基本情况：</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1、项目编号：</w:t>
      </w:r>
      <w:r>
        <w:rPr>
          <w:rFonts w:hint="eastAsia" w:ascii="仿宋" w:hAnsi="仿宋" w:eastAsia="仿宋" w:cs="仿宋"/>
          <w:sz w:val="24"/>
          <w:szCs w:val="24"/>
          <w:lang w:eastAsia="zh-CN"/>
        </w:rPr>
        <w:t>DX2021-210</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2、项目名称：</w:t>
      </w:r>
      <w:r>
        <w:rPr>
          <w:rFonts w:hint="eastAsia" w:ascii="仿宋" w:hAnsi="仿宋" w:eastAsia="仿宋" w:cs="仿宋"/>
          <w:sz w:val="24"/>
          <w:szCs w:val="24"/>
          <w:lang w:eastAsia="zh-CN"/>
        </w:rPr>
        <w:t>西安市学校中层管理人员能力提升培训项目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3、预算金额：</w:t>
      </w:r>
      <w:r>
        <w:rPr>
          <w:rFonts w:hint="eastAsia" w:ascii="仿宋" w:hAnsi="仿宋" w:eastAsia="仿宋" w:cs="仿宋"/>
          <w:sz w:val="24"/>
          <w:szCs w:val="24"/>
          <w:lang w:val="en-US" w:eastAsia="zh-CN"/>
        </w:rPr>
        <w:t>1026000.00</w:t>
      </w:r>
      <w:r>
        <w:rPr>
          <w:rFonts w:hint="eastAsia" w:ascii="仿宋" w:hAnsi="仿宋" w:eastAsia="仿宋" w:cs="仿宋"/>
          <w:sz w:val="24"/>
          <w:szCs w:val="24"/>
        </w:rPr>
        <w:t>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4、最高限价：/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5、采购需求：</w:t>
      </w:r>
      <w:r>
        <w:rPr>
          <w:rFonts w:hint="eastAsia" w:ascii="仿宋" w:hAnsi="仿宋" w:eastAsia="仿宋" w:cs="仿宋"/>
          <w:sz w:val="24"/>
          <w:szCs w:val="24"/>
          <w:lang w:eastAsia="zh-CN"/>
        </w:rPr>
        <w:t>西安市学校中层管理人员能力提升培训项目</w:t>
      </w:r>
      <w:r>
        <w:rPr>
          <w:rFonts w:hint="eastAsia" w:ascii="仿宋" w:hAnsi="仿宋" w:eastAsia="仿宋" w:cs="仿宋"/>
          <w:sz w:val="24"/>
          <w:szCs w:val="24"/>
        </w:rPr>
        <w:t>，1项，采购预算：</w:t>
      </w:r>
      <w:r>
        <w:rPr>
          <w:rFonts w:hint="eastAsia" w:ascii="仿宋" w:hAnsi="仿宋" w:eastAsia="仿宋" w:cs="仿宋"/>
          <w:sz w:val="24"/>
          <w:szCs w:val="24"/>
          <w:lang w:val="en-US" w:eastAsia="zh-CN"/>
        </w:rPr>
        <w:t>1026000.00</w:t>
      </w:r>
      <w:r>
        <w:rPr>
          <w:rFonts w:hint="eastAsia" w:ascii="仿宋" w:hAnsi="仿宋" w:eastAsia="仿宋" w:cs="仿宋"/>
          <w:sz w:val="24"/>
          <w:szCs w:val="24"/>
        </w:rPr>
        <w:t>元。</w:t>
      </w:r>
    </w:p>
    <w:p>
      <w:pPr>
        <w:pStyle w:val="7"/>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项目概况：西安市学校中层管理人员能力提升培训项目，具体内容详见磋商文件</w:t>
      </w:r>
    </w:p>
    <w:p>
      <w:pPr>
        <w:pStyle w:val="7"/>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简要技术要求、用途：能力提升培训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6、合同履行期限：2021-</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27</w:t>
      </w:r>
      <w:r>
        <w:rPr>
          <w:rFonts w:hint="eastAsia" w:ascii="仿宋" w:hAnsi="仿宋" w:eastAsia="仿宋" w:cs="仿宋"/>
          <w:sz w:val="24"/>
          <w:szCs w:val="24"/>
        </w:rPr>
        <w:t xml:space="preserve"> 00:00:00 至 </w:t>
      </w:r>
      <w:r>
        <w:rPr>
          <w:rFonts w:hint="eastAsia" w:ascii="仿宋" w:hAnsi="仿宋" w:eastAsia="仿宋" w:cs="仿宋"/>
          <w:sz w:val="24"/>
          <w:szCs w:val="24"/>
          <w:lang w:val="en-US" w:eastAsia="zh-CN"/>
        </w:rPr>
        <w:t>2021</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00:00:00（具体服务起止日期可随合同签订时间相应顺延）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7、本项目是否接受联合体投标：否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 响应供应商的资格要求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（一）满足《中华人民共和国政府采购法》第二十二条规定。</w:t>
      </w:r>
    </w:p>
    <w:p>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（二）落</w:t>
      </w:r>
      <w:r>
        <w:rPr>
          <w:rFonts w:hint="eastAsia" w:ascii="仿宋" w:hAnsi="仿宋" w:eastAsia="仿宋" w:cs="仿宋"/>
          <w:sz w:val="24"/>
          <w:szCs w:val="24"/>
        </w:rPr>
        <w:t>实政府采购政策需满足的资格要求：（1）《政府采购促进中小企业发展管理办法》的通知--财库〔2020〕46号 （2）财政部司法部关于政府采购支持监狱企业发展有关问题的通知--财库[2014]68号 （3）《财政部 发展改革委 生态环境部 市场监管总局关于调整优化节能产品 环境标志产品政府采购执行机制的通知》（财库〔2019〕9号） （4）《节能产品政府采购实施意见》--（财库[2004]185号） （5）《环境标志产品政府采购实施的意见》--财库[2006]90号 （6）《关于促进残疾人就业政府采购政策的通知》（财库[2017]141号） （7）陕西省财政厅关于印发《陕西省中小企业政府采购信用融资办法》（陕财办采〔2018〕23号） （8）《国务院办公厅关于建立政府强制采购节能产品制度的通知》（国办发〔2007〕51号） （9）《关于运用政府采购政策支持乡村产业振兴的通知》（财库〔2021〕19 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（三）本项目的</w:t>
      </w:r>
      <w:r>
        <w:rPr>
          <w:rFonts w:hint="eastAsia" w:ascii="仿宋" w:hAnsi="仿宋" w:eastAsia="仿宋" w:cs="仿宋"/>
          <w:sz w:val="24"/>
          <w:szCs w:val="24"/>
        </w:rPr>
        <w:t>特定资格要求：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（1）基本资格条件：符合《中华人民共和国政府采购法》第二十二条的规定；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1、具有独立承担民事责任能力的法人或其他组织，并出具有效的营业执照/事业单位法人证书/非企业专业服务机构执业许可证/民办非企业单位登记证书/自然人的身份证明；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2、财务状况报告：提供具有财务审计资质单位出具的</w:t>
      </w:r>
      <w:r>
        <w:rPr>
          <w:rFonts w:hint="eastAsia" w:ascii="仿宋" w:hAnsi="仿宋" w:eastAsia="仿宋" w:cs="仿宋"/>
          <w:sz w:val="24"/>
          <w:szCs w:val="24"/>
          <w:lang w:eastAsia="zh-CN"/>
        </w:rPr>
        <w:t>2020年度</w:t>
      </w:r>
      <w:r>
        <w:rPr>
          <w:rFonts w:hint="eastAsia" w:ascii="仿宋" w:hAnsi="仿宋" w:eastAsia="仿宋" w:cs="仿宋"/>
          <w:sz w:val="24"/>
          <w:szCs w:val="24"/>
        </w:rPr>
        <w:t>财务报告或磋商前六个月内其基本账户银行出具的资信证明（附基本户证明资料）或政府采购信用担保机构出具的磋商担保函；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3、具有依法缴纳税收的良好记录（提供磋商前6个月任意一个月的缴纳证明）；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4、具有依法缴纳社会保障资金的良好记录（提供磋商前6个月任意一个月的缴纳证明）</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提供具有履行本合同所必需的设备和专业技术能力的说明及承诺；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、出具参加本次政府采购活动前三年内在经营活动中没有重大违法记录的书面声明；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说明：依法免税或不需要缴纳社会保障资金的供应商，提供相应文件证明其依法免税或者不需要缴纳保障资金。 </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特定资格条件： </w:t>
      </w:r>
    </w:p>
    <w:p>
      <w:pPr>
        <w:numPr>
          <w:ilvl w:val="0"/>
          <w:numId w:val="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法定代表人直接参加磋商的，须出具法人身份证；法定代表人授权代表参加磋商的，须出具法定代表人授权书及授权代表身份证（有效的劳动合同或磋商截止前三个月的养老保险缴纳证明）； </w:t>
      </w:r>
    </w:p>
    <w:p>
      <w:pPr>
        <w:numPr>
          <w:ilvl w:val="0"/>
          <w:numId w:val="2"/>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符合《财政部关于在政府采购活动中查询及使用信用记录有关问题的通知》（财库【2016】125号）文件中信用查询的要求；（此项由采购人与采购代理单位在开标时查询，以现场查询为准。）</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三、 采购文件的获取方式</w:t>
      </w:r>
      <w:r>
        <w:rPr>
          <w:rFonts w:hint="eastAsia" w:ascii="仿宋" w:hAnsi="仿宋" w:eastAsia="仿宋" w:cs="仿宋"/>
          <w:sz w:val="24"/>
          <w:szCs w:val="24"/>
          <w:lang w:val="en-US" w:eastAsia="zh-CN"/>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时间：即日起至2021-</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22</w:t>
      </w:r>
      <w:r>
        <w:rPr>
          <w:rFonts w:hint="eastAsia" w:ascii="仿宋" w:hAnsi="仿宋" w:eastAsia="仿宋" w:cs="仿宋"/>
          <w:sz w:val="24"/>
          <w:szCs w:val="24"/>
        </w:rPr>
        <w:t xml:space="preserve"> 17:00:00 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地点：西安经济技术开发区凤城十一路与文景路十字文景商务广场B座8层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方式：现场获取/邮寄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售价：免费赠送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注：1、领取磋商文件时请携带单位介绍信原件、经办人身份证原件及复印件（加盖公章），获取文件时间：2021年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日至2021年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日（工作时</w:t>
      </w:r>
      <w:r>
        <w:rPr>
          <w:rFonts w:hint="eastAsia" w:ascii="仿宋" w:hAnsi="仿宋" w:eastAsia="仿宋" w:cs="仿宋"/>
          <w:kern w:val="0"/>
          <w:sz w:val="24"/>
          <w:szCs w:val="24"/>
        </w:rPr>
        <w:t>间：09:00-12:00、14:00-17:00，节假日除外</w:t>
      </w:r>
      <w:r>
        <w:rPr>
          <w:rFonts w:hint="eastAsia" w:ascii="仿宋" w:hAnsi="仿宋" w:eastAsia="仿宋" w:cs="仿宋"/>
          <w:sz w:val="24"/>
          <w:szCs w:val="24"/>
        </w:rPr>
        <w:t>）；2、请各供应商获取磋商文件后，按照陕西省财政厅《关于政府采购供应商注册登记有关事项的通知》要求，通过陕西省政府采购网注册登记加入陕西省政府采购供应商库；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四、响应文件递交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截止时间：2021-</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26</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14</w:t>
      </w:r>
      <w:r>
        <w:rPr>
          <w:rFonts w:hint="eastAsia" w:ascii="仿宋" w:hAnsi="仿宋" w:eastAsia="仿宋" w:cs="仿宋"/>
          <w:sz w:val="24"/>
          <w:szCs w:val="24"/>
        </w:rPr>
        <w:t>:30:00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地点：西安经济技术开发区凤城十一路与文景路十字文景商务广场B座8层开标室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五、公告期限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自本公告发布之日起3个工作日。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六、其他补充事宜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w:t>
      </w:r>
      <w:r>
        <w:rPr>
          <w:rFonts w:hint="eastAsia" w:ascii="仿宋" w:hAnsi="仿宋" w:eastAsia="仿宋" w:cs="仿宋"/>
          <w:sz w:val="24"/>
          <w:szCs w:val="24"/>
          <w:lang w:eastAsia="zh-CN"/>
        </w:rPr>
        <w:t>西安市教育局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凤城八路109号市政府6号楼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西安市教育局经办</w:t>
      </w:r>
    </w:p>
    <w:p>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029-89160882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2、项目联系方式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项目联系人：</w:t>
      </w:r>
      <w:r>
        <w:rPr>
          <w:rFonts w:hint="eastAsia" w:ascii="仿宋" w:hAnsi="仿宋" w:eastAsia="仿宋" w:cs="仿宋"/>
          <w:kern w:val="0"/>
          <w:sz w:val="24"/>
          <w:szCs w:val="24"/>
        </w:rPr>
        <w:t>黄安舒</w:t>
      </w:r>
      <w:r>
        <w:rPr>
          <w:rFonts w:hint="eastAsia" w:ascii="仿宋" w:hAnsi="仿宋" w:eastAsia="仿宋" w:cs="仿宋"/>
          <w:sz w:val="24"/>
          <w:szCs w:val="24"/>
        </w:rPr>
        <w:t>、</w:t>
      </w:r>
      <w:r>
        <w:rPr>
          <w:rFonts w:hint="eastAsia" w:ascii="仿宋" w:hAnsi="仿宋" w:eastAsia="仿宋" w:cs="仿宋"/>
          <w:kern w:val="0"/>
          <w:sz w:val="24"/>
          <w:szCs w:val="24"/>
        </w:rPr>
        <w:t>李纪旋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话：029-86253389</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 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3、采购代理机构信息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名称：陕西笃信招标有限公司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联系地址：西安经济技术开发区凤城十一路与文景路十字文景商务广场B座8层</w:t>
      </w:r>
    </w:p>
    <w:p>
      <w:pPr>
        <w:rPr>
          <w:rFonts w:ascii="宋体" w:hAnsi="宋体" w:cs="宋体"/>
          <w:b/>
          <w:sz w:val="32"/>
          <w:szCs w:val="32"/>
          <w:lang w:val="zh-CN"/>
        </w:rPr>
      </w:pPr>
      <w:r>
        <w:rPr>
          <w:rFonts w:hint="eastAsia" w:ascii="宋体" w:hAnsi="宋体" w:cs="宋体"/>
          <w:b/>
          <w:sz w:val="32"/>
          <w:szCs w:val="32"/>
          <w:lang w:val="zh-CN"/>
        </w:rPr>
        <w:br w:type="page"/>
      </w:r>
    </w:p>
    <w:p>
      <w:pPr>
        <w:autoSpaceDE w:val="0"/>
        <w:autoSpaceDN w:val="0"/>
        <w:adjustRightInd w:val="0"/>
        <w:spacing w:line="360" w:lineRule="auto"/>
        <w:jc w:val="center"/>
        <w:outlineLvl w:val="0"/>
        <w:rPr>
          <w:rFonts w:ascii="宋体" w:hAnsi="宋体" w:cs="宋体"/>
          <w:b/>
          <w:sz w:val="32"/>
          <w:szCs w:val="32"/>
          <w:lang w:val="zh-CN"/>
        </w:rPr>
      </w:pPr>
      <w:bookmarkStart w:id="19" w:name="_Toc6879"/>
      <w:r>
        <w:rPr>
          <w:rFonts w:hint="eastAsia" w:ascii="宋体" w:hAnsi="宋体" w:cs="宋体"/>
          <w:b/>
          <w:sz w:val="32"/>
          <w:szCs w:val="32"/>
          <w:lang w:val="zh-CN"/>
        </w:rPr>
        <w:t>第二部分</w:t>
      </w:r>
      <w:r>
        <w:rPr>
          <w:rFonts w:hint="eastAsia" w:ascii="宋体" w:hAnsi="宋体" w:cs="宋体"/>
          <w:b/>
          <w:sz w:val="32"/>
          <w:szCs w:val="32"/>
        </w:rPr>
        <w:t xml:space="preserve">   </w:t>
      </w:r>
      <w:r>
        <w:rPr>
          <w:rFonts w:hint="eastAsia" w:ascii="宋体" w:hAnsi="宋体" w:cs="宋体"/>
          <w:b/>
          <w:sz w:val="32"/>
          <w:szCs w:val="32"/>
          <w:lang w:val="zh-CN"/>
        </w:rPr>
        <w:t>竞争性磋商须知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14947"/>
    </w:p>
    <w:p>
      <w:pPr>
        <w:autoSpaceDE w:val="0"/>
        <w:autoSpaceDN w:val="0"/>
        <w:adjustRightInd w:val="0"/>
        <w:spacing w:line="360" w:lineRule="auto"/>
        <w:jc w:val="center"/>
        <w:outlineLvl w:val="1"/>
        <w:rPr>
          <w:rFonts w:ascii="仿宋" w:hAnsi="仿宋" w:eastAsia="仿宋" w:cs="仿宋"/>
          <w:b/>
          <w:bCs/>
          <w:sz w:val="28"/>
          <w:szCs w:val="28"/>
          <w:lang w:val="zh-CN"/>
        </w:rPr>
      </w:pPr>
      <w:bookmarkStart w:id="21" w:name="_Toc5591"/>
      <w:bookmarkStart w:id="22" w:name="_Toc323"/>
      <w:bookmarkStart w:id="23" w:name="_Toc29618"/>
      <w:bookmarkStart w:id="24" w:name="_Toc25694"/>
      <w:bookmarkStart w:id="25" w:name="_Toc14989"/>
      <w:bookmarkStart w:id="26" w:name="_Toc17430"/>
      <w:bookmarkStart w:id="27" w:name="_Toc7000"/>
      <w:bookmarkStart w:id="28" w:name="_Toc13315"/>
      <w:bookmarkStart w:id="29" w:name="_Toc24047"/>
      <w:bookmarkStart w:id="30" w:name="_Toc3270"/>
      <w:bookmarkStart w:id="31" w:name="_Toc22065"/>
      <w:bookmarkStart w:id="32" w:name="_Toc21427"/>
      <w:bookmarkStart w:id="33" w:name="_Toc28298"/>
      <w:r>
        <w:rPr>
          <w:rFonts w:hint="eastAsia" w:ascii="仿宋" w:hAnsi="仿宋" w:eastAsia="仿宋" w:cs="仿宋"/>
          <w:b/>
          <w:bCs/>
          <w:sz w:val="28"/>
          <w:szCs w:val="28"/>
          <w:lang w:val="zh-CN"/>
        </w:rPr>
        <w:t>供应商须知前附表</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Style w:val="2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89"/>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条款名称</w:t>
            </w:r>
          </w:p>
        </w:tc>
        <w:tc>
          <w:tcPr>
            <w:tcW w:w="630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30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采购人信息：</w:t>
            </w:r>
            <w:r>
              <w:rPr>
                <w:rFonts w:hint="eastAsia" w:ascii="仿宋" w:hAnsi="仿宋" w:eastAsia="仿宋" w:cs="仿宋"/>
                <w:sz w:val="24"/>
                <w:szCs w:val="24"/>
                <w:lang w:eastAsia="zh-CN"/>
              </w:rPr>
              <w:t>西安市教育局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凤城八路109号市政府6号楼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西安市教育局经办</w:t>
            </w:r>
          </w:p>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029-89160882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采购代理机构</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名称：陕西笃信招标有限公司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地址：西安经济技术开发区凤城十一路与文景路十字文景商务广场B座8层</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kern w:val="0"/>
                <w:sz w:val="24"/>
                <w:szCs w:val="24"/>
                <w:lang w:eastAsia="zh-CN"/>
              </w:rPr>
              <w:t>黄安舒</w:t>
            </w:r>
            <w:r>
              <w:rPr>
                <w:rFonts w:hint="eastAsia" w:ascii="仿宋" w:hAnsi="仿宋" w:eastAsia="仿宋" w:cs="仿宋"/>
                <w:kern w:val="0"/>
                <w:sz w:val="24"/>
                <w:szCs w:val="24"/>
              </w:rPr>
              <w:t>、李纪旋</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089"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308" w:type="dxa"/>
            <w:vAlign w:val="center"/>
          </w:tcPr>
          <w:p>
            <w:pPr>
              <w:spacing w:line="36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西安市学校中层管理人员能力提升培训项目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磋商文件发售</w:t>
            </w:r>
          </w:p>
          <w:p>
            <w:pPr>
              <w:spacing w:line="360" w:lineRule="auto"/>
              <w:jc w:val="center"/>
              <w:rPr>
                <w:rFonts w:ascii="仿宋" w:hAnsi="仿宋" w:eastAsia="仿宋" w:cs="仿宋"/>
                <w:sz w:val="24"/>
                <w:szCs w:val="24"/>
              </w:rPr>
            </w:pPr>
            <w:r>
              <w:rPr>
                <w:rFonts w:hint="eastAsia" w:ascii="仿宋" w:hAnsi="仿宋" w:eastAsia="仿宋" w:cs="仿宋"/>
                <w:sz w:val="24"/>
                <w:szCs w:val="24"/>
              </w:rPr>
              <w:t>时间</w:t>
            </w:r>
          </w:p>
        </w:tc>
        <w:tc>
          <w:tcPr>
            <w:tcW w:w="6308" w:type="dxa"/>
            <w:vAlign w:val="center"/>
          </w:tcPr>
          <w:p>
            <w:pPr>
              <w:spacing w:line="360" w:lineRule="auto"/>
              <w:jc w:val="left"/>
              <w:rPr>
                <w:rFonts w:ascii="仿宋" w:hAnsi="仿宋" w:eastAsia="仿宋" w:cs="仿宋"/>
                <w:color w:val="C00000"/>
                <w:sz w:val="24"/>
                <w:szCs w:val="24"/>
              </w:rPr>
            </w:pPr>
            <w:r>
              <w:rPr>
                <w:rFonts w:hint="eastAsia" w:ascii="仿宋" w:hAnsi="仿宋" w:eastAsia="仿宋" w:cs="仿宋"/>
                <w:kern w:val="0"/>
                <w:sz w:val="24"/>
                <w:szCs w:val="24"/>
              </w:rPr>
              <w:t>2021年</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日至2021年</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rPr>
              <w:t>日（工作时间：09:00-12:00、14:00-17:00，节假日除外）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资金来源</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采购预算</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lang w:val="en-US" w:eastAsia="zh-CN"/>
              </w:rPr>
              <w:t>1026000.00</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服务期</w:t>
            </w:r>
          </w:p>
        </w:tc>
        <w:tc>
          <w:tcPr>
            <w:tcW w:w="6308" w:type="dxa"/>
            <w:vAlign w:val="center"/>
          </w:tcPr>
          <w:p>
            <w:pPr>
              <w:spacing w:line="360" w:lineRule="auto"/>
              <w:jc w:val="left"/>
              <w:rPr>
                <w:rFonts w:hint="eastAsia" w:eastAsia="仿宋"/>
                <w:sz w:val="24"/>
                <w:szCs w:val="24"/>
                <w:highlight w:val="none"/>
                <w:lang w:val="en-US" w:eastAsia="zh-CN"/>
              </w:rPr>
            </w:pPr>
            <w:r>
              <w:rPr>
                <w:rFonts w:hint="eastAsia" w:ascii="仿宋" w:hAnsi="仿宋" w:eastAsia="仿宋" w:cs="仿宋"/>
                <w:sz w:val="24"/>
                <w:szCs w:val="24"/>
                <w:highlight w:val="none"/>
                <w:lang w:val="en-US" w:eastAsia="zh-CN"/>
              </w:rPr>
              <w:t>6天（起止时间根据采购人要求执行）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项目实施地点</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lang w:eastAsia="zh-CN"/>
              </w:rPr>
              <w:t>西安市教育局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磋商响应文件递交截止时间</w:t>
            </w:r>
          </w:p>
        </w:tc>
        <w:tc>
          <w:tcPr>
            <w:tcW w:w="6308" w:type="dxa"/>
            <w:vAlign w:val="center"/>
          </w:tcPr>
          <w:p>
            <w:pPr>
              <w:snapToGrid w:val="0"/>
              <w:spacing w:line="360" w:lineRule="auto"/>
              <w:rPr>
                <w:rFonts w:ascii="仿宋" w:hAnsi="仿宋" w:eastAsia="仿宋" w:cs="仿宋"/>
                <w:sz w:val="24"/>
                <w:szCs w:val="24"/>
              </w:rPr>
            </w:pPr>
            <w:r>
              <w:rPr>
                <w:rFonts w:hint="eastAsia" w:ascii="仿宋" w:hAnsi="仿宋" w:eastAsia="仿宋" w:cs="仿宋"/>
                <w:kern w:val="0"/>
                <w:sz w:val="24"/>
                <w:szCs w:val="24"/>
              </w:rPr>
              <w:t>2021年</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26</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递交磋商响应文件地点</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供应商资格要求</w:t>
            </w:r>
          </w:p>
        </w:tc>
        <w:tc>
          <w:tcPr>
            <w:tcW w:w="6308" w:type="dxa"/>
            <w:vAlign w:val="center"/>
          </w:tcPr>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资质要求同磋商公告。</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lang w:val="zh-CN"/>
              </w:rPr>
              <w:t>以上资质均为必备资质，同时在每份磋商响应文件中附一套资质复印件并加盖公章（包括正、副本）。</w:t>
            </w:r>
            <w:r>
              <w:rPr>
                <w:rFonts w:hint="eastAsia" w:ascii="仿宋" w:hAnsi="仿宋" w:eastAsia="仿宋" w:cs="仿宋"/>
                <w:bCs/>
                <w:sz w:val="24"/>
                <w:szCs w:val="24"/>
              </w:rPr>
              <w:t>必备资质中</w:t>
            </w:r>
            <w:r>
              <w:rPr>
                <w:rFonts w:hint="eastAsia" w:ascii="仿宋" w:hAnsi="仿宋" w:eastAsia="仿宋" w:cs="仿宋"/>
                <w:bCs/>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磋商响应文件份数</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正本 1份，副本2份，有效的电子版1份</w:t>
            </w:r>
            <w:r>
              <w:rPr>
                <w:rFonts w:hint="eastAsia" w:ascii="仿宋" w:hAnsi="仿宋" w:eastAsia="仿宋" w:cs="仿宋"/>
                <w:b/>
                <w:bCs/>
                <w:sz w:val="24"/>
                <w:szCs w:val="24"/>
              </w:rPr>
              <w:t>（PDF和word文档格式，U盘存储）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供应商对磋商文件提出质疑的截止时间</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lang w:val="zh-CN"/>
              </w:rPr>
              <w:t>供应商认为磋商文件、磋商过程、成交结果使自己的权益受到损害的</w:t>
            </w:r>
            <w:r>
              <w:rPr>
                <w:rFonts w:hint="eastAsia" w:ascii="仿宋" w:hAnsi="仿宋" w:eastAsia="仿宋" w:cs="仿宋"/>
                <w:sz w:val="24"/>
                <w:szCs w:val="24"/>
              </w:rPr>
              <w:t>，</w:t>
            </w:r>
            <w:r>
              <w:rPr>
                <w:rFonts w:hint="eastAsia" w:ascii="仿宋" w:hAnsi="仿宋" w:eastAsia="仿宋" w:cs="仿宋"/>
                <w:sz w:val="24"/>
                <w:szCs w:val="24"/>
                <w:lang w:val="zh-CN"/>
              </w:rPr>
              <w:t>可以在知道或者应知其权益受到损害之日起七个工作日内</w:t>
            </w:r>
            <w:r>
              <w:rPr>
                <w:rFonts w:hint="eastAsia" w:ascii="仿宋" w:hAnsi="仿宋" w:eastAsia="仿宋" w:cs="仿宋"/>
                <w:sz w:val="24"/>
                <w:szCs w:val="24"/>
              </w:rPr>
              <w:t>，</w:t>
            </w:r>
            <w:r>
              <w:rPr>
                <w:rFonts w:hint="eastAsia" w:ascii="仿宋" w:hAnsi="仿宋" w:eastAsia="仿宋" w:cs="仿宋"/>
                <w:sz w:val="24"/>
                <w:szCs w:val="24"/>
                <w:lang w:val="zh-CN"/>
              </w:rPr>
              <w:t>以书面形式向采购代理机构提出</w:t>
            </w:r>
            <w:r>
              <w:rPr>
                <w:rFonts w:hint="eastAsia" w:ascii="仿宋" w:hAnsi="仿宋" w:eastAsia="仿宋" w:cs="仿宋"/>
                <w:sz w:val="24"/>
                <w:szCs w:val="24"/>
              </w:rPr>
              <w:t>（同时须将此书面文件电子版一份发送至采购代理机构电子邮箱，电子邮件：</w:t>
            </w:r>
            <w:r>
              <w:rPr>
                <w:rFonts w:hint="eastAsia" w:ascii="仿宋" w:hAnsi="仿宋" w:eastAsia="仿宋" w:cs="仿宋"/>
                <w:sz w:val="24"/>
                <w:szCs w:val="24"/>
                <w:lang w:val="en-US" w:eastAsia="zh-CN"/>
              </w:rPr>
              <w:t>2059407584</w:t>
            </w:r>
            <w:r>
              <w:rPr>
                <w:rFonts w:hint="eastAsia" w:ascii="仿宋" w:hAnsi="仿宋" w:eastAsia="仿宋" w:cs="仿宋"/>
                <w:sz w:val="24"/>
                <w:szCs w:val="24"/>
              </w:rPr>
              <w:t>@qq.com），</w:t>
            </w:r>
            <w:r>
              <w:rPr>
                <w:rFonts w:hint="eastAsia" w:ascii="仿宋" w:hAnsi="仿宋" w:eastAsia="仿宋" w:cs="仿宋"/>
                <w:sz w:val="24"/>
                <w:szCs w:val="24"/>
                <w:lang w:val="zh-CN"/>
              </w:rPr>
              <w:t>采购代理机构将予以答复</w:t>
            </w:r>
            <w:r>
              <w:rPr>
                <w:rFonts w:hint="eastAsia" w:ascii="仿宋" w:hAnsi="仿宋" w:eastAsia="仿宋" w:cs="仿宋"/>
                <w:sz w:val="24"/>
                <w:szCs w:val="24"/>
              </w:rPr>
              <w:t>，</w:t>
            </w:r>
            <w:r>
              <w:rPr>
                <w:rFonts w:hint="eastAsia" w:ascii="仿宋" w:hAnsi="仿宋" w:eastAsia="仿宋" w:cs="仿宋"/>
                <w:sz w:val="24"/>
                <w:szCs w:val="24"/>
                <w:lang w:val="zh-CN"/>
              </w:rPr>
              <w:t>以书面形式发给所有获取磋商文件的供应商</w:t>
            </w:r>
            <w:r>
              <w:rPr>
                <w:rFonts w:hint="eastAsia" w:ascii="仿宋" w:hAnsi="仿宋" w:eastAsia="仿宋" w:cs="仿宋"/>
                <w:sz w:val="24"/>
                <w:szCs w:val="24"/>
              </w:rPr>
              <w:t>，</w:t>
            </w:r>
            <w:r>
              <w:rPr>
                <w:rFonts w:hint="eastAsia" w:ascii="仿宋" w:hAnsi="仿宋" w:eastAsia="仿宋" w:cs="仿宋"/>
                <w:sz w:val="24"/>
                <w:szCs w:val="24"/>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14</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供应商确认收到澄清或者修改的时间</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lang w:val="zh-CN"/>
              </w:rPr>
              <w:t>供应商在收到澄清或修改文件后，应在一个工作日内以书面形式（加盖公章）向采购代理机构予以确认。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磋商有效期</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16</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是否接受</w:t>
            </w:r>
          </w:p>
          <w:p>
            <w:pPr>
              <w:spacing w:line="360" w:lineRule="auto"/>
              <w:jc w:val="center"/>
              <w:rPr>
                <w:rFonts w:ascii="仿宋" w:hAnsi="仿宋" w:eastAsia="仿宋" w:cs="仿宋"/>
                <w:sz w:val="24"/>
                <w:szCs w:val="24"/>
              </w:rPr>
            </w:pPr>
            <w:r>
              <w:rPr>
                <w:rFonts w:hint="eastAsia" w:ascii="仿宋" w:hAnsi="仿宋" w:eastAsia="仿宋" w:cs="仿宋"/>
                <w:sz w:val="24"/>
                <w:szCs w:val="24"/>
              </w:rPr>
              <w:t>联合体磋商</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17</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答疑会</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18</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磋商响应文件装订要求</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磋商响应文件建议双面打印，应牢固装订成册，不可插页抽页。牢固装订成册是指用适当的办法,书脊涂有胶粘剂以保证磋商响应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19</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磋商响应文件的签署要求</w:t>
            </w:r>
          </w:p>
        </w:tc>
        <w:tc>
          <w:tcPr>
            <w:tcW w:w="6308"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lang w:val="zh-CN"/>
              </w:rPr>
              <w:t>磋商响应文件（正、副本）必须加盖供应商红色公章</w:t>
            </w:r>
            <w:r>
              <w:rPr>
                <w:rFonts w:hint="eastAsia" w:ascii="仿宋" w:hAnsi="仿宋" w:eastAsia="仿宋" w:cs="仿宋"/>
                <w:bCs/>
                <w:sz w:val="24"/>
                <w:szCs w:val="24"/>
              </w:rPr>
              <w:t>并按照磋商文件要求由法定代表人（授权代表人）签字。若无法定代表人则由单位负责人签字。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20</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磋商响应文件密封</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（1）供应商应将磋商响应文件的正本、所有副本及电子版文件，用单独的信封分别密封，且在信封上标明“正本”、“副本”、“电子版”字样。</w:t>
            </w:r>
          </w:p>
          <w:p>
            <w:pPr>
              <w:spacing w:line="360" w:lineRule="auto"/>
              <w:jc w:val="left"/>
              <w:rPr>
                <w:rFonts w:ascii="仿宋" w:hAnsi="仿宋" w:eastAsia="仿宋" w:cs="仿宋"/>
                <w:sz w:val="24"/>
                <w:szCs w:val="24"/>
              </w:rPr>
            </w:pPr>
            <w:r>
              <w:rPr>
                <w:rFonts w:hint="eastAsia" w:ascii="仿宋" w:hAnsi="仿宋" w:eastAsia="仿宋" w:cs="仿宋"/>
                <w:sz w:val="24"/>
                <w:szCs w:val="24"/>
              </w:rPr>
              <w:t>（2）封套应加封条密封，在封线处加盖公章（骑缝章），封套标明项目编号、项目名称，供应商全称（公章）等内容。</w:t>
            </w:r>
          </w:p>
          <w:p>
            <w:pPr>
              <w:spacing w:line="360" w:lineRule="auto"/>
              <w:jc w:val="left"/>
              <w:rPr>
                <w:rFonts w:ascii="仿宋" w:hAnsi="仿宋" w:eastAsia="仿宋" w:cs="仿宋"/>
                <w:sz w:val="24"/>
                <w:szCs w:val="24"/>
              </w:rPr>
            </w:pPr>
            <w:r>
              <w:rPr>
                <w:rFonts w:hint="eastAsia" w:ascii="仿宋" w:hAnsi="仿宋" w:eastAsia="仿宋" w:cs="仿宋"/>
                <w:b/>
                <w:bCs/>
                <w:sz w:val="24"/>
                <w:szCs w:val="24"/>
              </w:rPr>
              <w:t>注：如果磋商响应文件未按要求密封和加写标记，采购代理机构将不予接受。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w:t>
            </w:r>
          </w:p>
        </w:tc>
        <w:tc>
          <w:tcPr>
            <w:tcW w:w="208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成交公告公示</w:t>
            </w:r>
          </w:p>
          <w:p>
            <w:pPr>
              <w:spacing w:line="360" w:lineRule="auto"/>
              <w:jc w:val="center"/>
              <w:rPr>
                <w:rFonts w:ascii="仿宋" w:hAnsi="仿宋" w:eastAsia="仿宋" w:cs="仿宋"/>
                <w:sz w:val="24"/>
                <w:szCs w:val="24"/>
              </w:rPr>
            </w:pPr>
            <w:r>
              <w:rPr>
                <w:rFonts w:hint="eastAsia" w:ascii="仿宋" w:hAnsi="仿宋" w:eastAsia="仿宋" w:cs="仿宋"/>
                <w:sz w:val="24"/>
                <w:szCs w:val="24"/>
              </w:rPr>
              <w:t>媒体</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22</w:t>
            </w:r>
          </w:p>
        </w:tc>
        <w:tc>
          <w:tcPr>
            <w:tcW w:w="208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成交服务费</w:t>
            </w:r>
          </w:p>
        </w:tc>
        <w:tc>
          <w:tcPr>
            <w:tcW w:w="63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本项目招标代理服务费由中标人在中标结果公示期满后三个工作日内按照标准支付给招标代理机构。（代理报酬的币种：人民币，汇率：无）  </w:t>
            </w:r>
          </w:p>
          <w:p>
            <w:pPr>
              <w:spacing w:line="360" w:lineRule="auto"/>
              <w:jc w:val="left"/>
              <w:rPr>
                <w:rFonts w:ascii="仿宋" w:hAnsi="仿宋" w:eastAsia="仿宋" w:cs="仿宋"/>
                <w:sz w:val="24"/>
                <w:szCs w:val="24"/>
              </w:rPr>
            </w:pPr>
            <w:r>
              <w:rPr>
                <w:rFonts w:hint="eastAsia" w:ascii="仿宋" w:hAnsi="仿宋" w:eastAsia="仿宋" w:cs="仿宋"/>
                <w:sz w:val="24"/>
                <w:szCs w:val="24"/>
                <w:lang w:val="zh-CN"/>
              </w:rPr>
              <w:t>注：</w:t>
            </w:r>
            <w:r>
              <w:rPr>
                <w:rFonts w:hint="eastAsia" w:ascii="仿宋" w:hAnsi="仿宋" w:eastAsia="仿宋" w:cs="仿宋"/>
                <w:sz w:val="24"/>
                <w:szCs w:val="24"/>
              </w:rPr>
              <w:t>成交服务费不足5000元的，按5000元收取。</w:t>
            </w:r>
          </w:p>
        </w:tc>
      </w:tr>
    </w:tbl>
    <w:p>
      <w:pPr>
        <w:pageBreakBefore/>
        <w:spacing w:line="360" w:lineRule="auto"/>
        <w:ind w:firstLine="482" w:firstLineChars="200"/>
        <w:outlineLvl w:val="1"/>
        <w:rPr>
          <w:rFonts w:ascii="仿宋" w:hAnsi="仿宋" w:eastAsia="仿宋" w:cs="仿宋"/>
          <w:b/>
          <w:bCs/>
          <w:sz w:val="24"/>
          <w:szCs w:val="24"/>
          <w:lang w:val="zh-CN"/>
        </w:rPr>
      </w:pPr>
      <w:bookmarkStart w:id="34" w:name="_Toc20834"/>
      <w:bookmarkStart w:id="35" w:name="_Toc21293"/>
      <w:bookmarkStart w:id="36" w:name="_Toc20605"/>
      <w:bookmarkStart w:id="37" w:name="_Toc9025"/>
      <w:bookmarkStart w:id="38" w:name="_Toc495908021"/>
      <w:bookmarkStart w:id="39" w:name="_Toc4782"/>
      <w:bookmarkStart w:id="40" w:name="_Toc11229"/>
      <w:bookmarkStart w:id="41" w:name="_Toc10377"/>
      <w:bookmarkStart w:id="42" w:name="_Toc5340"/>
      <w:bookmarkStart w:id="43" w:name="_Toc495681222"/>
      <w:bookmarkStart w:id="44" w:name="_Toc30549"/>
      <w:bookmarkStart w:id="45" w:name="_Toc757"/>
      <w:bookmarkStart w:id="46" w:name="_Toc4172"/>
      <w:bookmarkStart w:id="47" w:name="_Toc15836"/>
      <w:bookmarkStart w:id="48" w:name="_Toc16165"/>
      <w:bookmarkStart w:id="49" w:name="_Toc495681376"/>
      <w:bookmarkStart w:id="50" w:name="_Toc495681503"/>
      <w:r>
        <w:rPr>
          <w:rFonts w:hint="eastAsia" w:ascii="仿宋" w:hAnsi="仿宋" w:eastAsia="仿宋" w:cs="仿宋"/>
          <w:b/>
          <w:bCs/>
          <w:sz w:val="24"/>
          <w:szCs w:val="24"/>
          <w:lang w:val="zh-CN"/>
        </w:rPr>
        <w:t>一、总则</w:t>
      </w:r>
      <w:bookmarkEnd w:id="34"/>
      <w:bookmarkEnd w:id="35"/>
      <w:bookmarkEnd w:id="36"/>
      <w:bookmarkEnd w:id="37"/>
    </w:p>
    <w:p>
      <w:pPr>
        <w:spacing w:line="360" w:lineRule="auto"/>
        <w:ind w:firstLine="482" w:firstLineChars="200"/>
        <w:outlineLvl w:val="2"/>
        <w:rPr>
          <w:rFonts w:ascii="仿宋" w:hAnsi="仿宋" w:eastAsia="仿宋" w:cs="仿宋"/>
          <w:sz w:val="24"/>
          <w:szCs w:val="24"/>
          <w:lang w:val="zh-CN"/>
        </w:rPr>
      </w:pPr>
      <w:bookmarkStart w:id="51" w:name="_Toc12964"/>
      <w:bookmarkStart w:id="52" w:name="_Toc14386"/>
      <w:bookmarkStart w:id="53" w:name="_Toc18507"/>
      <w:bookmarkStart w:id="54" w:name="_Toc8852"/>
      <w:bookmarkStart w:id="55" w:name="_Toc9682"/>
      <w:bookmarkStart w:id="56" w:name="_Toc29110"/>
      <w:bookmarkStart w:id="57" w:name="_Toc7648"/>
      <w:bookmarkStart w:id="58" w:name="_Toc27363"/>
      <w:r>
        <w:rPr>
          <w:rFonts w:hint="eastAsia" w:ascii="仿宋" w:hAnsi="仿宋" w:eastAsia="仿宋" w:cs="仿宋"/>
          <w:b/>
          <w:bCs/>
          <w:sz w:val="24"/>
          <w:szCs w:val="24"/>
          <w:lang w:val="zh-CN"/>
        </w:rPr>
        <w:t>（一）适用范围</w:t>
      </w:r>
      <w:bookmarkEnd w:id="51"/>
      <w:bookmarkEnd w:id="52"/>
      <w:bookmarkEnd w:id="53"/>
      <w:bookmarkEnd w:id="54"/>
      <w:bookmarkEnd w:id="55"/>
      <w:bookmarkEnd w:id="56"/>
      <w:bookmarkEnd w:id="57"/>
      <w:bookmarkEnd w:id="58"/>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1、本磋商文件仅适用于本次磋商所述的</w:t>
      </w:r>
      <w:r>
        <w:rPr>
          <w:rFonts w:hint="eastAsia" w:ascii="仿宋" w:hAnsi="仿宋" w:eastAsia="仿宋" w:cs="仿宋"/>
          <w:sz w:val="24"/>
          <w:szCs w:val="24"/>
          <w:lang w:eastAsia="zh-CN"/>
        </w:rPr>
        <w:t>西安市学校中层管理人员能力提升培训项目</w:t>
      </w:r>
      <w:r>
        <w:rPr>
          <w:rFonts w:hint="eastAsia" w:ascii="仿宋" w:hAnsi="仿宋" w:eastAsia="仿宋" w:cs="仿宋"/>
          <w:sz w:val="24"/>
          <w:szCs w:val="24"/>
        </w:rPr>
        <w:t>采购活动。</w:t>
      </w:r>
    </w:p>
    <w:p>
      <w:pPr>
        <w:spacing w:line="360" w:lineRule="auto"/>
        <w:ind w:firstLine="482" w:firstLineChars="200"/>
        <w:jc w:val="left"/>
        <w:rPr>
          <w:rFonts w:ascii="仿宋" w:hAnsi="仿宋" w:eastAsia="仿宋" w:cs="仿宋"/>
          <w:b/>
          <w:bCs/>
          <w:sz w:val="24"/>
          <w:szCs w:val="24"/>
          <w:lang w:val="zh-CN"/>
        </w:rPr>
      </w:pPr>
      <w:bookmarkStart w:id="59" w:name="_Toc23631"/>
      <w:bookmarkStart w:id="60" w:name="_Toc918"/>
      <w:bookmarkStart w:id="61" w:name="_Toc30806"/>
      <w:r>
        <w:rPr>
          <w:rFonts w:hint="eastAsia" w:ascii="仿宋" w:hAnsi="仿宋" w:eastAsia="仿宋" w:cs="仿宋"/>
          <w:b/>
          <w:bCs/>
          <w:sz w:val="24"/>
          <w:szCs w:val="24"/>
          <w:lang w:val="zh-CN"/>
        </w:rPr>
        <w:t>（二）名词解释</w:t>
      </w:r>
      <w:bookmarkEnd w:id="38"/>
      <w:bookmarkEnd w:id="39"/>
      <w:bookmarkEnd w:id="40"/>
      <w:bookmarkEnd w:id="41"/>
      <w:bookmarkEnd w:id="42"/>
      <w:bookmarkEnd w:id="43"/>
      <w:bookmarkEnd w:id="44"/>
      <w:bookmarkEnd w:id="45"/>
      <w:bookmarkEnd w:id="46"/>
      <w:bookmarkEnd w:id="47"/>
      <w:bookmarkEnd w:id="48"/>
      <w:bookmarkEnd w:id="49"/>
      <w:bookmarkEnd w:id="50"/>
      <w:bookmarkEnd w:id="59"/>
      <w:bookmarkEnd w:id="60"/>
      <w:bookmarkEnd w:id="61"/>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zh-CN"/>
        </w:rPr>
        <w:t>采 购 人：</w:t>
      </w:r>
      <w:r>
        <w:rPr>
          <w:rFonts w:hint="eastAsia" w:ascii="仿宋" w:hAnsi="仿宋" w:eastAsia="仿宋" w:cs="仿宋"/>
          <w:sz w:val="24"/>
          <w:szCs w:val="24"/>
          <w:lang w:eastAsia="zh-CN"/>
        </w:rPr>
        <w:t>西安市教育局</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监督机构：</w:t>
      </w:r>
      <w:r>
        <w:rPr>
          <w:rFonts w:hint="eastAsia" w:ascii="仿宋" w:hAnsi="仿宋" w:eastAsia="仿宋" w:cs="仿宋"/>
          <w:sz w:val="24"/>
          <w:szCs w:val="24"/>
          <w:lang w:eastAsia="zh-CN"/>
        </w:rPr>
        <w:t>西安市财政局</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采购代理机构：陕西笃信招标有限公司</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供应商：响应磋商、参加磋商竞争的法人、其他组织或者自然人</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磋商文件：含澄清、修改内容的书面资料和磋商响应文件格式的统称。</w:t>
      </w:r>
      <w:bookmarkStart w:id="62" w:name="_Toc14426"/>
      <w:bookmarkStart w:id="63" w:name="_Toc20963"/>
      <w:bookmarkStart w:id="64" w:name="_Toc24840"/>
      <w:bookmarkStart w:id="65" w:name="_Toc495681377"/>
      <w:bookmarkStart w:id="66" w:name="_Toc16516"/>
      <w:bookmarkStart w:id="67" w:name="_Toc495681223"/>
      <w:bookmarkStart w:id="68" w:name="_Toc495908022"/>
      <w:bookmarkStart w:id="69" w:name="_Toc26522"/>
      <w:bookmarkStart w:id="70" w:name="_Toc32045"/>
      <w:bookmarkStart w:id="71" w:name="_Toc18166"/>
      <w:bookmarkStart w:id="72" w:name="_Toc9661"/>
      <w:bookmarkStart w:id="73" w:name="_Toc495681504"/>
      <w:bookmarkStart w:id="74" w:name="_Toc18525"/>
    </w:p>
    <w:p>
      <w:pPr>
        <w:autoSpaceDE w:val="0"/>
        <w:autoSpaceDN w:val="0"/>
        <w:adjustRightInd w:val="0"/>
        <w:snapToGrid w:val="0"/>
        <w:spacing w:line="360" w:lineRule="auto"/>
        <w:ind w:firstLine="482" w:firstLineChars="200"/>
        <w:outlineLvl w:val="1"/>
        <w:rPr>
          <w:rFonts w:ascii="仿宋" w:hAnsi="仿宋" w:eastAsia="仿宋" w:cs="仿宋"/>
          <w:b/>
          <w:bCs/>
          <w:sz w:val="24"/>
          <w:szCs w:val="24"/>
          <w:lang w:val="zh-CN"/>
        </w:rPr>
      </w:pPr>
      <w:bookmarkStart w:id="75" w:name="_Toc25386"/>
      <w:bookmarkStart w:id="76" w:name="_Toc10332"/>
      <w:bookmarkStart w:id="77" w:name="_Toc31469"/>
      <w:bookmarkStart w:id="78" w:name="_Toc17369"/>
      <w:r>
        <w:rPr>
          <w:rFonts w:hint="eastAsia" w:ascii="仿宋" w:hAnsi="仿宋" w:eastAsia="仿宋" w:cs="仿宋"/>
          <w:b/>
          <w:bCs/>
          <w:sz w:val="24"/>
          <w:szCs w:val="24"/>
          <w:lang w:val="zh-CN"/>
        </w:rPr>
        <w:t>二、磋商文件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5"/>
        <w:ind w:firstLine="482" w:firstLineChars="200"/>
        <w:jc w:val="both"/>
        <w:rPr>
          <w:lang w:val="zh-CN"/>
        </w:rPr>
      </w:pPr>
      <w:bookmarkStart w:id="79" w:name="_Toc100"/>
      <w:bookmarkStart w:id="80" w:name="_Toc25426"/>
      <w:bookmarkStart w:id="81" w:name="_Toc19655"/>
      <w:bookmarkStart w:id="82" w:name="_Toc17875"/>
      <w:r>
        <w:rPr>
          <w:rFonts w:hint="eastAsia" w:ascii="仿宋" w:hAnsi="仿宋" w:eastAsia="仿宋" w:cs="仿宋"/>
          <w:b/>
          <w:sz w:val="24"/>
          <w:szCs w:val="24"/>
          <w:lang w:val="zh-CN"/>
        </w:rPr>
        <w:t>（一）磋商文件及要求</w:t>
      </w:r>
      <w:bookmarkEnd w:id="79"/>
      <w:bookmarkEnd w:id="80"/>
      <w:bookmarkEnd w:id="81"/>
      <w:bookmarkEnd w:id="82"/>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磋商文件以中文编制，磋商文件封面盖有 “陕西笃信招标有限公司”字样的鲜章。磋商文件包括五部分，各供应商应根据磋商文件中所有内容及要求提交全部资料。</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磋商文件组成：磋商文件是根据本项目的特点和需求编制，包括以下内容：</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）竞争性磋商公告</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）竞争性磋商须知</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）采购内容及要求</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）合同条款及格式(合同主要条款)</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）磋商响应文件格式</w:t>
      </w:r>
    </w:p>
    <w:p>
      <w:pPr>
        <w:autoSpaceDE w:val="0"/>
        <w:autoSpaceDN w:val="0"/>
        <w:adjustRightInd w:val="0"/>
        <w:spacing w:line="360" w:lineRule="auto"/>
        <w:ind w:firstLine="482" w:firstLineChars="200"/>
        <w:outlineLvl w:val="2"/>
        <w:rPr>
          <w:rFonts w:ascii="仿宋" w:hAnsi="仿宋" w:eastAsia="仿宋" w:cs="仿宋"/>
          <w:b/>
          <w:bCs/>
          <w:sz w:val="24"/>
          <w:szCs w:val="24"/>
          <w:lang w:val="zh-CN"/>
        </w:rPr>
      </w:pPr>
      <w:bookmarkStart w:id="83" w:name="_Toc127"/>
      <w:bookmarkStart w:id="84" w:name="_Toc21028"/>
      <w:bookmarkStart w:id="85" w:name="_Toc28538"/>
      <w:bookmarkStart w:id="86" w:name="_Toc1029"/>
      <w:r>
        <w:rPr>
          <w:rFonts w:hint="eastAsia" w:ascii="仿宋" w:hAnsi="仿宋" w:eastAsia="仿宋" w:cs="仿宋"/>
          <w:b/>
          <w:bCs/>
          <w:sz w:val="24"/>
          <w:szCs w:val="24"/>
          <w:lang w:val="zh-CN"/>
        </w:rPr>
        <w:t>（二）磋商响应文件的澄清和修改</w:t>
      </w:r>
      <w:bookmarkEnd w:id="83"/>
      <w:bookmarkEnd w:id="84"/>
      <w:bookmarkEnd w:id="85"/>
      <w:bookmarkEnd w:id="86"/>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如果磋商文件进行必要的澄清或者修改，将在发布磋商公告的财政部门指定媒体上由采购代理机构发布更正公告，并以书面形式通知所有获取磋商文件的单位。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澄清或者修改的内容为磋商文件的组成部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2、供应商在收到澄清或修改文件后，应在一个工作日内以书面形式（加盖公章）向采购代理机构予以确认。</w:t>
      </w:r>
    </w:p>
    <w:p>
      <w:pPr>
        <w:autoSpaceDE w:val="0"/>
        <w:autoSpaceDN w:val="0"/>
        <w:adjustRightInd w:val="0"/>
        <w:spacing w:line="360" w:lineRule="auto"/>
        <w:ind w:firstLine="482" w:firstLineChars="200"/>
        <w:outlineLvl w:val="2"/>
        <w:rPr>
          <w:rFonts w:ascii="仿宋" w:hAnsi="仿宋" w:eastAsia="仿宋" w:cs="仿宋"/>
          <w:b/>
          <w:bCs/>
          <w:sz w:val="24"/>
          <w:szCs w:val="24"/>
        </w:rPr>
      </w:pPr>
      <w:bookmarkStart w:id="87" w:name="_Toc31097"/>
      <w:bookmarkStart w:id="88" w:name="_Toc12617"/>
      <w:bookmarkStart w:id="89" w:name="_Toc12729"/>
      <w:bookmarkStart w:id="90" w:name="_Toc4256"/>
      <w:bookmarkStart w:id="91" w:name="_Toc17894"/>
      <w:bookmarkStart w:id="92" w:name="_Toc5122"/>
      <w:bookmarkStart w:id="93" w:name="_Toc1819"/>
      <w:bookmarkStart w:id="94" w:name="_Toc32000"/>
      <w:r>
        <w:rPr>
          <w:rFonts w:hint="eastAsia" w:ascii="仿宋" w:hAnsi="仿宋" w:eastAsia="仿宋" w:cs="仿宋"/>
          <w:b/>
          <w:bCs/>
          <w:sz w:val="24"/>
          <w:szCs w:val="24"/>
          <w:lang w:val="zh-CN"/>
        </w:rPr>
        <w:t>（三）磋商文件的询问、质疑及答复</w:t>
      </w:r>
      <w:bookmarkEnd w:id="87"/>
      <w:bookmarkEnd w:id="88"/>
      <w:bookmarkEnd w:id="89"/>
      <w:bookmarkEnd w:id="90"/>
      <w:bookmarkEnd w:id="91"/>
      <w:bookmarkEnd w:id="92"/>
      <w:bookmarkEnd w:id="93"/>
      <w:bookmarkEnd w:id="94"/>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1、供应商应仔细阅读和检查磋商文件的全部内容。如发现缺页或附件不全，应及时向采购代理机构提出，以便补齐。</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认为磋商文件、磋商过程、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21"/>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供应商提出质疑应当有明确的请求和必要的证明材料。</w:t>
      </w:r>
    </w:p>
    <w:p>
      <w:pPr>
        <w:pStyle w:val="21"/>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4、</w:t>
      </w:r>
      <w:r>
        <w:rPr>
          <w:rFonts w:hint="eastAsia" w:ascii="仿宋" w:hAnsi="仿宋" w:eastAsia="仿宋" w:cs="仿宋"/>
          <w:lang w:val="zh-CN"/>
        </w:rPr>
        <w:t>对于在规定时间内收到的供应商依法提出的询问或者质疑，采购代理机构将按程序在三个工作日内答复询问，七个工作日内答复质疑。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供应商在收到答复后，应在一个工作日内以书面形式（加盖公章）向采购代理机构予以确认。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95" w:name="_Toc28965"/>
      <w:bookmarkStart w:id="96" w:name="_Toc20187"/>
      <w:bookmarkStart w:id="97" w:name="_Toc16363"/>
      <w:bookmarkStart w:id="98" w:name="_Toc17969"/>
      <w:bookmarkStart w:id="99" w:name="_Toc27651"/>
      <w:bookmarkStart w:id="100" w:name="_Toc10355"/>
      <w:bookmarkStart w:id="101" w:name="_Toc5283"/>
      <w:bookmarkStart w:id="102" w:name="_Toc14215"/>
      <w:r>
        <w:rPr>
          <w:rFonts w:hint="eastAsia" w:ascii="仿宋" w:hAnsi="仿宋" w:eastAsia="仿宋" w:cs="仿宋"/>
          <w:b/>
          <w:bCs/>
          <w:sz w:val="24"/>
          <w:szCs w:val="24"/>
          <w:lang w:val="zh-CN"/>
        </w:rPr>
        <w:t>（四）磋商文件的解释权</w:t>
      </w:r>
      <w:bookmarkEnd w:id="95"/>
      <w:bookmarkEnd w:id="96"/>
      <w:bookmarkEnd w:id="97"/>
      <w:bookmarkEnd w:id="98"/>
      <w:bookmarkEnd w:id="99"/>
      <w:bookmarkEnd w:id="100"/>
      <w:bookmarkEnd w:id="101"/>
      <w:bookmarkEnd w:id="102"/>
    </w:p>
    <w:p>
      <w:pPr>
        <w:pStyle w:val="21"/>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1、</w:t>
      </w:r>
      <w:r>
        <w:rPr>
          <w:rFonts w:hint="eastAsia" w:ascii="仿宋" w:hAnsi="仿宋" w:eastAsia="仿宋" w:cs="仿宋"/>
          <w:lang w:val="zh-CN"/>
        </w:rPr>
        <w:t>供应商必须从采购代理机构获取磋商文件，供应商自行转让或复制磋商文件视为无效。磋商文件一经售出，一律不退，仅作为本次招标使用。</w:t>
      </w:r>
    </w:p>
    <w:p>
      <w:pPr>
        <w:pStyle w:val="21"/>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2、</w:t>
      </w:r>
      <w:r>
        <w:rPr>
          <w:rFonts w:hint="eastAsia" w:ascii="仿宋" w:hAnsi="仿宋" w:eastAsia="仿宋" w:cs="仿宋"/>
          <w:lang w:val="zh-CN"/>
        </w:rPr>
        <w:t>磋商文件的解释权归采购代理机构。</w:t>
      </w:r>
    </w:p>
    <w:p>
      <w:pPr>
        <w:autoSpaceDE w:val="0"/>
        <w:autoSpaceDN w:val="0"/>
        <w:adjustRightInd w:val="0"/>
        <w:snapToGrid w:val="0"/>
        <w:spacing w:line="360" w:lineRule="auto"/>
        <w:ind w:firstLine="482" w:firstLineChars="200"/>
        <w:outlineLvl w:val="1"/>
        <w:rPr>
          <w:rFonts w:ascii="仿宋" w:hAnsi="仿宋" w:eastAsia="仿宋" w:cs="仿宋"/>
          <w:b/>
          <w:bCs/>
          <w:sz w:val="24"/>
          <w:szCs w:val="24"/>
          <w:lang w:val="zh-CN"/>
        </w:rPr>
      </w:pPr>
      <w:bookmarkStart w:id="103" w:name="_Toc495681505"/>
      <w:bookmarkStart w:id="104" w:name="_Toc22974"/>
      <w:bookmarkStart w:id="105" w:name="_Toc13082"/>
      <w:bookmarkStart w:id="106" w:name="_Toc32335"/>
      <w:bookmarkStart w:id="107" w:name="_Toc495681378"/>
      <w:bookmarkStart w:id="108" w:name="_Toc20678"/>
      <w:bookmarkStart w:id="109" w:name="_Toc5897"/>
      <w:bookmarkStart w:id="110" w:name="_Toc6293"/>
      <w:bookmarkStart w:id="111" w:name="_Toc14090"/>
      <w:bookmarkStart w:id="112" w:name="_Toc20772"/>
      <w:bookmarkStart w:id="113" w:name="_Toc4720"/>
      <w:bookmarkStart w:id="114" w:name="_Toc495681224"/>
      <w:bookmarkStart w:id="115" w:name="_Toc23206"/>
      <w:bookmarkStart w:id="116" w:name="_Toc495908023"/>
      <w:bookmarkStart w:id="117" w:name="_Toc2631"/>
      <w:bookmarkStart w:id="118" w:name="_Toc6881"/>
      <w:bookmarkStart w:id="119" w:name="_Toc5880"/>
      <w:r>
        <w:rPr>
          <w:rFonts w:hint="eastAsia" w:ascii="仿宋" w:hAnsi="仿宋" w:eastAsia="仿宋" w:cs="仿宋"/>
          <w:b/>
          <w:bCs/>
          <w:sz w:val="24"/>
          <w:szCs w:val="24"/>
          <w:lang w:val="zh-CN"/>
        </w:rPr>
        <w:t>三、磋商要求</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autoSpaceDE w:val="0"/>
        <w:autoSpaceDN w:val="0"/>
        <w:adjustRightInd w:val="0"/>
        <w:spacing w:line="360" w:lineRule="auto"/>
        <w:ind w:firstLine="482" w:firstLineChars="200"/>
        <w:outlineLvl w:val="2"/>
        <w:rPr>
          <w:rFonts w:ascii="仿宋" w:hAnsi="仿宋" w:eastAsia="仿宋" w:cs="仿宋"/>
          <w:b/>
          <w:bCs/>
          <w:sz w:val="24"/>
          <w:szCs w:val="24"/>
          <w:lang w:val="zh-CN"/>
        </w:rPr>
      </w:pPr>
      <w:bookmarkStart w:id="120" w:name="_Toc2358"/>
      <w:bookmarkStart w:id="121" w:name="_Toc240"/>
      <w:bookmarkStart w:id="122" w:name="_Toc14182"/>
      <w:bookmarkStart w:id="123" w:name="_Toc3400"/>
      <w:r>
        <w:rPr>
          <w:rFonts w:hint="eastAsia" w:ascii="仿宋" w:hAnsi="仿宋" w:eastAsia="仿宋" w:cs="仿宋"/>
          <w:b/>
          <w:bCs/>
          <w:sz w:val="24"/>
          <w:szCs w:val="24"/>
          <w:lang w:val="zh-CN"/>
        </w:rPr>
        <w:t>（一）磋商内容</w:t>
      </w:r>
      <w:bookmarkEnd w:id="120"/>
      <w:bookmarkEnd w:id="121"/>
      <w:bookmarkEnd w:id="122"/>
      <w:bookmarkEnd w:id="123"/>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本次磋商内容是西安市学校中层管理人员能力提升培训项目，各供应商应仔细阅读磋商文件中的所有事项、格式、条款和要求，对磋商文件的全部内容及要求作出实质性响应，提交相应资料，不得在其中选项磋商或将其中内容再行分解，否则磋商无效。</w:t>
      </w:r>
    </w:p>
    <w:p>
      <w:pPr>
        <w:snapToGrid w:val="0"/>
        <w:spacing w:line="360" w:lineRule="auto"/>
        <w:ind w:firstLine="482" w:firstLineChars="200"/>
        <w:outlineLvl w:val="2"/>
        <w:rPr>
          <w:rFonts w:ascii="仿宋" w:hAnsi="仿宋" w:eastAsia="仿宋" w:cs="仿宋"/>
          <w:b/>
          <w:bCs/>
          <w:sz w:val="24"/>
          <w:szCs w:val="24"/>
        </w:rPr>
      </w:pPr>
      <w:bookmarkStart w:id="124" w:name="_Toc13025"/>
      <w:bookmarkStart w:id="125" w:name="_Toc10504"/>
      <w:bookmarkStart w:id="126" w:name="_Toc28872"/>
      <w:bookmarkStart w:id="127" w:name="_Toc26464"/>
      <w:r>
        <w:rPr>
          <w:rFonts w:hint="eastAsia" w:ascii="仿宋" w:hAnsi="仿宋" w:eastAsia="仿宋" w:cs="仿宋"/>
          <w:b/>
          <w:bCs/>
          <w:sz w:val="24"/>
          <w:szCs w:val="24"/>
          <w:lang w:val="zh-CN"/>
        </w:rPr>
        <w:t>（二）合格供应商要求</w:t>
      </w:r>
      <w:bookmarkEnd w:id="124"/>
      <w:bookmarkEnd w:id="125"/>
      <w:bookmarkEnd w:id="126"/>
      <w:bookmarkEnd w:id="127"/>
    </w:p>
    <w:p>
      <w:pPr>
        <w:spacing w:line="360" w:lineRule="auto"/>
        <w:ind w:firstLine="482" w:firstLineChars="200"/>
        <w:rPr>
          <w:rFonts w:hint="eastAsia" w:ascii="仿宋" w:hAnsi="仿宋" w:eastAsia="仿宋" w:cs="仿宋"/>
          <w:b/>
          <w:bCs/>
          <w:sz w:val="24"/>
          <w:szCs w:val="24"/>
        </w:rPr>
      </w:pPr>
      <w:bookmarkStart w:id="128" w:name="_Toc21561"/>
      <w:bookmarkStart w:id="129" w:name="_Toc9381"/>
      <w:bookmarkStart w:id="130" w:name="_Toc445"/>
      <w:r>
        <w:rPr>
          <w:rFonts w:hint="eastAsia" w:ascii="仿宋" w:hAnsi="仿宋" w:eastAsia="仿宋" w:cs="仿宋"/>
          <w:b/>
          <w:bCs/>
          <w:sz w:val="24"/>
          <w:szCs w:val="24"/>
        </w:rPr>
        <w:t>（1）基本资格条件：符合《中华人民共和国政府采购法》第二十二条的规定；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1、具有独立承担民事责任能力的法人或其他组织，并出具有效的营业执照/事业单位法人证书/非企业专业服务机构执业许可证/民办非企业单位登记证书/自然人的身份证明； 2、财务状况报告：提供具有财务审计资质单位出具的</w:t>
      </w:r>
      <w:r>
        <w:rPr>
          <w:rFonts w:hint="eastAsia" w:ascii="仿宋" w:hAnsi="仿宋" w:eastAsia="仿宋" w:cs="仿宋"/>
          <w:sz w:val="24"/>
          <w:szCs w:val="24"/>
          <w:lang w:eastAsia="zh-CN"/>
        </w:rPr>
        <w:t>2020年度</w:t>
      </w:r>
      <w:r>
        <w:rPr>
          <w:rFonts w:hint="eastAsia" w:ascii="仿宋" w:hAnsi="仿宋" w:eastAsia="仿宋" w:cs="仿宋"/>
          <w:sz w:val="24"/>
          <w:szCs w:val="24"/>
        </w:rPr>
        <w:t>财务报告或磋商前六个月内其基本账户银行出具的资信证明（附基本户证明资料）或政府采购信用担保机构出具的磋商担保函； 3、具有依法缴纳税收的良好记录（提供磋商前6个月任意一个月的缴纳证明）； 4、具有依法缴纳社会保障资金的良好记录（提供磋商前6个月任意一个月的缴纳证明）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提供具有履行本合同所必需的设备和专业技术能力的说明及承诺；</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、出具参加本次政府采购活动前三年内在经营活动中没有重大违法记录的书面声明； 说明：依法免税或不需要缴纳社会保障资金的供应商，提供相应文件证明其依法免税或者不需要缴纳保障资金。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1、法定代表人直接参加磋商的，须出具法人身份证；法定代表人授权代表参加磋商的，须出具法定代表人授权书及授权代表身份证（有效的劳动合同或磋商截止前三个月的养老保险缴纳证明）； 2、符合《财政部关于在政府采购活动中查询及使用信用记录有关问题的通知》（财库【2016】125号）文件中信用查询的要求；（此项由采购人与采购代理单位在开标时查询，以现场查询为准。）</w:t>
      </w:r>
    </w:p>
    <w:p>
      <w:pPr>
        <w:tabs>
          <w:tab w:val="left" w:pos="9030"/>
        </w:tabs>
        <w:snapToGrid w:val="0"/>
        <w:spacing w:line="360" w:lineRule="auto"/>
        <w:ind w:right="-65" w:firstLine="482" w:firstLineChars="200"/>
        <w:outlineLvl w:val="2"/>
        <w:rPr>
          <w:rFonts w:ascii="仿宋" w:hAnsi="仿宋" w:eastAsia="仿宋" w:cs="仿宋"/>
          <w:b/>
          <w:bCs/>
          <w:sz w:val="24"/>
          <w:szCs w:val="24"/>
          <w:lang w:val="zh-CN"/>
        </w:rPr>
      </w:pPr>
      <w:bookmarkStart w:id="131" w:name="_Toc28971"/>
      <w:r>
        <w:rPr>
          <w:rFonts w:hint="eastAsia" w:ascii="仿宋" w:hAnsi="仿宋" w:eastAsia="仿宋" w:cs="仿宋"/>
          <w:b/>
          <w:bCs/>
          <w:sz w:val="24"/>
          <w:szCs w:val="24"/>
          <w:lang w:val="zh-CN"/>
        </w:rPr>
        <w:t>（三）限制磋商要求</w:t>
      </w:r>
      <w:bookmarkEnd w:id="131"/>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供应商单位负责人为同一人或者存在直接控股、管理关系的不同供应商，不得参加同一项目或同一包的政府采购活动。</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除单一来源采购项目外，为采购项目提供过整体设计、规范编制或者项目管理、监理、检测等服务的供应商，不得再参加同一项目的其他采购活动。</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对列入失信被执行人、重大税收违法案件当事人名单、政府采购严重违法失信行为记录名单及其他不符合《中华人民共和国政府采购法》第二十二条规定条件的供应商，采购代理机构将拒绝其参与政府采购活动。</w:t>
      </w:r>
    </w:p>
    <w:p>
      <w:pPr>
        <w:tabs>
          <w:tab w:val="left" w:pos="9030"/>
        </w:tabs>
        <w:snapToGrid w:val="0"/>
        <w:spacing w:line="360" w:lineRule="auto"/>
        <w:ind w:right="-65" w:firstLine="482" w:firstLineChars="200"/>
        <w:rPr>
          <w:rFonts w:ascii="仿宋" w:hAnsi="仿宋" w:eastAsia="仿宋" w:cs="仿宋"/>
          <w:b/>
          <w:bCs/>
          <w:sz w:val="24"/>
          <w:szCs w:val="24"/>
          <w:lang w:val="zh-CN"/>
        </w:rPr>
      </w:pPr>
      <w:r>
        <w:rPr>
          <w:rFonts w:hint="eastAsia" w:ascii="仿宋" w:hAnsi="仿宋" w:eastAsia="仿宋" w:cs="仿宋"/>
          <w:b/>
          <w:bCs/>
          <w:sz w:val="24"/>
          <w:szCs w:val="24"/>
        </w:rPr>
        <w:t>4、</w:t>
      </w:r>
      <w:r>
        <w:rPr>
          <w:rFonts w:hint="eastAsia" w:ascii="仿宋" w:hAnsi="仿宋" w:eastAsia="仿宋" w:cs="仿宋"/>
          <w:b/>
          <w:bCs/>
          <w:sz w:val="24"/>
          <w:szCs w:val="24"/>
          <w:lang w:val="zh-CN"/>
        </w:rPr>
        <w:t>本次磋商项目不接受联合体磋商。</w:t>
      </w:r>
    </w:p>
    <w:p>
      <w:pPr>
        <w:tabs>
          <w:tab w:val="left" w:pos="9030"/>
        </w:tabs>
        <w:snapToGrid w:val="0"/>
        <w:spacing w:line="360" w:lineRule="auto"/>
        <w:ind w:right="-65" w:firstLine="482" w:firstLineChars="200"/>
        <w:outlineLvl w:val="2"/>
        <w:rPr>
          <w:rFonts w:ascii="仿宋" w:hAnsi="仿宋" w:eastAsia="仿宋" w:cs="仿宋"/>
          <w:b/>
          <w:bCs/>
          <w:sz w:val="24"/>
          <w:szCs w:val="24"/>
          <w:lang w:val="zh-CN"/>
        </w:rPr>
      </w:pPr>
      <w:bookmarkStart w:id="132" w:name="_Toc24069"/>
      <w:r>
        <w:rPr>
          <w:rFonts w:hint="eastAsia" w:ascii="仿宋" w:hAnsi="仿宋" w:eastAsia="仿宋" w:cs="仿宋"/>
          <w:b/>
          <w:bCs/>
          <w:sz w:val="24"/>
          <w:szCs w:val="24"/>
          <w:lang w:val="zh-CN"/>
        </w:rPr>
        <w:t>（四）磋商响应文件有效期</w:t>
      </w:r>
      <w:bookmarkEnd w:id="128"/>
      <w:bookmarkEnd w:id="129"/>
      <w:bookmarkEnd w:id="130"/>
      <w:bookmarkEnd w:id="132"/>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磋商响应文件有效期为自磋商之日起90个日历日，在有效期内磋商响应文件对供应商具有法律约束力，以保证采购人完成评审、定标以及合同签订事项。成交供应商的磋商响应文件有效期自动延长至合同执行完毕。</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33" w:name="_Toc32305"/>
      <w:bookmarkStart w:id="134" w:name="_Toc2035"/>
      <w:bookmarkStart w:id="135" w:name="_Toc495681225"/>
      <w:bookmarkStart w:id="136" w:name="_Toc25242"/>
      <w:bookmarkStart w:id="137" w:name="_Toc7375"/>
      <w:bookmarkStart w:id="138" w:name="_Toc14448"/>
      <w:bookmarkStart w:id="139" w:name="_Toc1960"/>
      <w:bookmarkStart w:id="140" w:name="_Toc708"/>
      <w:bookmarkStart w:id="141" w:name="_Toc19258"/>
      <w:bookmarkStart w:id="142" w:name="_Toc27500"/>
      <w:bookmarkStart w:id="143" w:name="_Toc32264"/>
      <w:bookmarkStart w:id="144" w:name="_Toc10891"/>
      <w:bookmarkStart w:id="145" w:name="_Toc495681379"/>
      <w:bookmarkStart w:id="146" w:name="_Toc495908024"/>
      <w:bookmarkStart w:id="147" w:name="_Toc24960"/>
      <w:bookmarkStart w:id="148" w:name="_Toc495681506"/>
      <w:bookmarkStart w:id="149" w:name="_Toc32530"/>
      <w:r>
        <w:rPr>
          <w:rFonts w:hint="eastAsia" w:ascii="仿宋" w:hAnsi="仿宋" w:eastAsia="仿宋" w:cs="仿宋"/>
          <w:b/>
          <w:sz w:val="24"/>
          <w:szCs w:val="24"/>
          <w:lang w:val="zh-CN"/>
        </w:rPr>
        <w:t>（五）磋商响应文件的编制要求</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未从采购代理机构处直接获取磋商文件的供应商，谢绝报价。磋商响应文件必须根据采购代理机构发售的磋商响应文件格式编写，各供应商对磋商文件做出实质性响应，具体内容包括：</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）对磋商响应函中内容的响应。</w:t>
      </w:r>
    </w:p>
    <w:p>
      <w:pPr>
        <w:autoSpaceDE w:val="0"/>
        <w:autoSpaceDN w:val="0"/>
        <w:adjustRightInd w:val="0"/>
        <w:spacing w:line="360" w:lineRule="auto"/>
        <w:ind w:firstLine="480" w:firstLineChars="200"/>
        <w:rPr>
          <w:rFonts w:ascii="仿宋" w:hAnsi="仿宋" w:eastAsia="仿宋" w:cs="仿宋"/>
          <w:color w:val="FF6600"/>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）第一次磋商报价表。</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）供应商出具的合格供应商要求文件，证明参加供应商是响应本项目磋商的合格供应商。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）供应商为本次磋商采购项目编制的服务方案，具有履行合同所必须的人员和专业技术能力，配备了相应的商务和技术人员，项目在组织实施、服务承诺及技术支持等方面具体做法和保障措施。</w:t>
      </w:r>
    </w:p>
    <w:p>
      <w:pPr>
        <w:autoSpaceDE w:val="0"/>
        <w:autoSpaceDN w:val="0"/>
        <w:adjustRightIn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）供应商提供相应业绩，证明其供应经验及能力，以及为采购活动提供的合理化建议。</w:t>
      </w:r>
      <w:r>
        <w:rPr>
          <w:rFonts w:hint="eastAsia" w:ascii="仿宋" w:hAnsi="仿宋" w:eastAsia="仿宋" w:cs="仿宋"/>
          <w:sz w:val="24"/>
          <w:szCs w:val="24"/>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磋商响应文件的编写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（1）磋商响应文件需按照磋商响应文件的“第五部分 磋商响应文件格式”编写磋商响应文件，如有必要，可以增加附页，作为磋商响应文件的组成部分。</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（2）磋商响应文件编写说明:</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①供应商提交的磋商响应文件以及供应商与采购代理机构就有关磋商的所有来往通知、函件和文件均应使用简体中文。</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②除技术性能另有规定外，磋商响应文件所使用的度量衡单位，均须采用国家法定计量单位。</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③供应商应仔细阅读磋商文件，充分理解磋商文件的要求。凡与磋商文件的规定有重大不符合的磋商响应文件，均按照无效文件处理。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④凡没有按磋商响应文件格式和内容编写、磋商响应文件组成不全的供应商，均按照无效文件处理。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⑤供应商必须对磋商文件的所有规定和要求做出实质性响应，否则按照无效磋商处理。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⑥供应商应仔细阅读磋商文件的所有内容，按磋商文件的要求提供磋商响应文件，并保证所提供的全部资料的真实性，否则按照无效文件处理。</w:t>
      </w:r>
    </w:p>
    <w:p>
      <w:pPr>
        <w:snapToGrid w:val="0"/>
        <w:spacing w:line="360" w:lineRule="auto"/>
        <w:ind w:firstLine="482" w:firstLineChars="200"/>
        <w:outlineLvl w:val="2"/>
        <w:rPr>
          <w:rFonts w:ascii="仿宋" w:hAnsi="仿宋" w:eastAsia="仿宋" w:cs="仿宋"/>
          <w:b/>
          <w:sz w:val="24"/>
          <w:szCs w:val="24"/>
        </w:rPr>
      </w:pPr>
      <w:bookmarkStart w:id="150" w:name="_Toc11947"/>
      <w:bookmarkStart w:id="151" w:name="_Toc24492"/>
      <w:bookmarkStart w:id="152" w:name="_Toc346"/>
      <w:bookmarkStart w:id="153" w:name="_Toc20476"/>
      <w:bookmarkStart w:id="154" w:name="_Toc12827"/>
      <w:bookmarkStart w:id="155" w:name="_Toc26224"/>
      <w:bookmarkStart w:id="156" w:name="_Toc17282"/>
      <w:bookmarkStart w:id="157" w:name="_Toc495681507"/>
      <w:bookmarkStart w:id="158" w:name="_Toc495908025"/>
      <w:bookmarkStart w:id="159" w:name="_Toc495681226"/>
      <w:bookmarkStart w:id="160" w:name="_Toc23694"/>
      <w:bookmarkStart w:id="161" w:name="_Toc8946"/>
      <w:bookmarkStart w:id="162" w:name="_Toc27324"/>
      <w:bookmarkStart w:id="163" w:name="_Toc495681380"/>
      <w:bookmarkStart w:id="164" w:name="_Toc30998"/>
      <w:bookmarkStart w:id="165" w:name="_Toc356"/>
      <w:bookmarkStart w:id="166" w:name="_Toc7333"/>
      <w:r>
        <w:rPr>
          <w:rFonts w:hint="eastAsia" w:ascii="仿宋" w:hAnsi="仿宋" w:eastAsia="仿宋" w:cs="仿宋"/>
          <w:b/>
          <w:sz w:val="24"/>
          <w:szCs w:val="24"/>
        </w:rPr>
        <w:t>（六）磋商报价要求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1、各供应商应在磋商响应文件中的磋商第一次报价表上标明磋商总报价、服务期等项，任何有选择的报价采购代理机构不予接受。</w:t>
      </w:r>
    </w:p>
    <w:p>
      <w:pPr>
        <w:autoSpaceDE w:val="0"/>
        <w:autoSpaceDN w:val="0"/>
        <w:adjustRightInd w:val="0"/>
        <w:spacing w:line="360" w:lineRule="auto"/>
        <w:ind w:firstLine="480" w:firstLineChars="200"/>
        <w:rPr>
          <w:rFonts w:ascii="仿宋" w:hAnsi="仿宋" w:eastAsia="仿宋" w:cs="仿宋"/>
          <w:sz w:val="24"/>
          <w:szCs w:val="24"/>
          <w:lang w:val="zh-CN"/>
        </w:rPr>
      </w:pPr>
      <w:bookmarkStart w:id="167" w:name="OLE_LINK1"/>
      <w:r>
        <w:rPr>
          <w:rFonts w:hint="eastAsia" w:ascii="仿宋" w:hAnsi="仿宋" w:eastAsia="仿宋" w:cs="仿宋"/>
          <w:sz w:val="24"/>
          <w:szCs w:val="24"/>
        </w:rPr>
        <w:t>2、</w:t>
      </w:r>
      <w:r>
        <w:rPr>
          <w:rFonts w:hint="eastAsia" w:ascii="仿宋" w:hAnsi="仿宋" w:eastAsia="仿宋" w:cs="仿宋"/>
          <w:bCs/>
          <w:sz w:val="24"/>
          <w:szCs w:val="24"/>
        </w:rPr>
        <w:t>磋商总报价是指完成本次服务工作所需的全部费用</w:t>
      </w:r>
      <w:bookmarkEnd w:id="167"/>
      <w:r>
        <w:rPr>
          <w:rFonts w:hint="eastAsia" w:ascii="仿宋" w:hAnsi="仿宋" w:eastAsia="仿宋" w:cs="仿宋"/>
          <w:bCs/>
          <w:sz w:val="24"/>
          <w:szCs w:val="24"/>
        </w:rPr>
        <w:t>，竞争性磋商最终报价价格，在合同执行过程中，不得以任何理由变更。</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3、磋商最后报价，在采购内容无实质性变更下，不得高于首次磋商报价,对于差异较大的报价，须做出明确的说明。</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供应商不得以低于成本的报价参与磋商。当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报价处理。</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5、凡因供应商对磋商文件阅读不深、误解、疏漏，或因对市场行情了解不清造成的后果和风险均由供应商自负。</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6、供应商应按各自的能力，结合技术资料、服务期、人员投入等各种因素，综合测定后报价。</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7、磋商报价超出采购预算的供应商不进入磋商程序。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8、最低报价不是确定成交的唯一条件，</w:t>
      </w:r>
      <w:r>
        <w:rPr>
          <w:rFonts w:hint="eastAsia" w:ascii="仿宋" w:hAnsi="仿宋" w:eastAsia="仿宋" w:cs="仿宋"/>
          <w:sz w:val="24"/>
          <w:szCs w:val="24"/>
          <w:lang w:val="zh-CN"/>
        </w:rPr>
        <w:t>磋商过程中所产生的一切费用由供应商自行承担。</w:t>
      </w:r>
    </w:p>
    <w:p>
      <w:pPr>
        <w:snapToGrid w:val="0"/>
        <w:spacing w:line="360" w:lineRule="auto"/>
        <w:ind w:firstLine="482" w:firstLineChars="200"/>
        <w:outlineLvl w:val="2"/>
        <w:rPr>
          <w:rFonts w:ascii="仿宋" w:hAnsi="仿宋" w:eastAsia="仿宋" w:cs="仿宋"/>
          <w:b/>
          <w:sz w:val="24"/>
          <w:szCs w:val="24"/>
        </w:rPr>
      </w:pPr>
      <w:bookmarkStart w:id="168" w:name="_Toc495681382"/>
      <w:bookmarkStart w:id="169" w:name="_Toc28461"/>
      <w:bookmarkStart w:id="170" w:name="_Toc7251"/>
      <w:bookmarkStart w:id="171" w:name="_Toc495681509"/>
      <w:bookmarkStart w:id="172" w:name="_Toc495681228"/>
      <w:bookmarkStart w:id="173" w:name="_Toc2707"/>
      <w:bookmarkStart w:id="174" w:name="_Toc25914"/>
      <w:bookmarkStart w:id="175" w:name="_Toc9078"/>
      <w:bookmarkStart w:id="176" w:name="_Toc26187"/>
      <w:bookmarkStart w:id="177" w:name="_Toc24382"/>
      <w:bookmarkStart w:id="178" w:name="_Toc11653"/>
      <w:bookmarkStart w:id="179" w:name="_Toc5456"/>
      <w:bookmarkStart w:id="180" w:name="_Toc2724"/>
      <w:bookmarkStart w:id="181" w:name="_Toc495908027"/>
      <w:bookmarkStart w:id="182" w:name="_Toc803"/>
      <w:bookmarkStart w:id="183" w:name="_Toc8968"/>
      <w:bookmarkStart w:id="184" w:name="_Toc22056"/>
      <w:r>
        <w:rPr>
          <w:rFonts w:hint="eastAsia" w:ascii="仿宋" w:hAnsi="仿宋" w:eastAsia="仿宋" w:cs="仿宋"/>
          <w:b/>
          <w:sz w:val="24"/>
          <w:szCs w:val="24"/>
        </w:rPr>
        <w:t>（七）磋商响应文件的式样、签署和装订</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各供应商应参照磋商文件给定的样式，准备磋商响应文件正本一份、副本两份，磋商响应文件电子版（提供与纸质磋商响应文件一致的PDF格式和</w:t>
      </w:r>
      <w:r>
        <w:rPr>
          <w:rFonts w:hint="eastAsia" w:ascii="仿宋" w:hAnsi="仿宋" w:eastAsia="仿宋" w:cs="仿宋"/>
          <w:sz w:val="24"/>
          <w:szCs w:val="24"/>
        </w:rPr>
        <w:t>word格式</w:t>
      </w:r>
      <w:r>
        <w:rPr>
          <w:rFonts w:hint="eastAsia" w:ascii="仿宋" w:hAnsi="仿宋" w:eastAsia="仿宋" w:cs="仿宋"/>
          <w:sz w:val="24"/>
          <w:szCs w:val="24"/>
          <w:lang w:val="zh-CN"/>
        </w:rPr>
        <w:t>，U盘存储）一份，响应文件的封面上应清楚地标记“正本”、“副本”、“电子版”字样。</w:t>
      </w:r>
    </w:p>
    <w:p>
      <w:pPr>
        <w:tabs>
          <w:tab w:val="left" w:pos="9030"/>
        </w:tabs>
        <w:snapToGrid w:val="0"/>
        <w:spacing w:line="360" w:lineRule="auto"/>
        <w:ind w:right="-65" w:firstLine="480" w:firstLineChars="200"/>
        <w:rPr>
          <w:rFonts w:ascii="仿宋" w:hAnsi="仿宋" w:eastAsia="仿宋" w:cs="仿宋"/>
          <w:spacing w:val="-6"/>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磋商响应文件的正本和所有的副本建议双面打印且用不褪色蓝（黑）墨水（汁）书写，统一装订、编码，在每一页的正下方清楚标明第几页、共几页等字样。</w:t>
      </w:r>
      <w:r>
        <w:rPr>
          <w:rFonts w:hint="eastAsia" w:ascii="仿宋" w:hAnsi="仿宋" w:eastAsia="仿宋" w:cs="仿宋"/>
          <w:spacing w:val="-6"/>
          <w:sz w:val="24"/>
          <w:szCs w:val="24"/>
        </w:rPr>
        <w:t>因字迹不清、表达不准或不按给定的磋商文件格式编制的磋商响应文件，所引起的不利后果由供应商自负。</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磋商响应文件必须加盖供应商红色公章</w:t>
      </w:r>
      <w:r>
        <w:rPr>
          <w:rFonts w:hint="eastAsia" w:ascii="仿宋" w:hAnsi="仿宋" w:eastAsia="仿宋" w:cs="仿宋"/>
          <w:bCs/>
          <w:sz w:val="24"/>
          <w:szCs w:val="24"/>
        </w:rPr>
        <w:t>并按照磋商文件要求由法定代表人（授权代表人）签字，响应文件副本可以是正本的复印件</w:t>
      </w:r>
      <w:r>
        <w:rPr>
          <w:rFonts w:hint="eastAsia" w:ascii="仿宋" w:hAnsi="仿宋" w:eastAsia="仿宋" w:cs="仿宋"/>
          <w:sz w:val="24"/>
          <w:szCs w:val="24"/>
          <w:lang w:val="zh-CN"/>
        </w:rPr>
        <w:t>。</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磋商响应文件的打印应清楚工整，统一采用A4纸编制（如部分附表需要用其他规格的复印纸编写，则应按A4复印纸折叠）。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磋商响应文件除各供应商对错处做必要修改外，不得行间插字、涂改和增删，如有修改错漏处，必须由供应商法定代表人或其授权人代表签字或盖章。</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磋商响应文件应牢固装订成册，不可插页抽页。牢固装订成册是指书脊涂有胶粘剂以保证磋商响应文件不至于散开或用简单办法不能将任何一页在没有任何损坏的情况下取出或插入。各种用活页夹、文件夹、塑料方便式书脊（插入式或穿孔式）装订均不认为是牢固装订。</w:t>
      </w:r>
    </w:p>
    <w:p>
      <w:pPr>
        <w:snapToGrid w:val="0"/>
        <w:spacing w:line="360" w:lineRule="auto"/>
        <w:ind w:firstLine="482" w:firstLineChars="200"/>
        <w:outlineLvl w:val="2"/>
        <w:rPr>
          <w:rFonts w:ascii="仿宋" w:hAnsi="仿宋" w:eastAsia="仿宋" w:cs="仿宋"/>
          <w:b/>
          <w:sz w:val="24"/>
          <w:szCs w:val="24"/>
          <w:lang w:val="zh-CN"/>
        </w:rPr>
      </w:pPr>
      <w:bookmarkStart w:id="185" w:name="_Toc32577"/>
      <w:bookmarkStart w:id="186" w:name="_Toc21862"/>
      <w:bookmarkStart w:id="187" w:name="_Toc495681229"/>
      <w:bookmarkStart w:id="188" w:name="_Toc495681510"/>
      <w:bookmarkStart w:id="189" w:name="_Toc27109"/>
      <w:bookmarkStart w:id="190" w:name="_Toc21545"/>
      <w:bookmarkStart w:id="191" w:name="_Toc7399"/>
      <w:bookmarkStart w:id="192" w:name="_Toc18243"/>
      <w:bookmarkStart w:id="193" w:name="_Toc495908028"/>
      <w:bookmarkStart w:id="194" w:name="_Toc16128"/>
      <w:bookmarkStart w:id="195" w:name="_Toc495681383"/>
      <w:bookmarkStart w:id="196" w:name="_Toc24315"/>
      <w:bookmarkStart w:id="197" w:name="_Toc23115"/>
      <w:bookmarkStart w:id="198" w:name="_Toc12263"/>
      <w:bookmarkStart w:id="199" w:name="_Toc8989"/>
      <w:bookmarkStart w:id="200" w:name="_Toc21204"/>
      <w:bookmarkStart w:id="201" w:name="_Toc29339"/>
      <w:r>
        <w:rPr>
          <w:rFonts w:hint="eastAsia" w:ascii="仿宋" w:hAnsi="仿宋" w:eastAsia="仿宋" w:cs="仿宋"/>
          <w:b/>
          <w:sz w:val="24"/>
          <w:szCs w:val="24"/>
        </w:rPr>
        <w:t>（八）</w:t>
      </w:r>
      <w:r>
        <w:rPr>
          <w:rFonts w:hint="eastAsia" w:ascii="仿宋" w:hAnsi="仿宋" w:eastAsia="仿宋" w:cs="仿宋"/>
          <w:b/>
          <w:sz w:val="24"/>
          <w:szCs w:val="24"/>
          <w:lang w:val="zh-CN"/>
        </w:rPr>
        <w:t>磋商响应文件的密封和提交</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1、磋商响应</w:t>
      </w:r>
      <w:r>
        <w:rPr>
          <w:rFonts w:hint="eastAsia" w:ascii="仿宋" w:hAnsi="仿宋" w:eastAsia="仿宋" w:cs="仿宋"/>
          <w:sz w:val="24"/>
          <w:szCs w:val="24"/>
          <w:lang w:val="zh-CN"/>
        </w:rPr>
        <w:t>文件密封</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供应商应将磋商响应文件分为</w:t>
      </w:r>
      <w:r>
        <w:rPr>
          <w:rFonts w:hint="eastAsia" w:ascii="仿宋" w:hAnsi="仿宋" w:eastAsia="仿宋" w:cs="仿宋"/>
          <w:sz w:val="24"/>
          <w:szCs w:val="24"/>
        </w:rPr>
        <w:t>3个包装袋。</w:t>
      </w:r>
      <w:r>
        <w:rPr>
          <w:rFonts w:hint="eastAsia" w:ascii="仿宋" w:hAnsi="仿宋" w:eastAsia="仿宋" w:cs="仿宋"/>
          <w:sz w:val="24"/>
          <w:szCs w:val="24"/>
          <w:lang w:val="zh-CN"/>
        </w:rPr>
        <w:t>正本单独密封、所有副本密封，磋商响应文件电子版单独密封且在外层包装上标明字样。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外层包装应加封条密封，在封线处加盖公章（骑缝章），标明项目编号、项目名称，供应商全称（公章）、在</w:t>
      </w:r>
      <w:r>
        <w:rPr>
          <w:rFonts w:hint="eastAsia" w:ascii="仿宋" w:hAnsi="仿宋" w:eastAsia="仿宋" w:cs="仿宋"/>
          <w:sz w:val="24"/>
          <w:szCs w:val="24"/>
        </w:rPr>
        <w:t>XXXX年XX月XX日XX：XX前不得启封</w:t>
      </w:r>
      <w:r>
        <w:rPr>
          <w:rFonts w:hint="eastAsia" w:ascii="仿宋" w:hAnsi="仿宋" w:eastAsia="仿宋" w:cs="仿宋"/>
          <w:sz w:val="24"/>
          <w:szCs w:val="24"/>
          <w:lang w:val="zh-CN"/>
        </w:rPr>
        <w:t>等内容。</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2、磋商响应文件的递交</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）供应商应在磋商文件要求提交磋商响应文件的截止时间前将磋商响应文件密封送达磋商地点，递交并办理签收手续。</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）对于需提供合格供应商必备资格文件和业绩原件等相关资料的采购项目，供应商应将其内容与磋商响应文件一起递交，并标明所提供资料原件的明细表（若文件未要求原件可不提供）。</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）在磋商文件要求提交磋商响应文件的截止时间之后送达的磋商响应文件和相关资料原件，为无效文件，采购代理机构拒绝接收。</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）采购代理机构在磋商文件规定的磋商响应文件递交截止时间前，只负责磋商响应文件和其相关资料原件的接收、登记和组织工作，对其磋商响应文件和相关资料原件的有效性不负任何责任。</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磋商响应文件递送后，在磋商截止期前，供应商可以补充、修改或撤回其磋商响应文件，并书面通知采购代理机构。补充、修改的内容应按磋商响应文件的要求签署、盖章，密封后，作为磋商响应文件的组成部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）磋商截止时间后，供应商不得对其磋商响应文件做任何修改。</w:t>
      </w:r>
    </w:p>
    <w:p>
      <w:pPr>
        <w:snapToGrid w:val="0"/>
        <w:spacing w:line="360" w:lineRule="auto"/>
        <w:ind w:firstLine="482" w:firstLineChars="200"/>
        <w:outlineLvl w:val="1"/>
        <w:rPr>
          <w:rFonts w:ascii="仿宋" w:hAnsi="仿宋" w:eastAsia="仿宋" w:cs="仿宋"/>
          <w:b/>
          <w:sz w:val="24"/>
          <w:szCs w:val="24"/>
        </w:rPr>
      </w:pPr>
      <w:bookmarkStart w:id="202" w:name="_Toc495681231"/>
      <w:bookmarkStart w:id="203" w:name="_Toc495681512"/>
      <w:bookmarkStart w:id="204" w:name="_Toc8686"/>
      <w:bookmarkStart w:id="205" w:name="_Toc495681385"/>
      <w:bookmarkStart w:id="206" w:name="_Toc25488"/>
      <w:bookmarkStart w:id="207" w:name="_Toc2690"/>
      <w:bookmarkStart w:id="208" w:name="_Toc22233"/>
      <w:bookmarkStart w:id="209" w:name="_Toc19346"/>
      <w:bookmarkStart w:id="210" w:name="_Toc17983"/>
      <w:bookmarkStart w:id="211" w:name="_Toc5429"/>
      <w:bookmarkStart w:id="212" w:name="_Toc3012"/>
      <w:bookmarkStart w:id="213" w:name="_Toc8043"/>
      <w:bookmarkStart w:id="214" w:name="_Toc6863"/>
      <w:bookmarkStart w:id="215" w:name="_Toc3761"/>
      <w:bookmarkStart w:id="216" w:name="_Toc495908030"/>
      <w:bookmarkStart w:id="217" w:name="_Toc9413"/>
      <w:bookmarkStart w:id="218" w:name="_Toc830"/>
      <w:r>
        <w:rPr>
          <w:rFonts w:hint="eastAsia" w:ascii="仿宋" w:hAnsi="仿宋" w:eastAsia="仿宋" w:cs="仿宋"/>
          <w:b/>
          <w:sz w:val="24"/>
          <w:szCs w:val="24"/>
        </w:rPr>
        <w:t>四、磋商小组组成及职责</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（一）磋商小组的组成</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本项目磋商小组为</w:t>
      </w:r>
      <w:r>
        <w:rPr>
          <w:rFonts w:hint="eastAsia" w:ascii="仿宋" w:hAnsi="仿宋" w:eastAsia="仿宋" w:cs="仿宋"/>
          <w:sz w:val="24"/>
          <w:szCs w:val="24"/>
          <w:u w:val="single"/>
        </w:rPr>
        <w:t xml:space="preserve"> 3 </w:t>
      </w:r>
      <w:r>
        <w:rPr>
          <w:rFonts w:hint="eastAsia" w:ascii="仿宋" w:hAnsi="仿宋" w:eastAsia="仿宋" w:cs="仿宋"/>
          <w:sz w:val="24"/>
          <w:szCs w:val="24"/>
        </w:rPr>
        <w:t>人，</w:t>
      </w:r>
      <w:r>
        <w:rPr>
          <w:rFonts w:hint="eastAsia" w:ascii="仿宋" w:hAnsi="仿宋" w:eastAsia="仿宋" w:cs="仿宋"/>
          <w:sz w:val="24"/>
          <w:szCs w:val="24"/>
          <w:lang w:val="zh-CN"/>
        </w:rPr>
        <w:t>磋商小组成员在省级以上财政部门设立的政府采购评审专家库中随机抽取，其中评审专家不得少于成员总数的三分之二，磋商小组成员与供应商有利害关系的应当回避。</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（二）</w:t>
      </w:r>
      <w:r>
        <w:rPr>
          <w:rFonts w:hint="eastAsia" w:ascii="仿宋" w:hAnsi="仿宋" w:eastAsia="仿宋" w:cs="仿宋"/>
          <w:sz w:val="24"/>
          <w:szCs w:val="24"/>
          <w:lang w:val="zh-CN"/>
        </w:rPr>
        <w:t>磋商小组的职责</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磋商小组成员应当遵守并履行下列义务：</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1、遵纪守法，客观、公正、廉洁地履行职责，审查磋商响应文件是否符合竞争性磋商文件的要求，并做出评价；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2、要求供应商对磋商响应文件有关事项作出解释或者澄清；</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3、按照竞争性磋商文件的要求和磋商办法进行评审，推荐成交候选供应商名单，对评审意见承担个人责任；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4、对评审过程和结果以及供应商的商业秘密保密；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5、编写磋商评审报告；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6、配合采购代理机构答复供应商提出的质疑；</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7、配合财政部门的投诉处理工作；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8、依据政府采购法有关精神，有权对磋商过程中出现的一切问题做出处理决定。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（三）</w:t>
      </w:r>
      <w:r>
        <w:rPr>
          <w:rFonts w:hint="eastAsia" w:ascii="仿宋" w:hAnsi="仿宋" w:eastAsia="仿宋" w:cs="仿宋"/>
          <w:sz w:val="24"/>
          <w:szCs w:val="24"/>
        </w:rPr>
        <w:t>磋商小组的职能：</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1、审查参加磋商供应商的资质文件是否齐全、合法、有效；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2、与各供应商就磋商响应文件（含澄清、说明或补正的内容）中的技术指标、实施方案、磋商报价、</w:t>
      </w:r>
      <w:r>
        <w:rPr>
          <w:rFonts w:hint="eastAsia" w:ascii="仿宋" w:hAnsi="仿宋" w:eastAsia="仿宋" w:cs="仿宋"/>
          <w:sz w:val="24"/>
          <w:szCs w:val="24"/>
          <w:lang w:eastAsia="zh-CN"/>
        </w:rPr>
        <w:t>类似</w:t>
      </w:r>
      <w:r>
        <w:rPr>
          <w:rFonts w:hint="eastAsia" w:ascii="仿宋" w:hAnsi="仿宋" w:eastAsia="仿宋" w:cs="仿宋"/>
          <w:sz w:val="24"/>
          <w:szCs w:val="24"/>
        </w:rPr>
        <w:t>业绩、商务响应等进行磋商；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3、依据磋商文件，并视磋商情况，确定进入最终评审的供应商；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4、排序推荐成交侯选人；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5、协商处理磋商过程中出现的其它相关问题。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磋商小组有权对整个磋商过程中出现的一切问题，根据《中华人民共和国政府采购法》、《中华人民共和国政府采购实施条例》和《政府采购竞争性磋商采购方式管理暂行办法》的精神，本着公开、公平、公正的原则，进行处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（五）</w:t>
      </w:r>
      <w:r>
        <w:rPr>
          <w:rFonts w:hint="eastAsia" w:ascii="仿宋" w:hAnsi="仿宋" w:eastAsia="仿宋" w:cs="仿宋"/>
          <w:sz w:val="24"/>
          <w:szCs w:val="24"/>
        </w:rPr>
        <w:t>竞争性磋商开始后，直到与成交的供应商签订合同为止，凡与审查、澄清、评价和比较各供应商的有关资料及意见等内容，磋商小组均不得向供应商及与磋商无关的其他人透露。</w:t>
      </w:r>
    </w:p>
    <w:p>
      <w:pPr>
        <w:snapToGrid w:val="0"/>
        <w:spacing w:line="360" w:lineRule="auto"/>
        <w:ind w:firstLine="482" w:firstLineChars="200"/>
        <w:outlineLvl w:val="1"/>
        <w:rPr>
          <w:rFonts w:ascii="仿宋" w:hAnsi="仿宋" w:eastAsia="仿宋" w:cs="仿宋"/>
          <w:b/>
          <w:sz w:val="24"/>
          <w:szCs w:val="24"/>
        </w:rPr>
      </w:pPr>
      <w:bookmarkStart w:id="219" w:name="_Toc16740"/>
      <w:bookmarkStart w:id="220" w:name="_Toc495908031"/>
      <w:bookmarkStart w:id="221" w:name="_Toc17170"/>
      <w:bookmarkStart w:id="222" w:name="_Toc495681232"/>
      <w:bookmarkStart w:id="223" w:name="_Toc495681386"/>
      <w:bookmarkStart w:id="224" w:name="_Toc32163"/>
      <w:bookmarkStart w:id="225" w:name="_Toc7591"/>
      <w:bookmarkStart w:id="226" w:name="_Toc18764"/>
      <w:bookmarkStart w:id="227" w:name="_Toc24287"/>
      <w:bookmarkStart w:id="228" w:name="_Toc13067"/>
      <w:bookmarkStart w:id="229" w:name="_Toc9971"/>
      <w:bookmarkStart w:id="230" w:name="_Toc705"/>
      <w:bookmarkStart w:id="231" w:name="_Toc6044"/>
      <w:bookmarkStart w:id="232" w:name="_Toc11057"/>
      <w:bookmarkStart w:id="233" w:name="_Toc495681513"/>
      <w:bookmarkStart w:id="234" w:name="_Toc7227"/>
      <w:bookmarkStart w:id="235" w:name="_Toc7308"/>
      <w:r>
        <w:rPr>
          <w:rFonts w:hint="eastAsia" w:ascii="仿宋" w:hAnsi="仿宋" w:eastAsia="仿宋" w:cs="仿宋"/>
          <w:b/>
          <w:sz w:val="24"/>
          <w:szCs w:val="24"/>
        </w:rPr>
        <w:t>五、磋商会议</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（一）在磋商文件规定的时间和地点，由采购代理机构组织磋商工作，供应商须委派代表参加，签名报到以证明其出席。磋商整个过程接受监督机构的监督和管理。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（二）竞争性磋商会议进行时，由供应商或其推荐的代表与采购监标人共同检查响应文件的密封情况，经检查无误后，签字确认。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（三）采购代理机构工作人员按照顺序，将各供应商首次响应文件的份数等内容公布，无异议后，由供应商法定代表人（或授权代表人）和监标人签字确认。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（四）磋商过程由采购代理机构指定专人记录。</w:t>
      </w:r>
    </w:p>
    <w:p>
      <w:pPr>
        <w:snapToGrid w:val="0"/>
        <w:spacing w:line="360" w:lineRule="auto"/>
        <w:ind w:firstLine="482" w:firstLineChars="200"/>
        <w:outlineLvl w:val="1"/>
        <w:rPr>
          <w:rFonts w:ascii="仿宋" w:hAnsi="仿宋" w:eastAsia="仿宋" w:cs="仿宋"/>
          <w:b/>
          <w:sz w:val="24"/>
          <w:szCs w:val="24"/>
        </w:rPr>
      </w:pPr>
      <w:bookmarkStart w:id="236" w:name="_Toc19800"/>
      <w:bookmarkStart w:id="237" w:name="_Toc26932"/>
      <w:bookmarkStart w:id="238" w:name="_Toc5745"/>
      <w:bookmarkStart w:id="239" w:name="_Toc14190"/>
      <w:r>
        <w:rPr>
          <w:rFonts w:hint="eastAsia" w:ascii="仿宋" w:hAnsi="仿宋" w:eastAsia="仿宋" w:cs="仿宋"/>
          <w:b/>
          <w:sz w:val="24"/>
          <w:szCs w:val="24"/>
        </w:rPr>
        <w:t>六、磋商评审程序及评审办法</w:t>
      </w:r>
      <w:bookmarkEnd w:id="236"/>
      <w:bookmarkEnd w:id="237"/>
      <w:bookmarkEnd w:id="238"/>
      <w:bookmarkEnd w:id="239"/>
    </w:p>
    <w:p>
      <w:pPr>
        <w:tabs>
          <w:tab w:val="left" w:pos="9030"/>
        </w:tabs>
        <w:snapToGrid w:val="0"/>
        <w:spacing w:line="360" w:lineRule="auto"/>
        <w:ind w:right="-65" w:firstLine="480" w:firstLineChars="200"/>
        <w:outlineLvl w:val="2"/>
        <w:rPr>
          <w:rFonts w:ascii="仿宋" w:hAnsi="仿宋" w:eastAsia="仿宋" w:cs="仿宋"/>
          <w:sz w:val="24"/>
          <w:szCs w:val="24"/>
        </w:rPr>
      </w:pPr>
      <w:bookmarkStart w:id="240" w:name="_Toc16990"/>
      <w:bookmarkStart w:id="241" w:name="_Toc4804"/>
      <w:bookmarkStart w:id="242" w:name="_Toc14716"/>
      <w:bookmarkStart w:id="243" w:name="_Toc6427"/>
      <w:r>
        <w:rPr>
          <w:rFonts w:hint="eastAsia" w:ascii="仿宋" w:hAnsi="仿宋" w:eastAsia="仿宋" w:cs="仿宋"/>
          <w:sz w:val="24"/>
          <w:szCs w:val="24"/>
        </w:rPr>
        <w:t>（一）磋商响应文件的资格性审查：</w:t>
      </w:r>
      <w:bookmarkEnd w:id="240"/>
      <w:bookmarkEnd w:id="241"/>
      <w:bookmarkEnd w:id="242"/>
      <w:bookmarkEnd w:id="243"/>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1、提供的资格证明文件是否符合国家法律法规和磋商文件的要求，并且齐全、真实、有效；</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2、是否列入失信被执行人、重大税收违法案件当事人名单、政府采购严重违法失信行为记录名单及其他不符合《中华人民共和国政府采购法》第二十二条规定条件的。</w:t>
      </w:r>
    </w:p>
    <w:p>
      <w:pPr>
        <w:tabs>
          <w:tab w:val="left" w:pos="9030"/>
        </w:tabs>
        <w:snapToGrid w:val="0"/>
        <w:spacing w:line="360" w:lineRule="auto"/>
        <w:ind w:right="-65" w:firstLine="480" w:firstLineChars="200"/>
        <w:outlineLvl w:val="2"/>
        <w:rPr>
          <w:rFonts w:ascii="仿宋" w:hAnsi="仿宋" w:eastAsia="仿宋" w:cs="仿宋"/>
          <w:sz w:val="24"/>
          <w:szCs w:val="24"/>
        </w:rPr>
      </w:pPr>
      <w:bookmarkStart w:id="244" w:name="_Toc3356"/>
      <w:bookmarkStart w:id="245" w:name="_Toc18630"/>
      <w:bookmarkStart w:id="246" w:name="_Toc17500"/>
      <w:bookmarkStart w:id="247" w:name="_Toc26892"/>
      <w:r>
        <w:rPr>
          <w:rFonts w:hint="eastAsia" w:ascii="仿宋" w:hAnsi="仿宋" w:eastAsia="仿宋" w:cs="仿宋"/>
          <w:sz w:val="24"/>
          <w:szCs w:val="24"/>
        </w:rPr>
        <w:t>（二）磋商响应文件符合性审查：</w:t>
      </w:r>
      <w:bookmarkEnd w:id="244"/>
      <w:bookmarkEnd w:id="245"/>
      <w:bookmarkEnd w:id="246"/>
      <w:bookmarkEnd w:id="247"/>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1、磋商响应文件的完整性审查</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2、磋商响应文件的有效性审查</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3、对磋商文件的响应性审查</w:t>
      </w:r>
    </w:p>
    <w:p>
      <w:pPr>
        <w:tabs>
          <w:tab w:val="left" w:pos="9030"/>
        </w:tabs>
        <w:snapToGrid w:val="0"/>
        <w:spacing w:line="360" w:lineRule="auto"/>
        <w:ind w:right="-65" w:firstLine="480" w:firstLineChars="200"/>
        <w:outlineLvl w:val="2"/>
        <w:rPr>
          <w:rFonts w:ascii="仿宋" w:hAnsi="仿宋" w:eastAsia="仿宋" w:cs="仿宋"/>
          <w:sz w:val="24"/>
          <w:szCs w:val="24"/>
        </w:rPr>
      </w:pPr>
      <w:bookmarkStart w:id="248" w:name="_Toc18470"/>
      <w:bookmarkStart w:id="249" w:name="_Toc27628"/>
      <w:bookmarkStart w:id="250" w:name="_Toc26970"/>
      <w:bookmarkStart w:id="251" w:name="_Toc13949"/>
      <w:r>
        <w:rPr>
          <w:rFonts w:hint="eastAsia" w:ascii="仿宋" w:hAnsi="仿宋" w:eastAsia="仿宋" w:cs="仿宋"/>
          <w:sz w:val="24"/>
          <w:szCs w:val="24"/>
        </w:rPr>
        <w:t>（三）磋商响应文件的澄清、说明或者更正：</w:t>
      </w:r>
      <w:bookmarkEnd w:id="248"/>
      <w:bookmarkEnd w:id="249"/>
      <w:bookmarkEnd w:id="250"/>
      <w:bookmarkEnd w:id="251"/>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3、报价出现前后不一致的，按照下列规定修正：</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磋商响应文件中第一次磋商报价表内容与磋商响应文件中相应内容不一致的，以第一次磋商报价表为准；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大写金额和小写金额不一致的，以大写金额为准；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单价金额小数点或者百分比有明显错位的，以第一次磋商报价表的总价为准，并修改单价；</w:t>
      </w:r>
    </w:p>
    <w:p>
      <w:pPr>
        <w:tabs>
          <w:tab w:val="left" w:pos="9030"/>
        </w:tabs>
        <w:snapToGrid w:val="0"/>
        <w:spacing w:line="360" w:lineRule="auto"/>
        <w:ind w:right="-65" w:firstLine="480" w:firstLineChars="200"/>
        <w:rPr>
          <w:rFonts w:ascii="仿宋" w:hAnsi="仿宋" w:eastAsia="仿宋" w:cs="仿宋"/>
          <w:b/>
          <w:bCs/>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总价金额与按单价汇总金额不一致的，以单价金额计算结果为准。同时</w:t>
      </w:r>
      <w:r>
        <w:rPr>
          <w:rFonts w:hint="eastAsia" w:ascii="仿宋" w:hAnsi="仿宋" w:eastAsia="仿宋" w:cs="仿宋"/>
          <w:b/>
          <w:bCs/>
          <w:sz w:val="24"/>
          <w:szCs w:val="24"/>
          <w:lang w:val="zh-CN"/>
        </w:rPr>
        <w:t>出现两种以上不一致的，按照前款规定的顺序修正。修正后的报价经供应商书面确认后产生约束力，供应商不确认的，其磋商无效。</w:t>
      </w:r>
    </w:p>
    <w:p>
      <w:pPr>
        <w:tabs>
          <w:tab w:val="left" w:pos="9030"/>
        </w:tabs>
        <w:snapToGrid w:val="0"/>
        <w:spacing w:line="360" w:lineRule="auto"/>
        <w:ind w:right="-65" w:firstLine="480" w:firstLineChars="200"/>
        <w:outlineLvl w:val="2"/>
        <w:rPr>
          <w:rFonts w:ascii="仿宋" w:hAnsi="仿宋" w:eastAsia="仿宋" w:cs="仿宋"/>
          <w:sz w:val="24"/>
          <w:szCs w:val="24"/>
          <w:lang w:val="zh-CN"/>
        </w:rPr>
      </w:pPr>
      <w:bookmarkStart w:id="252" w:name="_Toc10917"/>
      <w:bookmarkStart w:id="253" w:name="_Toc13624"/>
      <w:bookmarkStart w:id="254" w:name="_Toc15145"/>
      <w:bookmarkStart w:id="255" w:name="_Toc461"/>
      <w:r>
        <w:rPr>
          <w:rFonts w:hint="eastAsia" w:ascii="仿宋" w:hAnsi="仿宋" w:eastAsia="仿宋" w:cs="仿宋"/>
          <w:sz w:val="24"/>
          <w:szCs w:val="24"/>
          <w:lang w:val="zh-CN"/>
        </w:rPr>
        <w:t>（四）供应商存在下列情况之一的，磋商无效：</w:t>
      </w:r>
      <w:bookmarkEnd w:id="252"/>
      <w:bookmarkEnd w:id="253"/>
      <w:bookmarkEnd w:id="254"/>
      <w:bookmarkEnd w:id="255"/>
    </w:p>
    <w:p>
      <w:pPr>
        <w:tabs>
          <w:tab w:val="left" w:pos="9030"/>
        </w:tabs>
        <w:snapToGrid w:val="0"/>
        <w:spacing w:line="360" w:lineRule="auto"/>
        <w:ind w:right="-65" w:firstLine="480" w:firstLineChars="200"/>
        <w:rPr>
          <w:rFonts w:ascii="仿宋" w:hAnsi="仿宋" w:eastAsia="仿宋" w:cs="仿宋"/>
          <w:kern w:val="0"/>
          <w:sz w:val="24"/>
          <w:szCs w:val="24"/>
        </w:rPr>
      </w:pPr>
      <w:r>
        <w:rPr>
          <w:rFonts w:hint="eastAsia" w:ascii="仿宋" w:hAnsi="仿宋" w:eastAsia="仿宋" w:cs="仿宋"/>
          <w:kern w:val="0"/>
          <w:sz w:val="24"/>
          <w:szCs w:val="24"/>
        </w:rPr>
        <w:t>1、供应商没有经过正常渠道获取磋商文件或供应商的名称与登记领取磋商文件单位的名称不符。</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kern w:val="0"/>
          <w:sz w:val="24"/>
          <w:szCs w:val="24"/>
        </w:rPr>
        <w:t>2、</w:t>
      </w:r>
      <w:r>
        <w:rPr>
          <w:rFonts w:hint="eastAsia" w:ascii="仿宋" w:hAnsi="仿宋" w:eastAsia="仿宋" w:cs="仿宋"/>
          <w:sz w:val="24"/>
          <w:szCs w:val="24"/>
          <w:lang w:val="zh-CN"/>
        </w:rPr>
        <w:t>不具备磋商文件中规定的资格要求的或提供的资格要求文件不符合磋商文件要求的；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、磋商响应文件递交份数不符合磋商文件要求的；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、磋商响应文件含有采购人不能接受的附加条件的;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供应商串通参加磋商活动的，出现以下情形之一的：①不同供应商的磋商响应文件由同一单位或者个人编制；②不同供应商委托同一单位或者个人办理磋商事宜；③不同供应商的磋商响应文件载明的项目管理成员或者联系人员为同一人；④不同供应商的磋商响应文件异常一致或者磋商报价呈规律性差异；⑤不同供应商的磋商响应文件相互混装；</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、供应商出现多份报价，出现选择性报价的；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、磋商报价与市场价偏离较大，低于成本，形成不正当竞争；</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8</w:t>
      </w:r>
      <w:r>
        <w:rPr>
          <w:rFonts w:hint="eastAsia" w:ascii="仿宋" w:hAnsi="仿宋" w:eastAsia="仿宋" w:cs="仿宋"/>
          <w:sz w:val="24"/>
          <w:szCs w:val="24"/>
          <w:lang w:val="zh-CN"/>
        </w:rPr>
        <w:t>、提供虚假证明，开具虚假资质，出现虚假应答，除按无效标处理外，还进行相应的处罚；</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、报价超过磋商文件中规定的预算金额或者最高限价的。</w:t>
      </w:r>
    </w:p>
    <w:p>
      <w:pPr>
        <w:snapToGrid w:val="0"/>
        <w:spacing w:line="360" w:lineRule="auto"/>
        <w:ind w:firstLine="480" w:firstLineChars="200"/>
        <w:outlineLvl w:val="2"/>
        <w:rPr>
          <w:rFonts w:ascii="仿宋" w:hAnsi="仿宋" w:eastAsia="仿宋" w:cs="仿宋"/>
          <w:sz w:val="24"/>
          <w:szCs w:val="24"/>
        </w:rPr>
      </w:pPr>
      <w:bookmarkStart w:id="256" w:name="_Toc15869"/>
      <w:bookmarkStart w:id="257" w:name="_Toc21482"/>
      <w:bookmarkStart w:id="258" w:name="_Toc20207"/>
      <w:bookmarkStart w:id="259" w:name="_Toc675"/>
      <w:r>
        <w:rPr>
          <w:rFonts w:hint="eastAsia" w:ascii="仿宋" w:hAnsi="仿宋" w:eastAsia="仿宋" w:cs="仿宋"/>
          <w:sz w:val="24"/>
          <w:szCs w:val="24"/>
        </w:rPr>
        <w:t>（五）磋商</w:t>
      </w:r>
      <w:bookmarkEnd w:id="256"/>
      <w:bookmarkEnd w:id="257"/>
      <w:bookmarkEnd w:id="258"/>
      <w:bookmarkEnd w:id="259"/>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磋商小组所有成员集中与单一供应商分别进行磋商，并给所有参加磋商供应商平等的磋商机会。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ascii="仿宋" w:hAnsi="仿宋" w:eastAsia="仿宋" w:cs="仿宋"/>
          <w:spacing w:val="-6"/>
          <w:sz w:val="24"/>
          <w:szCs w:val="24"/>
        </w:rPr>
      </w:pPr>
      <w:r>
        <w:rPr>
          <w:rFonts w:hint="eastAsia" w:ascii="仿宋" w:hAnsi="仿宋" w:eastAsia="仿宋" w:cs="仿宋"/>
          <w:sz w:val="24"/>
          <w:szCs w:val="24"/>
        </w:rPr>
        <w:t>2、</w:t>
      </w:r>
      <w:r>
        <w:rPr>
          <w:rFonts w:hint="eastAsia" w:ascii="仿宋" w:hAnsi="仿宋" w:eastAsia="仿宋" w:cs="仿宋"/>
          <w:spacing w:val="-6"/>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outlineLvl w:val="2"/>
        <w:rPr>
          <w:rFonts w:ascii="仿宋" w:hAnsi="仿宋" w:eastAsia="仿宋" w:cs="仿宋"/>
          <w:sz w:val="24"/>
          <w:szCs w:val="24"/>
        </w:rPr>
      </w:pPr>
      <w:bookmarkStart w:id="260" w:name="_Toc16133"/>
      <w:bookmarkStart w:id="261" w:name="_Toc32415"/>
      <w:bookmarkStart w:id="262" w:name="_Toc22968"/>
      <w:bookmarkStart w:id="263" w:name="_Toc7873"/>
      <w:r>
        <w:rPr>
          <w:rFonts w:hint="eastAsia" w:ascii="仿宋" w:hAnsi="仿宋" w:eastAsia="仿宋" w:cs="仿宋"/>
          <w:sz w:val="24"/>
          <w:szCs w:val="24"/>
        </w:rPr>
        <w:t>（六）最终报价</w:t>
      </w:r>
      <w:bookmarkEnd w:id="260"/>
      <w:bookmarkEnd w:id="261"/>
      <w:bookmarkEnd w:id="262"/>
      <w:bookmarkEnd w:id="263"/>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1、磋商文件能够详细列明采购标的的技术、服务要求的，磋商结束后，磋商小组应当要求所有实质性响应的供应商在规定时间内提交最后报价，提交最后报价的供应商不得少于3家。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磋商文件不能详细列明采购标的的技术、服务要求，需经磋商由供应商提供最终设计方案或解决方案的，磋商结束后，磋商小组应当按照少数服从多数的原则投票推荐3家以上供应商的服务方案或者解决方案，并要求其在规定时间内提交最后报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3、最后报价是供应商响应文件的有效组成部分。</w:t>
      </w:r>
      <w:r>
        <w:rPr>
          <w:rFonts w:hint="eastAsia" w:ascii="仿宋" w:hAnsi="仿宋" w:eastAsia="仿宋" w:cs="仿宋"/>
          <w:snapToGrid w:val="0"/>
          <w:kern w:val="0"/>
          <w:sz w:val="24"/>
          <w:szCs w:val="24"/>
        </w:rPr>
        <w:t>符合</w:t>
      </w:r>
      <w:r>
        <w:rPr>
          <w:rFonts w:hint="eastAsia" w:ascii="仿宋" w:hAnsi="仿宋" w:eastAsia="仿宋" w:cs="仿宋"/>
          <w:sz w:val="24"/>
          <w:szCs w:val="24"/>
        </w:rPr>
        <w:t>《政府采购竞争性磋商采购方式管理暂行办法》</w:t>
      </w:r>
      <w:r>
        <w:rPr>
          <w:rFonts w:hint="eastAsia" w:ascii="仿宋" w:hAnsi="仿宋" w:eastAsia="仿宋" w:cs="仿宋"/>
          <w:snapToGrid w:val="0"/>
          <w:kern w:val="0"/>
          <w:sz w:val="24"/>
          <w:szCs w:val="24"/>
        </w:rPr>
        <w:t>第三条第四项情形的</w:t>
      </w:r>
      <w:r>
        <w:rPr>
          <w:rFonts w:hint="eastAsia" w:ascii="仿宋" w:hAnsi="仿宋" w:eastAsia="仿宋" w:cs="仿宋"/>
          <w:sz w:val="24"/>
          <w:szCs w:val="24"/>
        </w:rPr>
        <w:t>，提交最后报价的供应商可以为2家。</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4、最后报价应按首次报价的格式内容填写，且由法定代表人（或授权代表人）签字。</w:t>
      </w:r>
    </w:p>
    <w:p>
      <w:pPr>
        <w:snapToGrid w:val="0"/>
        <w:spacing w:line="360" w:lineRule="auto"/>
        <w:ind w:firstLine="480" w:firstLineChars="200"/>
        <w:outlineLvl w:val="2"/>
        <w:rPr>
          <w:rFonts w:ascii="仿宋" w:hAnsi="仿宋" w:eastAsia="仿宋" w:cs="仿宋"/>
          <w:sz w:val="24"/>
          <w:szCs w:val="24"/>
        </w:rPr>
      </w:pPr>
      <w:bookmarkStart w:id="264" w:name="_Toc8219"/>
      <w:bookmarkStart w:id="265" w:name="_Toc2197"/>
      <w:bookmarkStart w:id="266" w:name="_Toc10188"/>
      <w:bookmarkStart w:id="267" w:name="_Toc22963"/>
      <w:r>
        <w:rPr>
          <w:rFonts w:hint="eastAsia" w:ascii="仿宋" w:hAnsi="仿宋" w:eastAsia="仿宋" w:cs="仿宋"/>
          <w:sz w:val="24"/>
          <w:szCs w:val="24"/>
        </w:rPr>
        <w:t>（七）</w:t>
      </w:r>
      <w:r>
        <w:rPr>
          <w:rFonts w:hint="eastAsia" w:ascii="仿宋" w:hAnsi="仿宋" w:eastAsia="仿宋" w:cs="仿宋"/>
          <w:sz w:val="24"/>
          <w:szCs w:val="24"/>
          <w:lang w:val="zh-CN"/>
        </w:rPr>
        <w:t>比较与评价</w:t>
      </w:r>
      <w:bookmarkEnd w:id="264"/>
      <w:bookmarkEnd w:id="265"/>
      <w:bookmarkEnd w:id="266"/>
      <w:bookmarkEnd w:id="267"/>
    </w:p>
    <w:p>
      <w:pPr>
        <w:snapToGrid w:val="0"/>
        <w:spacing w:line="360" w:lineRule="auto"/>
        <w:ind w:firstLine="480" w:firstLineChars="200"/>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0" w:firstLineChars="200"/>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2.评审方法：采用综合评分法，即对响应文件满足磋商文件全部实质性要求且按评审因素的量化指标评审得分最高的供应商为成交候选供应商的评审方法。</w:t>
      </w:r>
    </w:p>
    <w:p>
      <w:pPr>
        <w:snapToGrid w:val="0"/>
        <w:spacing w:line="360" w:lineRule="auto"/>
        <w:ind w:firstLine="482" w:firstLineChars="200"/>
        <w:rPr>
          <w:rFonts w:ascii="仿宋" w:hAnsi="仿宋" w:eastAsia="仿宋" w:cs="仿宋"/>
          <w:b/>
          <w:sz w:val="24"/>
          <w:szCs w:val="24"/>
          <w:highlight w:val="yellow"/>
          <w:lang w:val="zh-CN"/>
        </w:rPr>
      </w:pPr>
      <w:r>
        <w:rPr>
          <w:rFonts w:hint="eastAsia" w:ascii="仿宋" w:hAnsi="仿宋" w:eastAsia="仿宋" w:cs="仿宋"/>
          <w:b/>
          <w:sz w:val="24"/>
          <w:szCs w:val="24"/>
          <w:highlight w:val="yellow"/>
          <w:lang w:val="zh-CN"/>
        </w:rPr>
        <w:t>3. 评审因素及权重分解表（总计100分）</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804"/>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评审因素</w:t>
            </w:r>
          </w:p>
        </w:tc>
        <w:tc>
          <w:tcPr>
            <w:tcW w:w="6804"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     容</w:t>
            </w:r>
          </w:p>
        </w:tc>
        <w:tc>
          <w:tcPr>
            <w:tcW w:w="75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610" w:type="dxa"/>
            <w:noWrap w:val="0"/>
            <w:vAlign w:val="center"/>
          </w:tcPr>
          <w:p>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磋商报价</w:t>
            </w:r>
          </w:p>
          <w:p>
            <w:pPr>
              <w:spacing w:line="360" w:lineRule="auto"/>
              <w:jc w:val="center"/>
              <w:rPr>
                <w:rFonts w:hint="eastAsia" w:ascii="仿宋" w:hAnsi="仿宋" w:eastAsia="仿宋" w:cs="仿宋"/>
                <w:sz w:val="24"/>
                <w:szCs w:val="24"/>
                <w:highlight w:val="none"/>
                <w:lang w:val="zh-CN"/>
              </w:rPr>
            </w:pPr>
          </w:p>
        </w:tc>
        <w:tc>
          <w:tcPr>
            <w:tcW w:w="6804" w:type="dxa"/>
            <w:noWrap w:val="0"/>
            <w:vAlign w:val="center"/>
          </w:tcPr>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要求且</w:t>
            </w:r>
            <w:r>
              <w:rPr>
                <w:rFonts w:hint="eastAsia" w:ascii="仿宋" w:hAnsi="仿宋" w:eastAsia="仿宋" w:cs="仿宋"/>
                <w:sz w:val="24"/>
                <w:szCs w:val="24"/>
                <w:highlight w:val="none"/>
                <w:lang w:eastAsia="zh-CN"/>
              </w:rPr>
              <w:t>磋商总报价</w:t>
            </w:r>
            <w:r>
              <w:rPr>
                <w:rFonts w:hint="eastAsia" w:ascii="仿宋" w:hAnsi="仿宋" w:eastAsia="仿宋" w:cs="仿宋"/>
                <w:sz w:val="24"/>
                <w:szCs w:val="24"/>
                <w:highlight w:val="none"/>
              </w:rPr>
              <w:t>最低为</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基准价，其价格分为满分。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报价得分=（评</w:t>
            </w:r>
            <w:r>
              <w:rPr>
                <w:rFonts w:hint="eastAsia" w:ascii="仿宋" w:hAnsi="仿宋" w:eastAsia="仿宋" w:cs="仿宋"/>
                <w:sz w:val="24"/>
                <w:szCs w:val="24"/>
                <w:highlight w:val="none"/>
                <w:lang w:eastAsia="zh-CN"/>
              </w:rPr>
              <w:t>审</w:t>
            </w:r>
            <w:r>
              <w:rPr>
                <w:rFonts w:hint="eastAsia" w:ascii="仿宋" w:hAnsi="仿宋" w:eastAsia="仿宋" w:cs="仿宋"/>
                <w:sz w:val="24"/>
                <w:szCs w:val="24"/>
                <w:highlight w:val="none"/>
              </w:rPr>
              <w:t>基准价／</w:t>
            </w:r>
            <w:r>
              <w:rPr>
                <w:rFonts w:hint="eastAsia" w:ascii="仿宋" w:hAnsi="仿宋" w:eastAsia="仿宋" w:cs="仿宋"/>
                <w:sz w:val="24"/>
                <w:szCs w:val="24"/>
                <w:highlight w:val="none"/>
                <w:lang w:eastAsia="zh-CN"/>
              </w:rPr>
              <w:t>磋商总报价</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0%×100。</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符合</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规定的小微企业、监狱企业、</w:t>
            </w:r>
            <w:r>
              <w:rPr>
                <w:rFonts w:hint="eastAsia" w:ascii="仿宋" w:hAnsi="仿宋" w:eastAsia="仿宋" w:cs="仿宋"/>
                <w:sz w:val="24"/>
                <w:szCs w:val="24"/>
                <w:highlight w:val="none"/>
                <w:lang w:val="zh-CN"/>
              </w:rPr>
              <w:t>残疾人福利性单位</w:t>
            </w:r>
            <w:r>
              <w:rPr>
                <w:rFonts w:hint="eastAsia" w:ascii="仿宋" w:hAnsi="仿宋" w:eastAsia="仿宋" w:cs="仿宋"/>
                <w:sz w:val="24"/>
                <w:szCs w:val="24"/>
                <w:highlight w:val="none"/>
              </w:rPr>
              <w:t>优惠条件的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，价格给予6%的扣除，用扣除后的价格参与评审。</w:t>
            </w:r>
          </w:p>
        </w:tc>
        <w:tc>
          <w:tcPr>
            <w:tcW w:w="757"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610" w:type="dxa"/>
            <w:noWrap w:val="0"/>
            <w:vAlign w:val="center"/>
          </w:tcPr>
          <w:p>
            <w:pPr>
              <w:tabs>
                <w:tab w:val="left" w:pos="420"/>
                <w:tab w:val="center" w:pos="4153"/>
                <w:tab w:val="right" w:pos="8306"/>
              </w:tabs>
              <w:adjustRightIn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rPr>
              <w:t>商务条款响应程度</w:t>
            </w:r>
          </w:p>
        </w:tc>
        <w:tc>
          <w:tcPr>
            <w:tcW w:w="6804" w:type="dxa"/>
            <w:noWrap w:val="0"/>
            <w:vAlign w:val="center"/>
          </w:tcPr>
          <w:p>
            <w:pPr>
              <w:autoSpaceDE w:val="0"/>
              <w:autoSpaceDN w:val="0"/>
              <w:adjustRightIn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eastAsia="zh-CN"/>
              </w:rPr>
              <w:t>磋商响应文件</w:t>
            </w:r>
            <w:r>
              <w:rPr>
                <w:rFonts w:hint="eastAsia" w:ascii="仿宋" w:hAnsi="仿宋" w:eastAsia="仿宋" w:cs="仿宋"/>
                <w:bCs/>
                <w:sz w:val="24"/>
                <w:szCs w:val="24"/>
                <w:highlight w:val="none"/>
              </w:rPr>
              <w:t>对付款、</w:t>
            </w:r>
            <w:r>
              <w:rPr>
                <w:rFonts w:hint="eastAsia" w:ascii="仿宋" w:hAnsi="仿宋" w:eastAsia="仿宋" w:cs="仿宋"/>
                <w:bCs/>
                <w:sz w:val="24"/>
                <w:szCs w:val="24"/>
                <w:highlight w:val="none"/>
                <w:lang w:eastAsia="zh-CN"/>
              </w:rPr>
              <w:t>服务地点</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服务期</w:t>
            </w:r>
            <w:r>
              <w:rPr>
                <w:rFonts w:hint="eastAsia" w:ascii="仿宋" w:hAnsi="仿宋" w:eastAsia="仿宋" w:cs="仿宋"/>
                <w:bCs/>
                <w:sz w:val="24"/>
                <w:szCs w:val="24"/>
                <w:highlight w:val="none"/>
              </w:rPr>
              <w:t>、服务承诺等商务要求进行响应说明，根据响应程度计0～</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分，无响应说明不计分。</w:t>
            </w:r>
          </w:p>
        </w:tc>
        <w:tc>
          <w:tcPr>
            <w:tcW w:w="757" w:type="dxa"/>
            <w:noWrap w:val="0"/>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610" w:type="dxa"/>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服务方案</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针对本项目具有明确的服务目标、基本思路、方法和流程，按其响应程度计0～</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有完整合理的总体服务</w:t>
            </w:r>
            <w:r>
              <w:rPr>
                <w:rFonts w:hint="eastAsia" w:ascii="仿宋" w:hAnsi="仿宋" w:eastAsia="仿宋" w:cs="仿宋"/>
                <w:sz w:val="24"/>
                <w:szCs w:val="24"/>
              </w:rPr>
              <w:t>方案</w:t>
            </w:r>
            <w:r>
              <w:rPr>
                <w:rFonts w:hint="eastAsia" w:ascii="仿宋" w:hAnsi="仿宋" w:eastAsia="仿宋" w:cs="仿宋"/>
                <w:sz w:val="24"/>
                <w:szCs w:val="24"/>
                <w:lang w:val="zh-CN"/>
              </w:rPr>
              <w:t>、详细、合理、全面，按其响应程度计0～</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rPr>
              <w:t>具有健全的教学计划、培训大纲，</w:t>
            </w:r>
            <w:r>
              <w:rPr>
                <w:rFonts w:hint="eastAsia" w:ascii="仿宋" w:hAnsi="仿宋" w:eastAsia="仿宋" w:cs="仿宋"/>
                <w:sz w:val="24"/>
                <w:szCs w:val="24"/>
                <w:lang w:val="zh-CN"/>
              </w:rPr>
              <w:t>按其响应程度计0～</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4.具有</w:t>
            </w:r>
            <w:r>
              <w:rPr>
                <w:rFonts w:hint="eastAsia" w:ascii="仿宋" w:hAnsi="仿宋" w:eastAsia="仿宋" w:cs="仿宋"/>
                <w:sz w:val="24"/>
                <w:szCs w:val="24"/>
                <w:lang w:val="zh-CN"/>
              </w:rPr>
              <w:t>培训进度计划的保证措施，按其响应程度计0～</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分。</w:t>
            </w:r>
          </w:p>
        </w:tc>
        <w:tc>
          <w:tcPr>
            <w:tcW w:w="757"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overflowPunct w:val="0"/>
              <w:topLinePunct/>
              <w:autoSpaceDE w:val="0"/>
              <w:adjustRightInd w:val="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b w:val="0"/>
                <w:bCs w:val="0"/>
                <w:kern w:val="0"/>
                <w:sz w:val="24"/>
                <w:szCs w:val="24"/>
                <w:lang w:val="en-US" w:eastAsia="zh-CN" w:bidi="ar"/>
              </w:rPr>
              <w:t>质量保障</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1、企业各项管理制度和措施完整、详尽，按其响应程度计0～5分。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、供应商培训的组织能力评审，按其响应程度计0～5分。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、供应商培训的运营能力评审，按其响应程度计0～5分。</w:t>
            </w:r>
          </w:p>
        </w:tc>
        <w:tc>
          <w:tcPr>
            <w:tcW w:w="757"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0" w:type="dxa"/>
            <w:noWrap w:val="0"/>
            <w:vAlign w:val="center"/>
          </w:tcPr>
          <w:p>
            <w:pPr>
              <w:overflowPunct w:val="0"/>
              <w:topLinePunct/>
              <w:autoSpaceDE w:val="0"/>
              <w:adjustRightInd w:val="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rPr>
              <w:t xml:space="preserve">人员配备 </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1、项目培训人员具有较强的专业能力，</w:t>
            </w:r>
            <w:r>
              <w:rPr>
                <w:rFonts w:hint="eastAsia" w:ascii="仿宋" w:hAnsi="仿宋" w:eastAsia="仿宋" w:cs="仿宋"/>
                <w:sz w:val="24"/>
                <w:szCs w:val="24"/>
                <w:lang w:val="en-US" w:eastAsia="zh-CN"/>
              </w:rPr>
              <w:t>磋商小组</w:t>
            </w:r>
            <w:r>
              <w:rPr>
                <w:rFonts w:hint="eastAsia" w:ascii="仿宋" w:hAnsi="仿宋" w:eastAsia="仿宋" w:cs="仿宋"/>
                <w:sz w:val="24"/>
                <w:szCs w:val="24"/>
              </w:rPr>
              <w:t>根据投入本项目培训人员的专业程度、工作年限、工作经验进行自主赋分，按其响应程度计0～5分。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2、参与本项目的人员配备情况是否完备，培训服务工作经验是否丰富，按其响应情况计0～5分。</w:t>
            </w:r>
          </w:p>
        </w:tc>
        <w:tc>
          <w:tcPr>
            <w:tcW w:w="757"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0" w:type="dxa"/>
            <w:noWrap w:val="0"/>
            <w:vAlign w:val="center"/>
          </w:tcPr>
          <w:p>
            <w:pPr>
              <w:autoSpaceDE w:val="0"/>
              <w:autoSpaceDN w:val="0"/>
              <w:adjustRightInd w:val="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服务承诺</w:t>
            </w:r>
          </w:p>
        </w:tc>
        <w:tc>
          <w:tcPr>
            <w:tcW w:w="6804" w:type="dxa"/>
            <w:noWrap w:val="0"/>
            <w:vAlign w:val="center"/>
          </w:tcPr>
          <w:p>
            <w:pPr>
              <w:keepNext w:val="0"/>
              <w:keepLines w:val="0"/>
              <w:pageBreakBefore w:val="0"/>
              <w:widowControl w:val="0"/>
              <w:tabs>
                <w:tab w:val="left" w:pos="9030"/>
              </w:tabs>
              <w:kinsoku/>
              <w:wordWrap/>
              <w:overflowPunct/>
              <w:topLinePunct w:val="0"/>
              <w:bidi w:val="0"/>
              <w:snapToGrid w:val="0"/>
              <w:spacing w:line="360" w:lineRule="auto"/>
              <w:ind w:right="-65" w:rightChars="0"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各</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应完整、准确地表述出针对本次项目的服务承诺（包含针对本项目的服务质量目标、服务期限及服务过程中的人员到岗情况等）综合评比计0～</w:t>
            </w:r>
            <w:r>
              <w:rPr>
                <w:rFonts w:hint="eastAsia" w:ascii="仿宋" w:hAnsi="仿宋" w:eastAsia="仿宋" w:cs="仿宋"/>
                <w:sz w:val="24"/>
                <w:szCs w:val="24"/>
                <w:lang w:val="en-US" w:eastAsia="zh-CN"/>
              </w:rPr>
              <w:t>8</w:t>
            </w:r>
            <w:r>
              <w:rPr>
                <w:rFonts w:hint="eastAsia" w:ascii="仿宋" w:hAnsi="仿宋" w:eastAsia="仿宋" w:cs="仿宋"/>
                <w:sz w:val="24"/>
                <w:szCs w:val="24"/>
                <w:lang w:val="zh-CN" w:eastAsia="zh-CN"/>
              </w:rPr>
              <w:t>分。</w:t>
            </w:r>
          </w:p>
          <w:p>
            <w:pPr>
              <w:autoSpaceDE w:val="0"/>
              <w:autoSpaceDN w:val="0"/>
              <w:adjustRightInd w:val="0"/>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供应商针对本项目的其他服务承诺，综合评比计0～</w:t>
            </w:r>
            <w:r>
              <w:rPr>
                <w:rFonts w:hint="eastAsia" w:ascii="仿宋" w:hAnsi="仿宋" w:eastAsia="仿宋" w:cs="仿宋"/>
                <w:sz w:val="24"/>
                <w:szCs w:val="24"/>
                <w:lang w:val="en-US" w:eastAsia="zh-CN"/>
              </w:rPr>
              <w:t>2分。</w:t>
            </w:r>
          </w:p>
        </w:tc>
        <w:tc>
          <w:tcPr>
            <w:tcW w:w="757"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6804" w:type="dxa"/>
            <w:noWrap w:val="0"/>
            <w:vAlign w:val="center"/>
          </w:tcPr>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提供2018年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月以来（以合同签订日期为准）</w:t>
            </w:r>
            <w:r>
              <w:rPr>
                <w:rFonts w:hint="eastAsia" w:ascii="仿宋" w:hAnsi="仿宋" w:eastAsia="仿宋" w:cs="仿宋"/>
                <w:sz w:val="24"/>
                <w:szCs w:val="24"/>
                <w:highlight w:val="none"/>
                <w:lang w:eastAsia="zh-CN"/>
              </w:rPr>
              <w:t>类似项目</w:t>
            </w:r>
            <w:r>
              <w:rPr>
                <w:rFonts w:hint="eastAsia" w:ascii="仿宋" w:hAnsi="仿宋" w:eastAsia="仿宋" w:cs="仿宋"/>
                <w:sz w:val="24"/>
                <w:szCs w:val="24"/>
                <w:highlight w:val="none"/>
              </w:rPr>
              <w:t>业绩合同，提供一项得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tc>
        <w:tc>
          <w:tcPr>
            <w:tcW w:w="757"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bl>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4.其他事项说明</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因落实政府采购政策进行价格调整的，以调整后的价格计算评审基准价和磋商报价。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评审时，磋商小组根据以上内容进行综合比较，自主打分，分数四舍五入保留两位小数，独立对每个供应商的磋商响应文件进行评价，并汇总每个供应商的得分。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提供相同品牌产品且通过资格审查、符合性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多家供应商提供的核心产品品牌相同的，按以上规定处理。</w:t>
      </w:r>
    </w:p>
    <w:p>
      <w:pPr>
        <w:snapToGrid w:val="0"/>
        <w:spacing w:line="360" w:lineRule="auto"/>
        <w:ind w:firstLine="480" w:firstLineChars="200"/>
        <w:outlineLvl w:val="2"/>
        <w:rPr>
          <w:rFonts w:ascii="仿宋" w:hAnsi="仿宋" w:eastAsia="仿宋" w:cs="仿宋"/>
          <w:sz w:val="24"/>
          <w:szCs w:val="24"/>
          <w:lang w:val="zh-CN"/>
        </w:rPr>
      </w:pPr>
      <w:bookmarkStart w:id="268" w:name="_Toc10717"/>
      <w:bookmarkStart w:id="269" w:name="_Toc22385"/>
      <w:bookmarkStart w:id="270" w:name="_Toc28674"/>
      <w:bookmarkStart w:id="271" w:name="_Toc31079"/>
      <w:r>
        <w:rPr>
          <w:rFonts w:hint="eastAsia" w:ascii="仿宋" w:hAnsi="仿宋" w:eastAsia="仿宋" w:cs="仿宋"/>
          <w:sz w:val="24"/>
          <w:szCs w:val="24"/>
          <w:lang w:val="zh-CN"/>
        </w:rPr>
        <w:t>（八）推荐成交候选供应商名单</w:t>
      </w:r>
      <w:bookmarkEnd w:id="268"/>
      <w:bookmarkEnd w:id="269"/>
      <w:bookmarkEnd w:id="270"/>
      <w:bookmarkEnd w:id="271"/>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napToGrid w:val="0"/>
        <w:spacing w:line="360" w:lineRule="auto"/>
        <w:ind w:firstLine="482" w:firstLineChars="200"/>
        <w:outlineLvl w:val="1"/>
        <w:rPr>
          <w:rFonts w:ascii="仿宋" w:hAnsi="仿宋" w:eastAsia="仿宋" w:cs="仿宋"/>
          <w:b/>
          <w:sz w:val="24"/>
          <w:szCs w:val="24"/>
        </w:rPr>
      </w:pPr>
      <w:bookmarkStart w:id="272" w:name="_Toc8859"/>
      <w:bookmarkStart w:id="273" w:name="_Toc14537"/>
      <w:bookmarkStart w:id="274" w:name="_Toc495908032"/>
      <w:bookmarkStart w:id="275" w:name="_Toc495681514"/>
      <w:bookmarkStart w:id="276" w:name="_Toc5498"/>
      <w:bookmarkStart w:id="277" w:name="_Toc11824"/>
      <w:bookmarkStart w:id="278" w:name="_Toc19772"/>
      <w:bookmarkStart w:id="279" w:name="_Toc495681233"/>
      <w:bookmarkStart w:id="280" w:name="_Toc22513"/>
      <w:bookmarkStart w:id="281" w:name="_Toc495681387"/>
      <w:bookmarkStart w:id="282" w:name="_Toc17968"/>
      <w:bookmarkStart w:id="283" w:name="_Toc18707"/>
      <w:bookmarkStart w:id="284" w:name="_Toc21709"/>
      <w:bookmarkStart w:id="285" w:name="_Toc24654"/>
      <w:bookmarkStart w:id="286" w:name="_Toc5569"/>
      <w:bookmarkStart w:id="287" w:name="_Toc16758"/>
      <w:bookmarkStart w:id="288" w:name="_Toc27999"/>
      <w:r>
        <w:rPr>
          <w:rFonts w:hint="eastAsia" w:ascii="仿宋" w:hAnsi="仿宋" w:eastAsia="仿宋" w:cs="仿宋"/>
          <w:b/>
          <w:sz w:val="24"/>
          <w:szCs w:val="24"/>
        </w:rPr>
        <w:t>七、确定成交供应商</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（一）采购代理机构应在评审结束后两个工作日内，将评审报告送采购人确定成交供应商。</w:t>
      </w:r>
    </w:p>
    <w:p>
      <w:pPr>
        <w:snapToGri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z w:val="24"/>
          <w:szCs w:val="24"/>
        </w:rPr>
        <w:t>（二）采购人在收到评审报告后五个工作日内，从评审报告提出的成交候选人中，</w:t>
      </w:r>
      <w:r>
        <w:rPr>
          <w:rFonts w:hint="eastAsia" w:ascii="仿宋" w:hAnsi="仿宋" w:eastAsia="仿宋" w:cs="仿宋"/>
          <w:snapToGrid w:val="0"/>
          <w:kern w:val="0"/>
          <w:sz w:val="24"/>
          <w:szCs w:val="24"/>
        </w:rPr>
        <w:t>按照排序由高到低的原则确定成交供应商，也可以书面授权磋商小组直接确定成交供应商。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（三）采购代理机构在接到采购人的“成交复函”确认文件后两个工作日内，在</w:t>
      </w:r>
      <w:r>
        <w:rPr>
          <w:rFonts w:hint="eastAsia" w:ascii="仿宋" w:hAnsi="仿宋" w:eastAsia="仿宋" w:cs="仿宋"/>
          <w:snapToGrid w:val="0"/>
          <w:kern w:val="0"/>
          <w:sz w:val="24"/>
          <w:szCs w:val="24"/>
        </w:rPr>
        <w:t>省级以上财政部门指定的政府采购信息发布媒体上公告成交结果，同时向成交供应商发出成交通知书。</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zh-CN"/>
        </w:rPr>
        <w:t>供应商对成交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pPr>
        <w:snapToGrid w:val="0"/>
        <w:spacing w:line="360" w:lineRule="auto"/>
        <w:ind w:firstLine="482" w:firstLineChars="200"/>
        <w:outlineLvl w:val="1"/>
        <w:rPr>
          <w:rFonts w:ascii="仿宋" w:hAnsi="仿宋" w:eastAsia="仿宋" w:cs="仿宋"/>
          <w:b/>
          <w:sz w:val="24"/>
          <w:szCs w:val="24"/>
        </w:rPr>
      </w:pPr>
      <w:bookmarkStart w:id="289" w:name="_Toc27755"/>
      <w:bookmarkStart w:id="290" w:name="_Toc14377"/>
      <w:bookmarkStart w:id="291" w:name="_Toc495681388"/>
      <w:bookmarkStart w:id="292" w:name="_Toc21581"/>
      <w:bookmarkStart w:id="293" w:name="_Toc18909"/>
      <w:bookmarkStart w:id="294" w:name="_Toc13929"/>
      <w:bookmarkStart w:id="295" w:name="_Toc18122"/>
      <w:bookmarkStart w:id="296" w:name="_Toc3315"/>
      <w:bookmarkStart w:id="297" w:name="_Toc495681234"/>
      <w:bookmarkStart w:id="298" w:name="_Toc495908033"/>
      <w:bookmarkStart w:id="299" w:name="_Toc495681515"/>
      <w:bookmarkStart w:id="300" w:name="_Toc29069"/>
      <w:bookmarkStart w:id="301" w:name="_Toc19132"/>
      <w:bookmarkStart w:id="302" w:name="_Toc28410"/>
      <w:bookmarkStart w:id="303" w:name="_Toc22831"/>
      <w:bookmarkStart w:id="304" w:name="_Toc12629"/>
      <w:bookmarkStart w:id="305" w:name="_Toc2604"/>
      <w:r>
        <w:rPr>
          <w:rFonts w:hint="eastAsia" w:ascii="仿宋" w:hAnsi="仿宋" w:eastAsia="仿宋" w:cs="仿宋"/>
          <w:b/>
          <w:sz w:val="24"/>
          <w:szCs w:val="24"/>
        </w:rPr>
        <w:t>八、合同</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（一）采购人与成交供应商应当在成交通知书发出之日起30日内，</w:t>
      </w:r>
      <w:r>
        <w:rPr>
          <w:rFonts w:hint="eastAsia" w:ascii="仿宋" w:hAnsi="仿宋" w:eastAsia="仿宋" w:cs="仿宋"/>
          <w:sz w:val="24"/>
          <w:szCs w:val="24"/>
          <w:lang w:val="zh-CN"/>
        </w:rPr>
        <w:t>按照磋商文件和成交供应商磋商响应文件的约定，采购人与成交供应商洽谈合同条款，并签订合同。磋商文件及成交供应商的磋商响应文件均作为合同的组成部分。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（二）成交后，成交供应商无正当理由拖延或拒签合同，</w:t>
      </w:r>
      <w:r>
        <w:rPr>
          <w:rFonts w:hint="eastAsia" w:ascii="仿宋" w:hAnsi="仿宋" w:eastAsia="仿宋" w:cs="仿宋"/>
          <w:sz w:val="24"/>
          <w:szCs w:val="24"/>
          <w:lang w:val="zh-CN"/>
        </w:rPr>
        <w:t>采购人可以按照评审报告推荐的成交候选人名单排序，确定下一候选人为成交供应商，也可以重新开展政府采购活动。</w:t>
      </w:r>
      <w:r>
        <w:rPr>
          <w:rFonts w:hint="eastAsia" w:ascii="仿宋" w:hAnsi="仿宋" w:eastAsia="仿宋" w:cs="仿宋"/>
          <w:sz w:val="24"/>
          <w:szCs w:val="24"/>
        </w:rPr>
        <w:t>同时报请监督机构通报，取消其进入政府采购市场的资格，按规定予以处罚。</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306" w:name="_Toc9118"/>
      <w:bookmarkStart w:id="307" w:name="_Toc8437"/>
      <w:bookmarkStart w:id="308" w:name="_Toc495681235"/>
      <w:bookmarkStart w:id="309" w:name="_Toc2657"/>
      <w:bookmarkStart w:id="310" w:name="_Toc495908034"/>
      <w:bookmarkStart w:id="311" w:name="_Toc12204"/>
      <w:bookmarkStart w:id="312" w:name="_Toc495681389"/>
      <w:bookmarkStart w:id="313" w:name="_Toc495671243"/>
      <w:bookmarkStart w:id="314" w:name="_Toc21962"/>
      <w:bookmarkStart w:id="315" w:name="_Toc13779"/>
      <w:bookmarkStart w:id="316" w:name="_Toc17728"/>
      <w:bookmarkStart w:id="317" w:name="_Toc9688"/>
      <w:bookmarkStart w:id="318" w:name="_Toc22242"/>
      <w:bookmarkStart w:id="319" w:name="_Toc7116"/>
      <w:bookmarkStart w:id="320" w:name="_Toc495681516"/>
      <w:bookmarkStart w:id="321" w:name="_Toc25837"/>
      <w:bookmarkStart w:id="322" w:name="_Toc27365"/>
      <w:bookmarkStart w:id="323" w:name="_Toc13272"/>
      <w:r>
        <w:rPr>
          <w:rFonts w:hint="eastAsia" w:ascii="仿宋" w:hAnsi="仿宋" w:eastAsia="仿宋" w:cs="仿宋"/>
          <w:b/>
          <w:sz w:val="24"/>
          <w:szCs w:val="24"/>
          <w:lang w:val="zh-CN"/>
        </w:rPr>
        <w:t>九、成交合同的履约验收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政府采购合同的履行、违约责任和解决争议的方法等适用《中华人民共和国民法典》，采购人按照政府采购合同规定的技术、服务、安全标准组织对供应商履约情况进行验收，并出具验收书。</w:t>
      </w:r>
    </w:p>
    <w:p>
      <w:pPr>
        <w:snapToGrid w:val="0"/>
        <w:spacing w:line="360" w:lineRule="auto"/>
        <w:ind w:firstLine="482" w:firstLineChars="200"/>
        <w:outlineLvl w:val="1"/>
        <w:rPr>
          <w:rFonts w:ascii="仿宋" w:hAnsi="仿宋" w:eastAsia="仿宋" w:cs="仿宋"/>
          <w:b/>
          <w:sz w:val="24"/>
          <w:szCs w:val="24"/>
        </w:rPr>
      </w:pPr>
      <w:bookmarkStart w:id="324" w:name="_Toc25429"/>
      <w:bookmarkStart w:id="325" w:name="_Toc18844"/>
      <w:bookmarkStart w:id="326" w:name="_Toc26884"/>
      <w:bookmarkStart w:id="327" w:name="_Toc495908035"/>
      <w:bookmarkStart w:id="328" w:name="_Toc20679"/>
      <w:bookmarkStart w:id="329" w:name="_Toc18466"/>
      <w:bookmarkStart w:id="330" w:name="_Toc7570"/>
      <w:bookmarkStart w:id="331" w:name="_Toc19"/>
      <w:bookmarkStart w:id="332" w:name="_Toc495681517"/>
      <w:bookmarkStart w:id="333" w:name="_Toc495681236"/>
      <w:bookmarkStart w:id="334" w:name="_Toc7638"/>
      <w:bookmarkStart w:id="335" w:name="_Toc24838"/>
      <w:bookmarkStart w:id="336" w:name="_Toc22334"/>
      <w:bookmarkStart w:id="337" w:name="_Toc29351"/>
      <w:bookmarkStart w:id="338" w:name="_Toc7379"/>
      <w:bookmarkStart w:id="339" w:name="_Toc495681390"/>
      <w:bookmarkStart w:id="340" w:name="_Toc14349"/>
      <w:r>
        <w:rPr>
          <w:rFonts w:hint="eastAsia" w:ascii="仿宋" w:hAnsi="仿宋" w:eastAsia="仿宋" w:cs="仿宋"/>
          <w:b/>
          <w:sz w:val="24"/>
          <w:szCs w:val="24"/>
        </w:rPr>
        <w:t>十、成交服务费</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napToGrid w:val="0"/>
        <w:spacing w:line="360" w:lineRule="auto"/>
        <w:ind w:firstLine="480" w:firstLineChars="200"/>
        <w:rPr>
          <w:rFonts w:ascii="仿宋_GB2312" w:hAnsi="仿宋_GB2312" w:eastAsia="仿宋_GB2312" w:cs="仿宋_GB2312"/>
          <w:sz w:val="24"/>
          <w:szCs w:val="24"/>
        </w:rPr>
      </w:pPr>
      <w:r>
        <w:rPr>
          <w:rFonts w:hint="eastAsia" w:ascii="仿宋" w:hAnsi="仿宋" w:eastAsia="仿宋" w:cs="仿宋"/>
          <w:sz w:val="24"/>
          <w:szCs w:val="24"/>
        </w:rPr>
        <w:t>（一）本项目招标代理服务费由成交供应商在成交结果公示期满后三个工作日内按照标准支付给招标代理机构。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autoSpaceDE w:val="0"/>
        <w:autoSpaceDN w:val="0"/>
        <w:adjustRightInd w:val="0"/>
        <w:spacing w:line="360" w:lineRule="auto"/>
        <w:ind w:firstLine="645"/>
        <w:rPr>
          <w:rFonts w:ascii="仿宋" w:hAnsi="仿宋" w:eastAsia="仿宋" w:cs="仿宋"/>
          <w:sz w:val="24"/>
          <w:szCs w:val="24"/>
        </w:rPr>
      </w:pPr>
      <w:r>
        <w:rPr>
          <w:rFonts w:hint="eastAsia" w:ascii="仿宋" w:hAnsi="仿宋" w:eastAsia="仿宋" w:cs="仿宋"/>
          <w:sz w:val="24"/>
          <w:szCs w:val="24"/>
          <w:lang w:val="zh-CN"/>
        </w:rPr>
        <w:t>备注：</w:t>
      </w:r>
      <w:r>
        <w:rPr>
          <w:rFonts w:hint="eastAsia" w:ascii="仿宋" w:hAnsi="仿宋" w:eastAsia="仿宋" w:cs="仿宋"/>
          <w:sz w:val="24"/>
          <w:szCs w:val="24"/>
        </w:rPr>
        <w:t>成交服务费不足5000元的，按5000元收取。</w:t>
      </w:r>
    </w:p>
    <w:p>
      <w:pPr>
        <w:jc w:val="right"/>
        <w:rPr>
          <w:rFonts w:ascii="仿宋" w:hAnsi="仿宋" w:eastAsia="仿宋" w:cs="仿宋"/>
          <w:sz w:val="24"/>
          <w:szCs w:val="24"/>
          <w:lang w:val="zh-CN"/>
        </w:rPr>
      </w:pPr>
      <w:r>
        <w:rPr>
          <w:rFonts w:hint="eastAsia" w:ascii="仿宋" w:hAnsi="仿宋" w:eastAsia="仿宋" w:cs="仿宋"/>
          <w:sz w:val="24"/>
          <w:szCs w:val="24"/>
          <w:lang w:val="zh-CN"/>
        </w:rPr>
        <w:t>单位：万元</w:t>
      </w:r>
    </w:p>
    <w:tbl>
      <w:tblPr>
        <w:tblStyle w:val="2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tcPr>
          <w:p>
            <w:pPr>
              <w:spacing w:line="360" w:lineRule="auto"/>
              <w:ind w:firstLine="960" w:firstLineChars="400"/>
              <w:rPr>
                <w:rFonts w:ascii="仿宋" w:hAnsi="仿宋" w:eastAsia="仿宋" w:cs="仿宋"/>
                <w:b/>
                <w:sz w:val="24"/>
                <w:szCs w:val="24"/>
              </w:rPr>
            </w:pPr>
            <w:r>
              <w:rPr>
                <w:rFonts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3" name="直接箭头连接符 13"/>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6.35pt;margin-top:0.25pt;height:45.45pt;width:123.7pt;z-index:251662336;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bMgP1QAAAAcBAAAPAAAAAAAAAAEAIAAAACIA&#10;AABkcnMvZG93bnJldi54bWxQSwECFAAUAAAACACHTuJAHsUFkwwCAAALBAAADgAAAAAAAAABACAA&#10;AAAkAQAAZHJzL2Uyb0RvYy54bWxQSwUGAAAAAAYABgBZAQAAogUAAAAA&#10;">
                      <v:fill on="f" focussize="0,0"/>
                      <v:stroke color="#000000" joinstyle="round"/>
                      <v:imagedata o:title=""/>
                      <o:lock v:ext="edit" aspectratio="f"/>
                    </v:shape>
                  </w:pict>
                </mc:Fallback>
              </mc:AlternateContent>
            </w:r>
            <w:r>
              <w:rPr>
                <w:rFonts w:hint="eastAsia" w:ascii="仿宋" w:hAnsi="仿宋" w:eastAsia="仿宋" w:cs="仿宋"/>
                <w:b/>
                <w:sz w:val="24"/>
                <w:szCs w:val="24"/>
              </w:rPr>
              <w:t>采购类型</w:t>
            </w:r>
          </w:p>
          <w:p>
            <w:pPr>
              <w:spacing w:line="360" w:lineRule="auto"/>
              <w:rPr>
                <w:rFonts w:ascii="仿宋" w:hAnsi="仿宋" w:eastAsia="仿宋" w:cs="仿宋"/>
                <w:b/>
                <w:sz w:val="24"/>
                <w:szCs w:val="24"/>
              </w:rPr>
            </w:pPr>
            <w:r>
              <w:rPr>
                <w:rFonts w:hint="eastAsia" w:ascii="仿宋" w:hAnsi="仿宋" w:eastAsia="仿宋" w:cs="仿宋"/>
                <w:b/>
                <w:sz w:val="24"/>
                <w:szCs w:val="24"/>
              </w:rPr>
              <w:t>中标金额</w:t>
            </w:r>
          </w:p>
        </w:tc>
        <w:tc>
          <w:tcPr>
            <w:tcW w:w="198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货物招标</w:t>
            </w:r>
          </w:p>
        </w:tc>
        <w:tc>
          <w:tcPr>
            <w:tcW w:w="198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服务招标</w:t>
            </w:r>
          </w:p>
        </w:tc>
        <w:tc>
          <w:tcPr>
            <w:tcW w:w="198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100以下</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100-500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0.8%</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500-1000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0.8%</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0.45%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1000-5000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0.25%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5000-10000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0.25%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10000-100000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1000000以上</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0.01%</w:t>
            </w:r>
          </w:p>
        </w:tc>
      </w:tr>
    </w:tbl>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（三）成交供应商服务费交纳信息：</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银行户名：陕西笃信招标有限公司</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开户银行：中国建设银行股份有限公司西安劳动北路支行</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账   号：61050174390000000193</w:t>
      </w:r>
    </w:p>
    <w:p>
      <w:pPr>
        <w:autoSpaceDE w:val="0"/>
        <w:autoSpaceDN w:val="0"/>
        <w:adjustRightInd w:val="0"/>
        <w:snapToGrid w:val="0"/>
        <w:spacing w:line="360" w:lineRule="auto"/>
        <w:ind w:firstLine="627"/>
        <w:outlineLvl w:val="1"/>
        <w:rPr>
          <w:rFonts w:hint="eastAsia" w:ascii="仿宋" w:hAnsi="仿宋" w:eastAsia="仿宋" w:cs="仿宋"/>
          <w:b/>
          <w:sz w:val="24"/>
          <w:szCs w:val="24"/>
          <w:lang w:val="zh-CN"/>
        </w:rPr>
      </w:pPr>
      <w:bookmarkStart w:id="341" w:name="_Toc16141"/>
      <w:bookmarkStart w:id="342" w:name="_Toc21416"/>
      <w:bookmarkStart w:id="343" w:name="_Toc18260"/>
      <w:bookmarkStart w:id="344" w:name="_Toc12871"/>
      <w:bookmarkStart w:id="345" w:name="_Toc23881"/>
      <w:bookmarkStart w:id="346" w:name="_Toc25454"/>
      <w:bookmarkStart w:id="347" w:name="_Toc4827"/>
      <w:bookmarkStart w:id="348" w:name="_Toc8703"/>
      <w:bookmarkStart w:id="349" w:name="_Toc14545"/>
      <w:bookmarkStart w:id="350" w:name="_Toc495671246"/>
      <w:bookmarkStart w:id="351" w:name="_Toc840"/>
      <w:bookmarkStart w:id="352" w:name="_Toc19455"/>
      <w:bookmarkStart w:id="353" w:name="_Toc32251"/>
      <w:bookmarkStart w:id="354" w:name="_Toc495908036"/>
      <w:bookmarkStart w:id="355" w:name="_Toc495681518"/>
      <w:bookmarkStart w:id="356" w:name="_Toc495681391"/>
      <w:bookmarkStart w:id="357" w:name="_Toc495681237"/>
      <w:bookmarkStart w:id="358" w:name="_Toc21615"/>
      <w:bookmarkStart w:id="359" w:name="_Toc27978"/>
      <w:bookmarkStart w:id="360" w:name="_Toc16213"/>
      <w:bookmarkStart w:id="361" w:name="_Toc24427"/>
      <w:bookmarkStart w:id="362" w:name="_Toc21377"/>
      <w:bookmarkStart w:id="363" w:name="_Toc11829"/>
      <w:r>
        <w:rPr>
          <w:rFonts w:hint="eastAsia" w:ascii="仿宋" w:hAnsi="仿宋" w:eastAsia="仿宋" w:cs="仿宋"/>
          <w:b/>
          <w:sz w:val="24"/>
          <w:szCs w:val="24"/>
          <w:lang w:val="zh-CN"/>
        </w:rPr>
        <w:t>十一、需要落实的政府采购政策</w:t>
      </w:r>
      <w:bookmarkEnd w:id="341"/>
      <w:bookmarkEnd w:id="342"/>
      <w:bookmarkEnd w:id="343"/>
      <w:bookmarkEnd w:id="344"/>
      <w:bookmarkEnd w:id="345"/>
      <w:bookmarkEnd w:id="346"/>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落实促进支持中小企业、监狱企业、残疾人福利性单位发展、脱贫攻坚工作的政策(如为专门面向中小企业的采购项目（或采购包），不执行</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条款。)</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《政府采购促进中小企业发展管理办法》（财库〔2020〕46号）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在政府采购活动中，供应商提供的货物、工程或者服务符合下列情形的，享受《办法》规定的中小企业扶持政策: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)在货物采购项目中，货物由中小企业制造，即货物由中小企业生产且使用该中小企业商号或者注册商标；</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)在工程采购项目中，工程由中小企业承建，即工程施工单位为中小企业；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)在服务采购项目中，服务由中小企业承接，即提供服务的人员为中小企业依照《中华人民共和国劳动合同法》订立劳动合同的从业人员。</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在货物采购项目中，供应商提供的货物既有中小企业制造货物，也有大型企业制造货物的，不享受《办法》规定的中小企业扶持政策。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依据《办法》规定享受扶持政策获得政府采购合同的，小微企业不得将合同分包给大中型企业，中型企业不得将合同分包给大型企业。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的相关规定，小微企业报价给予6%(工程项目为3%)的扣除，用扣除后的价格参加评审。适用招标投标法的政府采购工程建设项目，采用综合评估法但未采用低价优先法计算价格分的，</w:t>
      </w:r>
      <w:r>
        <w:rPr>
          <w:rFonts w:hint="eastAsia" w:ascii="仿宋" w:hAnsi="仿宋" w:eastAsia="仿宋" w:cs="仿宋"/>
          <w:sz w:val="24"/>
          <w:szCs w:val="24"/>
          <w:lang w:eastAsia="zh-CN"/>
        </w:rPr>
        <w:t>评审</w:t>
      </w:r>
      <w:r>
        <w:rPr>
          <w:rFonts w:hint="eastAsia" w:ascii="仿宋" w:hAnsi="仿宋" w:eastAsia="仿宋" w:cs="仿宋"/>
          <w:sz w:val="24"/>
          <w:szCs w:val="24"/>
        </w:rPr>
        <w:t>时应当在采用原报价进行评分的基础上增加其价格得分的3%作为其价格分。</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w:t>
      </w:r>
      <w:r>
        <w:rPr>
          <w:rFonts w:hint="eastAsia" w:ascii="仿宋" w:hAnsi="仿宋" w:eastAsia="仿宋" w:cs="仿宋"/>
          <w:sz w:val="24"/>
          <w:szCs w:val="24"/>
          <w:lang w:eastAsia="zh-CN"/>
        </w:rPr>
        <w:t>评审</w:t>
      </w:r>
      <w:r>
        <w:rPr>
          <w:rFonts w:hint="eastAsia" w:ascii="仿宋" w:hAnsi="仿宋" w:eastAsia="仿宋" w:cs="仿宋"/>
          <w:sz w:val="24"/>
          <w:szCs w:val="24"/>
        </w:rPr>
        <w:t>时应当在采用原报价进行评分的基础上增加其价格得分的1%作为其价格分。组成联合体或者接受分包的小微企业与联合体内其他企业、分包企业之间存在直接控股、管理关系的，不享受价格扣除优惠政策。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《财政部 司法部关于政府采购支持监狱企业发展有关问题的通知》（财库〔2014〕68号）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《三部门联合发布关于促进残疾人就业政府采购政策的通知》（财库〔2017〕141号）；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落实优先采购节能、环保产品的政策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据《财政部 国家发展改革委关于印发〈节能产品政府采购实施意见〉的通知》（财库〔2004〕185号）规定“政府采购属于节能产品品目清单的，在技术、服务等指标同等条件下，应当优先采购节能品目清单的节能产品。”</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根据《财政部环保总局关于环境标志产品政府采购实施的意见》（财库〔2006〕90号）规定“采购人采购的产品属于环境标志产品政府采购清单中品目的，在性能、技术、服务等指标同等条件下，应当优先采购清单中的产品”。</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所有投标产品进入 “节能产品政府采购品目清单”的，应提供相关证书复印件，相关证书的颁发机构应来自《参与实施政府采购节能产品认证机构名录》。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所有投标产品进入“环境标志产品政府采购品目清单”的，应提供相关证书复印件，相关证书的颁发机构应来自《参与实施政府采购环境标志产品认证机构名录》。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政府采购信用融资政策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autoSpaceDE w:val="0"/>
        <w:autoSpaceDN w:val="0"/>
        <w:adjustRightInd w:val="0"/>
        <w:snapToGrid w:val="0"/>
        <w:spacing w:line="360" w:lineRule="auto"/>
        <w:ind w:firstLine="646"/>
        <w:rPr>
          <w:rFonts w:ascii="仿宋" w:hAnsi="仿宋" w:eastAsia="仿宋" w:cs="仿宋"/>
          <w:sz w:val="24"/>
          <w:szCs w:val="24"/>
          <w:lang w:val="zh-CN"/>
        </w:rPr>
      </w:pPr>
      <w:r>
        <w:rPr>
          <w:rFonts w:hint="eastAsia" w:ascii="仿宋" w:hAnsi="仿宋" w:eastAsia="仿宋" w:cs="仿宋"/>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r>
        <w:rPr>
          <w:rFonts w:hint="eastAsia" w:ascii="仿宋" w:hAnsi="仿宋" w:eastAsia="仿宋" w:cs="仿宋"/>
          <w:color w:val="auto"/>
          <w:sz w:val="24"/>
          <w:szCs w:val="24"/>
          <w:lang w:val="zh-CN"/>
        </w:rPr>
        <w:t> </w:t>
      </w:r>
      <w:r>
        <w:rPr>
          <w:rFonts w:hint="eastAsia" w:ascii="仿宋" w:hAnsi="仿宋" w:eastAsia="仿宋" w:cs="仿宋"/>
          <w:sz w:val="24"/>
          <w:szCs w:val="24"/>
          <w:lang w:val="zh-CN"/>
        </w:rPr>
        <w:t> </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364" w:name="_Toc19879"/>
      <w:bookmarkStart w:id="365" w:name="_Toc18813"/>
      <w:bookmarkStart w:id="366" w:name="_Toc5903"/>
      <w:bookmarkStart w:id="367" w:name="_Toc17984"/>
      <w:r>
        <w:rPr>
          <w:rFonts w:hint="eastAsia" w:ascii="仿宋" w:hAnsi="仿宋" w:eastAsia="仿宋" w:cs="仿宋"/>
          <w:b/>
          <w:sz w:val="24"/>
          <w:szCs w:val="24"/>
          <w:lang w:val="zh-CN"/>
        </w:rPr>
        <w:t>十二、质疑与投诉</w:t>
      </w:r>
      <w:bookmarkEnd w:id="364"/>
      <w:bookmarkEnd w:id="365"/>
      <w:bookmarkEnd w:id="366"/>
      <w:bookmarkEnd w:id="367"/>
    </w:p>
    <w:p>
      <w:pPr>
        <w:autoSpaceDE w:val="0"/>
        <w:autoSpaceDN w:val="0"/>
        <w:adjustRightInd w:val="0"/>
        <w:snapToGrid w:val="0"/>
        <w:spacing w:line="360" w:lineRule="auto"/>
        <w:ind w:firstLine="480" w:firstLineChars="200"/>
        <w:outlineLvl w:val="2"/>
        <w:rPr>
          <w:rFonts w:ascii="仿宋" w:hAnsi="仿宋" w:eastAsia="仿宋" w:cs="仿宋"/>
          <w:bCs/>
          <w:sz w:val="24"/>
          <w:szCs w:val="24"/>
          <w:lang w:val="zh-CN"/>
        </w:rPr>
      </w:pPr>
      <w:bookmarkStart w:id="368" w:name="_Toc32253"/>
      <w:bookmarkStart w:id="369" w:name="_Toc2075"/>
      <w:r>
        <w:rPr>
          <w:rFonts w:hint="eastAsia" w:ascii="仿宋" w:hAnsi="仿宋" w:eastAsia="仿宋" w:cs="仿宋"/>
          <w:bCs/>
          <w:sz w:val="24"/>
          <w:szCs w:val="24"/>
          <w:lang w:val="zh-CN"/>
        </w:rPr>
        <w:t>（一）质疑</w:t>
      </w:r>
      <w:bookmarkEnd w:id="368"/>
      <w:bookmarkEnd w:id="369"/>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1、供应商认为磋商文件、采购过程或成交结果使自身的合法权益受到损害，可以在法定期限内，以书面形式向采购代理机构或采购人提出质疑。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（2）质疑函应当由法定代表人签字并加盖公章，公章不得以合同章或其他印章代替。</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（3）质疑人可以委托代理人办理质疑事项，代理人办理质疑事项时，除提交质疑函外，还应当提交法人授权委托书及代理人的有效身份证明，授权委托书应当载明委托代理的具体权限和事项。</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（4）有下列情形之一的，属于无效质疑：</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①质疑人不是参与本次政府采购项目的供应商或潜在供应商；</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②质疑人与质疑事项不存在利害关系的；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③未在法定期限内提出质疑的；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④质疑未以书面形式提出，或质疑函主要内容构成不完整的；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⑤质疑函没有合法有效的签字、盖章或授权的；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⑥以非法手段取得证据、材料的；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⑦质疑答复后，同一质疑人就同一事项再次提出质疑的；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⑧不符合法律、法规、规章和政府采购监管机构规定的其他条件的。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2、符合要求的质疑，采购代理机构将予以受理并答复，具体联系方式如下：</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联系人：张亚娜、李纪旋</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联系电话：029-</w:t>
      </w:r>
      <w:r>
        <w:rPr>
          <w:rFonts w:hint="eastAsia" w:ascii="仿宋" w:hAnsi="仿宋" w:eastAsia="仿宋" w:cs="仿宋"/>
          <w:bCs/>
          <w:sz w:val="24"/>
          <w:szCs w:val="24"/>
        </w:rPr>
        <w:t>86253389、17782840194</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邮箱：1506381993@qq.com</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地址：西安市经济技术开发区凤城十一路与文景路十字文景商务广场B座8层陕西笃信招标有限公司</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0" w:firstLineChars="200"/>
        <w:outlineLvl w:val="2"/>
        <w:rPr>
          <w:rFonts w:ascii="仿宋" w:hAnsi="仿宋" w:eastAsia="仿宋" w:cs="仿宋"/>
          <w:bCs/>
          <w:sz w:val="24"/>
          <w:szCs w:val="24"/>
          <w:lang w:val="zh-CN"/>
        </w:rPr>
      </w:pPr>
      <w:bookmarkStart w:id="370" w:name="_Toc27685"/>
      <w:bookmarkStart w:id="371" w:name="_Toc30722"/>
      <w:r>
        <w:rPr>
          <w:rFonts w:hint="eastAsia" w:ascii="仿宋" w:hAnsi="仿宋" w:eastAsia="仿宋" w:cs="仿宋"/>
          <w:bCs/>
          <w:sz w:val="24"/>
          <w:szCs w:val="24"/>
          <w:lang w:val="zh-CN"/>
        </w:rPr>
        <w:t>（二）投诉</w:t>
      </w:r>
      <w:bookmarkEnd w:id="370"/>
      <w:bookmarkEnd w:id="371"/>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rPr>
          <w:rFonts w:ascii="仿宋" w:hAnsi="仿宋" w:eastAsia="仿宋" w:cs="仿宋"/>
          <w:b/>
          <w:sz w:val="24"/>
          <w:szCs w:val="24"/>
          <w:lang w:val="zh-CN"/>
        </w:rPr>
      </w:pPr>
      <w:r>
        <w:rPr>
          <w:rFonts w:hint="eastAsia" w:ascii="仿宋" w:hAnsi="仿宋" w:eastAsia="仿宋" w:cs="仿宋"/>
          <w:bCs/>
          <w:sz w:val="24"/>
          <w:szCs w:val="24"/>
          <w:lang w:val="zh-CN"/>
        </w:rPr>
        <w:t>2、投诉的事项不得超出已质疑事项的范围。</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Pr>
        <w:pageBreakBefore/>
        <w:numPr>
          <w:ilvl w:val="0"/>
          <w:numId w:val="0"/>
        </w:numPr>
        <w:spacing w:line="360" w:lineRule="auto"/>
        <w:jc w:val="center"/>
        <w:outlineLvl w:val="0"/>
        <w:rPr>
          <w:rFonts w:ascii="宋体" w:hAnsi="宋体" w:cs="宋体"/>
          <w:b/>
          <w:sz w:val="32"/>
          <w:szCs w:val="32"/>
          <w:highlight w:val="none"/>
        </w:rPr>
      </w:pPr>
      <w:bookmarkStart w:id="372" w:name="_Toc16046"/>
      <w:bookmarkStart w:id="373" w:name="_Toc29155"/>
      <w:bookmarkStart w:id="374" w:name="_Toc28744"/>
      <w:bookmarkStart w:id="375" w:name="_Toc11144"/>
      <w:bookmarkStart w:id="376" w:name="_Toc23352"/>
      <w:bookmarkStart w:id="377" w:name="_Toc29879"/>
      <w:bookmarkStart w:id="378" w:name="_Toc20897"/>
      <w:bookmarkStart w:id="379" w:name="_Toc15073"/>
      <w:bookmarkStart w:id="380" w:name="_Toc29455"/>
      <w:bookmarkStart w:id="381" w:name="_Toc3119"/>
      <w:bookmarkStart w:id="382" w:name="_Toc8287"/>
      <w:bookmarkStart w:id="383" w:name="_Toc22975"/>
      <w:bookmarkStart w:id="384" w:name="_Toc27283"/>
      <w:bookmarkStart w:id="385" w:name="_Toc495681393"/>
      <w:bookmarkStart w:id="386" w:name="_Toc495681239"/>
      <w:bookmarkStart w:id="387" w:name="_Toc495681520"/>
      <w:r>
        <w:rPr>
          <w:rFonts w:hint="eastAsia" w:ascii="宋体" w:hAnsi="宋体" w:cs="宋体"/>
          <w:b/>
          <w:sz w:val="32"/>
          <w:szCs w:val="32"/>
          <w:highlight w:val="none"/>
          <w:lang w:eastAsia="zh-CN"/>
        </w:rPr>
        <w:t>第三部分</w:t>
      </w:r>
      <w:r>
        <w:rPr>
          <w:rFonts w:hint="eastAsia" w:ascii="宋体" w:hAnsi="宋体" w:cs="宋体"/>
          <w:b/>
          <w:sz w:val="32"/>
          <w:szCs w:val="32"/>
          <w:highlight w:val="none"/>
        </w:rPr>
        <w:t xml:space="preserve">  采购内容及要求</w:t>
      </w:r>
      <w:bookmarkEnd w:id="372"/>
      <w:bookmarkEnd w:id="373"/>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本次培训包括三个子项目：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（一）西安市新优质成长学校中层管理人员培训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本项目培训对象为西安市新优质成长学校中层管理人员，人数为220人，天数为6天。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（二）西安市高中中层管理人员能力提升培训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本项目培训对象为西安市高中中层管理人员，人数为50人，天数为6天。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（三）西安市义务教育中层管理人员能力提升培训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本项目培训对象为西安市义务教育中层管理人员，人数为300人，天数为6天。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次培训聘请省内具有影响力的专家学者和一线优秀教研员，结合各类学校中层管理人员的专业发展需求进行专题讲座，结合实际，提出学校管理改进方向。以总体培训目标为引导，规定不同模块的研修任务，要求参训学员按照培训目标完成培训任务，达到培训目的。使学员产生解决问题的需要，并主动学习和反思解决问题的全过程；强调培训项目多元主体的高度参与性，在培训过程中通过交流、研讨、体验等多种方式，引导参训学员深度参与培训学习全过程，优化管理体系，提高管理效能，提升管理能力，通过学员交流等方式分享经验专家点评，推进学校全面发展，促进培训效果的内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培训内容围绕中层管理人员专业发展需求，提升参训对象德育管理、文化建设、教务管理、教学管理等多方面综合管理能力和学校管理实践创新能力。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二、预期效果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过本次培训提高西安市各类学校中层管理人员的政治理论素养和政策水平，熟悉国家的教育政策和法规，形成依法治校的能力，在工作中坚持为人民服务的宗旨，努力办好让人民满意的教育；掌握现代教育科学理论和新课改背景下学校教育科学研究的基本知识、方法，提高组织实施素质教育的能力和水平；掌握现代学校管理的理论和方法，提高科学管理学校的能力和水平。</w:t>
      </w:r>
    </w:p>
    <w:p>
      <w:pPr>
        <w:pageBreakBefore/>
        <w:numPr>
          <w:ilvl w:val="0"/>
          <w:numId w:val="0"/>
        </w:numPr>
        <w:spacing w:line="360" w:lineRule="auto"/>
        <w:jc w:val="center"/>
        <w:outlineLvl w:val="0"/>
        <w:rPr>
          <w:rFonts w:ascii="仿宋" w:hAnsi="仿宋" w:eastAsia="仿宋" w:cs="仿宋"/>
          <w:b/>
          <w:sz w:val="32"/>
          <w:szCs w:val="32"/>
          <w:highlight w:val="none"/>
          <w:lang w:val="zh-CN"/>
        </w:rPr>
      </w:pPr>
      <w:bookmarkStart w:id="388" w:name="_Toc29117"/>
      <w:bookmarkStart w:id="389" w:name="_Toc22079"/>
      <w:bookmarkStart w:id="390" w:name="_Toc3059"/>
      <w:bookmarkStart w:id="391" w:name="_Toc2752"/>
      <w:bookmarkStart w:id="392" w:name="_Toc32539"/>
      <w:bookmarkStart w:id="393" w:name="_Toc19915"/>
      <w:bookmarkStart w:id="394" w:name="_Toc17761"/>
      <w:bookmarkStart w:id="395" w:name="_Toc22699"/>
      <w:bookmarkStart w:id="396" w:name="_Toc31815"/>
      <w:bookmarkStart w:id="397" w:name="_Toc24222"/>
      <w:bookmarkStart w:id="398" w:name="_Toc4229"/>
      <w:bookmarkStart w:id="399" w:name="_Toc23469"/>
      <w:bookmarkStart w:id="400" w:name="_Toc25602"/>
      <w:r>
        <w:rPr>
          <w:rFonts w:hint="eastAsia" w:ascii="仿宋" w:hAnsi="仿宋" w:eastAsia="仿宋" w:cs="仿宋"/>
          <w:b/>
          <w:sz w:val="32"/>
          <w:szCs w:val="32"/>
          <w:highlight w:val="none"/>
          <w:lang w:eastAsia="zh-CN"/>
        </w:rPr>
        <w:t>第四部分</w:t>
      </w:r>
      <w:r>
        <w:rPr>
          <w:rFonts w:hint="eastAsia" w:ascii="仿宋" w:hAnsi="仿宋" w:eastAsia="仿宋" w:cs="仿宋"/>
          <w:b/>
          <w:sz w:val="32"/>
          <w:szCs w:val="32"/>
          <w:highlight w:val="none"/>
        </w:rPr>
        <w:t xml:space="preserve">  </w:t>
      </w:r>
      <w:r>
        <w:rPr>
          <w:rFonts w:hint="eastAsia" w:ascii="仿宋" w:hAnsi="仿宋" w:eastAsia="仿宋" w:cs="仿宋"/>
          <w:b/>
          <w:sz w:val="32"/>
          <w:szCs w:val="32"/>
          <w:highlight w:val="none"/>
          <w:lang w:val="zh-CN"/>
        </w:rPr>
        <w:t>合同主要条款及格式</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bookmarkStart w:id="401" w:name="_Toc16987"/>
      <w:bookmarkStart w:id="402" w:name="_Toc26694"/>
      <w:bookmarkStart w:id="403" w:name="_Toc11957"/>
      <w:bookmarkStart w:id="404" w:name="_Toc495681240"/>
      <w:bookmarkStart w:id="405" w:name="_Toc16734"/>
      <w:bookmarkStart w:id="406" w:name="_Toc495681521"/>
      <w:bookmarkStart w:id="407" w:name="_Toc27716"/>
      <w:bookmarkStart w:id="408" w:name="_Toc6568"/>
      <w:bookmarkStart w:id="409" w:name="_Toc10133"/>
      <w:bookmarkStart w:id="410" w:name="_Toc3178"/>
      <w:bookmarkStart w:id="411" w:name="_Toc23754"/>
      <w:bookmarkStart w:id="412" w:name="_Toc495681394"/>
      <w:bookmarkStart w:id="413" w:name="_Toc31324"/>
      <w:bookmarkStart w:id="414" w:name="_Toc19059"/>
      <w:bookmarkStart w:id="415" w:name="_Toc11662"/>
      <w:r>
        <w:rPr>
          <w:rFonts w:hint="eastAsia" w:ascii="仿宋" w:hAnsi="仿宋" w:eastAsia="仿宋" w:cs="仿宋"/>
          <w:sz w:val="24"/>
          <w:szCs w:val="24"/>
          <w:highlight w:val="none"/>
        </w:rPr>
        <w:t>采购人（甲方）：</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成交人（乙方）：</w:t>
      </w:r>
    </w:p>
    <w:p>
      <w:pPr>
        <w:keepNext w:val="0"/>
        <w:keepLines w:val="0"/>
        <w:pageBreakBefore w:val="0"/>
        <w:tabs>
          <w:tab w:val="left" w:pos="709"/>
          <w:tab w:val="left" w:pos="851"/>
        </w:tabs>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第一条 项目基本情况</w:t>
      </w:r>
    </w:p>
    <w:p>
      <w:pPr>
        <w:keepNext w:val="0"/>
        <w:keepLines w:val="0"/>
        <w:pageBreakBefore w:val="0"/>
        <w:widowControl/>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西安市学校中层管理人员能力提升培训项目</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DX2021-210</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西安市教育局</w:t>
      </w:r>
      <w:r>
        <w:rPr>
          <w:rFonts w:hint="eastAsia" w:ascii="仿宋" w:hAnsi="仿宋" w:eastAsia="仿宋" w:cs="仿宋"/>
          <w:sz w:val="24"/>
          <w:szCs w:val="24"/>
          <w:highlight w:val="none"/>
        </w:rPr>
        <w:t>的监督管理</w:t>
      </w:r>
      <w:r>
        <w:rPr>
          <w:rFonts w:hint="eastAsia" w:ascii="仿宋" w:hAnsi="仿宋" w:eastAsia="仿宋" w:cs="仿宋"/>
          <w:kern w:val="0"/>
          <w:sz w:val="24"/>
          <w:szCs w:val="24"/>
          <w:highlight w:val="none"/>
        </w:rPr>
        <w:t>下，由</w:t>
      </w:r>
      <w:r>
        <w:rPr>
          <w:rFonts w:hint="eastAsia" w:ascii="仿宋" w:hAnsi="仿宋" w:eastAsia="仿宋" w:cs="仿宋"/>
          <w:kern w:val="0"/>
          <w:sz w:val="24"/>
          <w:szCs w:val="24"/>
          <w:highlight w:val="none"/>
          <w:lang w:eastAsia="zh-CN"/>
        </w:rPr>
        <w:t>陕西笃信招标有限公司</w:t>
      </w:r>
      <w:r>
        <w:rPr>
          <w:rFonts w:hint="eastAsia" w:ascii="仿宋" w:hAnsi="仿宋" w:eastAsia="仿宋" w:cs="仿宋"/>
          <w:kern w:val="0"/>
          <w:sz w:val="24"/>
          <w:szCs w:val="24"/>
          <w:highlight w:val="none"/>
        </w:rPr>
        <w:t>组织竞争性磋商。</w:t>
      </w:r>
      <w:r>
        <w:rPr>
          <w:rFonts w:hint="eastAsia" w:ascii="仿宋" w:hAnsi="仿宋" w:eastAsia="仿宋" w:cs="仿宋"/>
          <w:sz w:val="24"/>
          <w:szCs w:val="24"/>
          <w:highlight w:val="none"/>
          <w:lang w:eastAsia="zh-CN"/>
        </w:rPr>
        <w:t>西安市教育局</w:t>
      </w:r>
      <w:r>
        <w:rPr>
          <w:rFonts w:hint="eastAsia" w:ascii="仿宋" w:hAnsi="仿宋" w:eastAsia="仿宋" w:cs="仿宋"/>
          <w:kern w:val="0"/>
          <w:sz w:val="24"/>
          <w:szCs w:val="24"/>
          <w:highlight w:val="none"/>
        </w:rPr>
        <w:t>(以下简称“甲方”)确定 (成交单位名称) （以下简称“乙方”）为成交单位。</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依据《中华人民共和国合同法》和《中华人民共和国政府采购法》《中华人民共和国政府采购法实施条例》，甲方通过竞争性磋商采购</w:t>
      </w:r>
      <w:r>
        <w:rPr>
          <w:rFonts w:hint="eastAsia" w:ascii="仿宋" w:hAnsi="仿宋" w:eastAsia="仿宋" w:cs="仿宋"/>
          <w:kern w:val="0"/>
          <w:sz w:val="24"/>
          <w:szCs w:val="24"/>
          <w:highlight w:val="none"/>
          <w:u w:val="single"/>
        </w:rPr>
        <w:t xml:space="preserve">（服务名称） </w:t>
      </w:r>
      <w:r>
        <w:rPr>
          <w:rFonts w:hint="eastAsia" w:ascii="仿宋" w:hAnsi="仿宋" w:eastAsia="仿宋" w:cs="仿宋"/>
          <w:kern w:val="0"/>
          <w:sz w:val="24"/>
          <w:szCs w:val="24"/>
          <w:highlight w:val="none"/>
        </w:rPr>
        <w:t>，并接受了乙方以价格</w:t>
      </w:r>
      <w:r>
        <w:rPr>
          <w:rFonts w:hint="eastAsia" w:ascii="仿宋" w:hAnsi="仿宋" w:eastAsia="仿宋" w:cs="仿宋"/>
          <w:kern w:val="0"/>
          <w:sz w:val="24"/>
          <w:szCs w:val="24"/>
          <w:highlight w:val="none"/>
          <w:u w:val="single"/>
        </w:rPr>
        <w:t>(成交金额大写)</w:t>
      </w:r>
      <w:r>
        <w:rPr>
          <w:rFonts w:hint="eastAsia" w:ascii="仿宋" w:hAnsi="仿宋" w:eastAsia="仿宋" w:cs="仿宋"/>
          <w:kern w:val="0"/>
          <w:sz w:val="24"/>
          <w:szCs w:val="24"/>
          <w:highlight w:val="none"/>
        </w:rPr>
        <w:t>(以下简称“合同价”)提供的服务。</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本合同在此声明如下：</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1、本合同中的词语和术语的含义与合同条款中定义的相同。</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2、下述文件是本合同的一部分，并与本合同一起阅读和解释：</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1）合同条款</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2）合同条款附件</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附件1—培训方案</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附件2—服务质量保证承诺</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3）成交通知书</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4）竞争性磋商文件</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5）竞争性磋商响应文件</w:t>
      </w:r>
    </w:p>
    <w:p>
      <w:pPr>
        <w:keepNext w:val="0"/>
        <w:keepLines w:val="0"/>
        <w:pageBreakBefore w:val="0"/>
        <w:tabs>
          <w:tab w:val="left" w:pos="709"/>
          <w:tab w:val="left" w:pos="851"/>
        </w:tabs>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第二条 合同期限</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日00:00:00 至202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日00:00:00（具体服务起止日期可随合同签订时间相应顺延）</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注：因不可抗力（包括但不限于自然灾害、疫情等）不能履行合同的，也可顺延项目直至顺利实施。</w:t>
      </w:r>
    </w:p>
    <w:p>
      <w:pPr>
        <w:keepNext w:val="0"/>
        <w:keepLines w:val="0"/>
        <w:pageBreakBefore w:val="0"/>
        <w:tabs>
          <w:tab w:val="left" w:pos="851"/>
        </w:tabs>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highlight w:val="none"/>
        </w:rPr>
      </w:pPr>
      <w:bookmarkStart w:id="416" w:name="_Toc232492928"/>
      <w:bookmarkStart w:id="417" w:name="_Toc239568418"/>
      <w:bookmarkStart w:id="418" w:name="_Toc225654644"/>
      <w:bookmarkStart w:id="419" w:name="_Toc283019214"/>
      <w:bookmarkStart w:id="420" w:name="_Toc251768862"/>
      <w:bookmarkStart w:id="421" w:name="_Toc185395249"/>
      <w:bookmarkStart w:id="422" w:name="_Toc239233914"/>
      <w:bookmarkStart w:id="423" w:name="_Toc282696226"/>
      <w:bookmarkStart w:id="424" w:name="_Toc225244852"/>
      <w:bookmarkStart w:id="425" w:name="_Toc225670751"/>
      <w:bookmarkStart w:id="426" w:name="_Toc286993786"/>
      <w:bookmarkStart w:id="427" w:name="_Toc211911348"/>
      <w:bookmarkStart w:id="428" w:name="_Toc211854449"/>
      <w:bookmarkStart w:id="429" w:name="_Toc237145406"/>
      <w:bookmarkStart w:id="430" w:name="_Toc212019594"/>
      <w:bookmarkStart w:id="431" w:name="_Toc241833903"/>
      <w:bookmarkStart w:id="432" w:name="_Toc238984975"/>
      <w:bookmarkStart w:id="433" w:name="_Toc247334841"/>
      <w:r>
        <w:rPr>
          <w:rFonts w:hint="eastAsia" w:ascii="仿宋" w:hAnsi="仿宋" w:eastAsia="仿宋" w:cs="仿宋"/>
          <w:b/>
          <w:color w:val="000000"/>
          <w:sz w:val="24"/>
          <w:szCs w:val="24"/>
          <w:highlight w:val="none"/>
        </w:rPr>
        <w:t>第三条 服务内容与质量标准</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按照采购人要求，提供服务标准。</w:t>
      </w:r>
    </w:p>
    <w:p>
      <w:pPr>
        <w:keepNext w:val="0"/>
        <w:keepLines w:val="0"/>
        <w:pageBreakBefore w:val="0"/>
        <w:tabs>
          <w:tab w:val="left" w:pos="851"/>
        </w:tabs>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第四条 服务费用及支付方式</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highlight w:val="none"/>
        </w:rPr>
      </w:pPr>
      <w:bookmarkStart w:id="434" w:name="_Toc491958066"/>
      <w:bookmarkStart w:id="435" w:name="_Toc491957859"/>
      <w:r>
        <w:rPr>
          <w:rFonts w:hint="eastAsia" w:ascii="仿宋" w:hAnsi="仿宋" w:eastAsia="仿宋" w:cs="仿宋"/>
          <w:color w:val="000000"/>
          <w:sz w:val="24"/>
          <w:szCs w:val="24"/>
          <w:highlight w:val="none"/>
        </w:rPr>
        <w:t>1、甲方向乙方提供培训费用共计</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元整，（大写：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），其中</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不含税金额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元整（大写：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），增值税税金</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元整（大写：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bookmarkEnd w:id="434"/>
      <w:bookmarkEnd w:id="435"/>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2、付款方式：</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color w:val="000000"/>
          <w:sz w:val="24"/>
          <w:szCs w:val="24"/>
          <w:highlight w:val="none"/>
          <w:lang w:val="en-US" w:eastAsia="zh-CN"/>
        </w:rPr>
        <w:t>30个日历日</w:t>
      </w:r>
      <w:r>
        <w:rPr>
          <w:rFonts w:hint="eastAsia" w:ascii="仿宋" w:hAnsi="仿宋" w:eastAsia="仿宋" w:cs="仿宋"/>
          <w:color w:val="000000"/>
          <w:sz w:val="24"/>
          <w:szCs w:val="24"/>
          <w:highlight w:val="none"/>
          <w:lang w:eastAsia="zh-CN"/>
        </w:rPr>
        <w:t>内支付合同总价款的</w:t>
      </w:r>
      <w:r>
        <w:rPr>
          <w:rFonts w:hint="eastAsia" w:ascii="仿宋" w:hAnsi="仿宋" w:eastAsia="仿宋" w:cs="仿宋"/>
          <w:color w:val="000000"/>
          <w:sz w:val="24"/>
          <w:szCs w:val="24"/>
          <w:highlight w:val="none"/>
          <w:lang w:val="en-US" w:eastAsia="zh-CN"/>
        </w:rPr>
        <w:t>70%，项目执行完毕后，30个日历日内支付合同总价款的30%。</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3、合同总价一次包死，不受市场价变化的影响。</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4、结算方式为银行转账。</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第五条 知识产权</w:t>
      </w:r>
    </w:p>
    <w:p>
      <w:pPr>
        <w:keepNext w:val="0"/>
        <w:keepLines w:val="0"/>
        <w:pageBreakBefore w:val="0"/>
        <w:tabs>
          <w:tab w:val="left" w:pos="1440"/>
        </w:tabs>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乙方应保证所提供的服务或其任何一部分均不会侵犯任何第三方</w:t>
      </w:r>
      <w:r>
        <w:rPr>
          <w:rFonts w:hint="eastAsia" w:ascii="仿宋" w:hAnsi="仿宋" w:eastAsia="仿宋" w:cs="仿宋"/>
          <w:color w:val="000000"/>
          <w:sz w:val="24"/>
          <w:szCs w:val="24"/>
        </w:rPr>
        <w:t>的专利权、商标权或著作权。</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第六条 无产权瑕疵条款</w:t>
      </w:r>
    </w:p>
    <w:p>
      <w:pPr>
        <w:keepNext w:val="0"/>
        <w:keepLines w:val="0"/>
        <w:pageBreakBefore w:val="0"/>
        <w:tabs>
          <w:tab w:val="left" w:pos="1440"/>
        </w:tabs>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第七条 甲方的权利和义务</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1、甲方有权对合同规定范围内乙方的服务行为进行监督和检查，拥有监管权。有权定期核对乙方提供服务所配备的人员数量。甲方认为不合理的部分有权下达整改通知书，并要求乙方限期整改。</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2、负责检查监督乙方培训工作的实施及执行情况。</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3、根据本合同规定，按时向乙方支付应付费用。</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4、国家法律、法规所规定由甲方承担的其它责任。</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第八条 乙方的权利和义务</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1、对本合同规定的委托服务范围内的项目享有管理权及服务义务。</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2、根据本合同的规定向甲方收取相关服务费用，并有权在本项目管理范围内管理及合理使用。</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3、及时向甲方通告本项目服务范围内有关服务的重大事项，及时配合处理投诉。</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color w:val="000000"/>
          <w:sz w:val="24"/>
          <w:szCs w:val="24"/>
        </w:rPr>
        <w:t>4、</w:t>
      </w:r>
      <w:r>
        <w:rPr>
          <w:rFonts w:hint="eastAsia" w:ascii="仿宋" w:hAnsi="仿宋" w:eastAsia="仿宋" w:cs="仿宋"/>
          <w:bCs/>
          <w:color w:val="000000"/>
          <w:sz w:val="24"/>
          <w:szCs w:val="24"/>
        </w:rPr>
        <w:t>接受项目行业管理部门及政府有关部门的指导，接受甲方的监督。</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5、国家法律、法规所规定由乙方承担的其它责任。</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sz w:val="24"/>
          <w:szCs w:val="24"/>
          <w:lang w:val="en-US" w:eastAsia="zh-CN"/>
        </w:rPr>
      </w:pPr>
      <w:r>
        <w:rPr>
          <w:rFonts w:hint="eastAsia" w:ascii="仿宋" w:hAnsi="仿宋" w:eastAsia="仿宋" w:cs="仿宋"/>
          <w:b/>
          <w:color w:val="000000"/>
          <w:sz w:val="24"/>
          <w:szCs w:val="24"/>
        </w:rPr>
        <w:t>第九条</w:t>
      </w:r>
      <w:r>
        <w:rPr>
          <w:rFonts w:hint="eastAsia" w:ascii="仿宋" w:hAnsi="仿宋" w:eastAsia="仿宋" w:cs="仿宋"/>
          <w:b/>
          <w:color w:val="000000"/>
          <w:sz w:val="24"/>
          <w:szCs w:val="24"/>
          <w:lang w:val="en-US" w:eastAsia="zh-CN"/>
        </w:rPr>
        <w:t xml:space="preserve"> </w:t>
      </w:r>
      <w:r>
        <w:rPr>
          <w:rFonts w:hint="eastAsia" w:ascii="仿宋" w:hAnsi="仿宋" w:eastAsia="仿宋" w:cs="仿宋"/>
          <w:b/>
          <w:sz w:val="24"/>
          <w:szCs w:val="24"/>
          <w:lang w:val="en-US" w:eastAsia="zh-CN"/>
        </w:rPr>
        <w:t>验收标准</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落实</w:t>
      </w:r>
      <w:r>
        <w:rPr>
          <w:rFonts w:hint="eastAsia" w:ascii="仿宋" w:hAnsi="仿宋" w:eastAsia="仿宋" w:cs="仿宋"/>
          <w:color w:val="000000"/>
          <w:sz w:val="24"/>
          <w:szCs w:val="24"/>
        </w:rPr>
        <w:t>《中共西安市委 西安市人民政府关于加快新时代教育改革发展建设教育强市的实施意见》、《西安市基础教育提升三年行动计划（2019—2021）年》</w:t>
      </w:r>
      <w:r>
        <w:rPr>
          <w:rFonts w:hint="eastAsia" w:ascii="仿宋" w:hAnsi="仿宋" w:eastAsia="仿宋" w:cs="仿宋"/>
          <w:color w:val="000000"/>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十</w:t>
      </w:r>
      <w:r>
        <w:rPr>
          <w:rFonts w:hint="eastAsia" w:ascii="仿宋" w:hAnsi="仿宋" w:eastAsia="仿宋" w:cs="仿宋"/>
          <w:b/>
          <w:color w:val="000000"/>
          <w:sz w:val="24"/>
          <w:szCs w:val="24"/>
        </w:rPr>
        <w:t>条 违约责任</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1、甲乙双方必须遵守本合同并执行合同中的各项规定，保证本合同的正常履行。</w:t>
      </w:r>
    </w:p>
    <w:p>
      <w:pPr>
        <w:keepNext w:val="0"/>
        <w:keepLines w:val="0"/>
        <w:pageBreakBefore w:val="0"/>
        <w:kinsoku/>
        <w:wordWrap/>
        <w:overflowPunct/>
        <w:topLinePunct w:val="0"/>
        <w:autoSpaceDE/>
        <w:autoSpaceDN/>
        <w:bidi w:val="0"/>
        <w:adjustRightInd w:val="0"/>
        <w:snapToGrid/>
        <w:spacing w:line="360" w:lineRule="auto"/>
        <w:ind w:left="0" w:right="0" w:rightChars="0" w:firstLine="480" w:firstLineChars="200"/>
        <w:jc w:val="both"/>
        <w:textAlignment w:val="baseline"/>
        <w:rPr>
          <w:rFonts w:hint="eastAsia" w:ascii="仿宋" w:hAnsi="仿宋" w:eastAsia="仿宋" w:cs="仿宋"/>
          <w:bCs/>
          <w:color w:val="000000"/>
          <w:sz w:val="24"/>
          <w:szCs w:val="24"/>
        </w:rPr>
      </w:pPr>
      <w:r>
        <w:rPr>
          <w:rFonts w:hint="eastAsia" w:ascii="仿宋" w:hAnsi="仿宋" w:eastAsia="仿宋" w:cs="仿宋"/>
          <w:bCs/>
          <w:color w:val="00000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条 不可抗力事件处理</w:t>
      </w:r>
    </w:p>
    <w:p>
      <w:pPr>
        <w:keepNext w:val="0"/>
        <w:keepLines w:val="0"/>
        <w:pageBreakBefore w:val="0"/>
        <w:tabs>
          <w:tab w:val="left" w:pos="0"/>
        </w:tabs>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1、在合同有效期内，任何一方因不可抗力事件导致不能履行合同，则合同履行期可延长，其延长期与不可抗力影响期相同。</w:t>
      </w:r>
    </w:p>
    <w:p>
      <w:pPr>
        <w:keepNext w:val="0"/>
        <w:keepLines w:val="0"/>
        <w:pageBreakBefore w:val="0"/>
        <w:tabs>
          <w:tab w:val="left" w:pos="0"/>
        </w:tabs>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2、不可抗力事件发生后，应立即通知对方，并寄送有关权威机构出具的证明。</w:t>
      </w:r>
    </w:p>
    <w:p>
      <w:pPr>
        <w:keepNext w:val="0"/>
        <w:keepLines w:val="0"/>
        <w:pageBreakBefore w:val="0"/>
        <w:tabs>
          <w:tab w:val="left" w:pos="0"/>
        </w:tabs>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3、不可抗力事件延续</w:t>
      </w:r>
      <w:r>
        <w:rPr>
          <w:rFonts w:hint="eastAsia" w:ascii="仿宋" w:hAnsi="仿宋" w:eastAsia="仿宋" w:cs="仿宋"/>
          <w:color w:val="auto"/>
          <w:sz w:val="24"/>
          <w:szCs w:val="24"/>
        </w:rPr>
        <w:t>60天</w:t>
      </w:r>
      <w:r>
        <w:rPr>
          <w:rFonts w:hint="eastAsia" w:ascii="仿宋" w:hAnsi="仿宋" w:eastAsia="仿宋" w:cs="仿宋"/>
          <w:color w:val="000000"/>
          <w:sz w:val="24"/>
          <w:szCs w:val="24"/>
        </w:rPr>
        <w:t>以上，双方应通过友好协商，确定是否继续履行合同。</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color w:val="000000"/>
          <w:kern w:val="0"/>
          <w:sz w:val="24"/>
          <w:szCs w:val="24"/>
        </w:rPr>
      </w:pPr>
      <w:bookmarkStart w:id="436" w:name="_Toc247334846"/>
      <w:bookmarkStart w:id="437" w:name="_Toc286993792"/>
      <w:bookmarkStart w:id="438" w:name="_Toc238984980"/>
      <w:bookmarkStart w:id="439" w:name="_Toc225244857"/>
      <w:bookmarkStart w:id="440" w:name="_Toc211854454"/>
      <w:bookmarkStart w:id="441" w:name="_Toc225670756"/>
      <w:bookmarkStart w:id="442" w:name="_Toc237145411"/>
      <w:bookmarkStart w:id="443" w:name="_Toc239568423"/>
      <w:bookmarkStart w:id="444" w:name="_Toc241833908"/>
      <w:bookmarkStart w:id="445" w:name="_Toc232492933"/>
      <w:bookmarkStart w:id="446" w:name="_Toc212019599"/>
      <w:bookmarkStart w:id="447" w:name="_Toc239233919"/>
      <w:bookmarkStart w:id="448" w:name="_Toc251768867"/>
      <w:bookmarkStart w:id="449" w:name="_Toc185395254"/>
      <w:bookmarkStart w:id="450" w:name="_Toc225654649"/>
      <w:bookmarkStart w:id="451" w:name="_Toc211911353"/>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二</w:t>
      </w:r>
      <w:r>
        <w:rPr>
          <w:rFonts w:hint="eastAsia" w:ascii="仿宋" w:hAnsi="仿宋" w:eastAsia="仿宋" w:cs="仿宋"/>
          <w:b/>
          <w:color w:val="000000"/>
          <w:sz w:val="24"/>
          <w:szCs w:val="24"/>
        </w:rPr>
        <w:t xml:space="preserve">条  </w:t>
      </w:r>
      <w:r>
        <w:rPr>
          <w:rFonts w:hint="eastAsia" w:ascii="仿宋" w:hAnsi="仿宋" w:eastAsia="仿宋" w:cs="仿宋"/>
          <w:b/>
          <w:color w:val="000000"/>
          <w:kern w:val="0"/>
          <w:sz w:val="24"/>
          <w:szCs w:val="24"/>
        </w:rPr>
        <w:t>合同的变更和终止</w:t>
      </w:r>
    </w:p>
    <w:p>
      <w:pPr>
        <w:keepNext w:val="0"/>
        <w:keepLines w:val="0"/>
        <w:pageBreakBefore w:val="0"/>
        <w:widowControl/>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除《中华人民共和国政府采购法》第49条、第50条第二款规定的情形外，本合同一经签订，甲乙双方不得擅自变更、中止或终止合同。</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rPr>
        <w:t>条  解决合同纠纷的方式</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66"/>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sz w:val="24"/>
          <w:szCs w:val="24"/>
        </w:rPr>
        <w:t>1、在执行本合同中发生的或与本合同有关的争端，双方应通过友好协商解决，经协商不能达成协议时，</w:t>
      </w:r>
      <w:r>
        <w:rPr>
          <w:rFonts w:hint="eastAsia" w:ascii="仿宋" w:hAnsi="仿宋" w:eastAsia="仿宋" w:cs="仿宋"/>
          <w:color w:val="000000"/>
          <w:kern w:val="0"/>
          <w:sz w:val="24"/>
          <w:szCs w:val="24"/>
        </w:rPr>
        <w:t>则采取以下第</w:t>
      </w:r>
      <w:r>
        <w:rPr>
          <w:rFonts w:hint="eastAsia" w:ascii="仿宋" w:hAnsi="仿宋" w:eastAsia="仿宋" w:cs="仿宋"/>
          <w:color w:val="000000"/>
          <w:kern w:val="0"/>
          <w:sz w:val="24"/>
          <w:szCs w:val="24"/>
          <w:u w:val="single"/>
        </w:rPr>
        <w:t>1</w:t>
      </w:r>
      <w:r>
        <w:rPr>
          <w:rFonts w:hint="eastAsia" w:ascii="仿宋" w:hAnsi="仿宋" w:eastAsia="仿宋" w:cs="仿宋"/>
          <w:color w:val="000000"/>
          <w:kern w:val="0"/>
          <w:sz w:val="24"/>
          <w:szCs w:val="24"/>
        </w:rPr>
        <w:t>种方式解决争议：</w:t>
      </w:r>
    </w:p>
    <w:p>
      <w:pPr>
        <w:pStyle w:val="66"/>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（1）向甲方所在地有管辖权的人民法院提起诉讼；</w:t>
      </w:r>
    </w:p>
    <w:p>
      <w:pPr>
        <w:pStyle w:val="66"/>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（2）向</w:t>
      </w:r>
      <w:r>
        <w:rPr>
          <w:rFonts w:hint="eastAsia" w:ascii="仿宋" w:hAnsi="仿宋" w:eastAsia="仿宋" w:cs="仿宋"/>
          <w:color w:val="000000"/>
          <w:kern w:val="0"/>
          <w:sz w:val="24"/>
          <w:szCs w:val="24"/>
          <w:u w:val="single"/>
        </w:rPr>
        <w:t xml:space="preserve"> 西安 </w:t>
      </w:r>
      <w:r>
        <w:rPr>
          <w:rFonts w:hint="eastAsia" w:ascii="仿宋" w:hAnsi="仿宋" w:eastAsia="仿宋" w:cs="仿宋"/>
          <w:color w:val="000000"/>
          <w:kern w:val="0"/>
          <w:sz w:val="24"/>
          <w:szCs w:val="24"/>
        </w:rPr>
        <w:t>仲裁委员会按其仲裁规则申请仲裁。</w:t>
      </w:r>
    </w:p>
    <w:p>
      <w:pPr>
        <w:keepNext w:val="0"/>
        <w:keepLines w:val="0"/>
        <w:pageBreakBefore w:val="0"/>
        <w:tabs>
          <w:tab w:val="left" w:pos="0"/>
        </w:tabs>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2、在仲裁期间，本合同应继续履行。</w:t>
      </w:r>
    </w:p>
    <w:p>
      <w:pPr>
        <w:keepNext w:val="0"/>
        <w:keepLines w:val="0"/>
        <w:pageBreakBefore w:val="0"/>
        <w:kinsoku/>
        <w:wordWrap/>
        <w:overflowPunct/>
        <w:topLinePunct w:val="0"/>
        <w:autoSpaceDE/>
        <w:autoSpaceDN/>
        <w:bidi w:val="0"/>
        <w:snapToGrid/>
        <w:spacing w:line="360" w:lineRule="auto"/>
        <w:ind w:left="0" w:right="0" w:rightChars="0" w:firstLine="482" w:firstLineChars="200"/>
        <w:jc w:val="both"/>
        <w:rPr>
          <w:rFonts w:hint="eastAsia" w:ascii="仿宋" w:hAnsi="仿宋" w:eastAsia="仿宋" w:cs="仿宋"/>
          <w:b/>
          <w:color w:val="000000"/>
          <w:sz w:val="24"/>
          <w:szCs w:val="24"/>
        </w:rPr>
      </w:pPr>
      <w:bookmarkStart w:id="452" w:name="_Toc238984981"/>
      <w:bookmarkStart w:id="453" w:name="_Toc212019600"/>
      <w:bookmarkStart w:id="454" w:name="_Toc282696231"/>
      <w:bookmarkStart w:id="455" w:name="_Toc232492934"/>
      <w:bookmarkStart w:id="456" w:name="_Toc286993793"/>
      <w:bookmarkStart w:id="457" w:name="_Toc247334847"/>
      <w:bookmarkStart w:id="458" w:name="_Toc211854455"/>
      <w:bookmarkStart w:id="459" w:name="_Toc211911354"/>
      <w:bookmarkStart w:id="460" w:name="_Toc239568424"/>
      <w:bookmarkStart w:id="461" w:name="_Toc225670757"/>
      <w:bookmarkStart w:id="462" w:name="_Toc239233920"/>
      <w:bookmarkStart w:id="463" w:name="_Toc251768868"/>
      <w:bookmarkStart w:id="464" w:name="_Toc225654650"/>
      <w:bookmarkStart w:id="465" w:name="_Toc241833909"/>
      <w:bookmarkStart w:id="466" w:name="_Toc283019219"/>
      <w:bookmarkStart w:id="467" w:name="_Toc225244858"/>
      <w:bookmarkStart w:id="468" w:name="_Toc237145412"/>
      <w:bookmarkStart w:id="469" w:name="_Toc185395255"/>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四</w:t>
      </w:r>
      <w:r>
        <w:rPr>
          <w:rFonts w:hint="eastAsia" w:ascii="仿宋" w:hAnsi="仿宋" w:eastAsia="仿宋" w:cs="仿宋"/>
          <w:b/>
          <w:color w:val="000000"/>
          <w:sz w:val="24"/>
          <w:szCs w:val="24"/>
        </w:rPr>
        <w:t>条  合同</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hint="eastAsia" w:ascii="仿宋" w:hAnsi="仿宋" w:eastAsia="仿宋" w:cs="仿宋"/>
          <w:b/>
          <w:color w:val="000000"/>
          <w:sz w:val="24"/>
          <w:szCs w:val="24"/>
        </w:rPr>
        <w:t>生效及其他</w:t>
      </w:r>
    </w:p>
    <w:p>
      <w:pPr>
        <w:pStyle w:val="67"/>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1、合同经双方法定代表人或授权委托代理人签字并加盖单位公章后生效。</w:t>
      </w:r>
    </w:p>
    <w:p>
      <w:pPr>
        <w:pStyle w:val="67"/>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2、合同执行中涉及采购资金和采购内容修改或补充的，须经政府采购监管部门审批，并签书面补充协议报政府采购监督管理部门备案，方可作为主合同不可分割的一部分。</w:t>
      </w:r>
    </w:p>
    <w:p>
      <w:pPr>
        <w:pStyle w:val="67"/>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3、本合同一式</w:t>
      </w:r>
      <w:r>
        <w:rPr>
          <w:rFonts w:hint="eastAsia" w:ascii="仿宋" w:hAnsi="仿宋" w:eastAsia="仿宋" w:cs="仿宋"/>
          <w:color w:val="000000"/>
          <w:sz w:val="24"/>
          <w:szCs w:val="24"/>
          <w:lang w:val="en-US" w:eastAsia="zh-CN"/>
        </w:rPr>
        <w:t>肆</w:t>
      </w:r>
      <w:r>
        <w:rPr>
          <w:rFonts w:hint="eastAsia" w:ascii="仿宋" w:hAnsi="仿宋" w:eastAsia="仿宋" w:cs="仿宋"/>
          <w:color w:val="000000"/>
          <w:sz w:val="24"/>
          <w:szCs w:val="24"/>
        </w:rPr>
        <w:t>份，自双方签章之日起起效。甲乙双方各执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份，具有同等法律效力。</w:t>
      </w:r>
    </w:p>
    <w:p>
      <w:pPr>
        <w:pStyle w:val="67"/>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附件1—培训方案</w:t>
      </w:r>
    </w:p>
    <w:p>
      <w:pPr>
        <w:keepNext w:val="0"/>
        <w:keepLines w:val="0"/>
        <w:pageBreakBefore w:val="0"/>
        <w:kinsoku/>
        <w:wordWrap/>
        <w:overflowPunct/>
        <w:topLinePunct w:val="0"/>
        <w:autoSpaceDE/>
        <w:autoSpaceDN/>
        <w:bidi w:val="0"/>
        <w:snapToGrid/>
        <w:spacing w:line="360" w:lineRule="auto"/>
        <w:ind w:left="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附件2—服务质量保证承诺</w:t>
      </w:r>
    </w:p>
    <w:p>
      <w:pPr>
        <w:keepNext w:val="0"/>
        <w:keepLines w:val="0"/>
        <w:pageBreakBefore w:val="0"/>
        <w:kinsoku/>
        <w:wordWrap/>
        <w:overflowPunct/>
        <w:topLinePunct w:val="0"/>
        <w:autoSpaceDE/>
        <w:autoSpaceDN/>
        <w:bidi w:val="0"/>
        <w:adjustRightInd w:val="0"/>
        <w:snapToGrid w:val="0"/>
        <w:spacing w:line="360" w:lineRule="auto"/>
        <w:ind w:left="0" w:right="0" w:rightChars="0" w:firstLine="480" w:firstLineChars="200"/>
        <w:jc w:val="both"/>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val="0"/>
        <w:snapToGrid w:val="0"/>
        <w:spacing w:line="360" w:lineRule="auto"/>
        <w:ind w:left="0" w:right="0" w:rightChars="0" w:firstLine="480" w:firstLineChars="200"/>
        <w:jc w:val="both"/>
        <w:rPr>
          <w:rFonts w:hint="eastAsia" w:ascii="仿宋" w:hAnsi="仿宋" w:eastAsia="仿宋" w:cs="仿宋"/>
          <w:kern w:val="0"/>
          <w:sz w:val="24"/>
          <w:szCs w:val="24"/>
        </w:rPr>
        <w:sectPr>
          <w:pgSz w:w="11906" w:h="16838"/>
          <w:pgMar w:top="1418" w:right="1418" w:bottom="1418" w:left="1418" w:header="851" w:footer="992" w:gutter="0"/>
          <w:cols w:space="720" w:num="1"/>
          <w:docGrid w:linePitch="312" w:charSpace="0"/>
        </w:sectPr>
      </w:pPr>
    </w:p>
    <w:p>
      <w:pPr>
        <w:keepNext w:val="0"/>
        <w:keepLines w:val="0"/>
        <w:pageBreakBefore w:val="0"/>
        <w:kinsoku/>
        <w:wordWrap/>
        <w:overflowPunct/>
        <w:topLinePunct w:val="0"/>
        <w:autoSpaceDE/>
        <w:autoSpaceDN/>
        <w:bidi w:val="0"/>
        <w:adjustRightInd w:val="0"/>
        <w:snapToGrid w:val="0"/>
        <w:spacing w:line="360" w:lineRule="auto"/>
        <w:ind w:left="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会签页</w:t>
      </w:r>
      <w:r>
        <w:rPr>
          <w:rFonts w:hint="eastAsia" w:ascii="仿宋" w:hAnsi="仿宋" w:eastAsia="仿宋" w:cs="仿宋"/>
          <w:kern w:val="0"/>
          <w:sz w:val="24"/>
          <w:szCs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569"/>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shd w:val="clear" w:color="auto" w:fill="D8D8D8"/>
            <w:noWrap w:val="0"/>
            <w:vAlign w:val="center"/>
          </w:tcPr>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  方</w:t>
            </w:r>
          </w:p>
        </w:tc>
        <w:tc>
          <w:tcPr>
            <w:tcW w:w="2569" w:type="dxa"/>
            <w:shd w:val="clear" w:color="auto" w:fill="D8D8D8"/>
            <w:noWrap w:val="0"/>
            <w:vAlign w:val="center"/>
          </w:tcPr>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乙  方</w:t>
            </w:r>
          </w:p>
        </w:tc>
        <w:tc>
          <w:tcPr>
            <w:tcW w:w="2382" w:type="dxa"/>
            <w:shd w:val="clear" w:color="auto" w:fill="D8D8D8"/>
            <w:noWrap w:val="0"/>
            <w:vAlign w:val="center"/>
          </w:tcPr>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中标供应商</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2382"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2382"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（委托代理人）</w:t>
            </w:r>
            <w:r>
              <w:rPr>
                <w:rFonts w:hint="eastAsia" w:ascii="仿宋" w:hAnsi="仿宋" w:eastAsia="仿宋" w:cs="仿宋"/>
                <w:color w:val="000000"/>
                <w:sz w:val="24"/>
                <w:szCs w:val="24"/>
                <w:highlight w:val="none"/>
              </w:rPr>
              <w:t>：</w:t>
            </w: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（委托代理人）</w:t>
            </w:r>
            <w:r>
              <w:rPr>
                <w:rFonts w:hint="eastAsia" w:ascii="仿宋" w:hAnsi="仿宋" w:eastAsia="仿宋" w:cs="仿宋"/>
                <w:color w:val="000000"/>
                <w:sz w:val="24"/>
                <w:szCs w:val="24"/>
                <w:highlight w:val="none"/>
              </w:rPr>
              <w:t>：</w:t>
            </w:r>
          </w:p>
        </w:tc>
        <w:tc>
          <w:tcPr>
            <w:tcW w:w="2382"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（委托代理人）</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负责人：（签字）</w:t>
            </w: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负责人：（签字）</w:t>
            </w:r>
          </w:p>
        </w:tc>
        <w:tc>
          <w:tcPr>
            <w:tcW w:w="2382"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2382"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p>
        </w:tc>
        <w:tc>
          <w:tcPr>
            <w:tcW w:w="2382" w:type="dxa"/>
            <w:noWrap w:val="0"/>
            <w:vAlign w:val="center"/>
          </w:tcPr>
          <w:p>
            <w:pPr>
              <w:spacing w:line="360" w:lineRule="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w:t>
            </w:r>
          </w:p>
        </w:tc>
        <w:tc>
          <w:tcPr>
            <w:tcW w:w="2382" w:type="dxa"/>
            <w:noWrap w:val="0"/>
            <w:vAlign w:val="center"/>
          </w:tcPr>
          <w:p>
            <w:pPr>
              <w:spacing w:line="360" w:lineRule="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256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2382"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r>
    </w:tbl>
    <w:p>
      <w:pPr>
        <w:pStyle w:val="65"/>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cs="仿宋"/>
          <w:b/>
          <w:sz w:val="24"/>
          <w:szCs w:val="24"/>
          <w:lang w:val="zh-CN"/>
        </w:rPr>
      </w:pPr>
    </w:p>
    <w:p>
      <w:pPr>
        <w:pageBreakBefore/>
        <w:spacing w:before="120" w:line="360" w:lineRule="auto"/>
        <w:jc w:val="center"/>
        <w:outlineLvl w:val="0"/>
        <w:rPr>
          <w:rFonts w:ascii="仿宋_GB2312" w:hAnsi="仿宋_GB2312" w:eastAsia="仿宋_GB2312" w:cs="仿宋_GB2312"/>
          <w:b/>
          <w:sz w:val="44"/>
          <w:szCs w:val="44"/>
          <w:lang w:val="zh-CN"/>
        </w:rPr>
      </w:pPr>
      <w:bookmarkStart w:id="470" w:name="_Toc31875"/>
      <w:r>
        <w:rPr>
          <w:rFonts w:hint="eastAsia" w:ascii="宋体" w:hAnsi="宋体" w:cs="宋体"/>
          <w:b/>
          <w:sz w:val="32"/>
          <w:szCs w:val="32"/>
          <w:lang w:val="zh-CN"/>
        </w:rPr>
        <w:t>第五部分  磋商响应文件格式</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70"/>
    </w:p>
    <w:p>
      <w:pPr>
        <w:snapToGrid w:val="0"/>
        <w:spacing w:line="360" w:lineRule="auto"/>
        <w:jc w:val="right"/>
        <w:rPr>
          <w:rFonts w:ascii="仿宋_GB2312" w:hAnsi="仿宋_GB2312" w:eastAsia="仿宋_GB2312" w:cs="仿宋_GB2312"/>
          <w:b/>
          <w:bCs/>
          <w:sz w:val="32"/>
          <w:szCs w:val="32"/>
          <w:lang w:val="zh-CN"/>
        </w:rPr>
      </w:pPr>
    </w:p>
    <w:p>
      <w:pPr>
        <w:snapToGrid w:val="0"/>
        <w:spacing w:line="360" w:lineRule="auto"/>
        <w:jc w:val="right"/>
        <w:rPr>
          <w:rFonts w:ascii="仿宋" w:hAnsi="仿宋" w:eastAsia="仿宋" w:cs="仿宋"/>
          <w:b/>
          <w:bCs/>
          <w:sz w:val="32"/>
          <w:szCs w:val="32"/>
          <w:lang w:val="zh-CN"/>
        </w:rPr>
      </w:pPr>
      <w:r>
        <w:rPr>
          <w:rFonts w:hint="eastAsia" w:ascii="仿宋" w:hAnsi="仿宋" w:eastAsia="仿宋" w:cs="仿宋"/>
          <w:b/>
          <w:bCs/>
          <w:sz w:val="32"/>
          <w:szCs w:val="32"/>
          <w:lang w:val="zh-CN"/>
        </w:rPr>
        <w:t>正本/副本</w:t>
      </w: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bookmarkStart w:id="471" w:name="OLE_LINK2"/>
      <w:r>
        <w:rPr>
          <w:rFonts w:hint="eastAsia" w:ascii="仿宋" w:hAnsi="仿宋" w:eastAsia="仿宋" w:cs="仿宋"/>
          <w:b/>
          <w:bCs/>
          <w:sz w:val="32"/>
          <w:szCs w:val="32"/>
          <w:lang w:val="zh-CN"/>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r>
        <w:rPr>
          <w:rFonts w:hint="eastAsia" w:ascii="仿宋" w:hAnsi="仿宋" w:eastAsia="仿宋" w:cs="仿宋"/>
          <w:b/>
          <w:bCs/>
          <w:sz w:val="32"/>
          <w:szCs w:val="32"/>
          <w:lang w:val="zh-CN"/>
        </w:rPr>
        <w:t>政采编号：政采-西安市-2021-03286</w:t>
      </w:r>
    </w:p>
    <w:p>
      <w:pPr>
        <w:tabs>
          <w:tab w:val="left" w:pos="5670"/>
        </w:tabs>
        <w:autoSpaceDE w:val="0"/>
        <w:autoSpaceDN w:val="0"/>
        <w:adjustRightInd w:val="0"/>
        <w:spacing w:line="360" w:lineRule="auto"/>
        <w:ind w:firstLine="300"/>
        <w:rPr>
          <w:rFonts w:ascii="仿宋" w:hAnsi="仿宋" w:eastAsia="仿宋" w:cs="仿宋"/>
          <w:b/>
          <w:bCs/>
          <w:sz w:val="32"/>
          <w:szCs w:val="32"/>
        </w:rPr>
      </w:pPr>
      <w:r>
        <w:rPr>
          <w:rFonts w:hint="eastAsia" w:ascii="仿宋" w:hAnsi="仿宋" w:eastAsia="仿宋" w:cs="仿宋"/>
          <w:b/>
          <w:bCs/>
          <w:sz w:val="32"/>
          <w:szCs w:val="32"/>
          <w:lang w:val="zh-CN"/>
        </w:rPr>
        <w:t>项目编号：DX2021-210</w:t>
      </w:r>
    </w:p>
    <w:p>
      <w:pPr>
        <w:tabs>
          <w:tab w:val="left" w:pos="5670"/>
        </w:tabs>
        <w:autoSpaceDE w:val="0"/>
        <w:autoSpaceDN w:val="0"/>
        <w:adjustRightInd w:val="0"/>
        <w:spacing w:line="360" w:lineRule="auto"/>
        <w:ind w:firstLine="300"/>
        <w:rPr>
          <w:rFonts w:ascii="仿宋" w:hAnsi="仿宋" w:eastAsia="仿宋" w:cs="仿宋"/>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bookmarkEnd w:id="471"/>
    <w:p>
      <w:pPr>
        <w:pStyle w:val="11"/>
        <w:tabs>
          <w:tab w:val="left" w:pos="5670"/>
        </w:tabs>
        <w:adjustRightInd w:val="0"/>
        <w:snapToGrid w:val="0"/>
        <w:spacing w:line="360" w:lineRule="auto"/>
        <w:rPr>
          <w:rFonts w:ascii="宋体" w:hAnsi="宋体" w:cs="宋体"/>
          <w:spacing w:val="0"/>
          <w:w w:val="100"/>
          <w:sz w:val="44"/>
          <w:szCs w:val="44"/>
        </w:rPr>
      </w:pPr>
      <w:r>
        <w:rPr>
          <w:rFonts w:hint="eastAsia" w:ascii="宋体" w:hAnsi="宋体" w:cs="宋体"/>
          <w:spacing w:val="0"/>
          <w:w w:val="100"/>
          <w:sz w:val="44"/>
          <w:szCs w:val="44"/>
          <w:lang w:val="en-US" w:eastAsia="zh-CN"/>
        </w:rPr>
        <w:t>西安市学校中层管理人员能力提升培训项目</w:t>
      </w:r>
    </w:p>
    <w:p>
      <w:pPr>
        <w:pStyle w:val="11"/>
        <w:tabs>
          <w:tab w:val="left" w:pos="5670"/>
        </w:tabs>
        <w:adjustRightInd w:val="0"/>
        <w:snapToGrid w:val="0"/>
        <w:spacing w:line="360" w:lineRule="auto"/>
        <w:rPr>
          <w:rFonts w:ascii="宋体" w:hAnsi="宋体" w:cs="宋体"/>
          <w:spacing w:val="0"/>
          <w:w w:val="100"/>
          <w:sz w:val="44"/>
          <w:szCs w:val="44"/>
        </w:rPr>
      </w:pPr>
    </w:p>
    <w:p>
      <w:pPr>
        <w:pStyle w:val="11"/>
        <w:tabs>
          <w:tab w:val="left" w:pos="5670"/>
        </w:tabs>
        <w:adjustRightInd w:val="0"/>
        <w:snapToGrid w:val="0"/>
        <w:spacing w:line="360" w:lineRule="auto"/>
        <w:rPr>
          <w:rFonts w:ascii="宋体" w:hAnsi="宋体" w:cs="宋体"/>
          <w:spacing w:val="0"/>
          <w:w w:val="100"/>
          <w:sz w:val="44"/>
          <w:szCs w:val="44"/>
        </w:rPr>
      </w:pPr>
    </w:p>
    <w:p>
      <w:pPr>
        <w:pStyle w:val="11"/>
        <w:tabs>
          <w:tab w:val="left" w:pos="5670"/>
        </w:tabs>
        <w:adjustRightInd w:val="0"/>
        <w:snapToGrid w:val="0"/>
        <w:spacing w:line="360" w:lineRule="auto"/>
        <w:rPr>
          <w:rFonts w:hint="eastAsia" w:ascii="宋体" w:hAnsi="宋体" w:cs="宋体"/>
          <w:spacing w:val="0"/>
          <w:w w:val="100"/>
          <w:sz w:val="44"/>
          <w:szCs w:val="44"/>
        </w:rPr>
      </w:pPr>
    </w:p>
    <w:p>
      <w:pPr>
        <w:pStyle w:val="11"/>
        <w:tabs>
          <w:tab w:val="left" w:pos="5670"/>
        </w:tabs>
        <w:adjustRightInd w:val="0"/>
        <w:snapToGrid w:val="0"/>
        <w:spacing w:line="360" w:lineRule="auto"/>
        <w:rPr>
          <w:rFonts w:ascii="宋体" w:hAnsi="宋体" w:cs="宋体"/>
          <w:spacing w:val="0"/>
          <w:w w:val="100"/>
          <w:sz w:val="44"/>
          <w:szCs w:val="44"/>
        </w:rPr>
      </w:pPr>
      <w:r>
        <w:rPr>
          <w:rFonts w:hint="eastAsia" w:ascii="宋体" w:hAnsi="宋体" w:cs="宋体"/>
          <w:spacing w:val="0"/>
          <w:w w:val="100"/>
          <w:sz w:val="44"/>
          <w:szCs w:val="44"/>
        </w:rPr>
        <w:t>竞争性磋商响应文件</w:t>
      </w:r>
    </w:p>
    <w:p>
      <w:pPr>
        <w:autoSpaceDE w:val="0"/>
        <w:autoSpaceDN w:val="0"/>
        <w:adjustRightInd w:val="0"/>
        <w:snapToGrid w:val="0"/>
        <w:spacing w:line="360" w:lineRule="auto"/>
        <w:jc w:val="center"/>
        <w:rPr>
          <w:rFonts w:ascii="仿宋_GB2312" w:hAnsi="仿宋_GB2312" w:eastAsia="仿宋_GB2312" w:cs="仿宋_GB2312"/>
          <w:b/>
          <w:bCs/>
          <w:sz w:val="32"/>
          <w:szCs w:val="32"/>
          <w:lang w:val="zh-CN"/>
        </w:rPr>
      </w:pPr>
      <w:r>
        <w:rPr>
          <w:rFonts w:hint="eastAsia" w:ascii="仿宋" w:hAnsi="仿宋" w:eastAsia="仿宋" w:cs="仿宋"/>
          <w:b/>
          <w:bCs/>
          <w:sz w:val="32"/>
          <w:szCs w:val="32"/>
          <w:lang w:val="zh-CN"/>
        </w:rPr>
        <w:t>（格式）</w:t>
      </w:r>
    </w:p>
    <w:p>
      <w:pPr>
        <w:pStyle w:val="2"/>
        <w:rPr>
          <w:rFonts w:ascii="仿宋_GB2312" w:hAnsi="仿宋_GB2312" w:eastAsia="仿宋_GB2312" w:cs="仿宋_GB2312"/>
          <w:sz w:val="42"/>
        </w:rPr>
      </w:pPr>
    </w:p>
    <w:p>
      <w:pPr>
        <w:pStyle w:val="2"/>
        <w:rPr>
          <w:rFonts w:ascii="仿宋" w:hAnsi="仿宋" w:eastAsia="仿宋" w:cs="仿宋"/>
          <w:sz w:val="32"/>
          <w:szCs w:val="32"/>
        </w:rPr>
      </w:pPr>
    </w:p>
    <w:p>
      <w:pPr>
        <w:spacing w:line="360" w:lineRule="auto"/>
        <w:ind w:left="420" w:leftChars="200" w:firstLine="851" w:firstLineChars="265"/>
        <w:rPr>
          <w:rFonts w:ascii="仿宋" w:hAnsi="仿宋" w:eastAsia="仿宋" w:cs="仿宋"/>
          <w:b/>
          <w:bCs/>
          <w:sz w:val="32"/>
          <w:szCs w:val="32"/>
        </w:rPr>
      </w:pPr>
      <w:r>
        <w:rPr>
          <w:rFonts w:hint="eastAsia" w:ascii="仿宋" w:hAnsi="仿宋" w:eastAsia="仿宋" w:cs="仿宋"/>
          <w:b/>
          <w:bCs/>
          <w:sz w:val="32"/>
          <w:szCs w:val="32"/>
        </w:rPr>
        <w:t>供  应  商：</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（盖章）</w:t>
      </w:r>
    </w:p>
    <w:p>
      <w:pPr>
        <w:spacing w:line="360" w:lineRule="auto"/>
        <w:ind w:firstLine="1285" w:firstLineChars="400"/>
        <w:rPr>
          <w:rFonts w:ascii="仿宋" w:hAnsi="仿宋" w:eastAsia="仿宋" w:cs="仿宋"/>
          <w:b/>
          <w:bCs/>
          <w:sz w:val="32"/>
          <w:szCs w:val="32"/>
        </w:rPr>
      </w:pPr>
      <w:r>
        <w:rPr>
          <w:rFonts w:hint="eastAsia" w:ascii="仿宋" w:hAnsi="仿宋" w:eastAsia="仿宋" w:cs="仿宋"/>
          <w:b/>
          <w:sz w:val="32"/>
          <w:szCs w:val="32"/>
        </w:rPr>
        <w:t>法定代表人或授权代表：</w:t>
      </w:r>
      <w:r>
        <w:rPr>
          <w:rFonts w:hint="eastAsia" w:ascii="仿宋" w:hAnsi="仿宋" w:eastAsia="仿宋" w:cs="仿宋"/>
          <w:b/>
          <w:sz w:val="32"/>
          <w:szCs w:val="32"/>
          <w:u w:val="single"/>
        </w:rPr>
        <w:t xml:space="preserve">        </w:t>
      </w:r>
      <w:r>
        <w:rPr>
          <w:rFonts w:hint="eastAsia" w:ascii="仿宋" w:hAnsi="仿宋" w:eastAsia="仿宋" w:cs="仿宋"/>
          <w:b/>
          <w:bCs/>
          <w:sz w:val="32"/>
          <w:szCs w:val="32"/>
        </w:rPr>
        <w:t>（签字或盖章）</w:t>
      </w:r>
    </w:p>
    <w:p>
      <w:pPr>
        <w:autoSpaceDE w:val="0"/>
        <w:autoSpaceDN w:val="0"/>
        <w:adjustRightInd w:val="0"/>
        <w:snapToGrid w:val="0"/>
        <w:spacing w:line="360" w:lineRule="auto"/>
        <w:ind w:firstLine="1263" w:firstLineChars="393"/>
        <w:rPr>
          <w:rFonts w:ascii="仿宋" w:hAnsi="仿宋" w:eastAsia="仿宋" w:cs="仿宋"/>
          <w:b/>
          <w:bCs/>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rPr>
          <w:rFonts w:ascii="仿宋" w:hAnsi="仿宋" w:eastAsia="仿宋" w:cs="仿宋"/>
          <w:b/>
          <w:bCs/>
          <w:sz w:val="32"/>
          <w:szCs w:val="32"/>
        </w:rPr>
      </w:pPr>
      <w:r>
        <w:rPr>
          <w:rFonts w:hint="eastAsia" w:ascii="仿宋" w:hAnsi="仿宋" w:eastAsia="仿宋" w:cs="仿宋"/>
          <w:b/>
          <w:bCs/>
          <w:sz w:val="32"/>
          <w:szCs w:val="32"/>
        </w:rPr>
        <w:br w:type="page"/>
      </w:r>
    </w:p>
    <w:p>
      <w:pPr>
        <w:adjustRightInd w:val="0"/>
        <w:snapToGrid w:val="0"/>
        <w:spacing w:line="360" w:lineRule="auto"/>
        <w:jc w:val="center"/>
        <w:rPr>
          <w:b/>
          <w:bCs/>
          <w:sz w:val="32"/>
          <w:szCs w:val="15"/>
          <w:lang w:val="zh-CN"/>
        </w:rPr>
      </w:pPr>
      <w:bookmarkStart w:id="472" w:name="_Toc3446"/>
      <w:bookmarkStart w:id="473" w:name="_Toc30727"/>
      <w:bookmarkStart w:id="474" w:name="_Toc495908037"/>
      <w:bookmarkStart w:id="475" w:name="_Toc56"/>
      <w:bookmarkStart w:id="476" w:name="_Toc27610"/>
      <w:bookmarkStart w:id="477" w:name="_Toc25880"/>
      <w:bookmarkStart w:id="478" w:name="_Toc495681241"/>
      <w:bookmarkStart w:id="479" w:name="_Toc495681395"/>
      <w:bookmarkStart w:id="480" w:name="_Toc14433"/>
      <w:bookmarkStart w:id="481" w:name="_Toc25409"/>
      <w:bookmarkStart w:id="482" w:name="_Toc16388"/>
      <w:bookmarkStart w:id="483" w:name="_Toc495681522"/>
      <w:bookmarkStart w:id="484" w:name="_Toc23370"/>
      <w:r>
        <w:rPr>
          <w:rFonts w:hint="eastAsia"/>
          <w:b/>
          <w:bCs/>
          <w:sz w:val="32"/>
          <w:szCs w:val="15"/>
          <w:lang w:val="zh-CN"/>
        </w:rPr>
        <w:t>目</w:t>
      </w:r>
      <w:r>
        <w:rPr>
          <w:rFonts w:hint="eastAsia"/>
          <w:b/>
          <w:bCs/>
          <w:sz w:val="32"/>
          <w:szCs w:val="15"/>
        </w:rPr>
        <w:t xml:space="preserve">  </w:t>
      </w:r>
      <w:r>
        <w:rPr>
          <w:rFonts w:hint="eastAsia"/>
          <w:b/>
          <w:bCs/>
          <w:sz w:val="32"/>
          <w:szCs w:val="15"/>
          <w:lang w:val="zh-CN"/>
        </w:rPr>
        <w:t>录</w:t>
      </w:r>
    </w:p>
    <w:p>
      <w:pPr>
        <w:jc w:val="center"/>
        <w:rPr>
          <w:lang w:val="zh-CN"/>
        </w:rPr>
      </w:pPr>
      <w:r>
        <w:rPr>
          <w:rFonts w:hint="eastAsia" w:ascii="仿宋" w:hAnsi="仿宋" w:eastAsia="仿宋" w:cs="仿宋"/>
          <w:sz w:val="24"/>
          <w:szCs w:val="16"/>
          <w:lang w:val="zh-CN"/>
        </w:rPr>
        <w:t>请根据磋商响应文件内容自动生成目录</w:t>
      </w:r>
    </w:p>
    <w:p>
      <w:pPr>
        <w:rPr>
          <w:rFonts w:ascii="宋体" w:hAnsi="宋体" w:cs="宋体"/>
          <w:sz w:val="32"/>
          <w:szCs w:val="32"/>
        </w:rPr>
      </w:pPr>
      <w:r>
        <w:rPr>
          <w:rFonts w:hint="eastAsia" w:ascii="宋体" w:hAnsi="宋体" w:cs="宋体"/>
          <w:sz w:val="32"/>
          <w:szCs w:val="32"/>
        </w:rPr>
        <w:br w:type="page"/>
      </w:r>
    </w:p>
    <w:p>
      <w:pPr>
        <w:pStyle w:val="4"/>
        <w:spacing w:line="360" w:lineRule="auto"/>
        <w:ind w:left="0" w:leftChars="0" w:firstLine="0" w:firstLineChars="0"/>
        <w:rPr>
          <w:rFonts w:ascii="仿宋" w:hAnsi="仿宋" w:eastAsia="仿宋" w:cs="仿宋"/>
          <w:sz w:val="32"/>
          <w:szCs w:val="32"/>
        </w:rPr>
      </w:pPr>
      <w:bookmarkStart w:id="485" w:name="_Toc10290"/>
      <w:bookmarkStart w:id="486" w:name="_Toc19928"/>
      <w:bookmarkStart w:id="487" w:name="_Toc10159"/>
      <w:bookmarkStart w:id="488" w:name="_Toc31746"/>
      <w:r>
        <w:rPr>
          <w:rFonts w:hint="eastAsia" w:ascii="仿宋" w:hAnsi="仿宋" w:eastAsia="仿宋" w:cs="仿宋"/>
          <w:sz w:val="32"/>
          <w:szCs w:val="32"/>
        </w:rPr>
        <w:t>一、磋商响应函</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spacing w:line="360" w:lineRule="auto"/>
        <w:rPr>
          <w:rFonts w:ascii="仿宋" w:hAnsi="仿宋" w:eastAsia="仿宋" w:cs="仿宋"/>
          <w:b/>
          <w:bCs/>
          <w:sz w:val="24"/>
          <w:szCs w:val="24"/>
        </w:rPr>
      </w:pPr>
      <w:r>
        <w:rPr>
          <w:rFonts w:hint="eastAsia" w:ascii="仿宋" w:hAnsi="仿宋" w:eastAsia="仿宋" w:cs="仿宋"/>
          <w:b/>
          <w:bCs/>
          <w:sz w:val="24"/>
          <w:szCs w:val="24"/>
        </w:rPr>
        <w:t>陕西笃信招标有限公司：</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我单位收到贵公司</w:t>
      </w:r>
      <w:r>
        <w:rPr>
          <w:rFonts w:hint="eastAsia" w:ascii="仿宋" w:hAnsi="仿宋" w:eastAsia="仿宋" w:cs="仿宋"/>
          <w:sz w:val="24"/>
          <w:szCs w:val="24"/>
          <w:lang w:eastAsia="zh-CN"/>
        </w:rPr>
        <w:t>西安市学校中层管理人员能力提升培训项目</w:t>
      </w:r>
      <w:r>
        <w:rPr>
          <w:rFonts w:hint="eastAsia" w:ascii="仿宋" w:hAnsi="仿宋" w:eastAsia="仿宋" w:cs="仿宋"/>
          <w:sz w:val="24"/>
          <w:szCs w:val="24"/>
        </w:rPr>
        <w:t>（项目编号：</w:t>
      </w:r>
      <w:r>
        <w:rPr>
          <w:rFonts w:hint="eastAsia" w:ascii="仿宋" w:hAnsi="仿宋" w:eastAsia="仿宋" w:cs="仿宋"/>
          <w:sz w:val="24"/>
          <w:szCs w:val="24"/>
          <w:lang w:eastAsia="zh-CN"/>
        </w:rPr>
        <w:t>DX2021-210</w:t>
      </w:r>
      <w:r>
        <w:rPr>
          <w:rFonts w:hint="eastAsia" w:ascii="仿宋" w:hAnsi="仿宋" w:eastAsia="仿宋" w:cs="仿宋"/>
          <w:sz w:val="24"/>
          <w:szCs w:val="24"/>
        </w:rPr>
        <w:t>）磋商文件，经详细研究，我们决定参加本次项目活动，为此，我方郑重声明以下诸点，并负法律责任。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一、愿意按照磋商文件中的要求，提供磋商技术及服务，完成合同的责任和义务。</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二、按磋商文件的规定，我公司的第一次磋商总报价为：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元），并对其最后的磋商报价负法律责任。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三、我方提交的磋商响应文件正本一份、副本两份及电子版一份，并保证磋商响应文件提供的数据和材料真实、准确。否则，愿承担相关的法律责任。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四、我方已详细阅读了磋商文件，完全理解并放弃提出含糊不清或易形成歧义的表述和资料。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五、磋商后在规定的有效期内撤回磋商，我方愿接受政府采购的有关处罚决定。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六、同意向贵方提供可能要求的，与本次磋商有关的任何证据或资料，我们完全理解最低磋商报价不作为成交的唯一条件，且尊重磋商小组的评审结论和结果。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七、我方的磋商响应文件在磋商后有效期为90个日历天，若我方成交，磋商响应文件有效期延长至合同执行完毕。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八、有关于本磋商响应文件的函电，请按下列地址联系。</w:t>
      </w:r>
    </w:p>
    <w:p>
      <w:pPr>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供应商全称（印章）：</w:t>
      </w:r>
      <w:r>
        <w:rPr>
          <w:rFonts w:hint="eastAsia" w:ascii="仿宋" w:hAnsi="仿宋" w:eastAsia="仿宋" w:cs="仿宋"/>
          <w:sz w:val="24"/>
          <w:szCs w:val="24"/>
          <w:u w:val="single"/>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授权代表(签字)：</w:t>
      </w:r>
      <w:r>
        <w:rPr>
          <w:rFonts w:hint="eastAsia" w:ascii="仿宋" w:hAnsi="仿宋" w:eastAsia="仿宋" w:cs="仿宋"/>
          <w:sz w:val="24"/>
          <w:szCs w:val="24"/>
          <w:u w:val="single"/>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帐    号：</w:t>
      </w:r>
      <w:r>
        <w:rPr>
          <w:rFonts w:hint="eastAsia" w:ascii="仿宋" w:hAnsi="仿宋" w:eastAsia="仿宋" w:cs="仿宋"/>
          <w:sz w:val="24"/>
          <w:szCs w:val="24"/>
          <w:u w:val="single"/>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jc w:val="center"/>
        <w:rPr>
          <w:rFonts w:ascii="仿宋" w:hAnsi="仿宋" w:eastAsia="仿宋" w:cs="仿宋"/>
          <w:sz w:val="24"/>
          <w:szCs w:val="24"/>
        </w:rPr>
        <w:sectPr>
          <w:pgSz w:w="11906" w:h="16838"/>
          <w:pgMar w:top="1418" w:right="1418" w:bottom="1418" w:left="1418" w:header="851" w:footer="992" w:gutter="0"/>
          <w:cols w:space="720" w:num="1"/>
          <w:docGrid w:linePitch="312" w:charSpace="0"/>
        </w:sect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spacing w:line="360" w:lineRule="auto"/>
        <w:rPr>
          <w:rFonts w:ascii="仿宋_GB2312" w:hAnsi="仿宋_GB2312" w:cs="仿宋_GB2312"/>
          <w:color w:val="FF0000"/>
          <w:sz w:val="32"/>
          <w:szCs w:val="32"/>
        </w:rPr>
      </w:pPr>
      <w:bookmarkStart w:id="489" w:name="_Toc31028"/>
      <w:bookmarkStart w:id="490" w:name="_Toc12303"/>
      <w:bookmarkStart w:id="491" w:name="_Toc9496"/>
      <w:bookmarkStart w:id="492" w:name="_Toc6924"/>
      <w:bookmarkStart w:id="493" w:name="_Toc722"/>
      <w:bookmarkStart w:id="494" w:name="_Toc31138"/>
      <w:bookmarkStart w:id="495" w:name="_Toc23789"/>
      <w:bookmarkStart w:id="496" w:name="_Toc495681523"/>
      <w:bookmarkStart w:id="497" w:name="_Toc30196"/>
      <w:bookmarkStart w:id="498" w:name="_Toc8463"/>
      <w:bookmarkStart w:id="499" w:name="_Toc495681396"/>
      <w:bookmarkStart w:id="500" w:name="_Toc495681242"/>
      <w:bookmarkStart w:id="501" w:name="_Toc495908038"/>
      <w:bookmarkStart w:id="502" w:name="_Toc13144"/>
      <w:bookmarkStart w:id="503" w:name="_Toc13342"/>
      <w:bookmarkStart w:id="504" w:name="_Toc31519"/>
      <w:bookmarkStart w:id="505" w:name="_Toc23597"/>
      <w:r>
        <w:rPr>
          <w:rStyle w:val="37"/>
          <w:rFonts w:hint="eastAsia" w:ascii="仿宋" w:hAnsi="仿宋" w:eastAsia="仿宋" w:cs="仿宋"/>
          <w:b/>
          <w:sz w:val="32"/>
          <w:szCs w:val="32"/>
        </w:rPr>
        <w:t>二、第一次磋商报价表</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tbl>
      <w:tblPr>
        <w:tblStyle w:val="2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41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496"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西安市学校中层管理人员能力提升培训项目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415" w:type="dxa"/>
            <w:vAlign w:val="center"/>
          </w:tcPr>
          <w:p>
            <w:pPr>
              <w:spacing w:line="360" w:lineRule="auto"/>
              <w:jc w:val="center"/>
              <w:rPr>
                <w:rFonts w:ascii="仿宋" w:hAnsi="仿宋" w:eastAsia="仿宋" w:cs="仿宋"/>
                <w:sz w:val="24"/>
                <w:szCs w:val="24"/>
              </w:rPr>
            </w:pPr>
            <w:r>
              <w:rPr>
                <w:rFonts w:hint="eastAsia" w:ascii="仿宋" w:hAnsi="仿宋" w:eastAsia="仿宋" w:cs="仿宋"/>
                <w:bCs/>
                <w:kern w:val="0"/>
                <w:sz w:val="24"/>
                <w:szCs w:val="24"/>
              </w:rPr>
              <w:t>项目编号</w:t>
            </w:r>
          </w:p>
        </w:tc>
        <w:tc>
          <w:tcPr>
            <w:tcW w:w="6496"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DX2021-210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415" w:type="dxa"/>
            <w:vAlign w:val="center"/>
          </w:tcPr>
          <w:p>
            <w:pPr>
              <w:autoSpaceDE w:val="0"/>
              <w:autoSpaceDN w:val="0"/>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磋商总报价（元）</w:t>
            </w:r>
          </w:p>
        </w:tc>
        <w:tc>
          <w:tcPr>
            <w:tcW w:w="6496" w:type="dxa"/>
            <w:vAlign w:val="center"/>
          </w:tcPr>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415" w:type="dxa"/>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6496" w:type="dxa"/>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911" w:type="dxa"/>
            <w:gridSpan w:val="2"/>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
                <w:bCs/>
                <w:sz w:val="24"/>
                <w:szCs w:val="24"/>
              </w:rPr>
              <w:t>说明：</w:t>
            </w:r>
            <w:r>
              <w:rPr>
                <w:rFonts w:hint="eastAsia" w:ascii="仿宋" w:hAnsi="仿宋" w:eastAsia="仿宋" w:cs="仿宋"/>
                <w:sz w:val="24"/>
                <w:szCs w:val="24"/>
              </w:rPr>
              <w:t>磋商报价以元为单位，保留小数点后两位，大小写不一致时，以大写为准。</w:t>
            </w:r>
          </w:p>
        </w:tc>
      </w:tr>
    </w:tbl>
    <w:p>
      <w:pPr>
        <w:spacing w:line="360" w:lineRule="auto"/>
        <w:rPr>
          <w:rFonts w:ascii="仿宋_GB2312" w:hAnsi="仿宋_GB2312" w:eastAsia="仿宋_GB2312" w:cs="仿宋_GB2312"/>
          <w:b/>
          <w:sz w:val="32"/>
        </w:rPr>
      </w:pPr>
      <w:r>
        <w:rPr>
          <w:rFonts w:hint="eastAsia" w:ascii="仿宋_GB2312" w:hAnsi="仿宋_GB2312" w:eastAsia="仿宋_GB2312" w:cs="仿宋_GB2312"/>
          <w:b/>
          <w:sz w:val="28"/>
        </w:rPr>
        <w:t xml:space="preserve">  </w:t>
      </w:r>
      <w:r>
        <w:rPr>
          <w:rFonts w:hint="eastAsia" w:ascii="仿宋" w:hAnsi="仿宋" w:eastAsia="仿宋" w:cs="仿宋"/>
          <w:b/>
          <w:bCs/>
          <w:sz w:val="24"/>
          <w:szCs w:val="24"/>
        </w:rPr>
        <w:t xml:space="preserve"> </w:t>
      </w:r>
    </w:p>
    <w:p>
      <w:pPr>
        <w:spacing w:line="360" w:lineRule="auto"/>
        <w:ind w:firstLine="2560" w:firstLineChars="800"/>
        <w:rPr>
          <w:rFonts w:ascii="仿宋" w:hAnsi="仿宋" w:eastAsia="仿宋" w:cs="仿宋"/>
          <w:sz w:val="32"/>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br w:type="page"/>
      </w:r>
    </w:p>
    <w:p>
      <w:pPr>
        <w:pStyle w:val="4"/>
        <w:spacing w:line="360" w:lineRule="auto"/>
        <w:rPr>
          <w:rStyle w:val="37"/>
          <w:rFonts w:ascii="仿宋" w:hAnsi="仿宋" w:eastAsia="仿宋" w:cs="仿宋"/>
          <w:b/>
          <w:sz w:val="32"/>
          <w:szCs w:val="32"/>
        </w:rPr>
      </w:pPr>
      <w:bookmarkStart w:id="506" w:name="_Toc12966"/>
      <w:r>
        <w:rPr>
          <w:rStyle w:val="37"/>
          <w:rFonts w:hint="eastAsia" w:ascii="仿宋" w:hAnsi="仿宋" w:eastAsia="仿宋" w:cs="仿宋"/>
          <w:b/>
          <w:sz w:val="32"/>
          <w:szCs w:val="32"/>
        </w:rPr>
        <w:t>三、分项报价表</w:t>
      </w:r>
      <w:bookmarkEnd w:id="506"/>
    </w:p>
    <w:tbl>
      <w:tblPr>
        <w:tblStyle w:val="24"/>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18"/>
        <w:gridCol w:w="1483"/>
        <w:gridCol w:w="1200"/>
        <w:gridCol w:w="1553"/>
        <w:gridCol w:w="135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jc w:val="center"/>
              <w:rPr>
                <w:rFonts w:ascii="仿宋" w:hAnsi="仿宋" w:eastAsia="仿宋" w:cs="仿宋"/>
                <w:sz w:val="24"/>
                <w:szCs w:val="24"/>
              </w:rPr>
            </w:pPr>
          </w:p>
        </w:tc>
        <w:tc>
          <w:tcPr>
            <w:tcW w:w="1918" w:type="dxa"/>
            <w:vAlign w:val="center"/>
          </w:tcPr>
          <w:p>
            <w:pPr>
              <w:jc w:val="center"/>
              <w:rPr>
                <w:rFonts w:ascii="仿宋" w:hAnsi="仿宋" w:eastAsia="仿宋" w:cs="仿宋"/>
                <w:sz w:val="24"/>
                <w:szCs w:val="24"/>
              </w:rPr>
            </w:pPr>
          </w:p>
        </w:tc>
        <w:tc>
          <w:tcPr>
            <w:tcW w:w="1483" w:type="dxa"/>
            <w:vAlign w:val="center"/>
          </w:tcPr>
          <w:p>
            <w:pPr>
              <w:jc w:val="center"/>
              <w:rPr>
                <w:rFonts w:ascii="仿宋" w:hAnsi="仿宋" w:eastAsia="仿宋" w:cs="仿宋"/>
                <w:sz w:val="24"/>
                <w:szCs w:val="24"/>
              </w:rPr>
            </w:pPr>
          </w:p>
        </w:tc>
        <w:tc>
          <w:tcPr>
            <w:tcW w:w="1200" w:type="dxa"/>
            <w:vAlign w:val="center"/>
          </w:tcPr>
          <w:p>
            <w:pPr>
              <w:jc w:val="center"/>
              <w:rPr>
                <w:rFonts w:ascii="仿宋" w:hAnsi="仿宋" w:eastAsia="仿宋" w:cs="仿宋"/>
                <w:sz w:val="24"/>
                <w:szCs w:val="24"/>
              </w:rPr>
            </w:pPr>
          </w:p>
        </w:tc>
        <w:tc>
          <w:tcPr>
            <w:tcW w:w="1553" w:type="dxa"/>
            <w:vAlign w:val="center"/>
          </w:tcPr>
          <w:p>
            <w:pPr>
              <w:jc w:val="center"/>
              <w:rPr>
                <w:rFonts w:ascii="仿宋" w:hAnsi="仿宋" w:eastAsia="仿宋" w:cs="仿宋"/>
                <w:sz w:val="24"/>
                <w:szCs w:val="24"/>
              </w:rPr>
            </w:pPr>
          </w:p>
        </w:tc>
        <w:tc>
          <w:tcPr>
            <w:tcW w:w="1359" w:type="dxa"/>
            <w:vAlign w:val="center"/>
          </w:tcPr>
          <w:p>
            <w:pPr>
              <w:jc w:val="center"/>
              <w:rPr>
                <w:rFonts w:ascii="仿宋" w:hAnsi="仿宋" w:eastAsia="仿宋" w:cs="仿宋"/>
                <w:sz w:val="24"/>
                <w:szCs w:val="24"/>
              </w:rPr>
            </w:pPr>
          </w:p>
        </w:tc>
        <w:tc>
          <w:tcPr>
            <w:tcW w:w="1182"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ind w:left="392"/>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ind w:left="392"/>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ind w:left="392"/>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ind w:left="392"/>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ind w:left="392"/>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9" w:type="dxa"/>
            <w:vAlign w:val="center"/>
          </w:tcPr>
          <w:p>
            <w:pPr>
              <w:spacing w:line="360" w:lineRule="auto"/>
              <w:jc w:val="center"/>
              <w:rPr>
                <w:rFonts w:ascii="仿宋" w:hAnsi="仿宋" w:eastAsia="仿宋" w:cs="仿宋"/>
                <w:sz w:val="24"/>
                <w:szCs w:val="24"/>
              </w:rPr>
            </w:pPr>
          </w:p>
        </w:tc>
        <w:tc>
          <w:tcPr>
            <w:tcW w:w="1918" w:type="dxa"/>
            <w:vAlign w:val="center"/>
          </w:tcPr>
          <w:p>
            <w:pPr>
              <w:spacing w:line="360" w:lineRule="auto"/>
              <w:rPr>
                <w:rFonts w:ascii="仿宋" w:hAnsi="仿宋" w:eastAsia="仿宋" w:cs="仿宋"/>
                <w:sz w:val="24"/>
                <w:szCs w:val="24"/>
              </w:rPr>
            </w:pPr>
          </w:p>
        </w:tc>
        <w:tc>
          <w:tcPr>
            <w:tcW w:w="1483" w:type="dxa"/>
            <w:vAlign w:val="center"/>
          </w:tcPr>
          <w:p>
            <w:pPr>
              <w:spacing w:line="360" w:lineRule="auto"/>
              <w:jc w:val="center"/>
              <w:rPr>
                <w:rFonts w:ascii="仿宋" w:hAnsi="仿宋" w:eastAsia="仿宋" w:cs="仿宋"/>
                <w:sz w:val="24"/>
                <w:szCs w:val="24"/>
              </w:rPr>
            </w:pPr>
          </w:p>
        </w:tc>
        <w:tc>
          <w:tcPr>
            <w:tcW w:w="1200" w:type="dxa"/>
            <w:vAlign w:val="center"/>
          </w:tcPr>
          <w:p>
            <w:pPr>
              <w:spacing w:line="360" w:lineRule="auto"/>
              <w:jc w:val="center"/>
              <w:rPr>
                <w:rFonts w:ascii="仿宋" w:hAnsi="仿宋" w:eastAsia="仿宋" w:cs="仿宋"/>
                <w:sz w:val="24"/>
                <w:szCs w:val="24"/>
              </w:rPr>
            </w:pPr>
          </w:p>
        </w:tc>
        <w:tc>
          <w:tcPr>
            <w:tcW w:w="1553" w:type="dxa"/>
            <w:vAlign w:val="center"/>
          </w:tcPr>
          <w:p>
            <w:pPr>
              <w:spacing w:line="360" w:lineRule="auto"/>
              <w:jc w:val="center"/>
              <w:rPr>
                <w:rFonts w:ascii="仿宋" w:hAnsi="仿宋" w:eastAsia="仿宋" w:cs="仿宋"/>
                <w:sz w:val="24"/>
                <w:szCs w:val="24"/>
              </w:rPr>
            </w:pPr>
          </w:p>
        </w:tc>
        <w:tc>
          <w:tcPr>
            <w:tcW w:w="1359" w:type="dxa"/>
            <w:vAlign w:val="center"/>
          </w:tcPr>
          <w:p>
            <w:pPr>
              <w:spacing w:line="360" w:lineRule="auto"/>
              <w:jc w:val="center"/>
              <w:rPr>
                <w:rFonts w:ascii="仿宋" w:hAnsi="仿宋" w:eastAsia="仿宋" w:cs="仿宋"/>
                <w:sz w:val="24"/>
                <w:szCs w:val="24"/>
              </w:rPr>
            </w:pPr>
          </w:p>
        </w:tc>
        <w:tc>
          <w:tcPr>
            <w:tcW w:w="1182"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75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合　　计</w:t>
            </w:r>
          </w:p>
        </w:tc>
        <w:tc>
          <w:tcPr>
            <w:tcW w:w="4236" w:type="dxa"/>
            <w:gridSpan w:val="3"/>
            <w:vAlign w:val="center"/>
          </w:tcPr>
          <w:p>
            <w:pPr>
              <w:jc w:val="center"/>
              <w:rPr>
                <w:rFonts w:ascii="仿宋" w:hAnsi="仿宋" w:eastAsia="仿宋" w:cs="仿宋"/>
                <w:sz w:val="24"/>
                <w:szCs w:val="24"/>
              </w:rPr>
            </w:pPr>
          </w:p>
        </w:tc>
        <w:tc>
          <w:tcPr>
            <w:tcW w:w="1359" w:type="dxa"/>
            <w:vAlign w:val="center"/>
          </w:tcPr>
          <w:p>
            <w:pPr>
              <w:jc w:val="center"/>
              <w:rPr>
                <w:rFonts w:ascii="仿宋" w:hAnsi="仿宋" w:eastAsia="仿宋" w:cs="仿宋"/>
                <w:sz w:val="24"/>
                <w:szCs w:val="24"/>
              </w:rPr>
            </w:pPr>
          </w:p>
        </w:tc>
        <w:tc>
          <w:tcPr>
            <w:tcW w:w="1182" w:type="dxa"/>
            <w:vAlign w:val="center"/>
          </w:tcPr>
          <w:p>
            <w:pPr>
              <w:jc w:val="center"/>
              <w:rPr>
                <w:rFonts w:ascii="仿宋" w:hAnsi="仿宋" w:eastAsia="仿宋" w:cs="仿宋"/>
                <w:sz w:val="24"/>
                <w:szCs w:val="24"/>
              </w:rPr>
            </w:pPr>
          </w:p>
        </w:tc>
      </w:tr>
    </w:tbl>
    <w:p>
      <w:pPr>
        <w:spacing w:line="360" w:lineRule="auto"/>
        <w:ind w:firstLine="3360" w:firstLineChars="140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ind w:firstLine="3360" w:firstLineChars="1400"/>
        <w:sectPr>
          <w:footerReference r:id="rId6" w:type="default"/>
          <w:footerReference r:id="rId7" w:type="even"/>
          <w:pgSz w:w="11906" w:h="16838"/>
          <w:pgMar w:top="1418" w:right="1474" w:bottom="1418" w:left="1474" w:header="851" w:footer="992" w:gutter="0"/>
          <w:cols w:space="72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4"/>
        <w:keepNext w:val="0"/>
        <w:pageBreakBefore/>
        <w:spacing w:line="360" w:lineRule="auto"/>
        <w:rPr>
          <w:rFonts w:ascii="仿宋" w:hAnsi="仿宋" w:eastAsia="仿宋" w:cs="仿宋"/>
          <w:sz w:val="32"/>
          <w:szCs w:val="32"/>
        </w:rPr>
      </w:pPr>
      <w:bookmarkStart w:id="507" w:name="_Toc20867"/>
      <w:bookmarkStart w:id="508" w:name="_Toc495681400"/>
      <w:bookmarkStart w:id="509" w:name="_Toc25757"/>
      <w:bookmarkStart w:id="510" w:name="_Toc28831"/>
      <w:bookmarkStart w:id="511" w:name="_Toc19130"/>
      <w:bookmarkStart w:id="512" w:name="_Toc495681246"/>
      <w:bookmarkStart w:id="513" w:name="_Toc14078"/>
      <w:bookmarkStart w:id="514" w:name="_Toc495908042"/>
      <w:bookmarkStart w:id="515" w:name="_Toc4009"/>
      <w:bookmarkStart w:id="516" w:name="_Toc2748"/>
      <w:bookmarkStart w:id="517" w:name="_Toc495681527"/>
      <w:bookmarkStart w:id="518" w:name="_Toc31853"/>
      <w:bookmarkStart w:id="519" w:name="_Toc620"/>
      <w:bookmarkStart w:id="520" w:name="_Toc26772"/>
      <w:bookmarkStart w:id="521" w:name="_Toc13257"/>
      <w:bookmarkStart w:id="522" w:name="_Toc30293"/>
      <w:bookmarkStart w:id="523" w:name="_Toc11784"/>
      <w:bookmarkStart w:id="524" w:name="_Toc22665"/>
      <w:bookmarkStart w:id="525" w:name="_Toc14988"/>
      <w:r>
        <w:rPr>
          <w:rFonts w:hint="eastAsia" w:ascii="仿宋" w:hAnsi="仿宋" w:eastAsia="仿宋" w:cs="仿宋"/>
          <w:sz w:val="32"/>
          <w:szCs w:val="32"/>
        </w:rPr>
        <w:t>四、合同主要条款响应偏差表</w:t>
      </w:r>
      <w:bookmarkEnd w:id="507"/>
    </w:p>
    <w:p>
      <w:pPr>
        <w:adjustRightInd w:val="0"/>
        <w:snapToGrid w:val="0"/>
        <w:spacing w:line="360" w:lineRule="auto"/>
        <w:ind w:right="64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val="zh-CN"/>
        </w:rPr>
        <w:t xml:space="preserve">                            </w:t>
      </w:r>
      <w:r>
        <w:rPr>
          <w:rFonts w:hint="eastAsia" w:ascii="仿宋" w:hAnsi="仿宋" w:eastAsia="仿宋" w:cs="仿宋"/>
          <w:sz w:val="24"/>
          <w:szCs w:val="24"/>
        </w:rPr>
        <w:t xml:space="preserve">              </w:t>
      </w:r>
    </w:p>
    <w:tbl>
      <w:tblPr>
        <w:tblStyle w:val="24"/>
        <w:tblW w:w="9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113"/>
        <w:gridCol w:w="1125"/>
        <w:gridCol w:w="1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80"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条目号</w:t>
            </w:r>
          </w:p>
        </w:tc>
        <w:tc>
          <w:tcPr>
            <w:tcW w:w="2341"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磋商文件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要求</w:t>
            </w:r>
          </w:p>
        </w:tc>
        <w:tc>
          <w:tcPr>
            <w:tcW w:w="2113"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磋商响应文件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响应</w:t>
            </w:r>
          </w:p>
        </w:tc>
        <w:tc>
          <w:tcPr>
            <w:tcW w:w="1125"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偏离</w:t>
            </w:r>
          </w:p>
        </w:tc>
        <w:tc>
          <w:tcPr>
            <w:tcW w:w="1538"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偏离</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113" w:type="dxa"/>
          </w:tcPr>
          <w:p>
            <w:pPr>
              <w:adjustRightInd w:val="0"/>
              <w:snapToGrid w:val="0"/>
              <w:spacing w:line="360" w:lineRule="auto"/>
              <w:ind w:right="24"/>
              <w:rPr>
                <w:rFonts w:ascii="仿宋" w:hAnsi="仿宋" w:eastAsia="仿宋" w:cs="仿宋"/>
                <w:bCs/>
                <w:sz w:val="24"/>
                <w:szCs w:val="24"/>
              </w:rPr>
            </w:pPr>
          </w:p>
        </w:tc>
        <w:tc>
          <w:tcPr>
            <w:tcW w:w="1125" w:type="dxa"/>
          </w:tcPr>
          <w:p>
            <w:pPr>
              <w:adjustRightInd w:val="0"/>
              <w:snapToGrid w:val="0"/>
              <w:spacing w:line="360" w:lineRule="auto"/>
              <w:ind w:right="24"/>
              <w:rPr>
                <w:rFonts w:ascii="仿宋" w:hAnsi="仿宋" w:eastAsia="仿宋" w:cs="仿宋"/>
                <w:bCs/>
                <w:sz w:val="24"/>
                <w:szCs w:val="24"/>
              </w:rPr>
            </w:pPr>
          </w:p>
        </w:tc>
        <w:tc>
          <w:tcPr>
            <w:tcW w:w="1538"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113" w:type="dxa"/>
          </w:tcPr>
          <w:p>
            <w:pPr>
              <w:adjustRightInd w:val="0"/>
              <w:snapToGrid w:val="0"/>
              <w:spacing w:line="360" w:lineRule="auto"/>
              <w:ind w:right="24"/>
              <w:rPr>
                <w:rFonts w:ascii="仿宋" w:hAnsi="仿宋" w:eastAsia="仿宋" w:cs="仿宋"/>
                <w:bCs/>
                <w:sz w:val="24"/>
                <w:szCs w:val="24"/>
              </w:rPr>
            </w:pPr>
          </w:p>
        </w:tc>
        <w:tc>
          <w:tcPr>
            <w:tcW w:w="1125" w:type="dxa"/>
          </w:tcPr>
          <w:p>
            <w:pPr>
              <w:adjustRightInd w:val="0"/>
              <w:snapToGrid w:val="0"/>
              <w:spacing w:line="360" w:lineRule="auto"/>
              <w:ind w:right="24"/>
              <w:rPr>
                <w:rFonts w:ascii="仿宋" w:hAnsi="仿宋" w:eastAsia="仿宋" w:cs="仿宋"/>
                <w:bCs/>
                <w:sz w:val="24"/>
                <w:szCs w:val="24"/>
              </w:rPr>
            </w:pPr>
          </w:p>
        </w:tc>
        <w:tc>
          <w:tcPr>
            <w:tcW w:w="1538"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113" w:type="dxa"/>
          </w:tcPr>
          <w:p>
            <w:pPr>
              <w:adjustRightInd w:val="0"/>
              <w:snapToGrid w:val="0"/>
              <w:spacing w:line="360" w:lineRule="auto"/>
              <w:ind w:right="24"/>
              <w:rPr>
                <w:rFonts w:ascii="仿宋" w:hAnsi="仿宋" w:eastAsia="仿宋" w:cs="仿宋"/>
                <w:bCs/>
                <w:sz w:val="24"/>
                <w:szCs w:val="24"/>
              </w:rPr>
            </w:pPr>
          </w:p>
        </w:tc>
        <w:tc>
          <w:tcPr>
            <w:tcW w:w="1125" w:type="dxa"/>
          </w:tcPr>
          <w:p>
            <w:pPr>
              <w:adjustRightInd w:val="0"/>
              <w:snapToGrid w:val="0"/>
              <w:spacing w:line="360" w:lineRule="auto"/>
              <w:ind w:right="24"/>
              <w:rPr>
                <w:rFonts w:ascii="仿宋" w:hAnsi="仿宋" w:eastAsia="仿宋" w:cs="仿宋"/>
                <w:bCs/>
                <w:sz w:val="24"/>
                <w:szCs w:val="24"/>
              </w:rPr>
            </w:pPr>
          </w:p>
        </w:tc>
        <w:tc>
          <w:tcPr>
            <w:tcW w:w="1538"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113" w:type="dxa"/>
          </w:tcPr>
          <w:p>
            <w:pPr>
              <w:adjustRightInd w:val="0"/>
              <w:snapToGrid w:val="0"/>
              <w:spacing w:line="360" w:lineRule="auto"/>
              <w:ind w:right="24"/>
              <w:rPr>
                <w:rFonts w:ascii="仿宋" w:hAnsi="仿宋" w:eastAsia="仿宋" w:cs="仿宋"/>
                <w:bCs/>
                <w:sz w:val="24"/>
                <w:szCs w:val="24"/>
              </w:rPr>
            </w:pPr>
          </w:p>
        </w:tc>
        <w:tc>
          <w:tcPr>
            <w:tcW w:w="1125" w:type="dxa"/>
          </w:tcPr>
          <w:p>
            <w:pPr>
              <w:adjustRightInd w:val="0"/>
              <w:snapToGrid w:val="0"/>
              <w:spacing w:line="360" w:lineRule="auto"/>
              <w:ind w:right="24"/>
              <w:rPr>
                <w:rFonts w:ascii="仿宋" w:hAnsi="仿宋" w:eastAsia="仿宋" w:cs="仿宋"/>
                <w:bCs/>
                <w:sz w:val="24"/>
                <w:szCs w:val="24"/>
              </w:rPr>
            </w:pPr>
          </w:p>
        </w:tc>
        <w:tc>
          <w:tcPr>
            <w:tcW w:w="1538"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113" w:type="dxa"/>
          </w:tcPr>
          <w:p>
            <w:pPr>
              <w:adjustRightInd w:val="0"/>
              <w:snapToGrid w:val="0"/>
              <w:spacing w:line="360" w:lineRule="auto"/>
              <w:ind w:right="24"/>
              <w:rPr>
                <w:rFonts w:ascii="仿宋" w:hAnsi="仿宋" w:eastAsia="仿宋" w:cs="仿宋"/>
                <w:bCs/>
                <w:sz w:val="24"/>
                <w:szCs w:val="24"/>
              </w:rPr>
            </w:pPr>
          </w:p>
        </w:tc>
        <w:tc>
          <w:tcPr>
            <w:tcW w:w="1125" w:type="dxa"/>
          </w:tcPr>
          <w:p>
            <w:pPr>
              <w:adjustRightInd w:val="0"/>
              <w:snapToGrid w:val="0"/>
              <w:spacing w:line="360" w:lineRule="auto"/>
              <w:ind w:right="24"/>
              <w:rPr>
                <w:rFonts w:ascii="仿宋" w:hAnsi="仿宋" w:eastAsia="仿宋" w:cs="仿宋"/>
                <w:bCs/>
                <w:sz w:val="24"/>
                <w:szCs w:val="24"/>
              </w:rPr>
            </w:pPr>
          </w:p>
        </w:tc>
        <w:tc>
          <w:tcPr>
            <w:tcW w:w="1538" w:type="dxa"/>
          </w:tcPr>
          <w:p>
            <w:pPr>
              <w:adjustRightInd w:val="0"/>
              <w:snapToGrid w:val="0"/>
              <w:spacing w:line="360" w:lineRule="auto"/>
              <w:ind w:right="24"/>
              <w:rPr>
                <w:rFonts w:ascii="仿宋" w:hAnsi="仿宋" w:eastAsia="仿宋" w:cs="仿宋"/>
                <w:bCs/>
                <w:sz w:val="24"/>
                <w:szCs w:val="24"/>
              </w:rPr>
            </w:pPr>
          </w:p>
        </w:tc>
      </w:tr>
    </w:tbl>
    <w:p>
      <w:pPr>
        <w:spacing w:line="540" w:lineRule="exact"/>
        <w:ind w:right="-197" w:rightChars="-94" w:firstLine="480" w:firstLineChars="200"/>
        <w:jc w:val="left"/>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1、本表只填写磋商响应文件中与磋商文件有偏离（包括负偏离和正偏离）的内容，在磋商响应文件中须一一列出，无偏离可直接提供空白表。</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2、供应商必须据实填写，不得虚假响应，否则将取消其投标或中标资格，并按有关规定进处罚。</w:t>
      </w:r>
    </w:p>
    <w:p>
      <w:pPr>
        <w:spacing w:line="360" w:lineRule="auto"/>
        <w:ind w:firstLine="470" w:firstLineChars="196"/>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pacing w:line="360" w:lineRule="auto"/>
        <w:ind w:firstLine="3360" w:firstLineChars="1400"/>
        <w:rPr>
          <w:rFonts w:ascii="仿宋" w:hAnsi="仿宋" w:eastAsia="仿宋" w:cs="仿宋"/>
        </w:rPr>
        <w:sectPr>
          <w:footerReference r:id="rId8" w:type="default"/>
          <w:pgSz w:w="11906" w:h="16838"/>
          <w:pgMar w:top="1134" w:right="1701" w:bottom="1134" w:left="1701" w:header="851" w:footer="992" w:gutter="0"/>
          <w:cols w:space="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Pr>
        <w:pStyle w:val="4"/>
        <w:spacing w:line="360" w:lineRule="auto"/>
        <w:rPr>
          <w:rFonts w:ascii="宋体" w:hAnsi="宋体" w:eastAsia="宋体" w:cs="宋体"/>
          <w:sz w:val="32"/>
          <w:szCs w:val="21"/>
        </w:rPr>
      </w:pPr>
      <w:bookmarkStart w:id="526" w:name="_Toc13042"/>
      <w:bookmarkStart w:id="527" w:name="_Toc8297"/>
      <w:bookmarkStart w:id="528" w:name="_Toc14467"/>
      <w:bookmarkStart w:id="529" w:name="_Toc22388"/>
      <w:bookmarkStart w:id="530" w:name="_Toc20060"/>
      <w:bookmarkStart w:id="531" w:name="_Toc6613"/>
      <w:bookmarkStart w:id="532" w:name="_Toc20664"/>
      <w:bookmarkStart w:id="533" w:name="_Toc30274"/>
      <w:bookmarkStart w:id="534" w:name="_Toc26262"/>
      <w:bookmarkStart w:id="535" w:name="_Toc11576"/>
      <w:bookmarkStart w:id="536" w:name="_Toc5618"/>
      <w:bookmarkStart w:id="537" w:name="_Toc495681403"/>
      <w:bookmarkStart w:id="538" w:name="_Toc495908045"/>
      <w:bookmarkStart w:id="539" w:name="_Toc5195"/>
      <w:bookmarkStart w:id="540" w:name="_Toc495681249"/>
      <w:bookmarkStart w:id="541" w:name="_Toc5380"/>
      <w:bookmarkStart w:id="542" w:name="_Toc495681530"/>
      <w:bookmarkStart w:id="543" w:name="_Toc16396"/>
      <w:bookmarkStart w:id="544" w:name="_Toc20167"/>
      <w:r>
        <w:rPr>
          <w:rFonts w:hint="eastAsia" w:ascii="宋体" w:hAnsi="宋体" w:eastAsia="宋体" w:cs="宋体"/>
          <w:sz w:val="32"/>
          <w:szCs w:val="21"/>
          <w:lang w:val="zh-CN"/>
        </w:rPr>
        <w:t>五、</w:t>
      </w:r>
      <w:bookmarkEnd w:id="526"/>
      <w:bookmarkStart w:id="545" w:name="_Toc7263"/>
      <w:bookmarkStart w:id="546" w:name="_Toc13348"/>
      <w:bookmarkStart w:id="547" w:name="_Toc24533"/>
      <w:bookmarkStart w:id="548" w:name="_Toc11833"/>
      <w:bookmarkStart w:id="549" w:name="_Toc9136"/>
      <w:r>
        <w:rPr>
          <w:rFonts w:hint="eastAsia" w:ascii="宋体" w:hAnsi="宋体" w:eastAsia="宋体" w:cs="宋体"/>
          <w:sz w:val="32"/>
          <w:szCs w:val="21"/>
        </w:rPr>
        <w:t>拟投入本项目的主要负责人简历表</w:t>
      </w:r>
      <w:bookmarkEnd w:id="527"/>
      <w:bookmarkEnd w:id="528"/>
      <w:bookmarkEnd w:id="545"/>
      <w:bookmarkEnd w:id="546"/>
      <w:bookmarkEnd w:id="547"/>
      <w:bookmarkEnd w:id="548"/>
      <w:bookmarkEnd w:id="549"/>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姓  名</w:t>
            </w:r>
          </w:p>
        </w:tc>
        <w:tc>
          <w:tcPr>
            <w:tcW w:w="1682" w:type="dxa"/>
            <w:vAlign w:val="center"/>
          </w:tcPr>
          <w:p>
            <w:pPr>
              <w:jc w:val="center"/>
              <w:rPr>
                <w:rFonts w:ascii="仿宋" w:hAnsi="仿宋" w:eastAsia="仿宋" w:cs="仿宋"/>
                <w:bCs/>
                <w:sz w:val="24"/>
                <w:szCs w:val="24"/>
              </w:rPr>
            </w:pPr>
          </w:p>
        </w:tc>
        <w:tc>
          <w:tcPr>
            <w:tcW w:w="1050"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性 别</w:t>
            </w:r>
          </w:p>
        </w:tc>
        <w:tc>
          <w:tcPr>
            <w:tcW w:w="945" w:type="dxa"/>
            <w:vAlign w:val="center"/>
          </w:tcPr>
          <w:p>
            <w:pPr>
              <w:rPr>
                <w:rFonts w:ascii="仿宋" w:hAnsi="仿宋" w:eastAsia="仿宋" w:cs="仿宋"/>
                <w:bCs/>
                <w:sz w:val="24"/>
                <w:szCs w:val="24"/>
              </w:rPr>
            </w:pPr>
          </w:p>
        </w:tc>
        <w:tc>
          <w:tcPr>
            <w:tcW w:w="945"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出生 日期</w:t>
            </w:r>
          </w:p>
        </w:tc>
        <w:tc>
          <w:tcPr>
            <w:tcW w:w="2727" w:type="dxa"/>
            <w:vAlign w:val="center"/>
          </w:tcPr>
          <w:p>
            <w:pPr>
              <w:ind w:firstLine="360" w:firstLineChars="150"/>
              <w:jc w:val="left"/>
              <w:rPr>
                <w:rFonts w:ascii="仿宋" w:hAnsi="仿宋" w:eastAsia="仿宋" w:cs="仿宋"/>
                <w:bCs/>
                <w:sz w:val="24"/>
                <w:szCs w:val="24"/>
              </w:rPr>
            </w:pPr>
            <w:r>
              <w:rPr>
                <w:rFonts w:hint="eastAsia" w:ascii="仿宋" w:hAnsi="仿宋" w:eastAsia="仿宋" w:cs="仿宋"/>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毕业院校及专业</w:t>
            </w:r>
          </w:p>
        </w:tc>
        <w:tc>
          <w:tcPr>
            <w:tcW w:w="3677" w:type="dxa"/>
            <w:gridSpan w:val="3"/>
            <w:vAlign w:val="center"/>
          </w:tcPr>
          <w:p>
            <w:pPr>
              <w:rPr>
                <w:rFonts w:ascii="仿宋" w:hAnsi="仿宋" w:eastAsia="仿宋" w:cs="仿宋"/>
                <w:bCs/>
                <w:sz w:val="24"/>
                <w:szCs w:val="24"/>
              </w:rPr>
            </w:pPr>
          </w:p>
        </w:tc>
        <w:tc>
          <w:tcPr>
            <w:tcW w:w="945" w:type="dxa"/>
            <w:vAlign w:val="center"/>
          </w:tcPr>
          <w:p>
            <w:pPr>
              <w:ind w:left="-18"/>
              <w:jc w:val="center"/>
              <w:rPr>
                <w:rFonts w:ascii="仿宋" w:hAnsi="仿宋" w:eastAsia="仿宋" w:cs="仿宋"/>
                <w:bCs/>
                <w:sz w:val="24"/>
                <w:szCs w:val="24"/>
              </w:rPr>
            </w:pPr>
            <w:r>
              <w:rPr>
                <w:rFonts w:hint="eastAsia" w:ascii="仿宋" w:hAnsi="仿宋" w:eastAsia="仿宋" w:cs="仿宋"/>
                <w:bCs/>
                <w:sz w:val="24"/>
                <w:szCs w:val="24"/>
              </w:rPr>
              <w:t>毕业 时间</w:t>
            </w:r>
          </w:p>
        </w:tc>
        <w:tc>
          <w:tcPr>
            <w:tcW w:w="2727" w:type="dxa"/>
            <w:vAlign w:val="center"/>
          </w:tcPr>
          <w:p>
            <w:pPr>
              <w:ind w:left="45"/>
              <w:jc w:val="left"/>
              <w:rPr>
                <w:rFonts w:ascii="仿宋" w:hAnsi="仿宋" w:eastAsia="仿宋" w:cs="仿宋"/>
                <w:bCs/>
                <w:sz w:val="24"/>
                <w:szCs w:val="24"/>
              </w:rPr>
            </w:pPr>
            <w:r>
              <w:rPr>
                <w:rFonts w:hint="eastAsia" w:ascii="仿宋" w:hAnsi="仿宋" w:eastAsia="仿宋" w:cs="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工作年限</w:t>
            </w:r>
          </w:p>
        </w:tc>
        <w:tc>
          <w:tcPr>
            <w:tcW w:w="7349" w:type="dxa"/>
            <w:gridSpan w:val="5"/>
            <w:vAlign w:val="center"/>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vAlign w:val="center"/>
          </w:tcPr>
          <w:p>
            <w:pPr>
              <w:jc w:val="center"/>
              <w:rPr>
                <w:rFonts w:ascii="仿宋" w:hAnsi="仿宋" w:eastAsia="仿宋" w:cs="仿宋"/>
                <w:bCs/>
                <w:sz w:val="24"/>
                <w:szCs w:val="24"/>
              </w:rPr>
            </w:pPr>
            <w:r>
              <w:rPr>
                <w:rFonts w:hint="eastAsia" w:ascii="仿宋" w:hAnsi="仿宋" w:eastAsia="仿宋" w:cs="仿宋"/>
                <w:bCs/>
                <w:sz w:val="24"/>
                <w:szCs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时   间</w:t>
            </w:r>
          </w:p>
        </w:tc>
        <w:tc>
          <w:tcPr>
            <w:tcW w:w="4622" w:type="dxa"/>
            <w:gridSpan w:val="4"/>
            <w:vAlign w:val="center"/>
          </w:tcPr>
          <w:p>
            <w:pPr>
              <w:jc w:val="center"/>
              <w:rPr>
                <w:rFonts w:ascii="仿宋" w:hAnsi="仿宋" w:eastAsia="仿宋" w:cs="仿宋"/>
                <w:bCs/>
                <w:sz w:val="24"/>
                <w:szCs w:val="24"/>
              </w:rPr>
            </w:pPr>
            <w:r>
              <w:rPr>
                <w:rFonts w:hint="eastAsia" w:ascii="仿宋" w:hAnsi="仿宋" w:eastAsia="仿宋" w:cs="仿宋"/>
                <w:bCs/>
                <w:sz w:val="24"/>
                <w:szCs w:val="24"/>
              </w:rPr>
              <w:t>参加过的项目名称及规模</w:t>
            </w:r>
          </w:p>
        </w:tc>
        <w:tc>
          <w:tcPr>
            <w:tcW w:w="2727"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tcPr>
          <w:p>
            <w:pPr>
              <w:rPr>
                <w:rFonts w:ascii="仿宋" w:hAnsi="仿宋" w:eastAsia="仿宋" w:cs="仿宋"/>
                <w:bCs/>
                <w:sz w:val="24"/>
                <w:szCs w:val="24"/>
              </w:rPr>
            </w:pPr>
          </w:p>
        </w:tc>
        <w:tc>
          <w:tcPr>
            <w:tcW w:w="4622" w:type="dxa"/>
            <w:gridSpan w:val="4"/>
          </w:tcPr>
          <w:p>
            <w:pPr>
              <w:rPr>
                <w:rFonts w:ascii="仿宋" w:hAnsi="仿宋" w:eastAsia="仿宋" w:cs="仿宋"/>
                <w:bCs/>
                <w:sz w:val="24"/>
                <w:szCs w:val="24"/>
              </w:rPr>
            </w:pPr>
            <w:r>
              <w:rPr>
                <w:rFonts w:hint="eastAsia" w:ascii="仿宋" w:hAnsi="仿宋" w:eastAsia="仿宋" w:cs="仿宋"/>
                <w:bCs/>
                <w:sz w:val="24"/>
                <w:szCs w:val="24"/>
              </w:rPr>
              <w:t>（列举两项以上同类项目业绩）</w:t>
            </w:r>
          </w:p>
          <w:p>
            <w:pPr>
              <w:rPr>
                <w:rFonts w:ascii="仿宋" w:hAnsi="仿宋" w:eastAsia="仿宋" w:cs="仿宋"/>
                <w:bCs/>
                <w:sz w:val="24"/>
                <w:szCs w:val="24"/>
              </w:rPr>
            </w:pPr>
            <w:r>
              <w:rPr>
                <w:rFonts w:hint="eastAsia" w:ascii="仿宋" w:hAnsi="仿宋" w:eastAsia="仿宋" w:cs="仿宋"/>
                <w:color w:val="000000"/>
                <w:sz w:val="24"/>
                <w:szCs w:val="24"/>
              </w:rPr>
              <w:t>后附证明材料</w:t>
            </w:r>
          </w:p>
          <w:p>
            <w:pPr>
              <w:rPr>
                <w:rFonts w:ascii="仿宋" w:hAnsi="仿宋" w:eastAsia="仿宋" w:cs="仿宋"/>
                <w:bCs/>
                <w:sz w:val="24"/>
                <w:szCs w:val="24"/>
              </w:rPr>
            </w:pPr>
          </w:p>
        </w:tc>
        <w:tc>
          <w:tcPr>
            <w:tcW w:w="2727" w:type="dxa"/>
          </w:tcPr>
          <w:p>
            <w:pPr>
              <w:rPr>
                <w:rFonts w:ascii="仿宋" w:hAnsi="仿宋" w:eastAsia="仿宋" w:cs="仿宋"/>
                <w:bCs/>
                <w:sz w:val="24"/>
                <w:szCs w:val="24"/>
              </w:rPr>
            </w:pPr>
          </w:p>
        </w:tc>
      </w:tr>
    </w:tbl>
    <w:p>
      <w:pPr>
        <w:adjustRightInd w:val="0"/>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注：供应商需随此表在磋商响应文件中附上相关人员学历证明及相关业绩的复印件加盖公章。</w:t>
      </w:r>
    </w:p>
    <w:p>
      <w:pPr>
        <w:adjustRightInd w:val="0"/>
        <w:snapToGrid w:val="0"/>
        <w:spacing w:line="360" w:lineRule="auto"/>
        <w:ind w:firstLine="480" w:firstLineChars="200"/>
        <w:rPr>
          <w:rFonts w:ascii="仿宋" w:hAnsi="仿宋" w:eastAsia="仿宋" w:cs="仿宋"/>
          <w:bCs/>
          <w:color w:val="000000"/>
          <w:sz w:val="24"/>
          <w:szCs w:val="24"/>
        </w:rPr>
      </w:pPr>
    </w:p>
    <w:p>
      <w:pPr>
        <w:spacing w:line="360" w:lineRule="auto"/>
        <w:ind w:firstLine="3360" w:firstLineChars="1400"/>
        <w:rPr>
          <w:rFonts w:ascii="仿宋" w:hAnsi="仿宋" w:eastAsia="仿宋" w:cs="仿宋"/>
          <w:sz w:val="24"/>
          <w:szCs w:val="24"/>
        </w:rPr>
      </w:pPr>
      <w:bookmarkStart w:id="550" w:name="_Toc31326"/>
      <w:bookmarkStart w:id="551" w:name="_Toc3056"/>
      <w:bookmarkStart w:id="552" w:name="_Toc3451"/>
      <w:bookmarkStart w:id="553" w:name="_Toc13495"/>
      <w:bookmarkStart w:id="554" w:name="_Toc21194"/>
      <w:bookmarkStart w:id="555" w:name="_Toc31471"/>
      <w:bookmarkStart w:id="556" w:name="_Toc300"/>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pStyle w:val="4"/>
        <w:keepNext w:val="0"/>
        <w:pageBreakBefore/>
        <w:spacing w:line="360" w:lineRule="auto"/>
        <w:rPr>
          <w:rFonts w:ascii="宋体" w:hAnsi="宋体" w:eastAsia="宋体" w:cs="宋体"/>
          <w:sz w:val="32"/>
          <w:szCs w:val="21"/>
        </w:rPr>
      </w:pPr>
      <w:bookmarkStart w:id="557" w:name="_Toc31081"/>
      <w:r>
        <w:rPr>
          <w:rFonts w:hint="eastAsia" w:ascii="宋体" w:hAnsi="宋体" w:eastAsia="宋体" w:cs="宋体"/>
          <w:sz w:val="32"/>
          <w:szCs w:val="21"/>
        </w:rPr>
        <w:t>六、参与本项目主要人员表</w:t>
      </w:r>
      <w:bookmarkEnd w:id="550"/>
      <w:bookmarkEnd w:id="551"/>
      <w:bookmarkEnd w:id="552"/>
      <w:bookmarkEnd w:id="553"/>
      <w:bookmarkEnd w:id="554"/>
      <w:bookmarkEnd w:id="555"/>
      <w:bookmarkEnd w:id="556"/>
      <w:bookmarkEnd w:id="55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64"/>
        <w:gridCol w:w="720"/>
        <w:gridCol w:w="816"/>
        <w:gridCol w:w="984"/>
        <w:gridCol w:w="816"/>
        <w:gridCol w:w="88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序号</w:t>
            </w:r>
          </w:p>
        </w:tc>
        <w:tc>
          <w:tcPr>
            <w:tcW w:w="1264" w:type="dxa"/>
            <w:noWrap w:val="0"/>
            <w:vAlign w:val="top"/>
          </w:tcPr>
          <w:p>
            <w:pPr>
              <w:spacing w:line="360" w:lineRule="auto"/>
              <w:ind w:firstLine="240"/>
              <w:rPr>
                <w:rFonts w:hint="eastAsia" w:ascii="仿宋" w:hAnsi="仿宋" w:eastAsia="仿宋" w:cs="仿宋"/>
                <w:sz w:val="24"/>
              </w:rPr>
            </w:pPr>
            <w:r>
              <w:rPr>
                <w:rFonts w:hint="eastAsia" w:ascii="仿宋" w:hAnsi="仿宋" w:eastAsia="仿宋" w:cs="仿宋"/>
                <w:sz w:val="24"/>
              </w:rPr>
              <w:t>姓名</w:t>
            </w:r>
          </w:p>
        </w:tc>
        <w:tc>
          <w:tcPr>
            <w:tcW w:w="720"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年龄</w:t>
            </w:r>
          </w:p>
        </w:tc>
        <w:tc>
          <w:tcPr>
            <w:tcW w:w="816"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性别</w:t>
            </w:r>
          </w:p>
        </w:tc>
        <w:tc>
          <w:tcPr>
            <w:tcW w:w="984"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学 历</w:t>
            </w:r>
          </w:p>
        </w:tc>
        <w:tc>
          <w:tcPr>
            <w:tcW w:w="816"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专业</w:t>
            </w:r>
          </w:p>
        </w:tc>
        <w:tc>
          <w:tcPr>
            <w:tcW w:w="882"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职称</w:t>
            </w:r>
          </w:p>
        </w:tc>
        <w:tc>
          <w:tcPr>
            <w:tcW w:w="2275"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仿宋" w:hAnsi="仿宋" w:eastAsia="仿宋" w:cs="仿宋"/>
                <w:sz w:val="24"/>
              </w:rPr>
            </w:pPr>
          </w:p>
        </w:tc>
        <w:tc>
          <w:tcPr>
            <w:tcW w:w="1264" w:type="dxa"/>
            <w:noWrap w:val="0"/>
            <w:vAlign w:val="top"/>
          </w:tcPr>
          <w:p>
            <w:pPr>
              <w:spacing w:line="360" w:lineRule="auto"/>
              <w:jc w:val="center"/>
              <w:rPr>
                <w:rFonts w:hint="eastAsia" w:ascii="仿宋" w:hAnsi="仿宋" w:eastAsia="仿宋" w:cs="仿宋"/>
                <w:sz w:val="24"/>
              </w:rPr>
            </w:pPr>
          </w:p>
        </w:tc>
        <w:tc>
          <w:tcPr>
            <w:tcW w:w="720"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984" w:type="dxa"/>
            <w:noWrap w:val="0"/>
            <w:vAlign w:val="top"/>
          </w:tcPr>
          <w:p>
            <w:pPr>
              <w:spacing w:line="360" w:lineRule="auto"/>
              <w:jc w:val="center"/>
              <w:rPr>
                <w:rFonts w:hint="eastAsia" w:ascii="仿宋" w:hAnsi="仿宋" w:eastAsia="仿宋" w:cs="仿宋"/>
                <w:sz w:val="24"/>
              </w:rPr>
            </w:pPr>
          </w:p>
        </w:tc>
        <w:tc>
          <w:tcPr>
            <w:tcW w:w="816" w:type="dxa"/>
            <w:noWrap w:val="0"/>
            <w:vAlign w:val="top"/>
          </w:tcPr>
          <w:p>
            <w:pPr>
              <w:spacing w:line="360" w:lineRule="auto"/>
              <w:jc w:val="center"/>
              <w:rPr>
                <w:rFonts w:hint="eastAsia" w:ascii="仿宋" w:hAnsi="仿宋" w:eastAsia="仿宋" w:cs="仿宋"/>
                <w:sz w:val="24"/>
              </w:rPr>
            </w:pPr>
          </w:p>
        </w:tc>
        <w:tc>
          <w:tcPr>
            <w:tcW w:w="882" w:type="dxa"/>
            <w:noWrap w:val="0"/>
            <w:vAlign w:val="top"/>
          </w:tcPr>
          <w:p>
            <w:pPr>
              <w:spacing w:line="360" w:lineRule="auto"/>
              <w:jc w:val="center"/>
              <w:rPr>
                <w:rFonts w:hint="eastAsia" w:ascii="仿宋" w:hAnsi="仿宋" w:eastAsia="仿宋" w:cs="仿宋"/>
                <w:sz w:val="24"/>
              </w:rPr>
            </w:pPr>
          </w:p>
        </w:tc>
        <w:tc>
          <w:tcPr>
            <w:tcW w:w="2275" w:type="dxa"/>
            <w:noWrap w:val="0"/>
            <w:vAlign w:val="top"/>
          </w:tcPr>
          <w:p>
            <w:pPr>
              <w:spacing w:line="360" w:lineRule="auto"/>
              <w:jc w:val="center"/>
              <w:rPr>
                <w:rFonts w:hint="eastAsia" w:ascii="仿宋" w:hAnsi="仿宋" w:eastAsia="仿宋" w:cs="仿宋"/>
                <w:sz w:val="24"/>
              </w:rPr>
            </w:pPr>
          </w:p>
        </w:tc>
      </w:tr>
    </w:tbl>
    <w:p>
      <w:pPr>
        <w:adjustRightInd w:val="0"/>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sz w:val="24"/>
          <w:szCs w:val="24"/>
        </w:rPr>
        <w:t>注：本表填写人员为拟投入本项目人员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后附相关证书。</w:t>
      </w:r>
    </w:p>
    <w:p>
      <w:pPr>
        <w:adjustRightInd w:val="0"/>
        <w:snapToGrid w:val="0"/>
        <w:spacing w:line="360" w:lineRule="auto"/>
        <w:ind w:firstLine="480" w:firstLineChars="200"/>
        <w:rPr>
          <w:rFonts w:ascii="仿宋" w:hAnsi="仿宋" w:eastAsia="仿宋" w:cs="仿宋"/>
          <w:bCs/>
          <w:color w:val="000000"/>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rPr>
          <w:rFonts w:ascii="仿宋" w:hAnsi="仿宋" w:eastAsia="仿宋" w:cs="仿宋"/>
        </w:rPr>
        <w:sectPr>
          <w:pgSz w:w="11906" w:h="16838"/>
          <w:pgMar w:top="1418" w:right="1474" w:bottom="1418" w:left="1474" w:header="851" w:footer="992" w:gutter="0"/>
          <w:cols w:space="720" w:num="1"/>
          <w:docGrid w:linePitch="312" w:charSpace="0"/>
        </w:sectPr>
      </w:pPr>
      <w:r>
        <w:rPr>
          <w:rFonts w:hint="eastAsia" w:ascii="仿宋" w:hAnsi="仿宋" w:eastAsia="仿宋" w:cs="仿宋"/>
          <w:sz w:val="32"/>
          <w:szCs w:val="21"/>
        </w:rPr>
        <w:br w:type="page"/>
      </w:r>
    </w:p>
    <w:p>
      <w:pPr>
        <w:pStyle w:val="4"/>
        <w:spacing w:line="360" w:lineRule="auto"/>
        <w:rPr>
          <w:rFonts w:ascii="宋体" w:hAnsi="宋体" w:eastAsia="宋体" w:cs="宋体"/>
          <w:sz w:val="32"/>
          <w:szCs w:val="21"/>
        </w:rPr>
      </w:pPr>
      <w:bookmarkStart w:id="558" w:name="_Toc23710"/>
      <w:bookmarkStart w:id="559" w:name="_Toc32065"/>
      <w:bookmarkStart w:id="560" w:name="_Toc8518"/>
      <w:bookmarkStart w:id="561" w:name="_Toc20815"/>
      <w:bookmarkStart w:id="562" w:name="_Toc15879"/>
      <w:bookmarkStart w:id="563" w:name="_Toc17529"/>
      <w:bookmarkStart w:id="564" w:name="_Toc12819"/>
      <w:bookmarkStart w:id="565" w:name="_Toc1756"/>
      <w:bookmarkStart w:id="566" w:name="_Toc21236"/>
      <w:r>
        <w:rPr>
          <w:rFonts w:hint="eastAsia" w:ascii="宋体" w:hAnsi="宋体" w:eastAsia="宋体" w:cs="宋体"/>
          <w:sz w:val="32"/>
          <w:szCs w:val="21"/>
          <w:lang w:val="zh-CN"/>
        </w:rPr>
        <w:t>七、</w:t>
      </w:r>
      <w:bookmarkEnd w:id="558"/>
      <w:bookmarkEnd w:id="559"/>
      <w:bookmarkEnd w:id="560"/>
      <w:bookmarkEnd w:id="561"/>
      <w:bookmarkEnd w:id="562"/>
      <w:bookmarkEnd w:id="563"/>
      <w:bookmarkEnd w:id="564"/>
      <w:r>
        <w:rPr>
          <w:rFonts w:hint="eastAsia" w:ascii="宋体" w:hAnsi="宋体" w:eastAsia="宋体" w:cs="宋体"/>
          <w:sz w:val="32"/>
          <w:szCs w:val="21"/>
          <w:lang w:val="zh-CN"/>
        </w:rPr>
        <w:t>服务方案</w:t>
      </w:r>
      <w:bookmarkEnd w:id="565"/>
      <w:bookmarkEnd w:id="566"/>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供应商根据打分项自行编制。</w:t>
      </w:r>
    </w:p>
    <w:p>
      <w:r>
        <w:rPr>
          <w:rFonts w:hint="eastAsia" w:ascii="仿宋" w:hAnsi="仿宋" w:eastAsia="仿宋" w:cs="仿宋"/>
          <w:sz w:val="24"/>
          <w:szCs w:val="24"/>
          <w:lang w:val="zh-CN"/>
        </w:rPr>
        <w:br w:type="page"/>
      </w:r>
      <w:bookmarkStart w:id="567" w:name="_Toc205"/>
      <w:bookmarkStart w:id="568" w:name="_Toc27331"/>
      <w:bookmarkStart w:id="569" w:name="_Toc3076"/>
    </w:p>
    <w:p>
      <w:pPr>
        <w:pStyle w:val="41"/>
        <w:pageBreakBefore/>
        <w:ind w:firstLine="0" w:firstLineChars="0"/>
        <w:jc w:val="center"/>
        <w:outlineLvl w:val="1"/>
        <w:rPr>
          <w:rStyle w:val="37"/>
          <w:rFonts w:ascii="仿宋" w:hAnsi="仿宋" w:eastAsia="仿宋" w:cs="仿宋"/>
          <w:sz w:val="32"/>
          <w:szCs w:val="21"/>
        </w:rPr>
      </w:pPr>
      <w:bookmarkStart w:id="570" w:name="_Toc14286"/>
      <w:r>
        <w:rPr>
          <w:rStyle w:val="37"/>
          <w:rFonts w:hint="eastAsia" w:ascii="仿宋" w:hAnsi="仿宋" w:eastAsia="仿宋" w:cs="仿宋"/>
          <w:sz w:val="32"/>
          <w:szCs w:val="21"/>
        </w:rPr>
        <w:t>八、</w:t>
      </w:r>
      <w:bookmarkEnd w:id="567"/>
      <w:bookmarkEnd w:id="568"/>
      <w:bookmarkEnd w:id="569"/>
      <w:r>
        <w:rPr>
          <w:rStyle w:val="37"/>
          <w:rFonts w:hint="eastAsia" w:ascii="仿宋" w:hAnsi="仿宋" w:eastAsia="仿宋" w:cs="仿宋"/>
          <w:sz w:val="32"/>
          <w:szCs w:val="21"/>
          <w:lang w:val="zh-CN"/>
        </w:rPr>
        <w:t>质量保障</w:t>
      </w:r>
      <w:bookmarkEnd w:id="570"/>
    </w:p>
    <w:p>
      <w:pPr>
        <w:spacing w:line="360" w:lineRule="auto"/>
        <w:ind w:firstLine="3840" w:firstLineChars="1200"/>
        <w:rPr>
          <w:rFonts w:ascii="仿宋" w:hAnsi="仿宋" w:eastAsia="仿宋" w:cs="仿宋"/>
          <w:sz w:val="32"/>
          <w:szCs w:val="32"/>
        </w:rPr>
      </w:pPr>
    </w:p>
    <w:p>
      <w:pPr>
        <w:spacing w:line="360" w:lineRule="auto"/>
        <w:jc w:val="center"/>
        <w:rPr>
          <w:rFonts w:ascii="仿宋" w:hAnsi="仿宋" w:eastAsia="仿宋" w:cs="仿宋"/>
          <w:sz w:val="24"/>
          <w:szCs w:val="24"/>
        </w:rPr>
      </w:pPr>
      <w:r>
        <w:rPr>
          <w:rFonts w:hint="eastAsia" w:ascii="仿宋" w:hAnsi="仿宋" w:eastAsia="仿宋" w:cs="仿宋"/>
          <w:sz w:val="24"/>
          <w:szCs w:val="24"/>
        </w:rPr>
        <w:t>格式自定</w:t>
      </w:r>
    </w:p>
    <w:p>
      <w:pPr>
        <w:pStyle w:val="41"/>
        <w:pageBreakBefore/>
        <w:ind w:firstLine="0" w:firstLineChars="0"/>
        <w:jc w:val="center"/>
        <w:outlineLvl w:val="1"/>
        <w:rPr>
          <w:rStyle w:val="37"/>
          <w:rFonts w:ascii="仿宋" w:hAnsi="仿宋" w:eastAsia="仿宋" w:cs="仿宋"/>
        </w:rPr>
      </w:pPr>
      <w:bookmarkStart w:id="571" w:name="_Toc8763"/>
      <w:r>
        <w:rPr>
          <w:rStyle w:val="37"/>
          <w:rFonts w:hint="eastAsia" w:ascii="仿宋" w:hAnsi="仿宋" w:eastAsia="仿宋" w:cs="仿宋"/>
          <w:sz w:val="32"/>
          <w:szCs w:val="21"/>
        </w:rPr>
        <w:t>九、供应商资格证明文件</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71"/>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（1）基本资格条件：符合《中华人民共和国政府采购法》第二十二条的规定；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1、具有独立承担民事责任能力的法人或其他组织，并出具有效的营业执照/事业单位法人证书/非企业专业服务机构执业许可证/民办非企业单位登记证书/自然人的身份证明；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2、财务状况报告：提供具有财务审计资质单位出具的</w:t>
      </w:r>
      <w:r>
        <w:rPr>
          <w:rFonts w:hint="eastAsia" w:ascii="仿宋" w:hAnsi="仿宋" w:eastAsia="仿宋" w:cs="仿宋"/>
          <w:sz w:val="24"/>
          <w:szCs w:val="24"/>
          <w:lang w:eastAsia="zh-CN"/>
        </w:rPr>
        <w:t>2020年度</w:t>
      </w:r>
      <w:r>
        <w:rPr>
          <w:rFonts w:hint="eastAsia" w:ascii="仿宋" w:hAnsi="仿宋" w:eastAsia="仿宋" w:cs="仿宋"/>
          <w:sz w:val="24"/>
          <w:szCs w:val="24"/>
        </w:rPr>
        <w:t xml:space="preserve">财务报告或磋商前六个月内其基本账户银行出具的资信证明（附基本户证明资料）或政府采购信用担保机构出具的磋商担保函；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3、具有依法缴纳税收的良好记录（提供磋商前6个月任意一个月的缴纳证明）；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4、具有依法缴纳社会保障资金的良好记录（提供磋商前6个月任意一个月的缴纳证明）</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提供具有履行本合同所必需的设备和专业技术能力的说明及承诺；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、出具参加本次政府采购活动前三年内在经营活动中没有重大违法记录的书面声明；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说明：依法免税或不需要缴纳社会保障资金的供应商，提供相应文件证明其依法免税或者不需要缴纳保障资金。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（2）特定资格条件：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1、法定代表人直接参加磋商的，须出具法人身份证；法定代表人授权代表参加磋商的，须出具法定代表人授权书及授权代表身份证（有效的劳动合同或磋商截止前三个月的养老保险缴纳证明）；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2、符合《财政部关于在政府采购活动中查询及使用信用记录有关问题的通知》（财库【2016】125号）文件中信用查询的要求；（此项由采购人与采购代理单位在开标时查询，以现场查询为准）</w:t>
      </w:r>
    </w:p>
    <w:p>
      <w:pPr>
        <w:pageBreakBefore/>
        <w:spacing w:line="360" w:lineRule="auto"/>
        <w:jc w:val="center"/>
        <w:rPr>
          <w:rFonts w:ascii="仿宋" w:hAnsi="仿宋" w:eastAsia="仿宋" w:cs="仿宋"/>
          <w:b/>
          <w:bCs/>
          <w:sz w:val="32"/>
          <w:szCs w:val="32"/>
        </w:rPr>
      </w:pPr>
      <w:r>
        <w:rPr>
          <w:rFonts w:hint="eastAsia" w:ascii="仿宋" w:hAnsi="仿宋" w:eastAsia="仿宋" w:cs="仿宋"/>
          <w:b/>
          <w:bCs/>
          <w:sz w:val="32"/>
          <w:szCs w:val="32"/>
        </w:rPr>
        <w:t>供应商基本情况表</w:t>
      </w:r>
    </w:p>
    <w:tbl>
      <w:tblPr>
        <w:tblStyle w:val="24"/>
        <w:tblW w:w="921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供应商名称</w:t>
            </w:r>
          </w:p>
        </w:tc>
        <w:tc>
          <w:tcPr>
            <w:tcW w:w="3630" w:type="dxa"/>
            <w:gridSpan w:val="3"/>
            <w:vAlign w:val="center"/>
          </w:tcPr>
          <w:p>
            <w:pPr>
              <w:topLinePunct/>
              <w:spacing w:line="360" w:lineRule="auto"/>
              <w:jc w:val="center"/>
              <w:rPr>
                <w:rFonts w:ascii="仿宋" w:hAnsi="仿宋" w:eastAsia="仿宋" w:cs="仿宋"/>
                <w:sz w:val="24"/>
                <w:szCs w:val="24"/>
              </w:rPr>
            </w:pPr>
          </w:p>
        </w:tc>
        <w:tc>
          <w:tcPr>
            <w:tcW w:w="1620"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法定代表人</w:t>
            </w:r>
          </w:p>
        </w:tc>
        <w:tc>
          <w:tcPr>
            <w:tcW w:w="1657" w:type="dxa"/>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3630" w:type="dxa"/>
            <w:gridSpan w:val="3"/>
            <w:vAlign w:val="center"/>
          </w:tcPr>
          <w:p>
            <w:pPr>
              <w:topLinePunct/>
              <w:spacing w:line="360" w:lineRule="auto"/>
              <w:jc w:val="center"/>
              <w:rPr>
                <w:rFonts w:ascii="仿宋" w:hAnsi="仿宋" w:eastAsia="仿宋" w:cs="仿宋"/>
                <w:sz w:val="24"/>
                <w:szCs w:val="24"/>
              </w:rPr>
            </w:pPr>
          </w:p>
        </w:tc>
        <w:tc>
          <w:tcPr>
            <w:tcW w:w="1620"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邮政编码</w:t>
            </w:r>
          </w:p>
        </w:tc>
        <w:tc>
          <w:tcPr>
            <w:tcW w:w="1657" w:type="dxa"/>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上年营业收入</w:t>
            </w:r>
          </w:p>
        </w:tc>
        <w:tc>
          <w:tcPr>
            <w:tcW w:w="3630" w:type="dxa"/>
            <w:gridSpan w:val="3"/>
            <w:vAlign w:val="center"/>
          </w:tcPr>
          <w:p>
            <w:pPr>
              <w:topLinePunct/>
              <w:spacing w:line="360" w:lineRule="auto"/>
              <w:jc w:val="center"/>
              <w:rPr>
                <w:rFonts w:ascii="仿宋" w:hAnsi="仿宋" w:eastAsia="仿宋" w:cs="仿宋"/>
                <w:sz w:val="24"/>
                <w:szCs w:val="24"/>
              </w:rPr>
            </w:pPr>
          </w:p>
        </w:tc>
        <w:tc>
          <w:tcPr>
            <w:tcW w:w="1620"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员工总人数</w:t>
            </w:r>
          </w:p>
        </w:tc>
        <w:tc>
          <w:tcPr>
            <w:tcW w:w="1657" w:type="dxa"/>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营业执照</w:t>
            </w: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注册号码</w:t>
            </w:r>
          </w:p>
        </w:tc>
        <w:tc>
          <w:tcPr>
            <w:tcW w:w="2205" w:type="dxa"/>
            <w:vAlign w:val="center"/>
          </w:tcPr>
          <w:p>
            <w:pPr>
              <w:topLinePunct/>
              <w:spacing w:line="360" w:lineRule="auto"/>
              <w:jc w:val="center"/>
              <w:rPr>
                <w:rFonts w:ascii="仿宋" w:hAnsi="仿宋" w:eastAsia="仿宋" w:cs="仿宋"/>
                <w:sz w:val="24"/>
                <w:szCs w:val="24"/>
              </w:rPr>
            </w:pPr>
          </w:p>
        </w:tc>
        <w:tc>
          <w:tcPr>
            <w:tcW w:w="1425"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注册地址</w:t>
            </w:r>
          </w:p>
        </w:tc>
        <w:tc>
          <w:tcPr>
            <w:tcW w:w="3277" w:type="dxa"/>
            <w:gridSpan w:val="2"/>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ascii="仿宋" w:hAnsi="仿宋" w:eastAsia="仿宋" w:cs="仿宋"/>
                <w:sz w:val="24"/>
                <w:szCs w:val="24"/>
              </w:rPr>
            </w:pP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2205" w:type="dxa"/>
            <w:vAlign w:val="center"/>
          </w:tcPr>
          <w:p>
            <w:pPr>
              <w:topLinePunct/>
              <w:spacing w:line="360" w:lineRule="auto"/>
              <w:jc w:val="center"/>
              <w:rPr>
                <w:rFonts w:ascii="仿宋" w:hAnsi="仿宋" w:eastAsia="仿宋" w:cs="仿宋"/>
                <w:sz w:val="24"/>
                <w:szCs w:val="24"/>
              </w:rPr>
            </w:pPr>
          </w:p>
        </w:tc>
        <w:tc>
          <w:tcPr>
            <w:tcW w:w="1425"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发证日期</w:t>
            </w:r>
          </w:p>
        </w:tc>
        <w:tc>
          <w:tcPr>
            <w:tcW w:w="3277" w:type="dxa"/>
            <w:gridSpan w:val="2"/>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718" w:type="dxa"/>
            <w:vMerge w:val="continue"/>
            <w:vAlign w:val="center"/>
          </w:tcPr>
          <w:p>
            <w:pPr>
              <w:topLinePunct/>
              <w:spacing w:line="360" w:lineRule="auto"/>
              <w:jc w:val="center"/>
              <w:rPr>
                <w:rFonts w:ascii="仿宋" w:hAnsi="仿宋" w:eastAsia="仿宋" w:cs="仿宋"/>
                <w:sz w:val="24"/>
                <w:szCs w:val="24"/>
              </w:rPr>
            </w:pP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（主营）</w:t>
            </w:r>
          </w:p>
        </w:tc>
        <w:tc>
          <w:tcPr>
            <w:tcW w:w="6907" w:type="dxa"/>
            <w:gridSpan w:val="5"/>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ascii="仿宋" w:hAnsi="仿宋" w:eastAsia="仿宋" w:cs="仿宋"/>
                <w:sz w:val="24"/>
                <w:szCs w:val="24"/>
              </w:rPr>
            </w:pP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（兼营）</w:t>
            </w:r>
          </w:p>
        </w:tc>
        <w:tc>
          <w:tcPr>
            <w:tcW w:w="6907" w:type="dxa"/>
            <w:gridSpan w:val="5"/>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基本账户开户行及账号</w:t>
            </w:r>
          </w:p>
        </w:tc>
        <w:tc>
          <w:tcPr>
            <w:tcW w:w="6907" w:type="dxa"/>
            <w:gridSpan w:val="5"/>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资产总额（万元）</w:t>
            </w:r>
          </w:p>
        </w:tc>
        <w:tc>
          <w:tcPr>
            <w:tcW w:w="6907" w:type="dxa"/>
            <w:gridSpan w:val="5"/>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资质名称</w:t>
            </w:r>
          </w:p>
        </w:tc>
        <w:tc>
          <w:tcPr>
            <w:tcW w:w="2403"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等级</w:t>
            </w:r>
          </w:p>
        </w:tc>
        <w:tc>
          <w:tcPr>
            <w:tcW w:w="1227"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3277"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ascii="仿宋" w:hAnsi="仿宋" w:eastAsia="仿宋" w:cs="仿宋"/>
                <w:sz w:val="24"/>
                <w:szCs w:val="24"/>
              </w:rPr>
            </w:pPr>
          </w:p>
        </w:tc>
        <w:tc>
          <w:tcPr>
            <w:tcW w:w="2403" w:type="dxa"/>
            <w:gridSpan w:val="2"/>
            <w:vAlign w:val="center"/>
          </w:tcPr>
          <w:p>
            <w:pPr>
              <w:topLinePunct/>
              <w:spacing w:line="360" w:lineRule="auto"/>
              <w:jc w:val="center"/>
              <w:rPr>
                <w:rFonts w:ascii="仿宋" w:hAnsi="仿宋" w:eastAsia="仿宋" w:cs="仿宋"/>
                <w:sz w:val="24"/>
                <w:szCs w:val="24"/>
              </w:rPr>
            </w:pPr>
          </w:p>
        </w:tc>
        <w:tc>
          <w:tcPr>
            <w:tcW w:w="1227" w:type="dxa"/>
            <w:vAlign w:val="center"/>
          </w:tcPr>
          <w:p>
            <w:pPr>
              <w:topLinePunct/>
              <w:spacing w:line="360" w:lineRule="auto"/>
              <w:jc w:val="center"/>
              <w:rPr>
                <w:rFonts w:ascii="仿宋" w:hAnsi="仿宋" w:eastAsia="仿宋" w:cs="仿宋"/>
                <w:sz w:val="24"/>
                <w:szCs w:val="24"/>
              </w:rPr>
            </w:pPr>
          </w:p>
        </w:tc>
        <w:tc>
          <w:tcPr>
            <w:tcW w:w="3277" w:type="dxa"/>
            <w:gridSpan w:val="2"/>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ascii="仿宋" w:hAnsi="仿宋" w:eastAsia="仿宋" w:cs="仿宋"/>
                <w:sz w:val="24"/>
                <w:szCs w:val="24"/>
              </w:rPr>
            </w:pPr>
          </w:p>
        </w:tc>
        <w:tc>
          <w:tcPr>
            <w:tcW w:w="2403" w:type="dxa"/>
            <w:gridSpan w:val="2"/>
            <w:vAlign w:val="center"/>
          </w:tcPr>
          <w:p>
            <w:pPr>
              <w:topLinePunct/>
              <w:spacing w:line="360" w:lineRule="auto"/>
              <w:jc w:val="center"/>
              <w:rPr>
                <w:rFonts w:ascii="仿宋" w:hAnsi="仿宋" w:eastAsia="仿宋" w:cs="仿宋"/>
                <w:sz w:val="24"/>
                <w:szCs w:val="24"/>
              </w:rPr>
            </w:pPr>
          </w:p>
        </w:tc>
        <w:tc>
          <w:tcPr>
            <w:tcW w:w="1227" w:type="dxa"/>
            <w:vAlign w:val="center"/>
          </w:tcPr>
          <w:p>
            <w:pPr>
              <w:topLinePunct/>
              <w:spacing w:line="360" w:lineRule="auto"/>
              <w:jc w:val="center"/>
              <w:rPr>
                <w:rFonts w:ascii="仿宋" w:hAnsi="仿宋" w:eastAsia="仿宋" w:cs="仿宋"/>
                <w:sz w:val="24"/>
                <w:szCs w:val="24"/>
              </w:rPr>
            </w:pPr>
          </w:p>
        </w:tc>
        <w:tc>
          <w:tcPr>
            <w:tcW w:w="3277" w:type="dxa"/>
            <w:gridSpan w:val="2"/>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c>
          <w:tcPr>
            <w:tcW w:w="7960" w:type="dxa"/>
            <w:gridSpan w:val="6"/>
            <w:vAlign w:val="center"/>
          </w:tcPr>
          <w:p>
            <w:pPr>
              <w:topLinePunct/>
              <w:spacing w:line="360" w:lineRule="auto"/>
              <w:jc w:val="center"/>
              <w:rPr>
                <w:rFonts w:ascii="仿宋" w:hAnsi="仿宋" w:eastAsia="仿宋" w:cs="仿宋"/>
                <w:sz w:val="24"/>
                <w:szCs w:val="24"/>
              </w:rPr>
            </w:pPr>
          </w:p>
        </w:tc>
      </w:tr>
    </w:tbl>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说明：企业类型指大型、中型、小型、微型；上年营业收入、资产总额要与财务报表中的数据一致；资质指特定条件要求提供的资质。</w:t>
      </w:r>
    </w:p>
    <w:p>
      <w:pPr>
        <w:spacing w:line="360" w:lineRule="auto"/>
        <w:ind w:firstLine="3840" w:firstLineChars="1600"/>
        <w:rPr>
          <w:rFonts w:ascii="仿宋" w:hAnsi="仿宋" w:eastAsia="仿宋" w:cs="仿宋"/>
          <w:sz w:val="24"/>
          <w:szCs w:val="24"/>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rPr>
        <w:sectPr>
          <w:pgSz w:w="11906" w:h="16838"/>
          <w:pgMar w:top="1418" w:right="1474" w:bottom="1418" w:left="1474" w:header="851" w:footer="992" w:gutter="0"/>
          <w:cols w:space="72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jc w:val="center"/>
        <w:outlineLvl w:val="2"/>
        <w:rPr>
          <w:rFonts w:ascii="仿宋" w:hAnsi="仿宋" w:eastAsia="仿宋" w:cs="仿宋"/>
          <w:b/>
          <w:sz w:val="40"/>
          <w:szCs w:val="40"/>
        </w:rPr>
      </w:pPr>
      <w:bookmarkStart w:id="572" w:name="_Toc18949"/>
      <w:bookmarkStart w:id="573" w:name="_Toc4022"/>
      <w:bookmarkStart w:id="574" w:name="_Toc495681251"/>
      <w:bookmarkStart w:id="575" w:name="_Toc495671262"/>
      <w:bookmarkStart w:id="576" w:name="_Toc495681405"/>
      <w:bookmarkStart w:id="577" w:name="_Toc495908047"/>
      <w:bookmarkStart w:id="578" w:name="_Toc495681532"/>
      <w:bookmarkStart w:id="579" w:name="_Toc31488"/>
      <w:bookmarkStart w:id="580" w:name="_Toc27035"/>
      <w:bookmarkStart w:id="581" w:name="_Toc495681414"/>
      <w:bookmarkStart w:id="582" w:name="_Toc495908056"/>
      <w:bookmarkStart w:id="583" w:name="_Toc495681541"/>
      <w:bookmarkStart w:id="584" w:name="_Toc495681260"/>
      <w:bookmarkStart w:id="585" w:name="_Toc495671271"/>
      <w:r>
        <w:rPr>
          <w:rFonts w:hint="eastAsia" w:ascii="仿宋" w:hAnsi="仿宋" w:eastAsia="仿宋" w:cs="仿宋"/>
          <w:b/>
          <w:bCs/>
          <w:sz w:val="28"/>
          <w:szCs w:val="28"/>
        </w:rPr>
        <w:t>（一）供应商</w:t>
      </w:r>
      <w:r>
        <w:rPr>
          <w:rFonts w:hint="eastAsia" w:ascii="仿宋" w:hAnsi="仿宋" w:eastAsia="仿宋" w:cs="仿宋"/>
          <w:b/>
          <w:bCs/>
          <w:sz w:val="28"/>
          <w:szCs w:val="28"/>
          <w:lang w:val="zh-CN"/>
        </w:rPr>
        <w:t>的营业执照等证明文件或自然人的身份证明</w:t>
      </w:r>
      <w:bookmarkEnd w:id="572"/>
      <w:bookmarkEnd w:id="573"/>
    </w:p>
    <w:p>
      <w:pPr>
        <w:pStyle w:val="16"/>
        <w:adjustRightInd w:val="0"/>
        <w:snapToGrid w:val="0"/>
        <w:spacing w:line="360" w:lineRule="auto"/>
        <w:rPr>
          <w:rFonts w:ascii="仿宋" w:hAnsi="仿宋" w:eastAsia="仿宋" w:cs="仿宋"/>
        </w:rPr>
      </w:pPr>
    </w:p>
    <w:p>
      <w:pPr>
        <w:pStyle w:val="16"/>
        <w:adjustRightInd w:val="0"/>
        <w:snapToGrid w:val="0"/>
        <w:spacing w:line="360" w:lineRule="auto"/>
        <w:rPr>
          <w:rFonts w:ascii="仿宋" w:hAnsi="仿宋" w:eastAsia="仿宋" w:cs="仿宋"/>
        </w:rPr>
      </w:pPr>
    </w:p>
    <w:p>
      <w:pPr>
        <w:autoSpaceDE w:val="0"/>
        <w:autoSpaceDN w:val="0"/>
        <w:adjustRightInd w:val="0"/>
        <w:snapToGrid w:val="0"/>
        <w:spacing w:before="120" w:line="360" w:lineRule="auto"/>
        <w:jc w:val="left"/>
        <w:rPr>
          <w:rFonts w:ascii="仿宋" w:hAnsi="仿宋" w:eastAsia="仿宋" w:cs="仿宋"/>
          <w:sz w:val="24"/>
          <w:szCs w:val="24"/>
        </w:rPr>
      </w:pPr>
      <w:r>
        <w:rPr>
          <w:rFonts w:hint="eastAsia" w:ascii="仿宋" w:hAnsi="仿宋" w:eastAsia="仿宋" w:cs="仿宋"/>
          <w:sz w:val="24"/>
          <w:szCs w:val="24"/>
        </w:rPr>
        <w:t>说明：</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（1）企业单位磋商提供有效的营业执照（3证合1或多证合1）；</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（2）事业单位磋商提供有效的法人证书（带有社会统一信用代码）；</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（3）其他组织磋商提供有效的登记证书（带有社会统一信用代码）；</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（4）自然人磋商提供有效的身份证复印件；</w:t>
      </w:r>
    </w:p>
    <w:p>
      <w:pPr>
        <w:pageBreakBefore/>
        <w:spacing w:line="360" w:lineRule="auto"/>
        <w:jc w:val="center"/>
        <w:outlineLvl w:val="2"/>
        <w:rPr>
          <w:rFonts w:ascii="仿宋" w:hAnsi="仿宋" w:eastAsia="仿宋" w:cs="仿宋"/>
          <w:b/>
          <w:sz w:val="28"/>
          <w:szCs w:val="28"/>
        </w:rPr>
      </w:pPr>
      <w:bookmarkStart w:id="586" w:name="_Toc29646"/>
      <w:bookmarkStart w:id="587" w:name="_Toc6641"/>
      <w:r>
        <w:rPr>
          <w:rFonts w:hint="eastAsia" w:ascii="仿宋" w:hAnsi="仿宋" w:eastAsia="仿宋" w:cs="仿宋"/>
          <w:b/>
          <w:bCs/>
          <w:sz w:val="28"/>
          <w:szCs w:val="28"/>
          <w:lang w:val="zh-CN"/>
        </w:rPr>
        <w:t>（二）法定代表人身份证明/法定代表人授权书</w:t>
      </w:r>
      <w:bookmarkEnd w:id="574"/>
      <w:bookmarkEnd w:id="575"/>
      <w:bookmarkEnd w:id="576"/>
      <w:bookmarkEnd w:id="577"/>
      <w:bookmarkEnd w:id="578"/>
      <w:bookmarkEnd w:id="579"/>
      <w:bookmarkEnd w:id="580"/>
      <w:bookmarkEnd w:id="586"/>
      <w:bookmarkEnd w:id="587"/>
    </w:p>
    <w:p>
      <w:pPr>
        <w:adjustRightInd w:val="0"/>
        <w:snapToGrid w:val="0"/>
        <w:spacing w:line="360" w:lineRule="auto"/>
        <w:jc w:val="center"/>
        <w:rPr>
          <w:rFonts w:ascii="仿宋" w:hAnsi="仿宋" w:eastAsia="仿宋" w:cs="仿宋"/>
          <w:b/>
          <w:sz w:val="24"/>
          <w:szCs w:val="24"/>
        </w:rPr>
      </w:pPr>
      <w:bookmarkStart w:id="588" w:name="_Toc495908048"/>
      <w:bookmarkStart w:id="589" w:name="_Toc495681252"/>
      <w:bookmarkStart w:id="590" w:name="_Toc1610"/>
      <w:bookmarkStart w:id="591" w:name="_Toc495681533"/>
      <w:bookmarkStart w:id="592" w:name="_Toc495681406"/>
      <w:bookmarkStart w:id="593" w:name="_Toc495671263"/>
      <w:r>
        <w:rPr>
          <w:rFonts w:hint="eastAsia" w:ascii="仿宋" w:hAnsi="仿宋" w:eastAsia="仿宋" w:cs="仿宋"/>
          <w:b/>
          <w:sz w:val="24"/>
          <w:szCs w:val="24"/>
        </w:rPr>
        <w:t>1、法定代表人身份证明</w:t>
      </w:r>
      <w:bookmarkEnd w:id="588"/>
      <w:bookmarkEnd w:id="589"/>
      <w:bookmarkEnd w:id="590"/>
      <w:bookmarkEnd w:id="591"/>
      <w:bookmarkEnd w:id="592"/>
      <w:bookmarkEnd w:id="593"/>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统一社会信用代码：</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注册地址：</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日；经营期限：</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经营范围：主营：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；兼营：</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附：法定代表人身份证复印件</w:t>
      </w:r>
    </w:p>
    <w:tbl>
      <w:tblPr>
        <w:tblStyle w:val="24"/>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ascii="仿宋" w:hAnsi="仿宋" w:eastAsia="仿宋" w:cs="仿宋"/>
                <w:sz w:val="24"/>
                <w:szCs w:val="24"/>
                <w:u w:val="single"/>
              </w:rPr>
            </w:pPr>
            <w:r>
              <w:rPr>
                <w:rFonts w:hint="eastAsia" w:ascii="仿宋" w:hAnsi="仿宋" w:eastAsia="仿宋" w:cs="仿宋"/>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ascii="仿宋" w:hAnsi="仿宋" w:eastAsia="仿宋" w:cs="仿宋"/>
                <w:sz w:val="24"/>
                <w:szCs w:val="24"/>
                <w:u w:val="single"/>
              </w:rPr>
            </w:pPr>
            <w:r>
              <w:rPr>
                <w:rFonts w:hint="eastAsia" w:ascii="仿宋" w:hAnsi="仿宋" w:eastAsia="仿宋" w:cs="仿宋"/>
                <w:sz w:val="24"/>
                <w:szCs w:val="24"/>
                <w:lang w:val="zh-CN"/>
              </w:rPr>
              <w:t>复印件</w:t>
            </w:r>
          </w:p>
        </w:tc>
      </w:tr>
    </w:tbl>
    <w:p>
      <w:pPr>
        <w:spacing w:line="360" w:lineRule="auto"/>
        <w:ind w:right="-197" w:rightChars="-94"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说明：仅限法定代表人参加磋商时提供。</w:t>
      </w:r>
    </w:p>
    <w:p>
      <w:pPr>
        <w:spacing w:line="360" w:lineRule="auto"/>
        <w:ind w:firstLine="1920" w:firstLineChars="800"/>
        <w:rPr>
          <w:rFonts w:ascii="仿宋" w:hAnsi="仿宋" w:eastAsia="仿宋" w:cs="仿宋"/>
          <w:sz w:val="24"/>
          <w:szCs w:val="24"/>
        </w:rPr>
      </w:pPr>
    </w:p>
    <w:p>
      <w:pPr>
        <w:spacing w:line="360" w:lineRule="auto"/>
        <w:ind w:firstLine="5280" w:firstLineChars="22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5280" w:firstLineChars="2200"/>
        <w:rPr>
          <w:rFonts w:ascii="仿宋" w:hAnsi="仿宋" w:eastAsia="仿宋" w:cs="仿宋"/>
          <w:sz w:val="24"/>
          <w:szCs w:val="24"/>
          <w:u w:val="single"/>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adjustRightInd w:val="0"/>
        <w:snapToGrid w:val="0"/>
        <w:spacing w:line="360" w:lineRule="auto"/>
        <w:ind w:firstLine="5280" w:firstLineChars="22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br w:type="page"/>
      </w:r>
      <w:bookmarkStart w:id="594" w:name="_Toc495908049"/>
      <w:bookmarkStart w:id="595" w:name="_Toc495681253"/>
      <w:bookmarkStart w:id="596" w:name="_Toc495681534"/>
      <w:bookmarkStart w:id="597" w:name="_Toc18921"/>
      <w:bookmarkStart w:id="598" w:name="_Toc495671264"/>
      <w:bookmarkStart w:id="599" w:name="_Toc495681407"/>
      <w:r>
        <w:rPr>
          <w:rFonts w:hint="eastAsia" w:ascii="仿宋" w:hAnsi="仿宋" w:eastAsia="仿宋" w:cs="仿宋"/>
          <w:b/>
          <w:sz w:val="24"/>
          <w:szCs w:val="24"/>
        </w:rPr>
        <w:t>2、法定代表人授权书</w:t>
      </w:r>
      <w:bookmarkEnd w:id="594"/>
      <w:bookmarkEnd w:id="595"/>
      <w:bookmarkEnd w:id="596"/>
      <w:bookmarkEnd w:id="597"/>
      <w:bookmarkEnd w:id="598"/>
      <w:bookmarkEnd w:id="599"/>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lang w:val="zh-CN"/>
        </w:rPr>
        <w:t>陕西笃信招标有限公司：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注册于</w:t>
      </w:r>
      <w:r>
        <w:rPr>
          <w:rFonts w:hint="eastAsia" w:ascii="仿宋" w:hAnsi="仿宋" w:eastAsia="仿宋" w:cs="仿宋"/>
          <w:sz w:val="24"/>
          <w:szCs w:val="24"/>
          <w:u w:val="single"/>
          <w:lang w:val="zh-CN"/>
        </w:rPr>
        <w:t xml:space="preserve">      （工商行政管理局名称）</w:t>
      </w:r>
      <w:r>
        <w:rPr>
          <w:rFonts w:hint="eastAsia" w:ascii="仿宋" w:hAnsi="仿宋" w:eastAsia="仿宋" w:cs="仿宋"/>
          <w:sz w:val="24"/>
          <w:szCs w:val="24"/>
          <w:lang w:val="zh-CN"/>
        </w:rPr>
        <w:t>之</w:t>
      </w:r>
      <w:r>
        <w:rPr>
          <w:rFonts w:hint="eastAsia" w:ascii="仿宋" w:hAnsi="仿宋" w:eastAsia="仿宋" w:cs="仿宋"/>
          <w:sz w:val="24"/>
          <w:szCs w:val="24"/>
          <w:u w:val="single"/>
          <w:lang w:val="zh-CN"/>
        </w:rPr>
        <w:t xml:space="preserve">     （供应商全称）</w:t>
      </w:r>
      <w:r>
        <w:rPr>
          <w:rFonts w:hint="eastAsia" w:ascii="仿宋" w:hAnsi="仿宋" w:eastAsia="仿宋" w:cs="仿宋"/>
          <w:sz w:val="24"/>
          <w:szCs w:val="24"/>
          <w:lang w:val="zh-CN"/>
        </w:rPr>
        <w:t>的法定代表人</w:t>
      </w:r>
      <w:r>
        <w:rPr>
          <w:rFonts w:hint="eastAsia" w:ascii="仿宋" w:hAnsi="仿宋" w:eastAsia="仿宋" w:cs="仿宋"/>
          <w:sz w:val="24"/>
          <w:szCs w:val="24"/>
          <w:u w:val="single"/>
          <w:lang w:val="zh-CN"/>
        </w:rPr>
        <w:t xml:space="preserve">      （姓名）</w:t>
      </w:r>
      <w:r>
        <w:rPr>
          <w:rFonts w:hint="eastAsia" w:ascii="仿宋" w:hAnsi="仿宋" w:eastAsia="仿宋" w:cs="仿宋"/>
          <w:sz w:val="24"/>
          <w:szCs w:val="24"/>
          <w:lang w:val="zh-CN"/>
        </w:rPr>
        <w:t>授权</w:t>
      </w:r>
      <w:r>
        <w:rPr>
          <w:rFonts w:hint="eastAsia" w:ascii="仿宋" w:hAnsi="仿宋" w:eastAsia="仿宋" w:cs="仿宋"/>
          <w:sz w:val="24"/>
          <w:szCs w:val="24"/>
          <w:u w:val="single"/>
          <w:lang w:val="zh-CN"/>
        </w:rPr>
        <w:t xml:space="preserve">     （被授权人姓名）</w:t>
      </w:r>
      <w:r>
        <w:rPr>
          <w:rFonts w:hint="eastAsia" w:ascii="仿宋" w:hAnsi="仿宋" w:eastAsia="仿宋" w:cs="仿宋"/>
          <w:sz w:val="24"/>
          <w:szCs w:val="24"/>
        </w:rPr>
        <w:t>为我方合法委托代理人。代理人根据授权，以我方名义签署、澄清、说明、递交、撤回、修改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磋商响应文件、签订合同和处理有关事宜，其法律后果由我方承担。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     字）</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5520" w:firstLineChars="23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本授权有效期：自开标之日起90日历日。</w:t>
      </w:r>
    </w:p>
    <w:p>
      <w:pPr>
        <w:spacing w:line="360" w:lineRule="auto"/>
        <w:ind w:firstLine="420"/>
        <w:rPr>
          <w:rFonts w:ascii="仿宋" w:hAnsi="仿宋" w:eastAsia="仿宋" w:cs="仿宋"/>
          <w:bCs/>
          <w:sz w:val="24"/>
          <w:szCs w:val="24"/>
        </w:rPr>
      </w:pPr>
    </w:p>
    <w:p>
      <w:pPr>
        <w:spacing w:line="360" w:lineRule="auto"/>
        <w:ind w:firstLine="420"/>
        <w:rPr>
          <w:rFonts w:ascii="仿宋" w:hAnsi="仿宋" w:eastAsia="仿宋" w:cs="仿宋"/>
          <w:bCs/>
          <w:sz w:val="24"/>
          <w:szCs w:val="24"/>
        </w:rPr>
      </w:pPr>
    </w:p>
    <w:p>
      <w:pPr>
        <w:spacing w:line="360" w:lineRule="auto"/>
        <w:ind w:firstLine="480" w:firstLineChars="200"/>
        <w:rPr>
          <w:rFonts w:ascii="仿宋" w:hAnsi="仿宋" w:eastAsia="仿宋" w:cs="仿宋"/>
          <w:bCs/>
          <w:sz w:val="24"/>
          <w:szCs w:val="24"/>
        </w:rPr>
      </w:pPr>
    </w:p>
    <w:p>
      <w:pPr>
        <w:spacing w:line="360" w:lineRule="auto"/>
        <w:ind w:firstLine="480" w:firstLineChars="200"/>
        <w:rPr>
          <w:rFonts w:ascii="仿宋" w:hAnsi="仿宋" w:eastAsia="仿宋" w:cs="仿宋"/>
          <w:bCs/>
          <w:sz w:val="24"/>
          <w:szCs w:val="24"/>
        </w:rPr>
      </w:pPr>
    </w:p>
    <w:p>
      <w:pPr>
        <w:spacing w:line="360" w:lineRule="auto"/>
        <w:ind w:firstLine="480" w:firstLineChars="200"/>
        <w:rPr>
          <w:rFonts w:ascii="仿宋" w:hAnsi="仿宋" w:eastAsia="仿宋" w:cs="仿宋"/>
          <w:sz w:val="24"/>
          <w:szCs w:val="24"/>
          <w:lang w:val="zh-CN"/>
        </w:rPr>
      </w:pPr>
    </w:p>
    <w:p>
      <w:pPr>
        <w:spacing w:line="360" w:lineRule="auto"/>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后</w:t>
      </w:r>
      <w:r>
        <w:rPr>
          <w:rFonts w:hint="eastAsia" w:ascii="仿宋" w:hAnsi="仿宋" w:eastAsia="仿宋" w:cs="仿宋"/>
          <w:sz w:val="24"/>
          <w:szCs w:val="24"/>
        </w:rPr>
        <w:t>附被授权代表本单位证明：有效的劳动合同或磋商截止前三个月的养老保险缴纳证明。</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eastAsia="zh-CN"/>
        </w:rPr>
        <w:t>后</w:t>
      </w:r>
      <w:r>
        <w:rPr>
          <w:rFonts w:hint="eastAsia" w:ascii="仿宋" w:hAnsi="仿宋" w:eastAsia="仿宋" w:cs="仿宋"/>
          <w:sz w:val="24"/>
          <w:szCs w:val="24"/>
        </w:rPr>
        <w:t>附法定代表人和被授权委托代理人身份证复印件并加盖红色鲜章。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本授权有效期为磋商之日起不少于90天，仅限授权代表参加磋商时提供。</w:t>
      </w:r>
      <w:bookmarkStart w:id="600" w:name="_Toc15002"/>
    </w:p>
    <w:bookmarkEnd w:id="600"/>
    <w:p>
      <w:pPr>
        <w:spacing w:line="360" w:lineRule="auto"/>
        <w:ind w:firstLine="480" w:firstLineChars="200"/>
        <w:rPr>
          <w:rFonts w:ascii="仿宋" w:hAnsi="仿宋" w:eastAsia="仿宋" w:cs="仿宋"/>
          <w:sz w:val="24"/>
          <w:szCs w:val="24"/>
        </w:rPr>
      </w:pPr>
    </w:p>
    <w:p>
      <w:pPr>
        <w:rPr>
          <w:rFonts w:ascii="仿宋" w:hAnsi="仿宋" w:eastAsia="仿宋" w:cs="仿宋"/>
          <w:b/>
          <w:bCs/>
          <w:sz w:val="24"/>
          <w:szCs w:val="24"/>
        </w:rPr>
      </w:pPr>
      <w:bookmarkStart w:id="601" w:name="_Toc894"/>
      <w:r>
        <w:rPr>
          <w:rFonts w:hint="eastAsia" w:ascii="仿宋" w:hAnsi="仿宋" w:eastAsia="仿宋" w:cs="仿宋"/>
          <w:b/>
          <w:bCs/>
          <w:sz w:val="24"/>
          <w:szCs w:val="24"/>
        </w:rPr>
        <w:br w:type="page"/>
      </w:r>
    </w:p>
    <w:p>
      <w:pPr>
        <w:spacing w:line="360" w:lineRule="auto"/>
        <w:ind w:firstLine="562" w:firstLineChars="200"/>
        <w:jc w:val="center"/>
        <w:outlineLvl w:val="2"/>
        <w:rPr>
          <w:rFonts w:ascii="仿宋" w:hAnsi="仿宋" w:eastAsia="仿宋" w:cs="仿宋"/>
          <w:b/>
          <w:bCs/>
          <w:sz w:val="28"/>
          <w:szCs w:val="28"/>
        </w:rPr>
      </w:pPr>
      <w:bookmarkStart w:id="602" w:name="_Toc14444"/>
      <w:r>
        <w:rPr>
          <w:rFonts w:hint="eastAsia" w:ascii="仿宋" w:hAnsi="仿宋" w:eastAsia="仿宋" w:cs="仿宋"/>
          <w:b/>
          <w:bCs/>
          <w:sz w:val="28"/>
          <w:szCs w:val="28"/>
        </w:rPr>
        <w:t>（三）财务状况报告</w:t>
      </w:r>
      <w:bookmarkEnd w:id="602"/>
    </w:p>
    <w:p>
      <w:pPr>
        <w:pStyle w:val="16"/>
        <w:adjustRightInd w:val="0"/>
        <w:snapToGrid w:val="0"/>
        <w:spacing w:line="360" w:lineRule="auto"/>
        <w:jc w:val="left"/>
        <w:rPr>
          <w:rFonts w:ascii="仿宋" w:hAnsi="仿宋" w:eastAsia="仿宋" w:cs="仿宋"/>
          <w:b/>
          <w:sz w:val="24"/>
          <w:szCs w:val="24"/>
        </w:rPr>
      </w:pPr>
    </w:p>
    <w:p>
      <w:pPr>
        <w:spacing w:line="360" w:lineRule="auto"/>
        <w:ind w:firstLine="48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说明：</w:t>
      </w:r>
    </w:p>
    <w:p>
      <w:pPr>
        <w:spacing w:line="360" w:lineRule="auto"/>
        <w:ind w:firstLine="480" w:firstLineChars="200"/>
        <w:rPr>
          <w:rFonts w:ascii="仿宋" w:hAnsi="仿宋" w:eastAsia="仿宋" w:cs="仿宋"/>
          <w:b/>
          <w:bCs/>
          <w:sz w:val="24"/>
          <w:szCs w:val="24"/>
        </w:rPr>
      </w:pPr>
      <w:r>
        <w:rPr>
          <w:rFonts w:hint="eastAsia" w:ascii="仿宋" w:hAnsi="仿宋" w:eastAsia="仿宋" w:cs="仿宋"/>
          <w:color w:val="000000"/>
          <w:kern w:val="0"/>
          <w:sz w:val="24"/>
          <w:szCs w:val="24"/>
        </w:rPr>
        <w:t>提供2020年度财务会计报告（至少包括资产负债表、利润表），或其基本开户银行出具的资信证明，或西安市政府采购信用担保机构出具的投标担保函。</w:t>
      </w:r>
    </w:p>
    <w:p>
      <w:pPr>
        <w:ind w:firstLine="480" w:firstLineChars="200"/>
        <w:rPr>
          <w:rFonts w:ascii="仿宋" w:hAnsi="仿宋" w:eastAsia="仿宋" w:cs="仿宋"/>
          <w:b/>
          <w:bCs/>
          <w:sz w:val="24"/>
          <w:szCs w:val="24"/>
        </w:rPr>
      </w:pPr>
      <w:r>
        <w:rPr>
          <w:rFonts w:hint="eastAsia" w:ascii="仿宋" w:hAnsi="仿宋" w:eastAsia="仿宋" w:cs="仿宋"/>
          <w:color w:val="000000"/>
          <w:kern w:val="0"/>
          <w:sz w:val="24"/>
          <w:szCs w:val="24"/>
        </w:rPr>
        <w:t>原件或复印件可直接装订，复印件加盖供应商公章。</w:t>
      </w:r>
    </w:p>
    <w:p>
      <w:pPr>
        <w:pageBreakBefore/>
        <w:spacing w:line="360" w:lineRule="auto"/>
        <w:jc w:val="center"/>
        <w:outlineLvl w:val="2"/>
        <w:rPr>
          <w:rFonts w:ascii="仿宋" w:hAnsi="仿宋" w:eastAsia="仿宋" w:cs="仿宋"/>
          <w:sz w:val="28"/>
          <w:szCs w:val="28"/>
        </w:rPr>
      </w:pPr>
      <w:bookmarkStart w:id="603" w:name="_Toc17890"/>
      <w:bookmarkStart w:id="604" w:name="_Toc1093"/>
      <w:bookmarkStart w:id="605" w:name="_Toc28901"/>
      <w:r>
        <w:rPr>
          <w:rFonts w:hint="eastAsia" w:ascii="仿宋" w:hAnsi="仿宋" w:eastAsia="仿宋" w:cs="仿宋"/>
          <w:b/>
          <w:sz w:val="28"/>
          <w:szCs w:val="28"/>
        </w:rPr>
        <w:t>（四）具有依法缴纳税收的良好记录</w:t>
      </w:r>
      <w:r>
        <w:rPr>
          <w:rFonts w:hint="eastAsia" w:ascii="仿宋" w:hAnsi="仿宋" w:eastAsia="仿宋" w:cs="仿宋"/>
          <w:b/>
          <w:sz w:val="28"/>
          <w:szCs w:val="28"/>
        </w:rPr>
        <w:br w:type="textWrapping"/>
      </w:r>
      <w:bookmarkEnd w:id="603"/>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说明：</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（1）税收缴纳证明：提供磋商</w:t>
      </w:r>
      <w:r>
        <w:rPr>
          <w:rFonts w:hint="eastAsia" w:ascii="仿宋" w:hAnsi="仿宋" w:eastAsia="仿宋" w:cs="仿宋"/>
          <w:sz w:val="24"/>
          <w:szCs w:val="24"/>
          <w:lang w:val="zh-CN"/>
        </w:rPr>
        <w:t>前6个月任意一个月</w:t>
      </w:r>
      <w:r>
        <w:rPr>
          <w:rFonts w:hint="eastAsia" w:ascii="仿宋" w:hAnsi="仿宋" w:eastAsia="仿宋" w:cs="仿宋"/>
          <w:color w:val="000000"/>
          <w:kern w:val="0"/>
          <w:sz w:val="24"/>
        </w:rPr>
        <w:t xml:space="preserve">已缴纳的完税凭证或税务机关开具的完税证明（任意税种）； </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（2）依法免税的应提供相关文件证明；</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（3）新成立未发生缴纳税收事项的供应商，应提供纳税书面承诺；</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（4）原件或复印件可直接装订，复印件加盖供应商公章。</w:t>
      </w:r>
    </w:p>
    <w:p>
      <w:pPr>
        <w:spacing w:line="360" w:lineRule="auto"/>
        <w:ind w:firstLine="480"/>
        <w:rPr>
          <w:rFonts w:hint="eastAsia" w:ascii="仿宋" w:hAnsi="仿宋" w:eastAsia="仿宋" w:cs="仿宋"/>
          <w:color w:val="000000"/>
          <w:kern w:val="0"/>
          <w:sz w:val="24"/>
          <w:szCs w:val="22"/>
        </w:rPr>
        <w:sectPr>
          <w:headerReference r:id="rId9" w:type="default"/>
          <w:footerReference r:id="rId10" w:type="default"/>
          <w:pgSz w:w="11906" w:h="16838"/>
          <w:pgMar w:top="1418" w:right="1474" w:bottom="1418" w:left="1474" w:header="851" w:footer="992" w:gutter="0"/>
          <w:cols w:space="720" w:num="1"/>
          <w:docGrid w:linePitch="312" w:charSpace="0"/>
        </w:sectPr>
      </w:pPr>
    </w:p>
    <w:p>
      <w:pPr>
        <w:spacing w:line="360" w:lineRule="auto"/>
        <w:jc w:val="center"/>
        <w:outlineLvl w:val="2"/>
        <w:rPr>
          <w:rFonts w:hint="eastAsia" w:ascii="仿宋" w:hAnsi="仿宋" w:eastAsia="仿宋" w:cs="仿宋"/>
          <w:b/>
          <w:sz w:val="28"/>
          <w:szCs w:val="28"/>
        </w:rPr>
      </w:pPr>
      <w:bookmarkStart w:id="606" w:name="_Toc16761"/>
      <w:r>
        <w:rPr>
          <w:rFonts w:hint="eastAsia" w:ascii="仿宋" w:hAnsi="仿宋" w:eastAsia="仿宋" w:cs="仿宋"/>
          <w:b/>
          <w:sz w:val="28"/>
          <w:szCs w:val="28"/>
          <w:lang w:eastAsia="zh-CN"/>
        </w:rPr>
        <w:t>（五）</w:t>
      </w:r>
      <w:r>
        <w:rPr>
          <w:rFonts w:hint="eastAsia" w:ascii="仿宋" w:hAnsi="仿宋" w:eastAsia="仿宋" w:cs="仿宋"/>
          <w:b/>
          <w:sz w:val="28"/>
          <w:szCs w:val="28"/>
        </w:rPr>
        <w:t>具有依法缴纳社会保障资金的良好记录</w:t>
      </w:r>
      <w:bookmarkEnd w:id="606"/>
    </w:p>
    <w:p>
      <w:pPr>
        <w:spacing w:line="360" w:lineRule="auto"/>
        <w:ind w:firstLine="480"/>
        <w:rPr>
          <w:rFonts w:hint="eastAsia" w:ascii="仿宋" w:hAnsi="仿宋" w:eastAsia="仿宋" w:cs="仿宋"/>
          <w:color w:val="000000"/>
          <w:kern w:val="0"/>
          <w:sz w:val="24"/>
          <w:szCs w:val="22"/>
        </w:rPr>
      </w:pPr>
    </w:p>
    <w:p>
      <w:pPr>
        <w:spacing w:line="360" w:lineRule="auto"/>
        <w:ind w:firstLine="480"/>
        <w:rPr>
          <w:rFonts w:ascii="仿宋" w:hAnsi="仿宋" w:eastAsia="仿宋" w:cs="仿宋"/>
          <w:color w:val="000000"/>
          <w:kern w:val="0"/>
          <w:sz w:val="24"/>
          <w:szCs w:val="22"/>
        </w:rPr>
      </w:pPr>
      <w:r>
        <w:rPr>
          <w:rFonts w:hint="eastAsia" w:ascii="仿宋" w:hAnsi="仿宋" w:eastAsia="仿宋" w:cs="仿宋"/>
          <w:color w:val="000000"/>
          <w:kern w:val="0"/>
          <w:sz w:val="24"/>
          <w:szCs w:val="22"/>
        </w:rPr>
        <w:t>说明：</w:t>
      </w:r>
    </w:p>
    <w:p>
      <w:pPr>
        <w:spacing w:line="360" w:lineRule="auto"/>
        <w:ind w:firstLine="480"/>
        <w:rPr>
          <w:rFonts w:ascii="仿宋" w:hAnsi="仿宋" w:eastAsia="仿宋" w:cs="仿宋"/>
          <w:color w:val="000000"/>
          <w:kern w:val="0"/>
          <w:sz w:val="24"/>
          <w:szCs w:val="22"/>
        </w:rPr>
      </w:pPr>
      <w:r>
        <w:rPr>
          <w:rFonts w:hint="eastAsia" w:ascii="仿宋" w:hAnsi="仿宋" w:eastAsia="仿宋" w:cs="仿宋"/>
          <w:color w:val="000000"/>
          <w:kern w:val="0"/>
          <w:sz w:val="24"/>
          <w:szCs w:val="22"/>
        </w:rPr>
        <w:t>（1）社会保障资金缴纳证明：</w:t>
      </w:r>
      <w:r>
        <w:rPr>
          <w:rFonts w:hint="eastAsia" w:ascii="仿宋" w:hAnsi="仿宋" w:eastAsia="仿宋" w:cs="仿宋"/>
          <w:sz w:val="24"/>
          <w:szCs w:val="24"/>
          <w:lang w:val="zh-CN"/>
        </w:rPr>
        <w:t>提供磋商前6个月任意一个月</w:t>
      </w:r>
      <w:r>
        <w:rPr>
          <w:rFonts w:hint="eastAsia" w:ascii="仿宋" w:hAnsi="仿宋" w:eastAsia="仿宋" w:cs="仿宋"/>
          <w:color w:val="000000"/>
          <w:kern w:val="0"/>
          <w:sz w:val="24"/>
          <w:szCs w:val="22"/>
        </w:rPr>
        <w:t>已缴存的社会保障资金缴存单据或社保机构开具的社会保险参保缴费情况证明；</w:t>
      </w:r>
    </w:p>
    <w:p>
      <w:pPr>
        <w:spacing w:line="360" w:lineRule="auto"/>
        <w:ind w:firstLine="480"/>
        <w:rPr>
          <w:rFonts w:ascii="仿宋" w:hAnsi="仿宋" w:eastAsia="仿宋" w:cs="仿宋"/>
          <w:color w:val="000000"/>
          <w:kern w:val="0"/>
          <w:sz w:val="24"/>
          <w:szCs w:val="22"/>
        </w:rPr>
      </w:pPr>
      <w:r>
        <w:rPr>
          <w:rFonts w:hint="eastAsia" w:ascii="仿宋" w:hAnsi="仿宋" w:eastAsia="仿宋" w:cs="仿宋"/>
          <w:color w:val="000000"/>
          <w:kern w:val="0"/>
          <w:sz w:val="24"/>
          <w:szCs w:val="22"/>
        </w:rPr>
        <w:t>（2）依法不需要缴纳社会保障资金的供应商应提供相关文件证明；</w:t>
      </w:r>
    </w:p>
    <w:p>
      <w:pPr>
        <w:spacing w:line="360" w:lineRule="auto"/>
        <w:ind w:firstLine="480"/>
        <w:rPr>
          <w:rFonts w:ascii="仿宋" w:hAnsi="仿宋" w:eastAsia="仿宋" w:cs="仿宋"/>
          <w:color w:val="000000"/>
          <w:kern w:val="0"/>
          <w:sz w:val="24"/>
          <w:szCs w:val="22"/>
        </w:rPr>
      </w:pPr>
      <w:r>
        <w:rPr>
          <w:rFonts w:hint="eastAsia" w:ascii="仿宋" w:hAnsi="仿宋" w:eastAsia="仿宋" w:cs="仿宋"/>
          <w:color w:val="000000"/>
          <w:kern w:val="0"/>
          <w:sz w:val="24"/>
          <w:szCs w:val="22"/>
        </w:rPr>
        <w:t>（3）新成立未发生缴纳社保资金事项的供应商，应提供缴纳社保资金的书面承诺；</w:t>
      </w:r>
    </w:p>
    <w:p>
      <w:pPr>
        <w:spacing w:line="360" w:lineRule="auto"/>
        <w:ind w:firstLine="480" w:firstLineChars="200"/>
        <w:rPr>
          <w:rFonts w:ascii="仿宋" w:hAnsi="仿宋" w:eastAsia="仿宋" w:cs="仿宋"/>
          <w:color w:val="000000"/>
          <w:kern w:val="0"/>
          <w:sz w:val="24"/>
          <w:szCs w:val="22"/>
        </w:rPr>
      </w:pPr>
      <w:r>
        <w:rPr>
          <w:rFonts w:hint="eastAsia" w:ascii="仿宋" w:hAnsi="仿宋" w:eastAsia="仿宋" w:cs="仿宋"/>
          <w:color w:val="000000"/>
          <w:kern w:val="0"/>
          <w:sz w:val="24"/>
          <w:szCs w:val="22"/>
        </w:rPr>
        <w:t>（4）原件或复印件可直接装订，复印件加盖供应商公章。</w:t>
      </w:r>
    </w:p>
    <w:p>
      <w:pPr>
        <w:rPr>
          <w:rFonts w:ascii="仿宋" w:hAnsi="仿宋" w:eastAsia="仿宋" w:cs="仿宋"/>
          <w:b/>
          <w:bCs/>
          <w:sz w:val="28"/>
          <w:szCs w:val="28"/>
        </w:rPr>
      </w:pPr>
      <w:r>
        <w:rPr>
          <w:rFonts w:hint="eastAsia" w:ascii="仿宋" w:hAnsi="仿宋" w:eastAsia="仿宋" w:cs="仿宋"/>
          <w:b/>
          <w:bCs/>
          <w:sz w:val="28"/>
          <w:szCs w:val="28"/>
        </w:rPr>
        <w:br w:type="page"/>
      </w:r>
    </w:p>
    <w:p>
      <w:pPr>
        <w:jc w:val="center"/>
        <w:outlineLvl w:val="2"/>
        <w:rPr>
          <w:rFonts w:ascii="仿宋" w:hAnsi="仿宋" w:eastAsia="仿宋" w:cs="仿宋"/>
          <w:b/>
          <w:sz w:val="28"/>
          <w:szCs w:val="28"/>
        </w:rPr>
      </w:pPr>
      <w:bookmarkStart w:id="607" w:name="_Toc1724"/>
      <w:r>
        <w:rPr>
          <w:rFonts w:hint="eastAsia" w:ascii="仿宋" w:hAnsi="仿宋" w:eastAsia="仿宋" w:cs="仿宋"/>
          <w:b/>
          <w:bCs/>
          <w:sz w:val="28"/>
          <w:szCs w:val="28"/>
        </w:rPr>
        <w:t>（</w:t>
      </w:r>
      <w:r>
        <w:rPr>
          <w:rFonts w:hint="eastAsia" w:ascii="仿宋" w:hAnsi="仿宋" w:eastAsia="仿宋" w:cs="仿宋"/>
          <w:b/>
          <w:bCs/>
          <w:sz w:val="28"/>
          <w:szCs w:val="28"/>
          <w:lang w:eastAsia="zh-CN"/>
        </w:rPr>
        <w:t>六</w:t>
      </w:r>
      <w:r>
        <w:rPr>
          <w:rFonts w:hint="eastAsia" w:ascii="仿宋" w:hAnsi="仿宋" w:eastAsia="仿宋" w:cs="仿宋"/>
          <w:b/>
          <w:bCs/>
          <w:sz w:val="28"/>
          <w:szCs w:val="28"/>
        </w:rPr>
        <w:t>）具有履行合同所必需的设备和专业技术能力的说明及承诺</w:t>
      </w:r>
      <w:bookmarkEnd w:id="607"/>
    </w:p>
    <w:p>
      <w:pPr>
        <w:spacing w:line="360" w:lineRule="auto"/>
        <w:rPr>
          <w:rFonts w:ascii="仿宋" w:hAnsi="仿宋" w:eastAsia="仿宋" w:cs="仿宋"/>
          <w:spacing w:val="4"/>
          <w:sz w:val="24"/>
          <w:szCs w:val="24"/>
          <w:u w:val="single"/>
        </w:rPr>
      </w:pPr>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u w:val="single"/>
        </w:rPr>
        <w:t>致：     （采购人名称）    ：</w:t>
      </w:r>
    </w:p>
    <w:p>
      <w:pPr>
        <w:spacing w:beforeLines="100" w:afterLines="50" w:line="360" w:lineRule="auto"/>
        <w:ind w:firstLine="170"/>
        <w:rPr>
          <w:rFonts w:ascii="仿宋" w:hAnsi="仿宋" w:eastAsia="仿宋" w:cs="仿宋"/>
          <w:spacing w:val="4"/>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，其中与履行本合同相关的专业技术人员有（</w:t>
      </w:r>
      <w:r>
        <w:rPr>
          <w:rFonts w:hint="eastAsia" w:ascii="仿宋" w:hAnsi="仿宋" w:eastAsia="仿宋" w:cs="仿宋"/>
          <w:spacing w:val="4"/>
          <w:sz w:val="24"/>
          <w:szCs w:val="24"/>
          <w:u w:val="single"/>
        </w:rPr>
        <w:t xml:space="preserve">            专业能力、数量        </w:t>
      </w:r>
      <w:r>
        <w:rPr>
          <w:rFonts w:hint="eastAsia" w:ascii="仿宋" w:hAnsi="仿宋" w:eastAsia="仿宋" w:cs="仿宋"/>
          <w:spacing w:val="4"/>
          <w:sz w:val="24"/>
          <w:szCs w:val="24"/>
        </w:rPr>
        <w:t>），本公司郑重承诺，具有履行本合同所必需的设备和专业技术能力。</w:t>
      </w:r>
    </w:p>
    <w:p>
      <w:pPr>
        <w:spacing w:beforeLines="100" w:afterLines="50" w:line="360" w:lineRule="auto"/>
        <w:ind w:firstLine="496" w:firstLineChars="200"/>
        <w:rPr>
          <w:rFonts w:ascii="仿宋" w:hAnsi="仿宋" w:eastAsia="仿宋" w:cs="仿宋"/>
          <w:spacing w:val="4"/>
          <w:sz w:val="24"/>
          <w:szCs w:val="24"/>
        </w:rPr>
      </w:pPr>
      <w:r>
        <w:rPr>
          <w:rFonts w:hint="eastAsia" w:ascii="仿宋" w:hAnsi="仿宋" w:eastAsia="仿宋" w:cs="仿宋"/>
          <w:spacing w:val="4"/>
          <w:sz w:val="24"/>
          <w:szCs w:val="24"/>
        </w:rPr>
        <w:t>附件：履行本合同所必需专业技术人员名单。</w:t>
      </w:r>
    </w:p>
    <w:p>
      <w:pPr>
        <w:spacing w:beforeLines="100" w:afterLines="50" w:line="360" w:lineRule="auto"/>
        <w:ind w:firstLine="620" w:firstLineChars="250"/>
        <w:rPr>
          <w:rFonts w:ascii="仿宋" w:hAnsi="仿宋" w:eastAsia="仿宋" w:cs="仿宋"/>
          <w:color w:val="FF0000"/>
          <w:spacing w:val="4"/>
          <w:sz w:val="24"/>
          <w:szCs w:val="24"/>
        </w:rPr>
      </w:pPr>
    </w:p>
    <w:p>
      <w:pPr>
        <w:spacing w:beforeLines="100" w:afterLines="50" w:line="360" w:lineRule="auto"/>
        <w:ind w:firstLine="170"/>
        <w:rPr>
          <w:rFonts w:ascii="仿宋" w:hAnsi="仿宋" w:eastAsia="仿宋" w:cs="仿宋"/>
          <w:spacing w:val="4"/>
          <w:sz w:val="24"/>
          <w:szCs w:val="24"/>
        </w:rPr>
      </w:pPr>
    </w:p>
    <w:p>
      <w:pPr>
        <w:spacing w:beforeLines="100" w:afterLines="50" w:line="360" w:lineRule="auto"/>
        <w:ind w:firstLine="170"/>
        <w:rPr>
          <w:rFonts w:ascii="仿宋" w:hAnsi="仿宋" w:eastAsia="仿宋" w:cs="仿宋"/>
          <w:spacing w:val="4"/>
          <w:sz w:val="24"/>
          <w:szCs w:val="24"/>
        </w:rPr>
      </w:pPr>
    </w:p>
    <w:p>
      <w:pPr>
        <w:spacing w:line="360" w:lineRule="auto"/>
        <w:ind w:left="0" w:leftChars="0" w:firstLine="4838" w:firstLineChars="2016"/>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ind w:left="0" w:leftChars="0" w:firstLine="4838" w:firstLineChars="2016"/>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ind w:left="0" w:leftChars="0" w:firstLine="4838" w:firstLineChars="2016"/>
        <w:rPr>
          <w:rFonts w:ascii="仿宋" w:hAnsi="仿宋" w:eastAsia="仿宋" w:cs="仿宋"/>
          <w:b/>
          <w:sz w:val="28"/>
          <w:szCs w:val="28"/>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rPr>
          <w:rFonts w:ascii="仿宋" w:hAnsi="仿宋" w:eastAsia="仿宋" w:cs="仿宋"/>
          <w:b/>
          <w:sz w:val="28"/>
          <w:szCs w:val="28"/>
        </w:rPr>
      </w:pPr>
      <w:r>
        <w:rPr>
          <w:rFonts w:hint="eastAsia" w:ascii="仿宋" w:hAnsi="仿宋" w:eastAsia="仿宋" w:cs="仿宋"/>
          <w:b/>
          <w:sz w:val="28"/>
          <w:szCs w:val="28"/>
        </w:rPr>
        <w:br w:type="page"/>
      </w:r>
    </w:p>
    <w:p>
      <w:pPr>
        <w:jc w:val="center"/>
        <w:outlineLvl w:val="2"/>
        <w:rPr>
          <w:rFonts w:ascii="仿宋" w:hAnsi="仿宋" w:eastAsia="仿宋" w:cs="仿宋"/>
          <w:b/>
          <w:sz w:val="28"/>
          <w:szCs w:val="28"/>
        </w:rPr>
      </w:pPr>
      <w:bookmarkStart w:id="608" w:name="_Toc25358"/>
      <w:r>
        <w:rPr>
          <w:rFonts w:hint="eastAsia" w:ascii="仿宋" w:hAnsi="仿宋" w:eastAsia="仿宋" w:cs="仿宋"/>
          <w:b/>
          <w:sz w:val="28"/>
          <w:szCs w:val="28"/>
        </w:rPr>
        <w:t>（</w:t>
      </w:r>
      <w:r>
        <w:rPr>
          <w:rFonts w:hint="eastAsia" w:ascii="仿宋" w:hAnsi="仿宋" w:eastAsia="仿宋" w:cs="仿宋"/>
          <w:b/>
          <w:sz w:val="28"/>
          <w:szCs w:val="28"/>
          <w:lang w:eastAsia="zh-CN"/>
        </w:rPr>
        <w:t>七</w:t>
      </w:r>
      <w:r>
        <w:rPr>
          <w:rFonts w:hint="eastAsia" w:ascii="仿宋" w:hAnsi="仿宋" w:eastAsia="仿宋" w:cs="仿宋"/>
          <w:b/>
          <w:sz w:val="28"/>
          <w:szCs w:val="28"/>
        </w:rPr>
        <w:t>）参加政府采购活动前三年内无重大违法记录的书面声明</w:t>
      </w:r>
      <w:bookmarkEnd w:id="604"/>
      <w:bookmarkEnd w:id="608"/>
    </w:p>
    <w:p>
      <w:pPr>
        <w:adjustRightInd w:val="0"/>
        <w:snapToGrid w:val="0"/>
        <w:spacing w:line="360" w:lineRule="auto"/>
        <w:jc w:val="center"/>
        <w:rPr>
          <w:rFonts w:ascii="仿宋" w:hAnsi="仿宋" w:eastAsia="仿宋" w:cs="仿宋"/>
          <w:b/>
          <w:sz w:val="24"/>
          <w:szCs w:val="24"/>
        </w:rPr>
      </w:pPr>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陕西笃信招标有限公司：</w:t>
      </w:r>
      <w:r>
        <w:rPr>
          <w:rFonts w:hint="eastAsia" w:ascii="仿宋" w:hAnsi="仿宋" w:eastAsia="仿宋" w:cs="仿宋"/>
          <w:sz w:val="24"/>
          <w:szCs w:val="24"/>
        </w:rPr>
        <w:br w:type="textWrapping"/>
      </w:r>
      <w:r>
        <w:rPr>
          <w:rFonts w:hint="eastAsia" w:ascii="仿宋" w:hAnsi="仿宋" w:eastAsia="仿宋" w:cs="仿宋"/>
          <w:sz w:val="24"/>
          <w:szCs w:val="24"/>
        </w:rPr>
        <w:t xml:space="preserve">    我方</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（供应商名称）郑重声明在参加本次政府采购活动前3年内的经营活动没有重大违法记录。如有不实，我方将无条件地退出本项目的采购活动，并遵照《政府采购法》有关"提供虚假材料的规定"接受处罚。</w:t>
      </w:r>
      <w:r>
        <w:rPr>
          <w:rFonts w:hint="eastAsia" w:ascii="仿宋" w:hAnsi="仿宋" w:eastAsia="仿宋" w:cs="仿宋"/>
          <w:sz w:val="24"/>
          <w:szCs w:val="24"/>
        </w:rPr>
        <w:br w:type="textWrapping"/>
      </w:r>
      <w:r>
        <w:rPr>
          <w:rFonts w:hint="eastAsia" w:ascii="仿宋" w:hAnsi="仿宋" w:eastAsia="仿宋" w:cs="仿宋"/>
          <w:sz w:val="24"/>
          <w:szCs w:val="24"/>
        </w:rPr>
        <w:t xml:space="preserve">     特此声明。</w:t>
      </w:r>
    </w:p>
    <w:p>
      <w:pPr>
        <w:autoSpaceDE w:val="0"/>
        <w:autoSpaceDN w:val="0"/>
        <w:adjustRightInd w:val="0"/>
        <w:spacing w:line="360" w:lineRule="auto"/>
        <w:ind w:firstLine="480" w:firstLineChars="200"/>
        <w:rPr>
          <w:rFonts w:ascii="仿宋" w:hAnsi="仿宋" w:eastAsia="仿宋" w:cs="仿宋"/>
          <w:sz w:val="24"/>
          <w:szCs w:val="24"/>
        </w:rPr>
      </w:pPr>
    </w:p>
    <w:p>
      <w:pPr>
        <w:autoSpaceDE w:val="0"/>
        <w:autoSpaceDN w:val="0"/>
        <w:adjustRightInd w:val="0"/>
        <w:spacing w:line="360" w:lineRule="auto"/>
        <w:ind w:firstLine="480" w:firstLineChars="200"/>
        <w:rPr>
          <w:rFonts w:ascii="仿宋" w:hAnsi="仿宋" w:eastAsia="仿宋" w:cs="仿宋"/>
          <w:sz w:val="24"/>
          <w:szCs w:val="24"/>
        </w:rPr>
      </w:pPr>
    </w:p>
    <w:p>
      <w:pPr>
        <w:autoSpaceDE w:val="0"/>
        <w:autoSpaceDN w:val="0"/>
        <w:adjustRightInd w:val="0"/>
        <w:spacing w:line="360" w:lineRule="auto"/>
        <w:ind w:firstLine="480" w:firstLineChars="200"/>
        <w:rPr>
          <w:rFonts w:ascii="仿宋" w:hAnsi="仿宋" w:eastAsia="仿宋" w:cs="仿宋"/>
          <w:sz w:val="24"/>
          <w:szCs w:val="24"/>
        </w:rPr>
      </w:pPr>
    </w:p>
    <w:p>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840" w:firstLineChars="16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bookmarkEnd w:id="581"/>
      <w:bookmarkEnd w:id="582"/>
      <w:bookmarkEnd w:id="583"/>
      <w:bookmarkEnd w:id="584"/>
      <w:bookmarkEnd w:id="585"/>
      <w:bookmarkEnd w:id="601"/>
      <w:bookmarkEnd w:id="605"/>
    </w:p>
    <w:p>
      <w:pPr>
        <w:rPr>
          <w:rFonts w:ascii="仿宋" w:hAnsi="仿宋" w:eastAsia="仿宋" w:cs="仿宋"/>
          <w:b/>
          <w:sz w:val="24"/>
          <w:szCs w:val="24"/>
        </w:rPr>
      </w:pPr>
      <w:r>
        <w:rPr>
          <w:rFonts w:hint="eastAsia" w:ascii="仿宋" w:hAnsi="仿宋" w:eastAsia="仿宋" w:cs="仿宋"/>
          <w:b/>
          <w:sz w:val="24"/>
          <w:szCs w:val="24"/>
        </w:rPr>
        <w:br w:type="page"/>
      </w:r>
    </w:p>
    <w:p>
      <w:pPr>
        <w:pStyle w:val="4"/>
        <w:keepNext w:val="0"/>
        <w:pageBreakBefore/>
        <w:spacing w:line="360" w:lineRule="auto"/>
        <w:rPr>
          <w:rFonts w:ascii="仿宋" w:hAnsi="仿宋" w:eastAsia="仿宋" w:cs="仿宋"/>
          <w:sz w:val="28"/>
          <w:szCs w:val="28"/>
          <w:lang w:val="zh-CN"/>
        </w:rPr>
      </w:pPr>
      <w:bookmarkStart w:id="609" w:name="_Toc476747606"/>
      <w:bookmarkStart w:id="610" w:name="_Toc8978"/>
      <w:bookmarkStart w:id="611" w:name="_Toc29583"/>
      <w:bookmarkStart w:id="612" w:name="_Toc31162"/>
      <w:bookmarkStart w:id="613" w:name="_Toc475451557"/>
      <w:bookmarkStart w:id="614" w:name="_Toc12206"/>
      <w:bookmarkStart w:id="615" w:name="_Toc495908057"/>
      <w:bookmarkStart w:id="616" w:name="_Toc21252"/>
      <w:bookmarkStart w:id="617" w:name="_Toc21908"/>
      <w:bookmarkStart w:id="618" w:name="_Toc27697"/>
      <w:bookmarkStart w:id="619" w:name="_Toc475451804"/>
      <w:bookmarkStart w:id="620" w:name="_Toc25899"/>
      <w:bookmarkStart w:id="621" w:name="_Toc27777"/>
      <w:bookmarkStart w:id="622" w:name="_Toc14115"/>
      <w:bookmarkStart w:id="623" w:name="_Toc495681542"/>
      <w:bookmarkStart w:id="624" w:name="_Toc473056008"/>
      <w:bookmarkStart w:id="625" w:name="_Toc4687"/>
      <w:bookmarkStart w:id="626" w:name="_Toc1083"/>
      <w:bookmarkStart w:id="627" w:name="_Toc495681415"/>
      <w:bookmarkStart w:id="628" w:name="_Toc495681261"/>
      <w:bookmarkStart w:id="629" w:name="_Toc3385"/>
      <w:r>
        <w:rPr>
          <w:rFonts w:hint="eastAsia" w:ascii="仿宋" w:hAnsi="仿宋" w:eastAsia="仿宋" w:cs="仿宋"/>
          <w:sz w:val="28"/>
          <w:szCs w:val="28"/>
          <w:lang w:val="zh-CN"/>
        </w:rPr>
        <w:t>十、近年业绩的有关证明材料</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tbl>
      <w:tblPr>
        <w:tblStyle w:val="24"/>
        <w:tblW w:w="913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109"/>
        <w:gridCol w:w="2025"/>
        <w:gridCol w:w="2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162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用户名称</w:t>
            </w:r>
          </w:p>
        </w:tc>
        <w:tc>
          <w:tcPr>
            <w:tcW w:w="2109"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项目名称</w:t>
            </w:r>
          </w:p>
        </w:tc>
        <w:tc>
          <w:tcPr>
            <w:tcW w:w="2025"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合同金额</w:t>
            </w:r>
          </w:p>
        </w:tc>
        <w:tc>
          <w:tcPr>
            <w:tcW w:w="2481"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bl>
    <w:p>
      <w:pPr>
        <w:spacing w:line="360" w:lineRule="auto"/>
        <w:rPr>
          <w:rFonts w:ascii="仿宋" w:hAnsi="仿宋" w:eastAsia="仿宋" w:cs="仿宋"/>
        </w:rPr>
      </w:pP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说明：</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1.本表后附合同复印件，合同签订时间及金额以合同中的内容为准； </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2.供应商应如实列出以上情况，如有隐瞒，一经查实将导致其磋商响应文件被拒绝。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3.未按上述要求提供、填写的，评审时不予以考虑。</w:t>
      </w:r>
    </w:p>
    <w:p>
      <w:pPr>
        <w:spacing w:line="360" w:lineRule="auto"/>
        <w:ind w:firstLine="1920" w:firstLineChars="80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bookmarkStart w:id="630" w:name="_Toc511298216"/>
      <w:bookmarkStart w:id="631" w:name="_Toc495681263"/>
      <w:bookmarkStart w:id="632" w:name="_Toc495681544"/>
      <w:bookmarkStart w:id="633" w:name="_Toc495908059"/>
      <w:bookmarkStart w:id="634" w:name="_Toc16033"/>
      <w:bookmarkStart w:id="635" w:name="_Toc495681417"/>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pStyle w:val="4"/>
        <w:spacing w:line="360" w:lineRule="auto"/>
        <w:rPr>
          <w:rFonts w:ascii="仿宋" w:hAnsi="仿宋" w:eastAsia="仿宋" w:cs="仿宋"/>
          <w:szCs w:val="22"/>
          <w:lang w:val="zh-CN"/>
        </w:rPr>
      </w:pPr>
      <w:r>
        <w:rPr>
          <w:rFonts w:hint="eastAsia" w:ascii="仿宋" w:hAnsi="仿宋" w:eastAsia="仿宋" w:cs="仿宋"/>
        </w:rPr>
        <w:br w:type="page"/>
      </w:r>
      <w:bookmarkStart w:id="636" w:name="_Toc9207"/>
      <w:bookmarkStart w:id="637" w:name="_Toc22060"/>
      <w:bookmarkStart w:id="638" w:name="_Toc14494"/>
      <w:bookmarkStart w:id="639" w:name="_Toc24029"/>
      <w:bookmarkStart w:id="640" w:name="_Toc26608"/>
      <w:bookmarkStart w:id="641" w:name="_Toc23630"/>
      <w:bookmarkStart w:id="642" w:name="_Toc3166"/>
      <w:bookmarkStart w:id="643" w:name="_Toc6195"/>
      <w:bookmarkStart w:id="644" w:name="_Toc14896"/>
      <w:bookmarkStart w:id="645" w:name="_Toc19979"/>
      <w:bookmarkStart w:id="646" w:name="_Toc14636"/>
      <w:bookmarkStart w:id="647" w:name="_Toc18178"/>
      <w:r>
        <w:rPr>
          <w:rFonts w:hint="eastAsia" w:ascii="仿宋" w:hAnsi="仿宋" w:eastAsia="仿宋" w:cs="仿宋"/>
          <w:sz w:val="32"/>
          <w:szCs w:val="24"/>
          <w:lang w:val="zh-CN"/>
        </w:rPr>
        <w:t>十一、</w:t>
      </w:r>
      <w:bookmarkEnd w:id="630"/>
      <w:r>
        <w:rPr>
          <w:rFonts w:hint="eastAsia" w:ascii="仿宋" w:hAnsi="仿宋" w:eastAsia="仿宋" w:cs="仿宋"/>
          <w:sz w:val="32"/>
          <w:szCs w:val="24"/>
          <w:lang w:val="zh-CN"/>
        </w:rPr>
        <w:t>供应商企业关系关联承诺书</w:t>
      </w:r>
      <w:bookmarkEnd w:id="636"/>
      <w:bookmarkEnd w:id="637"/>
      <w:bookmarkEnd w:id="638"/>
      <w:bookmarkEnd w:id="639"/>
      <w:bookmarkEnd w:id="640"/>
      <w:bookmarkEnd w:id="641"/>
      <w:bookmarkEnd w:id="642"/>
      <w:bookmarkEnd w:id="643"/>
      <w:bookmarkEnd w:id="644"/>
      <w:bookmarkEnd w:id="645"/>
      <w:bookmarkEnd w:id="646"/>
      <w:bookmarkEnd w:id="647"/>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一、供应商股东及股权证明(提供相关证明材料)。</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二、供应商在本项目中，不存在与其它供应商负责人为同一人，有控股、管理等关联关系承诺。</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1.管理关系说明：</w:t>
      </w:r>
    </w:p>
    <w:p>
      <w:pPr>
        <w:autoSpaceDE w:val="0"/>
        <w:autoSpaceDN w:val="0"/>
        <w:adjustRightIn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我单位管理的具有独立法人的下属单位：</w:t>
      </w:r>
      <w:r>
        <w:rPr>
          <w:rFonts w:hint="eastAsia" w:ascii="仿宋" w:hAnsi="仿宋" w:eastAsia="仿宋" w:cs="仿宋"/>
          <w:sz w:val="24"/>
          <w:szCs w:val="24"/>
          <w:u w:val="single"/>
        </w:rPr>
        <w:t xml:space="preserve">      </w:t>
      </w:r>
      <w:r>
        <w:rPr>
          <w:rFonts w:hint="eastAsia" w:ascii="仿宋" w:hAnsi="仿宋" w:eastAsia="仿宋" w:cs="仿宋"/>
          <w:sz w:val="24"/>
          <w:szCs w:val="24"/>
        </w:rPr>
        <w:t>(没有填无)。</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我单位的上级管理单位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(没有填无)。</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2.股权关系说明：</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我单位控股的单位</w:t>
      </w:r>
      <w:r>
        <w:rPr>
          <w:rFonts w:hint="eastAsia" w:ascii="仿宋" w:hAnsi="仿宋" w:eastAsia="仿宋" w:cs="仿宋"/>
          <w:sz w:val="24"/>
          <w:szCs w:val="24"/>
          <w:u w:val="single"/>
        </w:rPr>
        <w:t xml:space="preserve">          </w:t>
      </w:r>
      <w:r>
        <w:rPr>
          <w:rFonts w:hint="eastAsia" w:ascii="仿宋" w:hAnsi="仿宋" w:eastAsia="仿宋" w:cs="仿宋"/>
          <w:sz w:val="24"/>
          <w:szCs w:val="24"/>
        </w:rPr>
        <w:t>(没有填无)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w:t>
      </w:r>
      <w:r>
        <w:rPr>
          <w:rFonts w:hint="eastAsia" w:ascii="仿宋" w:hAnsi="仿宋" w:eastAsia="仿宋" w:cs="仿宋"/>
          <w:sz w:val="24"/>
          <w:szCs w:val="24"/>
          <w:u w:val="single"/>
        </w:rPr>
        <w:t xml:space="preserve">      </w:t>
      </w:r>
      <w:r>
        <w:rPr>
          <w:rFonts w:hint="eastAsia" w:ascii="仿宋" w:hAnsi="仿宋" w:eastAsia="仿宋" w:cs="仿宋"/>
          <w:sz w:val="24"/>
          <w:szCs w:val="24"/>
        </w:rPr>
        <w:t>(没有填无)被</w:t>
      </w:r>
      <w:r>
        <w:rPr>
          <w:rFonts w:hint="eastAsia" w:ascii="仿宋" w:hAnsi="仿宋" w:eastAsia="仿宋" w:cs="仿宋"/>
          <w:sz w:val="24"/>
          <w:szCs w:val="24"/>
          <w:u w:val="single"/>
        </w:rPr>
        <w:t xml:space="preserve">   （控股单位全称）  </w:t>
      </w:r>
      <w:r>
        <w:rPr>
          <w:rFonts w:hint="eastAsia" w:ascii="仿宋" w:hAnsi="仿宋" w:eastAsia="仿宋" w:cs="仿宋"/>
          <w:sz w:val="24"/>
          <w:szCs w:val="24"/>
        </w:rPr>
        <w:t>单位控股。</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3.单位负责人：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(没有填无)。</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三、我单位</w:t>
      </w:r>
      <w:r>
        <w:rPr>
          <w:rFonts w:hint="eastAsia" w:ascii="仿宋" w:hAnsi="仿宋" w:eastAsia="仿宋" w:cs="仿宋"/>
          <w:sz w:val="24"/>
          <w:szCs w:val="24"/>
          <w:u w:val="single"/>
        </w:rPr>
        <w:t xml:space="preserve">          </w:t>
      </w:r>
      <w:r>
        <w:rPr>
          <w:rFonts w:hint="eastAsia" w:ascii="仿宋" w:hAnsi="仿宋" w:eastAsia="仿宋" w:cs="仿宋"/>
          <w:sz w:val="24"/>
          <w:szCs w:val="24"/>
        </w:rPr>
        <w:t>（是或否） 为本采购项目提供过整体设计、规范编制或者项目管理、监理、检测等服务的供应商。</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四、其他与本项目有关的利害关系说明。</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我单位承诺以上说明真实有效，无虚假内容或隐瞒。</w:t>
      </w:r>
    </w:p>
    <w:p>
      <w:pPr>
        <w:autoSpaceDE w:val="0"/>
        <w:autoSpaceDN w:val="0"/>
        <w:adjustRightInd w:val="0"/>
        <w:spacing w:line="360" w:lineRule="auto"/>
        <w:rPr>
          <w:rFonts w:ascii="仿宋" w:hAnsi="仿宋" w:eastAsia="仿宋" w:cs="仿宋"/>
          <w:sz w:val="24"/>
          <w:szCs w:val="24"/>
        </w:rPr>
      </w:pPr>
    </w:p>
    <w:p>
      <w:pPr>
        <w:autoSpaceDE w:val="0"/>
        <w:autoSpaceDN w:val="0"/>
        <w:adjustRightInd w:val="0"/>
        <w:spacing w:line="360" w:lineRule="auto"/>
        <w:jc w:val="center"/>
        <w:rPr>
          <w:rFonts w:ascii="仿宋" w:hAnsi="仿宋" w:eastAsia="仿宋" w:cs="仿宋"/>
          <w:b/>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auto"/>
        <w:ind w:firstLine="5280" w:firstLineChars="2200"/>
        <w:rPr>
          <w:rFonts w:ascii="仿宋" w:hAnsi="仿宋" w:eastAsia="仿宋" w:cs="仿宋"/>
          <w:sz w:val="24"/>
          <w:szCs w:val="24"/>
          <w:u w:val="single"/>
        </w:rPr>
      </w:pPr>
    </w:p>
    <w:p>
      <w:pPr>
        <w:pStyle w:val="4"/>
        <w:spacing w:line="360" w:lineRule="auto"/>
        <w:rPr>
          <w:rFonts w:ascii="仿宋" w:hAnsi="仿宋" w:eastAsia="仿宋" w:cs="仿宋"/>
        </w:rPr>
      </w:pPr>
      <w:r>
        <w:rPr>
          <w:rFonts w:hint="eastAsia" w:ascii="仿宋" w:hAnsi="仿宋" w:eastAsia="仿宋" w:cs="仿宋"/>
          <w:sz w:val="24"/>
          <w:szCs w:val="24"/>
        </w:rPr>
        <w:br w:type="page"/>
      </w:r>
      <w:bookmarkEnd w:id="631"/>
      <w:bookmarkEnd w:id="632"/>
      <w:bookmarkEnd w:id="633"/>
      <w:bookmarkEnd w:id="634"/>
      <w:bookmarkEnd w:id="635"/>
      <w:bookmarkStart w:id="648" w:name="_Toc18799"/>
      <w:bookmarkStart w:id="649" w:name="_Toc7387"/>
      <w:bookmarkStart w:id="650" w:name="_Toc30962"/>
      <w:bookmarkStart w:id="651" w:name="_Toc5793"/>
      <w:bookmarkStart w:id="652" w:name="_Toc28844"/>
      <w:bookmarkStart w:id="653" w:name="_Toc23094"/>
      <w:bookmarkStart w:id="654" w:name="_Toc15524"/>
      <w:bookmarkStart w:id="655" w:name="_Toc30974"/>
      <w:bookmarkStart w:id="656" w:name="_Toc25997"/>
      <w:bookmarkStart w:id="657" w:name="_Toc7256"/>
      <w:bookmarkStart w:id="658" w:name="_Toc8700"/>
      <w:bookmarkStart w:id="659" w:name="_Toc20406"/>
      <w:bookmarkStart w:id="660" w:name="_Toc16511"/>
      <w:bookmarkStart w:id="661" w:name="_Toc475451559"/>
      <w:bookmarkStart w:id="662" w:name="_Toc4848"/>
      <w:bookmarkStart w:id="663" w:name="_Toc495671276"/>
      <w:bookmarkStart w:id="664" w:name="_Toc475451806"/>
      <w:bookmarkStart w:id="665" w:name="_Toc473056009"/>
      <w:bookmarkStart w:id="666" w:name="_Toc4915"/>
      <w:r>
        <w:rPr>
          <w:rFonts w:hint="eastAsia" w:ascii="仿宋" w:hAnsi="仿宋" w:eastAsia="仿宋" w:cs="仿宋"/>
          <w:sz w:val="32"/>
          <w:szCs w:val="15"/>
        </w:rPr>
        <w:t>十二、提供政府采购政策等证明材料（若有）</w:t>
      </w:r>
      <w:bookmarkEnd w:id="648"/>
      <w:bookmarkEnd w:id="649"/>
      <w:bookmarkEnd w:id="650"/>
      <w:bookmarkEnd w:id="651"/>
      <w:bookmarkEnd w:id="652"/>
      <w:bookmarkEnd w:id="653"/>
      <w:bookmarkEnd w:id="654"/>
      <w:bookmarkEnd w:id="655"/>
      <w:bookmarkEnd w:id="656"/>
      <w:bookmarkEnd w:id="657"/>
      <w:bookmarkEnd w:id="658"/>
      <w:bookmarkEnd w:id="659"/>
    </w:p>
    <w:p>
      <w:pPr>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附件1</w:t>
      </w:r>
    </w:p>
    <w:p>
      <w:pPr>
        <w:jc w:val="center"/>
        <w:rPr>
          <w:rFonts w:ascii="仿宋" w:hAnsi="仿宋" w:eastAsia="仿宋" w:cs="仿宋"/>
          <w:b/>
          <w:bCs/>
          <w:sz w:val="28"/>
          <w:szCs w:val="24"/>
        </w:rPr>
      </w:pPr>
      <w:r>
        <w:rPr>
          <w:rFonts w:hint="eastAsia" w:ascii="仿宋" w:hAnsi="仿宋" w:eastAsia="仿宋" w:cs="仿宋"/>
          <w:b/>
          <w:bCs/>
          <w:sz w:val="28"/>
          <w:szCs w:val="24"/>
        </w:rPr>
        <w:t>中小企业声明函（货物）</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本公司（联合体）郑重声明，根据《政府采购促进中小企业发展管理办法》（财库﹝2020﹞46号）的规定，本公司（联合体）参加</w:t>
      </w:r>
      <w:r>
        <w:rPr>
          <w:rFonts w:hint="eastAsia" w:ascii="仿宋" w:hAnsi="仿宋" w:eastAsia="仿宋" w:cs="仿宋"/>
          <w:w w:val="95"/>
          <w:sz w:val="24"/>
          <w:szCs w:val="24"/>
          <w:u w:val="single"/>
        </w:rPr>
        <w:t>（单位名称）</w:t>
      </w:r>
      <w:r>
        <w:rPr>
          <w:rFonts w:hint="eastAsia" w:ascii="仿宋" w:hAnsi="仿宋" w:eastAsia="仿宋" w:cs="仿宋"/>
          <w:w w:val="95"/>
          <w:sz w:val="24"/>
          <w:szCs w:val="24"/>
        </w:rPr>
        <w:t>的</w:t>
      </w:r>
      <w:r>
        <w:rPr>
          <w:rFonts w:hint="eastAsia" w:ascii="仿宋" w:hAnsi="仿宋" w:eastAsia="仿宋" w:cs="仿宋"/>
          <w:w w:val="95"/>
          <w:sz w:val="24"/>
          <w:szCs w:val="24"/>
          <w:u w:val="single"/>
        </w:rPr>
        <w:t>（项目名称）</w:t>
      </w:r>
      <w:r>
        <w:rPr>
          <w:rFonts w:hint="eastAsia" w:ascii="仿宋" w:hAnsi="仿宋" w:eastAsia="仿宋" w:cs="仿宋"/>
          <w:w w:val="95"/>
          <w:sz w:val="24"/>
          <w:szCs w:val="24"/>
        </w:rPr>
        <w:t>采购活动，提供的货物全部由符合政策要求的中小企业制造。相关企业（含联合体中的中小企业、签订分包意向协议的中小企业）的具体情况如下：</w:t>
      </w:r>
    </w:p>
    <w:p>
      <w:pPr>
        <w:pStyle w:val="12"/>
        <w:tabs>
          <w:tab w:val="left" w:pos="1384"/>
          <w:tab w:val="left" w:pos="4562"/>
          <w:tab w:val="left" w:pos="6803"/>
        </w:tabs>
        <w:kinsoku w:val="0"/>
        <w:overflowPunct w:val="0"/>
        <w:spacing w:before="13" w:line="360" w:lineRule="auto"/>
        <w:ind w:left="105" w:right="142" w:firstLine="655"/>
        <w:rPr>
          <w:rFonts w:ascii="仿宋" w:hAnsi="仿宋" w:eastAsia="仿宋" w:cs="仿宋"/>
          <w:w w:val="95"/>
          <w:sz w:val="24"/>
          <w:szCs w:val="24"/>
          <w:u w:val="single"/>
        </w:rPr>
      </w:pPr>
      <w:r>
        <w:rPr>
          <w:rFonts w:hint="eastAsia" w:ascii="仿宋" w:hAnsi="仿宋" w:eastAsia="仿宋" w:cs="仿宋"/>
          <w:spacing w:val="1"/>
          <w:w w:val="99"/>
          <w:sz w:val="24"/>
          <w:szCs w:val="24"/>
        </w:rPr>
        <w:t>1</w:t>
      </w:r>
      <w:r>
        <w:rPr>
          <w:rFonts w:hint="eastAsia" w:ascii="仿宋" w:hAnsi="仿宋" w:eastAsia="仿宋" w:cs="仿宋"/>
          <w:spacing w:val="-41"/>
          <w:w w:val="99"/>
          <w:sz w:val="24"/>
          <w:szCs w:val="24"/>
        </w:rPr>
        <w:t>.</w:t>
      </w:r>
      <w:r>
        <w:rPr>
          <w:rFonts w:hint="eastAsia" w:ascii="仿宋" w:hAnsi="仿宋" w:eastAsia="仿宋" w:cs="仿宋"/>
          <w:w w:val="95"/>
          <w:sz w:val="24"/>
          <w:szCs w:val="24"/>
          <w:u w:val="single"/>
        </w:rPr>
        <w:t xml:space="preserve"> （标的名称）</w:t>
      </w:r>
      <w:r>
        <w:rPr>
          <w:rFonts w:hint="eastAsia" w:ascii="仿宋" w:hAnsi="仿宋" w:eastAsia="仿宋" w:cs="仿宋"/>
          <w:i/>
          <w:spacing w:val="-135"/>
          <w:sz w:val="24"/>
          <w:szCs w:val="24"/>
        </w:rPr>
        <w:t xml:space="preserve"> </w:t>
      </w:r>
      <w:r>
        <w:rPr>
          <w:rFonts w:hint="eastAsia" w:ascii="仿宋" w:hAnsi="仿宋" w:eastAsia="仿宋" w:cs="仿宋"/>
          <w:spacing w:val="-43"/>
          <w:w w:val="99"/>
          <w:sz w:val="24"/>
          <w:szCs w:val="24"/>
        </w:rPr>
        <w:t>，</w:t>
      </w:r>
      <w:r>
        <w:rPr>
          <w:rFonts w:hint="eastAsia" w:ascii="仿宋" w:hAnsi="仿宋" w:eastAsia="仿宋" w:cs="仿宋"/>
          <w:w w:val="99"/>
          <w:sz w:val="24"/>
          <w:szCs w:val="24"/>
        </w:rPr>
        <w:t>属</w:t>
      </w:r>
      <w:r>
        <w:rPr>
          <w:rFonts w:hint="eastAsia" w:ascii="仿宋" w:hAnsi="仿宋" w:eastAsia="仿宋" w:cs="仿宋"/>
          <w:spacing w:val="-55"/>
          <w:w w:val="99"/>
          <w:sz w:val="24"/>
          <w:szCs w:val="24"/>
        </w:rPr>
        <w:t>于</w:t>
      </w:r>
      <w:r>
        <w:rPr>
          <w:rFonts w:hint="eastAsia" w:ascii="仿宋" w:hAnsi="仿宋" w:eastAsia="仿宋" w:cs="仿宋"/>
          <w:w w:val="95"/>
          <w:sz w:val="24"/>
          <w:szCs w:val="24"/>
          <w:u w:val="single"/>
        </w:rPr>
        <w:t>（采购文件中明确的所属行业）行业</w:t>
      </w:r>
      <w:r>
        <w:rPr>
          <w:rFonts w:hint="eastAsia" w:ascii="仿宋" w:hAnsi="仿宋" w:eastAsia="仿宋" w:cs="仿宋"/>
          <w:spacing w:val="7"/>
          <w:w w:val="99"/>
          <w:sz w:val="24"/>
          <w:szCs w:val="24"/>
        </w:rPr>
        <w:t>；</w:t>
      </w:r>
      <w:r>
        <w:rPr>
          <w:rFonts w:hint="eastAsia" w:ascii="仿宋" w:hAnsi="仿宋" w:eastAsia="仿宋" w:cs="仿宋"/>
          <w:spacing w:val="5"/>
          <w:w w:val="99"/>
          <w:sz w:val="24"/>
          <w:szCs w:val="24"/>
        </w:rPr>
        <w:t>制</w:t>
      </w:r>
      <w:r>
        <w:rPr>
          <w:rFonts w:hint="eastAsia" w:ascii="仿宋" w:hAnsi="仿宋" w:eastAsia="仿宋" w:cs="仿宋"/>
          <w:spacing w:val="7"/>
          <w:w w:val="99"/>
          <w:sz w:val="24"/>
          <w:szCs w:val="24"/>
        </w:rPr>
        <w:t>造</w:t>
      </w:r>
      <w:r>
        <w:rPr>
          <w:rFonts w:hint="eastAsia" w:ascii="仿宋" w:hAnsi="仿宋" w:eastAsia="仿宋" w:cs="仿宋"/>
          <w:spacing w:val="5"/>
          <w:w w:val="99"/>
          <w:sz w:val="24"/>
          <w:szCs w:val="24"/>
        </w:rPr>
        <w:t>商</w:t>
      </w:r>
      <w:r>
        <w:rPr>
          <w:rFonts w:hint="eastAsia" w:ascii="仿宋" w:hAnsi="仿宋" w:eastAsia="仿宋" w:cs="仿宋"/>
          <w:spacing w:val="-10"/>
          <w:w w:val="99"/>
          <w:sz w:val="24"/>
          <w:szCs w:val="24"/>
        </w:rPr>
        <w:t>为</w:t>
      </w:r>
      <w:r>
        <w:rPr>
          <w:rFonts w:hint="eastAsia" w:ascii="仿宋" w:hAnsi="仿宋" w:eastAsia="仿宋" w:cs="仿宋"/>
          <w:w w:val="95"/>
          <w:sz w:val="24"/>
          <w:szCs w:val="24"/>
          <w:u w:val="single"/>
        </w:rPr>
        <w:t>（企业名称），</w:t>
      </w:r>
      <w:r>
        <w:rPr>
          <w:rFonts w:hint="eastAsia" w:ascii="仿宋" w:hAnsi="仿宋" w:eastAsia="仿宋" w:cs="仿宋"/>
          <w:spacing w:val="5"/>
          <w:w w:val="99"/>
          <w:sz w:val="24"/>
          <w:szCs w:val="24"/>
        </w:rPr>
        <w:t>从</w:t>
      </w:r>
      <w:r>
        <w:rPr>
          <w:rFonts w:hint="eastAsia" w:ascii="仿宋" w:hAnsi="仿宋" w:eastAsia="仿宋" w:cs="仿宋"/>
          <w:spacing w:val="7"/>
          <w:w w:val="99"/>
          <w:sz w:val="24"/>
          <w:szCs w:val="24"/>
        </w:rPr>
        <w:t>业</w:t>
      </w:r>
      <w:r>
        <w:rPr>
          <w:rFonts w:hint="eastAsia" w:ascii="仿宋" w:hAnsi="仿宋" w:eastAsia="仿宋" w:cs="仿宋"/>
          <w:spacing w:val="5"/>
          <w:w w:val="99"/>
          <w:sz w:val="24"/>
          <w:szCs w:val="24"/>
        </w:rPr>
        <w:t>人</w:t>
      </w:r>
      <w:r>
        <w:rPr>
          <w:rFonts w:hint="eastAsia" w:ascii="仿宋" w:hAnsi="仿宋" w:eastAsia="仿宋" w:cs="仿宋"/>
          <w:spacing w:val="4"/>
          <w:w w:val="99"/>
          <w:sz w:val="24"/>
          <w:szCs w:val="24"/>
        </w:rPr>
        <w:t>员</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7"/>
          <w:w w:val="99"/>
          <w:sz w:val="24"/>
          <w:szCs w:val="24"/>
        </w:rPr>
        <w:t>人</w:t>
      </w:r>
      <w:r>
        <w:rPr>
          <w:rFonts w:hint="eastAsia" w:ascii="仿宋" w:hAnsi="仿宋" w:eastAsia="仿宋" w:cs="仿宋"/>
          <w:spacing w:val="5"/>
          <w:w w:val="99"/>
          <w:sz w:val="24"/>
          <w:szCs w:val="24"/>
        </w:rPr>
        <w:t>，</w:t>
      </w:r>
      <w:r>
        <w:rPr>
          <w:rFonts w:hint="eastAsia" w:ascii="仿宋" w:hAnsi="仿宋" w:eastAsia="仿宋" w:cs="仿宋"/>
          <w:spacing w:val="7"/>
          <w:w w:val="99"/>
          <w:sz w:val="24"/>
          <w:szCs w:val="24"/>
        </w:rPr>
        <w:t>营</w:t>
      </w:r>
      <w:r>
        <w:rPr>
          <w:rFonts w:hint="eastAsia" w:ascii="仿宋" w:hAnsi="仿宋" w:eastAsia="仿宋" w:cs="仿宋"/>
          <w:spacing w:val="5"/>
          <w:w w:val="99"/>
          <w:sz w:val="24"/>
          <w:szCs w:val="24"/>
        </w:rPr>
        <w:t>业</w:t>
      </w:r>
      <w:r>
        <w:rPr>
          <w:rFonts w:hint="eastAsia" w:ascii="仿宋" w:hAnsi="仿宋" w:eastAsia="仿宋" w:cs="仿宋"/>
          <w:w w:val="99"/>
          <w:sz w:val="24"/>
          <w:szCs w:val="24"/>
        </w:rPr>
        <w:t>收 入</w:t>
      </w:r>
      <w:r>
        <w:rPr>
          <w:rFonts w:hint="eastAsia" w:ascii="仿宋" w:hAnsi="仿宋" w:eastAsia="仿宋" w:cs="仿宋"/>
          <w:spacing w:val="1"/>
          <w:w w:val="99"/>
          <w:sz w:val="24"/>
          <w:szCs w:val="24"/>
        </w:rPr>
        <w:t>为</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9"/>
          <w:sz w:val="24"/>
          <w:szCs w:val="24"/>
        </w:rPr>
        <w:t>万</w:t>
      </w:r>
      <w:r>
        <w:rPr>
          <w:rFonts w:hint="eastAsia" w:ascii="仿宋" w:hAnsi="仿宋" w:eastAsia="仿宋" w:cs="仿宋"/>
          <w:spacing w:val="2"/>
          <w:w w:val="99"/>
          <w:sz w:val="24"/>
          <w:szCs w:val="24"/>
        </w:rPr>
        <w:t>元</w:t>
      </w:r>
      <w:r>
        <w:rPr>
          <w:rFonts w:hint="eastAsia" w:ascii="仿宋" w:hAnsi="仿宋" w:eastAsia="仿宋" w:cs="仿宋"/>
          <w:spacing w:val="-22"/>
          <w:w w:val="99"/>
          <w:sz w:val="24"/>
          <w:szCs w:val="24"/>
        </w:rPr>
        <w:t>，</w:t>
      </w:r>
      <w:r>
        <w:rPr>
          <w:rFonts w:hint="eastAsia" w:ascii="仿宋" w:hAnsi="仿宋" w:eastAsia="仿宋" w:cs="仿宋"/>
          <w:w w:val="99"/>
          <w:sz w:val="24"/>
          <w:szCs w:val="24"/>
        </w:rPr>
        <w:t>资</w:t>
      </w:r>
      <w:r>
        <w:rPr>
          <w:rFonts w:hint="eastAsia" w:ascii="仿宋" w:hAnsi="仿宋" w:eastAsia="仿宋" w:cs="仿宋"/>
          <w:spacing w:val="2"/>
          <w:w w:val="99"/>
          <w:sz w:val="24"/>
          <w:szCs w:val="24"/>
        </w:rPr>
        <w:t>产</w:t>
      </w:r>
      <w:r>
        <w:rPr>
          <w:rFonts w:hint="eastAsia" w:ascii="仿宋" w:hAnsi="仿宋" w:eastAsia="仿宋" w:cs="仿宋"/>
          <w:w w:val="99"/>
          <w:sz w:val="24"/>
          <w:szCs w:val="24"/>
        </w:rPr>
        <w:t>总额为</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9"/>
          <w:sz w:val="24"/>
          <w:szCs w:val="24"/>
        </w:rPr>
        <w:t>万</w:t>
      </w:r>
      <w:r>
        <w:rPr>
          <w:rFonts w:hint="eastAsia" w:ascii="仿宋" w:hAnsi="仿宋" w:eastAsia="仿宋" w:cs="仿宋"/>
          <w:spacing w:val="2"/>
          <w:w w:val="99"/>
          <w:sz w:val="24"/>
          <w:szCs w:val="24"/>
        </w:rPr>
        <w:t>元</w:t>
      </w:r>
      <w:r>
        <w:fldChar w:fldCharType="begin"/>
      </w:r>
      <w:r>
        <w:instrText xml:space="preserve"> HYPERLINK \l "bookmark0" </w:instrText>
      </w:r>
      <w:r>
        <w:fldChar w:fldCharType="separate"/>
      </w:r>
      <w:r>
        <w:rPr>
          <w:rFonts w:hint="eastAsia" w:ascii="仿宋" w:hAnsi="仿宋" w:eastAsia="仿宋" w:cs="仿宋"/>
          <w:spacing w:val="-2"/>
          <w:position w:val="16"/>
          <w:sz w:val="24"/>
          <w:szCs w:val="24"/>
          <w:vertAlign w:val="superscript"/>
        </w:rPr>
        <w:t>1</w:t>
      </w:r>
      <w:r>
        <w:rPr>
          <w:rFonts w:hint="eastAsia" w:ascii="仿宋" w:hAnsi="仿宋" w:eastAsia="仿宋" w:cs="仿宋"/>
          <w:spacing w:val="-2"/>
          <w:position w:val="16"/>
          <w:sz w:val="24"/>
          <w:szCs w:val="24"/>
          <w:vertAlign w:val="superscript"/>
        </w:rPr>
        <w:fldChar w:fldCharType="end"/>
      </w:r>
      <w:r>
        <w:rPr>
          <w:rFonts w:hint="eastAsia" w:ascii="仿宋" w:hAnsi="仿宋" w:eastAsia="仿宋" w:cs="仿宋"/>
          <w:spacing w:val="-22"/>
          <w:w w:val="99"/>
          <w:sz w:val="24"/>
          <w:szCs w:val="24"/>
        </w:rPr>
        <w:t>，</w:t>
      </w:r>
      <w:r>
        <w:rPr>
          <w:rFonts w:hint="eastAsia" w:ascii="仿宋" w:hAnsi="仿宋" w:eastAsia="仿宋" w:cs="仿宋"/>
          <w:w w:val="99"/>
          <w:sz w:val="24"/>
          <w:szCs w:val="24"/>
        </w:rPr>
        <w:t>属</w:t>
      </w:r>
      <w:r>
        <w:rPr>
          <w:rFonts w:hint="eastAsia" w:ascii="仿宋" w:hAnsi="仿宋" w:eastAsia="仿宋" w:cs="仿宋"/>
          <w:spacing w:val="-36"/>
          <w:w w:val="99"/>
          <w:sz w:val="24"/>
          <w:szCs w:val="24"/>
        </w:rPr>
        <w:t>于</w:t>
      </w:r>
      <w:r>
        <w:rPr>
          <w:rFonts w:hint="eastAsia" w:ascii="仿宋" w:hAnsi="仿宋" w:eastAsia="仿宋" w:cs="仿宋"/>
          <w:w w:val="95"/>
          <w:sz w:val="24"/>
          <w:szCs w:val="24"/>
          <w:u w:val="single"/>
        </w:rPr>
        <w:t>（中型企业、小 型企业、微型企业）；</w:t>
      </w:r>
    </w:p>
    <w:p>
      <w:pPr>
        <w:pStyle w:val="12"/>
        <w:tabs>
          <w:tab w:val="left" w:pos="1065"/>
          <w:tab w:val="left" w:pos="4262"/>
          <w:tab w:val="left" w:pos="6477"/>
        </w:tabs>
        <w:kinsoku w:val="0"/>
        <w:overflowPunct w:val="0"/>
        <w:spacing w:before="20" w:line="360" w:lineRule="auto"/>
        <w:ind w:left="105" w:right="142" w:firstLine="655"/>
        <w:rPr>
          <w:rFonts w:ascii="仿宋" w:hAnsi="仿宋" w:eastAsia="仿宋" w:cs="仿宋"/>
          <w:w w:val="95"/>
          <w:sz w:val="24"/>
          <w:szCs w:val="24"/>
          <w:u w:val="single"/>
        </w:rPr>
      </w:pPr>
      <w:r>
        <w:rPr>
          <w:rFonts w:hint="eastAsia" w:ascii="仿宋" w:hAnsi="仿宋" w:eastAsia="仿宋" w:cs="仿宋"/>
          <w:spacing w:val="-21"/>
          <w:sz w:val="24"/>
          <w:szCs w:val="24"/>
        </w:rPr>
        <w:t>2.</w:t>
      </w:r>
      <w:r>
        <w:rPr>
          <w:rFonts w:hint="eastAsia" w:ascii="仿宋" w:hAnsi="仿宋" w:eastAsia="仿宋" w:cs="仿宋"/>
          <w:w w:val="95"/>
          <w:sz w:val="24"/>
          <w:szCs w:val="24"/>
          <w:u w:val="single"/>
        </w:rPr>
        <w:t xml:space="preserve"> （标的名称） </w:t>
      </w:r>
      <w:r>
        <w:rPr>
          <w:rFonts w:hint="eastAsia" w:ascii="仿宋" w:hAnsi="仿宋" w:eastAsia="仿宋" w:cs="仿宋"/>
          <w:spacing w:val="-87"/>
          <w:sz w:val="24"/>
          <w:szCs w:val="24"/>
        </w:rPr>
        <w:t xml:space="preserve">，     </w:t>
      </w:r>
      <w:r>
        <w:rPr>
          <w:rFonts w:hint="eastAsia" w:ascii="仿宋" w:hAnsi="仿宋" w:eastAsia="仿宋" w:cs="仿宋"/>
          <w:w w:val="99"/>
          <w:sz w:val="24"/>
          <w:szCs w:val="24"/>
        </w:rPr>
        <w:t>属</w:t>
      </w:r>
      <w:r>
        <w:rPr>
          <w:rFonts w:hint="eastAsia" w:ascii="仿宋" w:hAnsi="仿宋" w:eastAsia="仿宋" w:cs="仿宋"/>
          <w:spacing w:val="-55"/>
          <w:w w:val="99"/>
          <w:sz w:val="24"/>
          <w:szCs w:val="24"/>
        </w:rPr>
        <w:t xml:space="preserve">于     </w:t>
      </w:r>
      <w:r>
        <w:rPr>
          <w:rFonts w:hint="eastAsia" w:ascii="仿宋" w:hAnsi="仿宋" w:eastAsia="仿宋" w:cs="仿宋"/>
          <w:w w:val="95"/>
          <w:sz w:val="24"/>
          <w:szCs w:val="24"/>
          <w:u w:val="single"/>
        </w:rPr>
        <w:t>（采购文件中明确的所属行业）行业</w:t>
      </w:r>
      <w:r>
        <w:rPr>
          <w:rFonts w:hint="eastAsia" w:ascii="仿宋" w:hAnsi="仿宋" w:eastAsia="仿宋" w:cs="仿宋"/>
          <w:spacing w:val="-50"/>
          <w:w w:val="95"/>
          <w:sz w:val="24"/>
          <w:szCs w:val="24"/>
        </w:rPr>
        <w:t>；</w:t>
      </w:r>
      <w:r>
        <w:rPr>
          <w:rFonts w:hint="eastAsia" w:ascii="仿宋" w:hAnsi="仿宋" w:eastAsia="仿宋" w:cs="仿宋"/>
          <w:spacing w:val="5"/>
          <w:w w:val="99"/>
          <w:sz w:val="24"/>
          <w:szCs w:val="24"/>
        </w:rPr>
        <w:t>制造商为</w:t>
      </w:r>
      <w:r>
        <w:rPr>
          <w:rFonts w:hint="eastAsia" w:ascii="仿宋" w:hAnsi="仿宋" w:eastAsia="仿宋" w:cs="仿宋"/>
          <w:w w:val="95"/>
          <w:sz w:val="24"/>
          <w:szCs w:val="24"/>
          <w:u w:val="single"/>
        </w:rPr>
        <w:t>（企业名称）</w:t>
      </w:r>
      <w:r>
        <w:rPr>
          <w:rFonts w:hint="eastAsia" w:ascii="仿宋" w:hAnsi="仿宋" w:eastAsia="仿宋" w:cs="仿宋"/>
          <w:spacing w:val="-50"/>
          <w:w w:val="95"/>
          <w:sz w:val="24"/>
          <w:szCs w:val="24"/>
        </w:rPr>
        <w:t>，从业人员</w:t>
      </w:r>
      <w:r>
        <w:rPr>
          <w:rFonts w:hint="eastAsia" w:ascii="仿宋" w:hAnsi="仿宋" w:eastAsia="仿宋" w:cs="仿宋"/>
          <w:spacing w:val="-50"/>
          <w:w w:val="95"/>
          <w:sz w:val="24"/>
          <w:szCs w:val="24"/>
          <w:u w:val="single"/>
        </w:rPr>
        <w:tab/>
      </w:r>
      <w:r>
        <w:rPr>
          <w:rFonts w:hint="eastAsia" w:ascii="仿宋" w:hAnsi="仿宋" w:eastAsia="仿宋" w:cs="仿宋"/>
          <w:spacing w:val="5"/>
          <w:sz w:val="24"/>
          <w:szCs w:val="24"/>
        </w:rPr>
        <w:t>人，营业收入</w:t>
      </w:r>
      <w:r>
        <w:rPr>
          <w:rFonts w:hint="eastAsia" w:ascii="仿宋" w:hAnsi="仿宋" w:eastAsia="仿宋" w:cs="仿宋"/>
          <w:w w:val="99"/>
          <w:sz w:val="24"/>
          <w:szCs w:val="24"/>
        </w:rPr>
        <w:t xml:space="preserve"> </w:t>
      </w:r>
      <w:r>
        <w:rPr>
          <w:rFonts w:hint="eastAsia" w:ascii="仿宋" w:hAnsi="仿宋" w:eastAsia="仿宋" w:cs="仿宋"/>
          <w:w w:val="95"/>
          <w:sz w:val="24"/>
          <w:szCs w:val="24"/>
        </w:rPr>
        <w:t>为</w:t>
      </w:r>
      <w:r>
        <w:rPr>
          <w:rFonts w:hint="eastAsia" w:ascii="仿宋" w:hAnsi="仿宋" w:eastAsia="仿宋" w:cs="仿宋"/>
          <w:w w:val="95"/>
          <w:sz w:val="24"/>
          <w:szCs w:val="24"/>
          <w:u w:val="single"/>
        </w:rPr>
        <w:tab/>
      </w:r>
      <w:r>
        <w:rPr>
          <w:rFonts w:hint="eastAsia" w:ascii="仿宋" w:hAnsi="仿宋" w:eastAsia="仿宋" w:cs="仿宋"/>
          <w:w w:val="95"/>
          <w:sz w:val="24"/>
          <w:szCs w:val="24"/>
        </w:rPr>
        <w:t>万元，资产总额为</w:t>
      </w:r>
      <w:r>
        <w:rPr>
          <w:rFonts w:hint="eastAsia" w:ascii="仿宋" w:hAnsi="仿宋" w:eastAsia="仿宋" w:cs="仿宋"/>
          <w:w w:val="95"/>
          <w:sz w:val="24"/>
          <w:szCs w:val="24"/>
          <w:u w:val="single"/>
        </w:rPr>
        <w:tab/>
      </w:r>
      <w:r>
        <w:rPr>
          <w:rFonts w:hint="eastAsia" w:ascii="仿宋" w:hAnsi="仿宋" w:eastAsia="仿宋" w:cs="仿宋"/>
          <w:spacing w:val="5"/>
          <w:w w:val="99"/>
          <w:sz w:val="24"/>
          <w:szCs w:val="24"/>
        </w:rPr>
        <w:t>万元</w:t>
      </w:r>
      <w:r>
        <w:rPr>
          <w:rFonts w:hint="eastAsia" w:ascii="仿宋" w:hAnsi="仿宋" w:eastAsia="仿宋" w:cs="仿宋"/>
          <w:spacing w:val="-59"/>
          <w:sz w:val="24"/>
          <w:szCs w:val="24"/>
        </w:rPr>
        <w:t>，</w:t>
      </w:r>
      <w:r>
        <w:rPr>
          <w:rFonts w:hint="eastAsia" w:ascii="仿宋" w:hAnsi="仿宋" w:eastAsia="仿宋" w:cs="仿宋"/>
          <w:w w:val="95"/>
          <w:sz w:val="24"/>
          <w:szCs w:val="24"/>
        </w:rPr>
        <w:t>属于</w:t>
      </w:r>
      <w:r>
        <w:rPr>
          <w:rFonts w:hint="eastAsia" w:ascii="仿宋" w:hAnsi="仿宋" w:eastAsia="仿宋" w:cs="仿宋"/>
          <w:w w:val="95"/>
          <w:sz w:val="24"/>
          <w:szCs w:val="24"/>
          <w:u w:val="single"/>
        </w:rPr>
        <w:t>（中型企业、小型 企业、微型企业）；</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 xml:space="preserve">…… </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以上企业，不属于大企业的分支机构，不存在控股股东为大企业的情形，也不存在与大企业的负责人为同一人的情形。</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本企业对上述声明内容的真实性负责。如有虚假，将依法承担相应责任。</w:t>
      </w:r>
    </w:p>
    <w:p>
      <w:pPr>
        <w:spacing w:line="360" w:lineRule="auto"/>
        <w:ind w:firstLine="3024" w:firstLineChars="1200"/>
        <w:rPr>
          <w:rFonts w:ascii="仿宋" w:hAnsi="仿宋" w:eastAsia="仿宋" w:cs="仿宋"/>
          <w:spacing w:val="6"/>
          <w:sz w:val="24"/>
          <w:szCs w:val="24"/>
        </w:rPr>
      </w:pPr>
    </w:p>
    <w:p>
      <w:pPr>
        <w:spacing w:line="360" w:lineRule="auto"/>
        <w:ind w:firstLine="3024" w:firstLineChars="1200"/>
        <w:rPr>
          <w:rFonts w:ascii="仿宋" w:hAnsi="仿宋" w:eastAsia="仿宋" w:cs="仿宋"/>
          <w:spacing w:val="6"/>
          <w:sz w:val="24"/>
          <w:szCs w:val="24"/>
        </w:rPr>
      </w:pPr>
      <w:r>
        <w:rPr>
          <w:rFonts w:hint="eastAsia" w:ascii="仿宋" w:hAnsi="仿宋" w:eastAsia="仿宋" w:cs="仿宋"/>
          <w:spacing w:val="6"/>
          <w:sz w:val="24"/>
          <w:szCs w:val="24"/>
        </w:rPr>
        <w:t>企业名称（盖章）：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 xml:space="preserve"> </w:t>
      </w:r>
    </w:p>
    <w:p>
      <w:pPr>
        <w:spacing w:line="360" w:lineRule="auto"/>
        <w:ind w:firstLine="3024" w:firstLineChars="1200"/>
        <w:rPr>
          <w:rFonts w:ascii="仿宋" w:hAnsi="仿宋" w:eastAsia="仿宋" w:cs="仿宋"/>
          <w:spacing w:val="6"/>
          <w:sz w:val="24"/>
          <w:szCs w:val="24"/>
          <w:u w:val="single"/>
        </w:rPr>
      </w:pPr>
      <w:r>
        <w:rPr>
          <w:rFonts w:hint="eastAsia" w:ascii="仿宋" w:hAnsi="仿宋" w:eastAsia="仿宋" w:cs="仿宋"/>
          <w:spacing w:val="6"/>
          <w:sz w:val="24"/>
          <w:szCs w:val="24"/>
        </w:rPr>
        <w:t>日    期：</w:t>
      </w:r>
      <w:r>
        <w:rPr>
          <w:rFonts w:hint="eastAsia" w:ascii="仿宋" w:hAnsi="仿宋" w:eastAsia="仿宋" w:cs="仿宋"/>
          <w:spacing w:val="6"/>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p>
    <w:p>
      <w:pPr>
        <w:spacing w:line="360" w:lineRule="auto"/>
        <w:jc w:val="center"/>
        <w:rPr>
          <w:rFonts w:ascii="仿宋" w:hAnsi="仿宋" w:eastAsia="仿宋" w:cs="仿宋"/>
          <w:sz w:val="28"/>
          <w:szCs w:val="28"/>
        </w:rPr>
      </w:pPr>
      <w:r>
        <w:rPr>
          <w:rFonts w:hint="eastAsia" w:ascii="仿宋" w:hAnsi="仿宋" w:eastAsia="仿宋" w:cs="仿宋"/>
          <w:b/>
          <w:bCs/>
          <w:sz w:val="28"/>
          <w:szCs w:val="24"/>
        </w:rPr>
        <w:t>中小企业声明函（工程、服务）</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本公司（联合体）郑重声明，根据《政府采购促进中小企业发展管理办法》（财库﹝2020﹞46 号）的规定，本公司（联合体）参加</w:t>
      </w:r>
      <w:r>
        <w:rPr>
          <w:rFonts w:hint="eastAsia" w:ascii="仿宋" w:hAnsi="仿宋" w:eastAsia="仿宋" w:cs="仿宋"/>
          <w:w w:val="95"/>
          <w:sz w:val="24"/>
          <w:szCs w:val="24"/>
          <w:u w:val="single"/>
        </w:rPr>
        <w:t>（单位名称）</w:t>
      </w:r>
      <w:r>
        <w:rPr>
          <w:rFonts w:hint="eastAsia" w:ascii="仿宋" w:hAnsi="仿宋" w:eastAsia="仿宋" w:cs="仿宋"/>
          <w:w w:val="95"/>
          <w:sz w:val="24"/>
          <w:szCs w:val="24"/>
        </w:rPr>
        <w:t>的</w:t>
      </w:r>
      <w:r>
        <w:rPr>
          <w:rFonts w:hint="eastAsia" w:ascii="仿宋" w:hAnsi="仿宋" w:eastAsia="仿宋" w:cs="仿宋"/>
          <w:w w:val="95"/>
          <w:sz w:val="24"/>
          <w:szCs w:val="24"/>
          <w:u w:val="single"/>
        </w:rPr>
        <w:t>（项目名称）</w:t>
      </w:r>
      <w:r>
        <w:rPr>
          <w:rFonts w:hint="eastAsia" w:ascii="仿宋" w:hAnsi="仿宋" w:eastAsia="仿宋" w:cs="仿宋"/>
          <w:w w:val="95"/>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2"/>
        <w:kinsoku w:val="0"/>
        <w:overflowPunct w:val="0"/>
        <w:spacing w:before="34" w:line="360" w:lineRule="auto"/>
        <w:ind w:firstLine="478" w:firstLineChars="200"/>
        <w:rPr>
          <w:rFonts w:ascii="仿宋" w:hAnsi="仿宋" w:eastAsia="仿宋" w:cs="仿宋"/>
          <w:w w:val="95"/>
          <w:sz w:val="24"/>
          <w:szCs w:val="24"/>
        </w:rPr>
      </w:pPr>
      <w:r>
        <w:rPr>
          <w:rFonts w:hint="eastAsia" w:ascii="仿宋" w:hAnsi="仿宋" w:eastAsia="仿宋" w:cs="仿宋"/>
          <w:spacing w:val="1"/>
          <w:w w:val="99"/>
          <w:sz w:val="24"/>
          <w:szCs w:val="24"/>
        </w:rPr>
        <w:t>1</w:t>
      </w:r>
      <w:r>
        <w:rPr>
          <w:rFonts w:hint="eastAsia" w:ascii="仿宋" w:hAnsi="仿宋" w:eastAsia="仿宋" w:cs="仿宋"/>
          <w:w w:val="99"/>
          <w:sz w:val="24"/>
          <w:szCs w:val="24"/>
        </w:rPr>
        <w:t>.</w:t>
      </w:r>
      <w:r>
        <w:rPr>
          <w:rFonts w:hint="eastAsia" w:ascii="仿宋" w:hAnsi="仿宋" w:eastAsia="仿宋" w:cs="仿宋"/>
          <w:w w:val="95"/>
          <w:sz w:val="24"/>
          <w:szCs w:val="24"/>
          <w:u w:val="single"/>
        </w:rPr>
        <w:t>（标的名称）</w:t>
      </w:r>
      <w:r>
        <w:rPr>
          <w:rFonts w:hint="eastAsia" w:ascii="仿宋" w:hAnsi="仿宋" w:eastAsia="仿宋" w:cs="仿宋"/>
          <w:w w:val="95"/>
          <w:sz w:val="24"/>
          <w:szCs w:val="24"/>
        </w:rPr>
        <w:t>，属于</w:t>
      </w:r>
      <w:r>
        <w:rPr>
          <w:rFonts w:hint="eastAsia" w:ascii="仿宋" w:hAnsi="仿宋" w:eastAsia="仿宋" w:cs="仿宋"/>
          <w:w w:val="95"/>
          <w:sz w:val="24"/>
          <w:szCs w:val="24"/>
          <w:u w:val="single"/>
        </w:rPr>
        <w:t>（采购文件中明确的所属行业）</w:t>
      </w:r>
      <w:r>
        <w:rPr>
          <w:rFonts w:hint="eastAsia" w:ascii="仿宋" w:hAnsi="仿宋" w:eastAsia="仿宋" w:cs="仿宋"/>
          <w:w w:val="95"/>
          <w:sz w:val="24"/>
          <w:szCs w:val="24"/>
        </w:rPr>
        <w:t>；承建（承接）企业为</w:t>
      </w:r>
      <w:r>
        <w:rPr>
          <w:rFonts w:hint="eastAsia" w:ascii="仿宋" w:hAnsi="仿宋" w:eastAsia="仿宋" w:cs="仿宋"/>
          <w:w w:val="95"/>
          <w:sz w:val="24"/>
          <w:szCs w:val="24"/>
          <w:u w:val="single"/>
        </w:rPr>
        <w:t>（企业名称）</w:t>
      </w:r>
      <w:r>
        <w:rPr>
          <w:rFonts w:hint="eastAsia" w:ascii="仿宋" w:hAnsi="仿宋" w:eastAsia="仿宋" w:cs="仿宋"/>
          <w:w w:val="95"/>
          <w:sz w:val="24"/>
          <w:szCs w:val="24"/>
        </w:rPr>
        <w:t>，从业人员</w:t>
      </w:r>
      <w:r>
        <w:rPr>
          <w:rFonts w:hint="eastAsia" w:ascii="仿宋" w:hAnsi="仿宋" w:eastAsia="仿宋" w:cs="仿宋"/>
          <w:w w:val="95"/>
          <w:sz w:val="24"/>
          <w:szCs w:val="24"/>
          <w:u w:val="single"/>
        </w:rPr>
        <w:t xml:space="preserve"> </w:t>
      </w:r>
      <w:r>
        <w:rPr>
          <w:rFonts w:hint="eastAsia" w:ascii="仿宋" w:hAnsi="仿宋" w:eastAsia="仿宋" w:cs="仿宋"/>
          <w:w w:val="95"/>
          <w:sz w:val="24"/>
          <w:szCs w:val="24"/>
          <w:u w:val="single"/>
        </w:rPr>
        <w:tab/>
      </w:r>
      <w:r>
        <w:rPr>
          <w:rFonts w:hint="eastAsia" w:ascii="仿宋" w:hAnsi="仿宋" w:eastAsia="仿宋" w:cs="仿宋"/>
          <w:w w:val="95"/>
          <w:sz w:val="24"/>
          <w:szCs w:val="24"/>
        </w:rPr>
        <w:t xml:space="preserve">人，营业收入为 </w:t>
      </w:r>
      <w:r>
        <w:rPr>
          <w:rFonts w:hint="eastAsia" w:ascii="仿宋" w:hAnsi="仿宋" w:eastAsia="仿宋" w:cs="仿宋"/>
          <w:w w:val="95"/>
          <w:sz w:val="24"/>
          <w:szCs w:val="24"/>
          <w:u w:val="single"/>
        </w:rPr>
        <w:tab/>
      </w:r>
      <w:r>
        <w:rPr>
          <w:rFonts w:hint="eastAsia" w:ascii="仿宋" w:hAnsi="仿宋" w:eastAsia="仿宋" w:cs="仿宋"/>
          <w:w w:val="95"/>
          <w:sz w:val="24"/>
          <w:szCs w:val="24"/>
        </w:rPr>
        <w:t>万元，资产总额为</w:t>
      </w:r>
      <w:r>
        <w:rPr>
          <w:rFonts w:hint="eastAsia" w:ascii="仿宋" w:hAnsi="仿宋" w:eastAsia="仿宋" w:cs="仿宋"/>
          <w:w w:val="95"/>
          <w:sz w:val="24"/>
          <w:szCs w:val="24"/>
          <w:u w:val="single"/>
        </w:rPr>
        <w:t xml:space="preserve"> </w:t>
      </w:r>
      <w:r>
        <w:rPr>
          <w:rFonts w:hint="eastAsia" w:ascii="仿宋" w:hAnsi="仿宋" w:eastAsia="仿宋" w:cs="仿宋"/>
          <w:w w:val="95"/>
          <w:sz w:val="24"/>
          <w:szCs w:val="24"/>
          <w:u w:val="single"/>
        </w:rPr>
        <w:tab/>
      </w:r>
      <w:r>
        <w:rPr>
          <w:rFonts w:hint="eastAsia" w:ascii="仿宋" w:hAnsi="仿宋" w:eastAsia="仿宋" w:cs="仿宋"/>
          <w:w w:val="95"/>
          <w:sz w:val="24"/>
          <w:szCs w:val="24"/>
        </w:rPr>
        <w:t>万</w:t>
      </w:r>
      <w:r>
        <w:rPr>
          <w:rFonts w:hint="eastAsia" w:ascii="仿宋" w:hAnsi="仿宋" w:eastAsia="仿宋" w:cs="仿宋"/>
          <w:spacing w:val="2"/>
          <w:w w:val="99"/>
          <w:sz w:val="24"/>
          <w:szCs w:val="24"/>
        </w:rPr>
        <w:t>元</w:t>
      </w:r>
      <w:r>
        <w:rPr>
          <w:rFonts w:hint="eastAsia" w:ascii="仿宋" w:hAnsi="仿宋" w:eastAsia="仿宋" w:cs="仿宋"/>
          <w:spacing w:val="2"/>
          <w:w w:val="99"/>
          <w:sz w:val="24"/>
          <w:szCs w:val="24"/>
          <w:vertAlign w:val="superscript"/>
        </w:rPr>
        <w:t>1</w:t>
      </w:r>
      <w:r>
        <w:rPr>
          <w:rFonts w:hint="eastAsia" w:ascii="仿宋" w:hAnsi="仿宋" w:eastAsia="仿宋" w:cs="仿宋"/>
          <w:w w:val="95"/>
          <w:sz w:val="24"/>
          <w:szCs w:val="24"/>
        </w:rPr>
        <w:t>，属于</w:t>
      </w:r>
      <w:r>
        <w:rPr>
          <w:rFonts w:hint="eastAsia" w:ascii="仿宋" w:hAnsi="仿宋" w:eastAsia="仿宋" w:cs="仿宋"/>
          <w:w w:val="95"/>
          <w:sz w:val="24"/>
          <w:szCs w:val="24"/>
          <w:u w:val="single"/>
        </w:rPr>
        <w:t>（中型企业、小型企业、微型企业）</w:t>
      </w:r>
      <w:r>
        <w:rPr>
          <w:rFonts w:hint="eastAsia" w:ascii="仿宋" w:hAnsi="仿宋" w:eastAsia="仿宋" w:cs="仿宋"/>
          <w:w w:val="95"/>
          <w:sz w:val="24"/>
          <w:szCs w:val="24"/>
        </w:rPr>
        <w:t>；</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2.</w:t>
      </w:r>
      <w:r>
        <w:rPr>
          <w:rFonts w:hint="eastAsia" w:ascii="仿宋" w:hAnsi="仿宋" w:eastAsia="仿宋" w:cs="仿宋"/>
          <w:w w:val="95"/>
          <w:sz w:val="24"/>
          <w:szCs w:val="24"/>
          <w:u w:val="single"/>
        </w:rPr>
        <w:t>（标的名称）</w:t>
      </w:r>
      <w:r>
        <w:rPr>
          <w:rFonts w:hint="eastAsia" w:ascii="仿宋" w:hAnsi="仿宋" w:eastAsia="仿宋" w:cs="仿宋"/>
          <w:w w:val="95"/>
          <w:sz w:val="24"/>
          <w:szCs w:val="24"/>
        </w:rPr>
        <w:t>，属于</w:t>
      </w:r>
      <w:r>
        <w:rPr>
          <w:rFonts w:hint="eastAsia" w:ascii="仿宋" w:hAnsi="仿宋" w:eastAsia="仿宋" w:cs="仿宋"/>
          <w:w w:val="95"/>
          <w:sz w:val="24"/>
          <w:szCs w:val="24"/>
          <w:u w:val="single"/>
        </w:rPr>
        <w:t>（采购文件中明确的所属行业）</w:t>
      </w:r>
      <w:r>
        <w:rPr>
          <w:rFonts w:hint="eastAsia" w:ascii="仿宋" w:hAnsi="仿宋" w:eastAsia="仿宋" w:cs="仿宋"/>
          <w:w w:val="95"/>
          <w:sz w:val="24"/>
          <w:szCs w:val="24"/>
        </w:rPr>
        <w:t>；承建（承接）企业为</w:t>
      </w:r>
      <w:r>
        <w:rPr>
          <w:rFonts w:hint="eastAsia" w:ascii="仿宋" w:hAnsi="仿宋" w:eastAsia="仿宋" w:cs="仿宋"/>
          <w:w w:val="95"/>
          <w:sz w:val="24"/>
          <w:szCs w:val="24"/>
          <w:u w:val="single"/>
        </w:rPr>
        <w:t>（企业名称）</w:t>
      </w:r>
      <w:r>
        <w:rPr>
          <w:rFonts w:hint="eastAsia" w:ascii="仿宋" w:hAnsi="仿宋" w:eastAsia="仿宋" w:cs="仿宋"/>
          <w:w w:val="95"/>
          <w:sz w:val="24"/>
          <w:szCs w:val="24"/>
        </w:rPr>
        <w:t>，从业人员</w:t>
      </w:r>
      <w:r>
        <w:rPr>
          <w:rFonts w:hint="eastAsia" w:ascii="仿宋" w:hAnsi="仿宋" w:eastAsia="仿宋" w:cs="仿宋"/>
          <w:w w:val="95"/>
          <w:sz w:val="24"/>
          <w:szCs w:val="24"/>
          <w:u w:val="single"/>
        </w:rPr>
        <w:tab/>
      </w:r>
      <w:r>
        <w:rPr>
          <w:rFonts w:hint="eastAsia" w:ascii="仿宋" w:hAnsi="仿宋" w:eastAsia="仿宋" w:cs="仿宋"/>
          <w:w w:val="95"/>
          <w:sz w:val="24"/>
          <w:szCs w:val="24"/>
        </w:rPr>
        <w:t>人，营业收入为</w:t>
      </w:r>
      <w:r>
        <w:rPr>
          <w:rFonts w:hint="eastAsia" w:ascii="仿宋" w:hAnsi="仿宋" w:eastAsia="仿宋" w:cs="仿宋"/>
          <w:w w:val="95"/>
          <w:sz w:val="24"/>
          <w:szCs w:val="24"/>
          <w:u w:val="single"/>
        </w:rPr>
        <w:tab/>
      </w:r>
      <w:r>
        <w:rPr>
          <w:rFonts w:hint="eastAsia" w:ascii="仿宋" w:hAnsi="仿宋" w:eastAsia="仿宋" w:cs="仿宋"/>
          <w:w w:val="95"/>
          <w:sz w:val="24"/>
          <w:szCs w:val="24"/>
        </w:rPr>
        <w:t>万元，资产总额为</w:t>
      </w:r>
      <w:r>
        <w:rPr>
          <w:rFonts w:hint="eastAsia" w:ascii="仿宋" w:hAnsi="仿宋" w:eastAsia="仿宋" w:cs="仿宋"/>
          <w:w w:val="95"/>
          <w:sz w:val="24"/>
          <w:szCs w:val="24"/>
          <w:u w:val="single"/>
        </w:rPr>
        <w:tab/>
      </w:r>
      <w:r>
        <w:rPr>
          <w:rFonts w:hint="eastAsia" w:ascii="仿宋" w:hAnsi="仿宋" w:eastAsia="仿宋" w:cs="仿宋"/>
          <w:w w:val="95"/>
          <w:sz w:val="24"/>
          <w:szCs w:val="24"/>
        </w:rPr>
        <w:t>万元，属于</w:t>
      </w:r>
      <w:r>
        <w:rPr>
          <w:rFonts w:hint="eastAsia" w:ascii="仿宋" w:hAnsi="仿宋" w:eastAsia="仿宋" w:cs="仿宋"/>
          <w:w w:val="95"/>
          <w:sz w:val="24"/>
          <w:szCs w:val="24"/>
          <w:u w:val="single"/>
        </w:rPr>
        <w:t>（中型企业、小型企业、微型企业）</w:t>
      </w:r>
      <w:r>
        <w:rPr>
          <w:rFonts w:hint="eastAsia" w:ascii="仿宋" w:hAnsi="仿宋" w:eastAsia="仿宋" w:cs="仿宋"/>
          <w:w w:val="95"/>
          <w:sz w:val="24"/>
          <w:szCs w:val="24"/>
        </w:rPr>
        <w:t>；</w:t>
      </w:r>
    </w:p>
    <w:p>
      <w:pPr>
        <w:pStyle w:val="12"/>
        <w:kinsoku w:val="0"/>
        <w:overflowPunct w:val="0"/>
        <w:spacing w:before="34" w:line="360" w:lineRule="auto"/>
        <w:ind w:left="765" w:right="138" w:hanging="5"/>
        <w:rPr>
          <w:rFonts w:ascii="仿宋" w:hAnsi="仿宋" w:eastAsia="仿宋" w:cs="仿宋"/>
          <w:w w:val="99"/>
          <w:sz w:val="24"/>
          <w:szCs w:val="24"/>
        </w:rPr>
      </w:pPr>
      <w:r>
        <w:rPr>
          <w:rFonts w:hint="eastAsia" w:ascii="仿宋" w:hAnsi="仿宋" w:eastAsia="仿宋" w:cs="仿宋"/>
          <w:sz w:val="24"/>
          <w:szCs w:val="24"/>
        </w:rPr>
        <w:t>……</w:t>
      </w:r>
      <w:r>
        <w:rPr>
          <w:rFonts w:hint="eastAsia" w:ascii="仿宋" w:hAnsi="仿宋" w:eastAsia="仿宋" w:cs="仿宋"/>
          <w:w w:val="99"/>
          <w:sz w:val="24"/>
          <w:szCs w:val="24"/>
        </w:rPr>
        <w:t xml:space="preserve"> </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以上企业，不属于大企业的分支机构，不存在控股股东为大企业的情形，也不存在与大企业的负责人为同一人的情形。</w:t>
      </w:r>
    </w:p>
    <w:p>
      <w:pPr>
        <w:pStyle w:val="1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本企业对上述声明内容的真实性负责。如有虚假，将依法承担相应责任。</w:t>
      </w:r>
    </w:p>
    <w:p>
      <w:pPr>
        <w:pStyle w:val="12"/>
        <w:kinsoku w:val="0"/>
        <w:overflowPunct w:val="0"/>
        <w:spacing w:before="56" w:line="360" w:lineRule="auto"/>
        <w:ind w:left="3960" w:right="1748"/>
        <w:rPr>
          <w:rFonts w:ascii="仿宋" w:hAnsi="仿宋" w:eastAsia="仿宋" w:cs="仿宋"/>
          <w:spacing w:val="-18"/>
          <w:sz w:val="24"/>
          <w:szCs w:val="24"/>
        </w:rPr>
      </w:pPr>
    </w:p>
    <w:p>
      <w:pPr>
        <w:spacing w:line="360" w:lineRule="auto"/>
        <w:ind w:firstLine="3024" w:firstLineChars="1200"/>
        <w:rPr>
          <w:rFonts w:ascii="仿宋" w:hAnsi="仿宋" w:eastAsia="仿宋" w:cs="仿宋"/>
          <w:spacing w:val="6"/>
          <w:sz w:val="24"/>
          <w:szCs w:val="24"/>
        </w:rPr>
      </w:pPr>
      <w:r>
        <w:rPr>
          <w:rFonts w:hint="eastAsia" w:ascii="仿宋" w:hAnsi="仿宋" w:eastAsia="仿宋" w:cs="仿宋"/>
          <w:spacing w:val="6"/>
          <w:sz w:val="24"/>
          <w:szCs w:val="24"/>
        </w:rPr>
        <w:t>企业名称（盖章）：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 xml:space="preserve"> </w:t>
      </w:r>
    </w:p>
    <w:p>
      <w:pPr>
        <w:spacing w:line="360" w:lineRule="auto"/>
        <w:ind w:firstLine="3024" w:firstLineChars="1200"/>
        <w:rPr>
          <w:rFonts w:ascii="仿宋" w:hAnsi="仿宋" w:eastAsia="仿宋" w:cs="仿宋"/>
          <w:spacing w:val="6"/>
          <w:sz w:val="24"/>
          <w:szCs w:val="24"/>
          <w:u w:val="single"/>
        </w:rPr>
      </w:pPr>
      <w:r>
        <w:rPr>
          <w:rFonts w:hint="eastAsia" w:ascii="仿宋" w:hAnsi="仿宋" w:eastAsia="仿宋" w:cs="仿宋"/>
          <w:spacing w:val="6"/>
          <w:sz w:val="24"/>
          <w:szCs w:val="24"/>
        </w:rPr>
        <w:t>日    期：</w:t>
      </w:r>
      <w:r>
        <w:rPr>
          <w:rFonts w:hint="eastAsia" w:ascii="仿宋" w:hAnsi="仿宋" w:eastAsia="仿宋" w:cs="仿宋"/>
          <w:spacing w:val="6"/>
          <w:sz w:val="24"/>
          <w:szCs w:val="24"/>
          <w:u w:val="single"/>
        </w:rPr>
        <w:t xml:space="preserve">                            </w:t>
      </w:r>
    </w:p>
    <w:p>
      <w:pPr>
        <w:spacing w:line="360" w:lineRule="auto"/>
        <w:rPr>
          <w:rFonts w:ascii="仿宋" w:hAnsi="仿宋" w:eastAsia="仿宋" w:cs="仿宋"/>
          <w:spacing w:val="6"/>
          <w:sz w:val="24"/>
          <w:szCs w:val="24"/>
        </w:rPr>
      </w:pP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pPr>
        <w:pageBreakBefore/>
        <w:spacing w:line="360" w:lineRule="auto"/>
        <w:ind w:firstLine="482" w:firstLineChars="200"/>
        <w:rPr>
          <w:rFonts w:ascii="仿宋" w:hAnsi="仿宋" w:eastAsia="仿宋" w:cs="仿宋"/>
          <w:b/>
          <w:spacing w:val="6"/>
          <w:sz w:val="24"/>
          <w:szCs w:val="24"/>
        </w:rPr>
      </w:pPr>
      <w:r>
        <w:rPr>
          <w:rFonts w:hint="eastAsia" w:ascii="仿宋" w:hAnsi="仿宋" w:eastAsia="仿宋" w:cs="仿宋"/>
          <w:b/>
          <w:sz w:val="24"/>
          <w:szCs w:val="24"/>
        </w:rPr>
        <w:t>附件2：</w:t>
      </w:r>
      <w:bookmarkStart w:id="667" w:name="OLE_LINK14"/>
      <w:bookmarkStart w:id="668" w:name="OLE_LINK13"/>
    </w:p>
    <w:p>
      <w:pPr>
        <w:spacing w:line="360" w:lineRule="auto"/>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bookmarkEnd w:id="667"/>
      <w:bookmarkEnd w:id="668"/>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360" w:lineRule="auto"/>
        <w:ind w:firstLine="504" w:firstLineChars="200"/>
        <w:rPr>
          <w:rFonts w:ascii="仿宋" w:hAnsi="仿宋" w:eastAsia="仿宋" w:cs="仿宋"/>
          <w:spacing w:val="6"/>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adjustRightInd w:val="0"/>
        <w:snapToGrid w:val="0"/>
        <w:spacing w:line="360" w:lineRule="auto"/>
        <w:rPr>
          <w:rFonts w:ascii="仿宋" w:hAnsi="仿宋" w:eastAsia="仿宋" w:cs="仿宋"/>
          <w:sz w:val="24"/>
          <w:szCs w:val="24"/>
        </w:rPr>
      </w:pPr>
    </w:p>
    <w:p>
      <w:pPr>
        <w:adjustRightInd w:val="0"/>
        <w:snapToGrid w:val="0"/>
        <w:spacing w:line="360" w:lineRule="auto"/>
        <w:ind w:firstLine="240" w:firstLineChars="100"/>
        <w:rPr>
          <w:rFonts w:ascii="仿宋" w:hAnsi="仿宋" w:eastAsia="仿宋" w:cs="仿宋"/>
          <w:bCs/>
          <w:sz w:val="24"/>
          <w:szCs w:val="24"/>
        </w:r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p>
      <w:pPr>
        <w:pageBreakBefore/>
        <w:autoSpaceDE w:val="0"/>
        <w:autoSpaceDN w:val="0"/>
        <w:adjustRightInd w:val="0"/>
        <w:snapToGrid w:val="0"/>
        <w:spacing w:line="360" w:lineRule="auto"/>
        <w:jc w:val="center"/>
        <w:outlineLvl w:val="1"/>
        <w:rPr>
          <w:rFonts w:ascii="仿宋" w:hAnsi="仿宋" w:eastAsia="仿宋" w:cs="仿宋"/>
          <w:b/>
          <w:sz w:val="32"/>
          <w:szCs w:val="15"/>
          <w:lang w:val="zh-CN"/>
        </w:rPr>
      </w:pPr>
      <w:bookmarkStart w:id="669" w:name="_Toc12844"/>
      <w:bookmarkStart w:id="670" w:name="_Toc13983"/>
      <w:r>
        <w:rPr>
          <w:rFonts w:hint="eastAsia" w:ascii="仿宋" w:hAnsi="仿宋" w:eastAsia="仿宋" w:cs="仿宋"/>
          <w:b/>
          <w:sz w:val="32"/>
          <w:szCs w:val="15"/>
          <w:lang w:val="zh-CN"/>
        </w:rPr>
        <w:t>十三、供应商廉洁自律承诺书</w:t>
      </w:r>
      <w:bookmarkEnd w:id="669"/>
      <w:bookmarkEnd w:id="670"/>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为了积极配合</w:t>
      </w:r>
      <w:r>
        <w:rPr>
          <w:rFonts w:hint="eastAsia" w:ascii="仿宋" w:hAnsi="仿宋" w:eastAsia="仿宋" w:cs="仿宋"/>
          <w:snapToGrid w:val="0"/>
          <w:color w:val="000000"/>
          <w:sz w:val="24"/>
          <w:szCs w:val="24"/>
          <w:u w:val="single"/>
        </w:rPr>
        <w:t xml:space="preserve"> </w:t>
      </w:r>
      <w:r>
        <w:rPr>
          <w:rFonts w:hint="eastAsia" w:ascii="仿宋" w:hAnsi="仿宋" w:eastAsia="仿宋" w:cs="仿宋"/>
          <w:snapToGrid w:val="0"/>
          <w:color w:val="000000"/>
          <w:sz w:val="24"/>
          <w:szCs w:val="24"/>
          <w:u w:val="single"/>
          <w:lang w:eastAsia="zh-CN"/>
        </w:rPr>
        <w:t>（采购人名称）</w:t>
      </w:r>
      <w:r>
        <w:rPr>
          <w:rFonts w:hint="eastAsia" w:ascii="仿宋" w:hAnsi="仿宋" w:eastAsia="仿宋" w:cs="仿宋"/>
          <w:snapToGrid w:val="0"/>
          <w:color w:val="000000"/>
          <w:sz w:val="24"/>
          <w:szCs w:val="24"/>
          <w:u w:val="single"/>
        </w:rPr>
        <w:t xml:space="preserve">  </w:t>
      </w:r>
      <w:r>
        <w:rPr>
          <w:rFonts w:hint="eastAsia" w:ascii="仿宋" w:hAnsi="仿宋" w:eastAsia="仿宋" w:cs="仿宋"/>
          <w:snapToGrid w:val="0"/>
          <w:color w:val="000000"/>
          <w:sz w:val="24"/>
          <w:szCs w:val="24"/>
        </w:rPr>
        <w:t>进行的</w:t>
      </w:r>
      <w:r>
        <w:rPr>
          <w:rFonts w:hint="eastAsia" w:ascii="仿宋" w:hAnsi="仿宋" w:eastAsia="仿宋" w:cs="仿宋"/>
          <w:snapToGrid w:val="0"/>
          <w:color w:val="000000"/>
          <w:sz w:val="24"/>
          <w:szCs w:val="24"/>
          <w:u w:val="single"/>
        </w:rPr>
        <w:t xml:space="preserve">  </w:t>
      </w:r>
      <w:r>
        <w:rPr>
          <w:rFonts w:hint="eastAsia" w:ascii="仿宋" w:hAnsi="仿宋" w:eastAsia="仿宋" w:cs="仿宋"/>
          <w:snapToGrid w:val="0"/>
          <w:color w:val="000000"/>
          <w:sz w:val="24"/>
          <w:szCs w:val="24"/>
          <w:u w:val="single"/>
          <w:lang w:eastAsia="zh-CN"/>
        </w:rPr>
        <w:t>（项目名称）</w:t>
      </w:r>
      <w:r>
        <w:rPr>
          <w:rFonts w:hint="eastAsia" w:ascii="仿宋" w:hAnsi="仿宋" w:eastAsia="仿宋" w:cs="仿宋"/>
          <w:snapToGrid w:val="0"/>
          <w:color w:val="000000"/>
          <w:sz w:val="24"/>
          <w:szCs w:val="24"/>
          <w:u w:val="single"/>
        </w:rPr>
        <w:t xml:space="preserve">  </w:t>
      </w:r>
      <w:r>
        <w:rPr>
          <w:rFonts w:hint="eastAsia" w:ascii="仿宋" w:hAnsi="仿宋" w:eastAsia="仿宋" w:cs="仿宋"/>
          <w:snapToGrid w:val="0"/>
          <w:color w:val="000000"/>
          <w:sz w:val="24"/>
          <w:szCs w:val="24"/>
        </w:rPr>
        <w:t>磋商</w:t>
      </w:r>
      <w:r>
        <w:fldChar w:fldCharType="begin"/>
      </w:r>
      <w:r>
        <w:instrText xml:space="preserve"> HYPERLINK "http://www.yjbys.com/" </w:instrText>
      </w:r>
      <w:r>
        <w:fldChar w:fldCharType="separate"/>
      </w:r>
      <w:r>
        <w:rPr>
          <w:rFonts w:hint="eastAsia" w:ascii="仿宋" w:hAnsi="仿宋" w:eastAsia="仿宋" w:cs="仿宋"/>
          <w:snapToGrid w:val="0"/>
          <w:color w:val="000000"/>
          <w:sz w:val="24"/>
          <w:szCs w:val="24"/>
        </w:rPr>
        <w:t>工作</w:t>
      </w:r>
      <w:r>
        <w:rPr>
          <w:rFonts w:hint="eastAsia" w:ascii="仿宋" w:hAnsi="仿宋" w:eastAsia="仿宋" w:cs="仿宋"/>
          <w:snapToGrid w:val="0"/>
          <w:color w:val="000000"/>
          <w:sz w:val="24"/>
          <w:szCs w:val="24"/>
        </w:rPr>
        <w:fldChar w:fldCharType="end"/>
      </w:r>
      <w:r>
        <w:rPr>
          <w:rFonts w:hint="eastAsia" w:ascii="仿宋" w:hAnsi="仿宋" w:eastAsia="仿宋" w:cs="仿宋"/>
          <w:snapToGrid w:val="0"/>
          <w:color w:val="000000"/>
          <w:sz w:val="24"/>
          <w:szCs w:val="24"/>
        </w:rPr>
        <w:t>，有效遏制不公平竞争和违规违纪问题的发生，确保磋商工作的公平、公正、公开，我们特向贵司郑重承诺，在政府采购过程中严格遵守下列行为准则：</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1、严格遵守国家有关法律法规及相关政策，以及廉洁从业的各项规定。</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2、不以围标、串标、陪标、挂靠、提供虚假信息、恶意干扰采购人、磋商小组评审等违规手段实现成交目的；</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7、不以贿赂之外的其他方式拉拢采购方相关工作人员，使其违背公平、公开、公正竞争原则，帮助实现成交目的。</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8、如果采购人相关工作人员以帮助实现成交目的为对价向供应商索取贿赂或谋求其他个人利益，供应商应拒绝采购人相关工作人员的要求，并向采购人监督部门举报。</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如果承诺人违背上述承诺并成交，承诺人自愿承担与贵司签订的合同无效、贵司有权拒绝支付合同款、承诺人自身损失自己承担并赔偿贵司因此产生的一切损失的民事法律责任及因此产生的刑事责任。</w:t>
      </w:r>
    </w:p>
    <w:p>
      <w:pPr>
        <w:spacing w:line="360" w:lineRule="auto"/>
        <w:ind w:firstLine="3360" w:firstLineChars="140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auto"/>
        <w:ind w:firstLine="4216" w:firstLineChars="1750"/>
        <w:rPr>
          <w:rFonts w:ascii="仿宋" w:hAnsi="仿宋" w:eastAsia="仿宋" w:cs="仿宋"/>
          <w:b/>
          <w:sz w:val="24"/>
          <w:szCs w:val="24"/>
        </w:rPr>
      </w:pPr>
    </w:p>
    <w:p/>
    <w:p>
      <w:pPr>
        <w:pageBreakBefore/>
        <w:autoSpaceDE w:val="0"/>
        <w:autoSpaceDN w:val="0"/>
        <w:adjustRightInd w:val="0"/>
        <w:snapToGrid w:val="0"/>
        <w:spacing w:line="360" w:lineRule="auto"/>
        <w:jc w:val="center"/>
        <w:outlineLvl w:val="1"/>
        <w:rPr>
          <w:rFonts w:ascii="仿宋" w:hAnsi="仿宋" w:eastAsia="仿宋" w:cs="仿宋"/>
          <w:b/>
          <w:sz w:val="32"/>
          <w:szCs w:val="15"/>
          <w:lang w:val="zh-CN"/>
        </w:rPr>
      </w:pPr>
      <w:bookmarkStart w:id="671" w:name="_Toc8772"/>
      <w:bookmarkStart w:id="672" w:name="_Toc6812"/>
      <w:bookmarkStart w:id="673" w:name="_Toc18685"/>
      <w:bookmarkStart w:id="674" w:name="_Toc29125"/>
      <w:bookmarkStart w:id="675" w:name="_Toc2715"/>
      <w:bookmarkStart w:id="676" w:name="_Toc15882"/>
      <w:bookmarkStart w:id="677" w:name="_Toc9051"/>
      <w:bookmarkStart w:id="678" w:name="_Toc17145"/>
      <w:bookmarkStart w:id="679" w:name="_Toc17375"/>
      <w:bookmarkStart w:id="680" w:name="_Toc4453"/>
      <w:bookmarkStart w:id="681" w:name="_Toc21835"/>
      <w:r>
        <w:rPr>
          <w:rFonts w:hint="eastAsia" w:ascii="仿宋" w:hAnsi="仿宋" w:eastAsia="仿宋" w:cs="仿宋"/>
          <w:b/>
          <w:sz w:val="32"/>
          <w:szCs w:val="15"/>
          <w:lang w:val="zh-CN"/>
        </w:rPr>
        <w:t>十四、供应商认为有必要补充说明的事项</w:t>
      </w:r>
      <w:bookmarkEnd w:id="660"/>
      <w:bookmarkEnd w:id="661"/>
      <w:bookmarkEnd w:id="662"/>
      <w:bookmarkEnd w:id="663"/>
      <w:bookmarkEnd w:id="664"/>
      <w:bookmarkEnd w:id="665"/>
      <w:bookmarkEnd w:id="666"/>
      <w:bookmarkEnd w:id="671"/>
      <w:bookmarkEnd w:id="672"/>
      <w:bookmarkEnd w:id="673"/>
      <w:bookmarkEnd w:id="674"/>
      <w:bookmarkEnd w:id="675"/>
      <w:bookmarkEnd w:id="676"/>
      <w:bookmarkEnd w:id="677"/>
      <w:bookmarkEnd w:id="678"/>
      <w:bookmarkEnd w:id="679"/>
      <w:bookmarkEnd w:id="680"/>
      <w:bookmarkEnd w:id="681"/>
    </w:p>
    <w:p>
      <w:pPr>
        <w:pageBreakBefore/>
        <w:autoSpaceDE w:val="0"/>
        <w:autoSpaceDN w:val="0"/>
        <w:adjustRightInd w:val="0"/>
        <w:snapToGrid w:val="0"/>
        <w:spacing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封皮格式</w:t>
      </w:r>
    </w:p>
    <w:p>
      <w:pPr>
        <w:autoSpaceDE w:val="0"/>
        <w:autoSpaceDN w:val="0"/>
        <w:adjustRightInd w:val="0"/>
        <w:snapToGrid w:val="0"/>
        <w:spacing w:line="360" w:lineRule="auto"/>
        <w:jc w:val="right"/>
        <w:rPr>
          <w:rFonts w:ascii="仿宋" w:hAnsi="仿宋" w:eastAsia="仿宋" w:cs="仿宋"/>
          <w:b/>
          <w:bCs/>
          <w:sz w:val="32"/>
          <w:szCs w:val="32"/>
          <w:lang w:val="zh-CN"/>
        </w:rPr>
      </w:pPr>
      <w:r>
        <w:rPr>
          <w:rFonts w:hint="eastAsia" w:ascii="仿宋" w:hAnsi="仿宋" w:eastAsia="仿宋" w:cs="仿宋"/>
          <w:b/>
          <w:bCs/>
          <w:sz w:val="32"/>
          <w:szCs w:val="32"/>
          <w:lang w:val="zh-CN"/>
        </w:rPr>
        <w:t>正本/副本</w:t>
      </w: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r>
        <w:rPr>
          <w:rFonts w:hint="eastAsia" w:ascii="仿宋" w:hAnsi="仿宋" w:eastAsia="仿宋" w:cs="仿宋"/>
          <w:b/>
          <w:bCs/>
          <w:sz w:val="32"/>
          <w:szCs w:val="32"/>
          <w:lang w:val="zh-CN"/>
        </w:rPr>
        <w:t>政采编号：政采-西安市-2021-03286</w:t>
      </w:r>
    </w:p>
    <w:p>
      <w:pPr>
        <w:tabs>
          <w:tab w:val="left" w:pos="5670"/>
        </w:tabs>
        <w:autoSpaceDE w:val="0"/>
        <w:autoSpaceDN w:val="0"/>
        <w:adjustRightInd w:val="0"/>
        <w:spacing w:line="360" w:lineRule="auto"/>
        <w:ind w:firstLine="300"/>
        <w:rPr>
          <w:rFonts w:ascii="仿宋_GB2312" w:hAnsi="仿宋_GB2312" w:eastAsia="仿宋_GB2312" w:cs="仿宋_GB2312"/>
          <w:b/>
          <w:bCs/>
          <w:sz w:val="32"/>
          <w:szCs w:val="32"/>
        </w:rPr>
      </w:pPr>
      <w:r>
        <w:rPr>
          <w:rFonts w:hint="eastAsia" w:ascii="仿宋" w:hAnsi="仿宋" w:eastAsia="仿宋" w:cs="仿宋"/>
          <w:b/>
          <w:bCs/>
          <w:sz w:val="32"/>
          <w:szCs w:val="32"/>
          <w:lang w:val="zh-CN"/>
        </w:rPr>
        <w:t>项目编号：DX2021-210</w:t>
      </w:r>
    </w:p>
    <w:p>
      <w:pPr>
        <w:rPr>
          <w:lang w:val="zh-CN"/>
        </w:rPr>
      </w:pPr>
    </w:p>
    <w:p>
      <w:pPr>
        <w:rPr>
          <w:lang w:val="zh-CN"/>
        </w:rPr>
      </w:pPr>
    </w:p>
    <w:p>
      <w:pPr>
        <w:rPr>
          <w:lang w:val="zh-CN"/>
        </w:rPr>
      </w:pPr>
    </w:p>
    <w:p>
      <w:pPr>
        <w:rPr>
          <w:lang w:val="zh-CN"/>
        </w:rPr>
      </w:pPr>
    </w:p>
    <w:p>
      <w:pPr>
        <w:pStyle w:val="22"/>
        <w:ind w:firstLine="210"/>
        <w:rPr>
          <w:lang w:val="zh-CN"/>
        </w:rPr>
      </w:pPr>
    </w:p>
    <w:p>
      <w:pPr>
        <w:pStyle w:val="22"/>
        <w:ind w:firstLine="210"/>
        <w:rPr>
          <w:lang w:val="zh-CN"/>
        </w:rPr>
      </w:pPr>
    </w:p>
    <w:p>
      <w:pPr>
        <w:pStyle w:val="22"/>
        <w:ind w:firstLine="210"/>
        <w:rPr>
          <w:lang w:val="zh-CN"/>
        </w:rPr>
      </w:pPr>
    </w:p>
    <w:p>
      <w:pPr>
        <w:pStyle w:val="22"/>
        <w:ind w:firstLine="210"/>
        <w:rPr>
          <w:lang w:val="zh-CN"/>
        </w:rPr>
      </w:pPr>
    </w:p>
    <w:p>
      <w:pPr>
        <w:pStyle w:val="22"/>
        <w:ind w:firstLine="0" w:firstLineChars="0"/>
        <w:jc w:val="center"/>
        <w:rPr>
          <w:rFonts w:ascii="宋体" w:hAnsi="宋体" w:cs="宋体"/>
          <w:b/>
          <w:bCs/>
          <w:color w:val="000000"/>
          <w:sz w:val="44"/>
          <w:szCs w:val="44"/>
        </w:rPr>
      </w:pPr>
      <w:r>
        <w:rPr>
          <w:rFonts w:hint="eastAsia" w:ascii="宋体" w:hAnsi="宋体" w:cs="宋体"/>
          <w:b/>
          <w:bCs/>
          <w:spacing w:val="0"/>
          <w:w w:val="100"/>
          <w:sz w:val="44"/>
          <w:szCs w:val="44"/>
          <w:lang w:eastAsia="zh-CN"/>
        </w:rPr>
        <w:t>西安市学校中层管理人员能力提升培训项目</w:t>
      </w:r>
    </w:p>
    <w:p>
      <w:pPr>
        <w:pStyle w:val="22"/>
        <w:ind w:firstLine="210"/>
      </w:pPr>
    </w:p>
    <w:p>
      <w:pPr>
        <w:tabs>
          <w:tab w:val="left" w:pos="5670"/>
        </w:tabs>
        <w:autoSpaceDE w:val="0"/>
        <w:autoSpaceDN w:val="0"/>
        <w:adjustRightInd w:val="0"/>
        <w:spacing w:line="360" w:lineRule="auto"/>
        <w:jc w:val="center"/>
        <w:rPr>
          <w:rFonts w:ascii="宋体" w:hAnsi="宋体" w:cs="宋体"/>
          <w:b/>
          <w:color w:val="000000"/>
          <w:sz w:val="44"/>
          <w:szCs w:val="44"/>
        </w:rPr>
      </w:pPr>
    </w:p>
    <w:p>
      <w:pPr>
        <w:pStyle w:val="12"/>
      </w:pPr>
    </w:p>
    <w:p>
      <w:pPr>
        <w:tabs>
          <w:tab w:val="left" w:pos="5670"/>
        </w:tabs>
        <w:autoSpaceDE w:val="0"/>
        <w:autoSpaceDN w:val="0"/>
        <w:adjustRightInd w:val="0"/>
        <w:spacing w:line="360" w:lineRule="auto"/>
        <w:jc w:val="center"/>
        <w:rPr>
          <w:rFonts w:hint="eastAsia" w:ascii="宋体" w:hAnsi="宋体" w:cs="宋体"/>
          <w:b/>
          <w:color w:val="000000"/>
          <w:sz w:val="44"/>
          <w:szCs w:val="44"/>
        </w:rPr>
      </w:pPr>
    </w:p>
    <w:p>
      <w:pPr>
        <w:tabs>
          <w:tab w:val="left" w:pos="5670"/>
        </w:tabs>
        <w:autoSpaceDE w:val="0"/>
        <w:autoSpaceDN w:val="0"/>
        <w:adjustRightInd w:val="0"/>
        <w:spacing w:line="360" w:lineRule="auto"/>
        <w:jc w:val="center"/>
        <w:rPr>
          <w:rFonts w:ascii="宋体" w:hAnsi="宋体" w:cs="宋体"/>
          <w:b/>
          <w:color w:val="000000"/>
          <w:sz w:val="44"/>
          <w:szCs w:val="44"/>
        </w:rPr>
      </w:pPr>
      <w:r>
        <w:rPr>
          <w:rFonts w:hint="eastAsia" w:ascii="宋体" w:hAnsi="宋体" w:cs="宋体"/>
          <w:b/>
          <w:color w:val="000000"/>
          <w:sz w:val="44"/>
          <w:szCs w:val="44"/>
        </w:rPr>
        <w:t>竞 争 性 磋 商 响 应 文 件</w:t>
      </w:r>
    </w:p>
    <w:p>
      <w:pPr>
        <w:autoSpaceDE w:val="0"/>
        <w:autoSpaceDN w:val="0"/>
        <w:adjustRightInd w:val="0"/>
        <w:spacing w:line="360" w:lineRule="auto"/>
        <w:jc w:val="center"/>
        <w:rPr>
          <w:rFonts w:ascii="仿宋" w:hAnsi="仿宋" w:eastAsia="仿宋" w:cs="仿宋"/>
          <w:sz w:val="28"/>
          <w:szCs w:val="28"/>
          <w:lang w:val="zh-CN"/>
        </w:rPr>
      </w:pPr>
    </w:p>
    <w:p>
      <w:pPr>
        <w:rPr>
          <w:rFonts w:ascii="仿宋" w:hAnsi="仿宋" w:eastAsia="仿宋" w:cs="仿宋"/>
          <w:sz w:val="28"/>
          <w:szCs w:val="28"/>
          <w:lang w:val="zh-CN"/>
        </w:rPr>
      </w:pPr>
    </w:p>
    <w:p>
      <w:pPr>
        <w:rPr>
          <w:lang w:val="zh-CN"/>
        </w:rPr>
      </w:pPr>
    </w:p>
    <w:p>
      <w:pPr>
        <w:autoSpaceDE w:val="0"/>
        <w:autoSpaceDN w:val="0"/>
        <w:adjustRightInd w:val="0"/>
        <w:spacing w:line="360" w:lineRule="auto"/>
        <w:jc w:val="center"/>
        <w:rPr>
          <w:rFonts w:ascii="仿宋" w:hAnsi="仿宋" w:eastAsia="仿宋" w:cs="仿宋"/>
          <w:sz w:val="28"/>
          <w:szCs w:val="28"/>
        </w:rPr>
      </w:pPr>
      <w:r>
        <w:rPr>
          <w:rFonts w:hint="eastAsia" w:ascii="仿宋" w:hAnsi="仿宋" w:eastAsia="仿宋" w:cs="仿宋"/>
          <w:sz w:val="28"/>
          <w:szCs w:val="28"/>
          <w:lang w:val="zh-CN"/>
        </w:rPr>
        <w:t>在</w:t>
      </w:r>
      <w:r>
        <w:rPr>
          <w:rFonts w:hint="eastAsia" w:ascii="仿宋" w:hAnsi="仿宋" w:eastAsia="仿宋" w:cs="仿宋"/>
          <w:sz w:val="28"/>
          <w:szCs w:val="28"/>
        </w:rPr>
        <w:t>XXXX年XX月XX日XX：XX前不得启封</w:t>
      </w:r>
    </w:p>
    <w:p>
      <w:pPr>
        <w:pStyle w:val="22"/>
        <w:rPr>
          <w:rFonts w:ascii="仿宋_GB2312" w:hAnsi="仿宋_GB2312" w:eastAsia="仿宋_GB2312" w:cs="仿宋_GB2312"/>
          <w:sz w:val="42"/>
          <w:szCs w:val="42"/>
        </w:rPr>
      </w:pPr>
    </w:p>
    <w:p>
      <w:pPr>
        <w:pStyle w:val="22"/>
        <w:rPr>
          <w:rFonts w:ascii="仿宋_GB2312" w:hAnsi="仿宋_GB2312" w:eastAsia="仿宋_GB2312" w:cs="仿宋_GB2312"/>
          <w:sz w:val="42"/>
          <w:szCs w:val="42"/>
        </w:rPr>
      </w:pPr>
    </w:p>
    <w:p>
      <w:pPr>
        <w:pStyle w:val="40"/>
      </w:pPr>
    </w:p>
    <w:p>
      <w:pPr>
        <w:pStyle w:val="40"/>
      </w:pPr>
    </w:p>
    <w:p>
      <w:pPr>
        <w:pStyle w:val="2"/>
      </w:pPr>
    </w:p>
    <w:p>
      <w:pPr>
        <w:spacing w:line="360" w:lineRule="auto"/>
        <w:ind w:left="420" w:leftChars="200" w:firstLine="851" w:firstLineChars="26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投  标 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（盖章）</w:t>
      </w:r>
    </w:p>
    <w:p>
      <w:pPr>
        <w:spacing w:line="360" w:lineRule="auto"/>
        <w:ind w:firstLine="1285" w:firstLineChars="4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日    期：</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日</w:t>
      </w:r>
    </w:p>
    <w:sectPr>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28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58</w:t>
                          </w:r>
                          <w:r>
                            <w:rPr>
                              <w:rFonts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2"/>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28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58</w:t>
                    </w:r>
                    <w:r>
                      <w:rPr>
                        <w:rFonts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28"/>
      </w:rPr>
    </w:pPr>
    <w:r>
      <w:fldChar w:fldCharType="begin"/>
    </w:r>
    <w:r>
      <w:rPr>
        <w:rStyle w:val="28"/>
      </w:rPr>
      <w:instrText xml:space="preserve">PAGE  </w:instrText>
    </w:r>
    <w:r>
      <w:fldChar w:fldCharType="separate"/>
    </w:r>
    <w:r>
      <w:rPr>
        <w:rStyle w:val="28"/>
      </w:rPr>
      <w:t>18</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25I4AgAAcA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9XbkjgCAABw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36</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28"/>
      </w:rPr>
    </w:pPr>
    <w:r>
      <w:fldChar w:fldCharType="begin"/>
    </w:r>
    <w:r>
      <w:rPr>
        <w:rStyle w:val="28"/>
      </w:rPr>
      <w:instrText xml:space="preserve">PAGE  </w:instrText>
    </w:r>
    <w:r>
      <w:fldChar w:fldCharType="separate"/>
    </w:r>
    <w:r>
      <w:rPr>
        <w:rStyle w:val="28"/>
      </w:rPr>
      <w:t>15</w:t>
    </w:r>
    <w:r>
      <w:fldChar w:fldCharType="end"/>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 共 </w:t>
                          </w:r>
                          <w:r>
                            <w:fldChar w:fldCharType="begin"/>
                          </w:r>
                          <w:r>
                            <w:instrText xml:space="preserve"> NUMPAGES  \* MERGEFORMAT </w:instrText>
                          </w:r>
                          <w:r>
                            <w:fldChar w:fldCharType="separate"/>
                          </w:r>
                          <w:r>
                            <w:t>43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 共 </w:t>
                    </w:r>
                    <w:r>
                      <w:fldChar w:fldCharType="begin"/>
                    </w:r>
                    <w:r>
                      <w:instrText xml:space="preserve"> NUMPAGES  \* MERGEFORMAT </w:instrText>
                    </w:r>
                    <w:r>
                      <w:fldChar w:fldCharType="separate"/>
                    </w:r>
                    <w:r>
                      <w:t>43</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t xml:space="preserve">第 </w:t>
                          </w:r>
                          <w:r>
                            <w:fldChar w:fldCharType="begin"/>
                          </w:r>
                          <w:r>
                            <w:instrText xml:space="preserve"> PAGE  \* MERGEFORMAT </w:instrText>
                          </w:r>
                          <w:r>
                            <w:fldChar w:fldCharType="separate"/>
                          </w:r>
                          <w:r>
                            <w:t>58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2"/>
                    </w:pPr>
                    <w:r>
                      <w:rPr>
                        <w:rFonts w:hint="eastAsia"/>
                      </w:rPr>
                      <w:t xml:space="preserve">第 </w:t>
                    </w:r>
                    <w:r>
                      <w:fldChar w:fldCharType="begin"/>
                    </w:r>
                    <w:r>
                      <w:instrText xml:space="preserve"> PAGE  \* MERGEFORMAT </w:instrText>
                    </w:r>
                    <w:r>
                      <w:fldChar w:fldCharType="separate"/>
                    </w:r>
                    <w:r>
                      <w:t>58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single" w:color="000000" w:sz="6" w:space="1"/>
        <w:right w:val="none" w:color="auto" w:sz="0" w:space="4"/>
      </w:pBdr>
      <w:jc w:val="right"/>
      <w:rPr>
        <w:sz w:val="15"/>
        <w:szCs w:val="16"/>
      </w:rPr>
    </w:pPr>
    <w:r>
      <w:rPr>
        <w:rFonts w:hint="eastAsia" w:ascii="宋体" w:hAnsi="宋体" w:cs="宋体"/>
        <w:b/>
        <w:bCs/>
        <w:i/>
        <w:sz w:val="18"/>
        <w:szCs w:val="18"/>
        <w:lang w:eastAsia="zh-CN"/>
      </w:rPr>
      <w:t>西安市教育局（本级）专业技能培训服务项目</w:t>
    </w:r>
    <w:r>
      <w:rPr>
        <w:rFonts w:hint="eastAsia" w:ascii="宋体" w:hAnsi="宋体" w:cs="宋体"/>
        <w:b/>
        <w:bCs/>
        <w:i/>
        <w:sz w:val="18"/>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single" w:color="000000" w:sz="6" w:space="1"/>
        <w:right w:val="none" w:color="auto" w:sz="0" w:space="4"/>
      </w:pBdr>
      <w:jc w:val="right"/>
    </w:pPr>
    <w:r>
      <w:rPr>
        <w:rFonts w:hint="eastAsia" w:ascii="宋体" w:hAnsi="宋体" w:cs="宋体"/>
        <w:b/>
        <w:bCs/>
        <w:i/>
        <w:sz w:val="21"/>
        <w:szCs w:val="21"/>
        <w:lang w:eastAsia="zh-CN"/>
      </w:rPr>
      <w:t>西安市教育局（本级）专业技能培训服务项目</w:t>
    </w:r>
    <w:r>
      <w:rPr>
        <w:rFonts w:hint="eastAsia" w:ascii="宋体" w:hAnsi="宋体" w:cs="宋体"/>
        <w:b/>
        <w:bCs/>
        <w:i/>
        <w:sz w:val="21"/>
        <w:szCs w:val="21"/>
      </w:rPr>
      <w:t>竞争性磋商文件</w:t>
    </w:r>
  </w:p>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D19D4"/>
    <w:multiLevelType w:val="singleLevel"/>
    <w:tmpl w:val="B8BD19D4"/>
    <w:lvl w:ilvl="0" w:tentative="0">
      <w:start w:val="1"/>
      <w:numFmt w:val="decimal"/>
      <w:suff w:val="nothing"/>
      <w:lvlText w:val="%1、"/>
      <w:lvlJc w:val="left"/>
    </w:lvl>
  </w:abstractNum>
  <w:abstractNum w:abstractNumId="1">
    <w:nsid w:val="455CDA95"/>
    <w:multiLevelType w:val="singleLevel"/>
    <w:tmpl w:val="455CDA9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49"/>
    <w:rsid w:val="003405CA"/>
    <w:rsid w:val="00461D06"/>
    <w:rsid w:val="004D7C54"/>
    <w:rsid w:val="00520AC4"/>
    <w:rsid w:val="00631454"/>
    <w:rsid w:val="006442A3"/>
    <w:rsid w:val="0070055A"/>
    <w:rsid w:val="008816DE"/>
    <w:rsid w:val="00A41B2F"/>
    <w:rsid w:val="00AF6B1A"/>
    <w:rsid w:val="00B05A5E"/>
    <w:rsid w:val="00B60549"/>
    <w:rsid w:val="00B761BE"/>
    <w:rsid w:val="00BC5C89"/>
    <w:rsid w:val="00BD3DD0"/>
    <w:rsid w:val="00CA169F"/>
    <w:rsid w:val="00D93261"/>
    <w:rsid w:val="00DB113F"/>
    <w:rsid w:val="00E03AC1"/>
    <w:rsid w:val="00EF1927"/>
    <w:rsid w:val="00F5095A"/>
    <w:rsid w:val="00F5243C"/>
    <w:rsid w:val="00F81B4C"/>
    <w:rsid w:val="0105587C"/>
    <w:rsid w:val="01085ADE"/>
    <w:rsid w:val="011A7F65"/>
    <w:rsid w:val="01303FFD"/>
    <w:rsid w:val="01431B20"/>
    <w:rsid w:val="014C4D60"/>
    <w:rsid w:val="017C743C"/>
    <w:rsid w:val="01A65ADB"/>
    <w:rsid w:val="01A80840"/>
    <w:rsid w:val="01B21C9D"/>
    <w:rsid w:val="02176077"/>
    <w:rsid w:val="02216FEE"/>
    <w:rsid w:val="0234114E"/>
    <w:rsid w:val="02763E7E"/>
    <w:rsid w:val="02F8286C"/>
    <w:rsid w:val="03203623"/>
    <w:rsid w:val="03366FA1"/>
    <w:rsid w:val="034A6452"/>
    <w:rsid w:val="035C6433"/>
    <w:rsid w:val="037961DA"/>
    <w:rsid w:val="038300C3"/>
    <w:rsid w:val="03B163FF"/>
    <w:rsid w:val="03E10D58"/>
    <w:rsid w:val="03F57D30"/>
    <w:rsid w:val="041A1FBF"/>
    <w:rsid w:val="04253073"/>
    <w:rsid w:val="042E3C79"/>
    <w:rsid w:val="04417703"/>
    <w:rsid w:val="04527A55"/>
    <w:rsid w:val="046704F0"/>
    <w:rsid w:val="04687468"/>
    <w:rsid w:val="047124BC"/>
    <w:rsid w:val="04D3473A"/>
    <w:rsid w:val="05135282"/>
    <w:rsid w:val="05220CF5"/>
    <w:rsid w:val="0524591F"/>
    <w:rsid w:val="057E699D"/>
    <w:rsid w:val="05C959EA"/>
    <w:rsid w:val="05F20D8B"/>
    <w:rsid w:val="06045A1E"/>
    <w:rsid w:val="0608568E"/>
    <w:rsid w:val="061A7C1D"/>
    <w:rsid w:val="062F5980"/>
    <w:rsid w:val="063C53E6"/>
    <w:rsid w:val="06AB3A62"/>
    <w:rsid w:val="06F82BE0"/>
    <w:rsid w:val="07306AA5"/>
    <w:rsid w:val="073A0B51"/>
    <w:rsid w:val="07490787"/>
    <w:rsid w:val="07642BDD"/>
    <w:rsid w:val="077F4314"/>
    <w:rsid w:val="07AB222D"/>
    <w:rsid w:val="07B05AC3"/>
    <w:rsid w:val="07B24103"/>
    <w:rsid w:val="07E623D9"/>
    <w:rsid w:val="08041A7B"/>
    <w:rsid w:val="08044B31"/>
    <w:rsid w:val="081F61AA"/>
    <w:rsid w:val="08500049"/>
    <w:rsid w:val="08623C45"/>
    <w:rsid w:val="08A5055C"/>
    <w:rsid w:val="08B14334"/>
    <w:rsid w:val="08E13B2D"/>
    <w:rsid w:val="08E62769"/>
    <w:rsid w:val="08E80379"/>
    <w:rsid w:val="0900706A"/>
    <w:rsid w:val="090A7A54"/>
    <w:rsid w:val="09194730"/>
    <w:rsid w:val="092804E5"/>
    <w:rsid w:val="093F7E72"/>
    <w:rsid w:val="0947033F"/>
    <w:rsid w:val="0981259B"/>
    <w:rsid w:val="098E7B7F"/>
    <w:rsid w:val="0A1749D0"/>
    <w:rsid w:val="0A19265B"/>
    <w:rsid w:val="0A1C76DB"/>
    <w:rsid w:val="0A435509"/>
    <w:rsid w:val="0A4C003C"/>
    <w:rsid w:val="0AA6216A"/>
    <w:rsid w:val="0ABE15CF"/>
    <w:rsid w:val="0AC019D4"/>
    <w:rsid w:val="0AF83A39"/>
    <w:rsid w:val="0B000966"/>
    <w:rsid w:val="0B003CCF"/>
    <w:rsid w:val="0B4701B6"/>
    <w:rsid w:val="0B5D1B1D"/>
    <w:rsid w:val="0B933C8E"/>
    <w:rsid w:val="0BB6608C"/>
    <w:rsid w:val="0BBC4C03"/>
    <w:rsid w:val="0BCB7A63"/>
    <w:rsid w:val="0BE7114B"/>
    <w:rsid w:val="0BF33B94"/>
    <w:rsid w:val="0C23024D"/>
    <w:rsid w:val="0C2A6C47"/>
    <w:rsid w:val="0C3A6A25"/>
    <w:rsid w:val="0C5428E0"/>
    <w:rsid w:val="0C623A2A"/>
    <w:rsid w:val="0C682D50"/>
    <w:rsid w:val="0C7D169C"/>
    <w:rsid w:val="0CB66556"/>
    <w:rsid w:val="0CBF11FE"/>
    <w:rsid w:val="0D140682"/>
    <w:rsid w:val="0D482E86"/>
    <w:rsid w:val="0D764741"/>
    <w:rsid w:val="0D862F58"/>
    <w:rsid w:val="0E105BEA"/>
    <w:rsid w:val="0E4C3DFC"/>
    <w:rsid w:val="0E4D21CB"/>
    <w:rsid w:val="0E4D5BCD"/>
    <w:rsid w:val="0E543BD3"/>
    <w:rsid w:val="0E802D3E"/>
    <w:rsid w:val="0E88739B"/>
    <w:rsid w:val="0E966251"/>
    <w:rsid w:val="0EA571D2"/>
    <w:rsid w:val="0EB05A49"/>
    <w:rsid w:val="0EFB6E02"/>
    <w:rsid w:val="0EFC02E4"/>
    <w:rsid w:val="0F284CBA"/>
    <w:rsid w:val="0F3811DB"/>
    <w:rsid w:val="0F650581"/>
    <w:rsid w:val="0F8B3F8A"/>
    <w:rsid w:val="0F9C5ECB"/>
    <w:rsid w:val="0FBB69AC"/>
    <w:rsid w:val="0FDC5247"/>
    <w:rsid w:val="0FE02EB6"/>
    <w:rsid w:val="1025540D"/>
    <w:rsid w:val="103B421B"/>
    <w:rsid w:val="10622999"/>
    <w:rsid w:val="106C6A80"/>
    <w:rsid w:val="10724450"/>
    <w:rsid w:val="10AB5CBF"/>
    <w:rsid w:val="10EE537F"/>
    <w:rsid w:val="10F43811"/>
    <w:rsid w:val="11102E80"/>
    <w:rsid w:val="111147CC"/>
    <w:rsid w:val="111B1C18"/>
    <w:rsid w:val="1135769B"/>
    <w:rsid w:val="1172655E"/>
    <w:rsid w:val="11AA170E"/>
    <w:rsid w:val="11B8134E"/>
    <w:rsid w:val="11EA618B"/>
    <w:rsid w:val="11FE5C63"/>
    <w:rsid w:val="122415B6"/>
    <w:rsid w:val="12332CF4"/>
    <w:rsid w:val="12484BF3"/>
    <w:rsid w:val="12527AAC"/>
    <w:rsid w:val="12665831"/>
    <w:rsid w:val="12767B0A"/>
    <w:rsid w:val="128F7E9C"/>
    <w:rsid w:val="12B446EB"/>
    <w:rsid w:val="12CA723D"/>
    <w:rsid w:val="12DF0574"/>
    <w:rsid w:val="12E5048A"/>
    <w:rsid w:val="12FB072B"/>
    <w:rsid w:val="130A2A40"/>
    <w:rsid w:val="132763AF"/>
    <w:rsid w:val="136E56ED"/>
    <w:rsid w:val="13720492"/>
    <w:rsid w:val="13804853"/>
    <w:rsid w:val="138B4152"/>
    <w:rsid w:val="13BA2ECB"/>
    <w:rsid w:val="13D223C9"/>
    <w:rsid w:val="13E1489E"/>
    <w:rsid w:val="13E27CE4"/>
    <w:rsid w:val="140E0CB8"/>
    <w:rsid w:val="1426534E"/>
    <w:rsid w:val="142D64F0"/>
    <w:rsid w:val="14477EFA"/>
    <w:rsid w:val="14592278"/>
    <w:rsid w:val="14751B64"/>
    <w:rsid w:val="14AC799B"/>
    <w:rsid w:val="14B3222C"/>
    <w:rsid w:val="14C239A1"/>
    <w:rsid w:val="14DF1064"/>
    <w:rsid w:val="14EB4E70"/>
    <w:rsid w:val="14EE6A15"/>
    <w:rsid w:val="150F66F4"/>
    <w:rsid w:val="15136BE1"/>
    <w:rsid w:val="152C4475"/>
    <w:rsid w:val="15396771"/>
    <w:rsid w:val="154B7DE1"/>
    <w:rsid w:val="15585866"/>
    <w:rsid w:val="155F21D2"/>
    <w:rsid w:val="156066D1"/>
    <w:rsid w:val="156D11D9"/>
    <w:rsid w:val="15B22F34"/>
    <w:rsid w:val="15B56B42"/>
    <w:rsid w:val="15BE3BF1"/>
    <w:rsid w:val="15E367C7"/>
    <w:rsid w:val="16252264"/>
    <w:rsid w:val="162C0FAF"/>
    <w:rsid w:val="164520B1"/>
    <w:rsid w:val="168F4343"/>
    <w:rsid w:val="16924BB6"/>
    <w:rsid w:val="16935DD8"/>
    <w:rsid w:val="16AA1A96"/>
    <w:rsid w:val="16AB4667"/>
    <w:rsid w:val="16C57179"/>
    <w:rsid w:val="16E4745F"/>
    <w:rsid w:val="16FB32BD"/>
    <w:rsid w:val="17300CEA"/>
    <w:rsid w:val="177F7D05"/>
    <w:rsid w:val="17AE66AB"/>
    <w:rsid w:val="17F3423D"/>
    <w:rsid w:val="1809094D"/>
    <w:rsid w:val="18093732"/>
    <w:rsid w:val="18565229"/>
    <w:rsid w:val="18756072"/>
    <w:rsid w:val="187B1839"/>
    <w:rsid w:val="18E23F12"/>
    <w:rsid w:val="18E9239A"/>
    <w:rsid w:val="18F352B6"/>
    <w:rsid w:val="192D0455"/>
    <w:rsid w:val="19446E00"/>
    <w:rsid w:val="194E3E35"/>
    <w:rsid w:val="19AE4554"/>
    <w:rsid w:val="19E94816"/>
    <w:rsid w:val="1A361921"/>
    <w:rsid w:val="1A366696"/>
    <w:rsid w:val="1A5A28D4"/>
    <w:rsid w:val="1A5B704B"/>
    <w:rsid w:val="1ABC4322"/>
    <w:rsid w:val="1AE01239"/>
    <w:rsid w:val="1AEB6B9A"/>
    <w:rsid w:val="1B872DE7"/>
    <w:rsid w:val="1BB43B98"/>
    <w:rsid w:val="1BC22AF5"/>
    <w:rsid w:val="1BCA576A"/>
    <w:rsid w:val="1BD702CE"/>
    <w:rsid w:val="1C09374B"/>
    <w:rsid w:val="1C1D4A99"/>
    <w:rsid w:val="1C8F5B80"/>
    <w:rsid w:val="1C9D22A8"/>
    <w:rsid w:val="1CEB33E5"/>
    <w:rsid w:val="1D30008D"/>
    <w:rsid w:val="1D370CCD"/>
    <w:rsid w:val="1D3A2F68"/>
    <w:rsid w:val="1D575C5A"/>
    <w:rsid w:val="1D6C39E3"/>
    <w:rsid w:val="1D732D79"/>
    <w:rsid w:val="1D7C0744"/>
    <w:rsid w:val="1D7D78BF"/>
    <w:rsid w:val="1D891E75"/>
    <w:rsid w:val="1DB76AC2"/>
    <w:rsid w:val="1E106582"/>
    <w:rsid w:val="1E691BB9"/>
    <w:rsid w:val="1E835F7A"/>
    <w:rsid w:val="1EAF1B9C"/>
    <w:rsid w:val="1ECD58A4"/>
    <w:rsid w:val="1EDD62F3"/>
    <w:rsid w:val="1EEE3318"/>
    <w:rsid w:val="1F1B7ADD"/>
    <w:rsid w:val="1F585DFC"/>
    <w:rsid w:val="1FF373D7"/>
    <w:rsid w:val="1FF71B43"/>
    <w:rsid w:val="20430411"/>
    <w:rsid w:val="20462389"/>
    <w:rsid w:val="204C025E"/>
    <w:rsid w:val="209D3176"/>
    <w:rsid w:val="2109434D"/>
    <w:rsid w:val="210B3B0D"/>
    <w:rsid w:val="2120300A"/>
    <w:rsid w:val="213A784A"/>
    <w:rsid w:val="2147538B"/>
    <w:rsid w:val="21674D2B"/>
    <w:rsid w:val="21BB2913"/>
    <w:rsid w:val="21C329ED"/>
    <w:rsid w:val="21D7411B"/>
    <w:rsid w:val="21E51BF5"/>
    <w:rsid w:val="2206390C"/>
    <w:rsid w:val="222E5EEB"/>
    <w:rsid w:val="2259629D"/>
    <w:rsid w:val="225E6832"/>
    <w:rsid w:val="225F51B2"/>
    <w:rsid w:val="22755DD2"/>
    <w:rsid w:val="22772705"/>
    <w:rsid w:val="2286121C"/>
    <w:rsid w:val="229628E4"/>
    <w:rsid w:val="229C72E2"/>
    <w:rsid w:val="22BF5081"/>
    <w:rsid w:val="22CF41E0"/>
    <w:rsid w:val="22F82060"/>
    <w:rsid w:val="233D55AB"/>
    <w:rsid w:val="234750A5"/>
    <w:rsid w:val="239E759F"/>
    <w:rsid w:val="23B01E60"/>
    <w:rsid w:val="23C450AC"/>
    <w:rsid w:val="23E559A6"/>
    <w:rsid w:val="23F508EC"/>
    <w:rsid w:val="242D082B"/>
    <w:rsid w:val="24350B15"/>
    <w:rsid w:val="245579B9"/>
    <w:rsid w:val="248D7C9C"/>
    <w:rsid w:val="24B036C6"/>
    <w:rsid w:val="24B25916"/>
    <w:rsid w:val="24B65385"/>
    <w:rsid w:val="24F600E0"/>
    <w:rsid w:val="24F9462A"/>
    <w:rsid w:val="25180AC3"/>
    <w:rsid w:val="252F7B66"/>
    <w:rsid w:val="25425EEE"/>
    <w:rsid w:val="256774E4"/>
    <w:rsid w:val="258B5A5C"/>
    <w:rsid w:val="25A76548"/>
    <w:rsid w:val="25AF4942"/>
    <w:rsid w:val="25CF0FCB"/>
    <w:rsid w:val="25F03044"/>
    <w:rsid w:val="25FF4312"/>
    <w:rsid w:val="26295E6E"/>
    <w:rsid w:val="26443F4C"/>
    <w:rsid w:val="26476799"/>
    <w:rsid w:val="265D7666"/>
    <w:rsid w:val="26755A9E"/>
    <w:rsid w:val="267808CE"/>
    <w:rsid w:val="269208E5"/>
    <w:rsid w:val="26A00D01"/>
    <w:rsid w:val="26A91BD3"/>
    <w:rsid w:val="26C82A55"/>
    <w:rsid w:val="272B2777"/>
    <w:rsid w:val="27412DF3"/>
    <w:rsid w:val="27482D19"/>
    <w:rsid w:val="27633F70"/>
    <w:rsid w:val="27747FC4"/>
    <w:rsid w:val="277F6033"/>
    <w:rsid w:val="27BB4AC0"/>
    <w:rsid w:val="27D3599A"/>
    <w:rsid w:val="27EC6E09"/>
    <w:rsid w:val="27F87EDA"/>
    <w:rsid w:val="282316FA"/>
    <w:rsid w:val="286E3D03"/>
    <w:rsid w:val="28742529"/>
    <w:rsid w:val="28D83F9A"/>
    <w:rsid w:val="28DE63E7"/>
    <w:rsid w:val="29055171"/>
    <w:rsid w:val="29092375"/>
    <w:rsid w:val="29262E43"/>
    <w:rsid w:val="29365BD0"/>
    <w:rsid w:val="294615E4"/>
    <w:rsid w:val="297D7030"/>
    <w:rsid w:val="29914139"/>
    <w:rsid w:val="29965517"/>
    <w:rsid w:val="29CA51B6"/>
    <w:rsid w:val="29D17FDC"/>
    <w:rsid w:val="29FA26A9"/>
    <w:rsid w:val="2A03090D"/>
    <w:rsid w:val="2A2338AF"/>
    <w:rsid w:val="2A484F76"/>
    <w:rsid w:val="2A487B7A"/>
    <w:rsid w:val="2A5679BA"/>
    <w:rsid w:val="2A78218A"/>
    <w:rsid w:val="2A7F5137"/>
    <w:rsid w:val="2ACB212D"/>
    <w:rsid w:val="2AD6533C"/>
    <w:rsid w:val="2B3E357C"/>
    <w:rsid w:val="2B4B1998"/>
    <w:rsid w:val="2B996815"/>
    <w:rsid w:val="2B9E5D0A"/>
    <w:rsid w:val="2BC3688E"/>
    <w:rsid w:val="2BD93CDF"/>
    <w:rsid w:val="2BF811AE"/>
    <w:rsid w:val="2C004E4A"/>
    <w:rsid w:val="2C67002F"/>
    <w:rsid w:val="2C740280"/>
    <w:rsid w:val="2CC529ED"/>
    <w:rsid w:val="2CE8764B"/>
    <w:rsid w:val="2CE916A0"/>
    <w:rsid w:val="2D0F0838"/>
    <w:rsid w:val="2D646102"/>
    <w:rsid w:val="2D68281C"/>
    <w:rsid w:val="2D7C79A2"/>
    <w:rsid w:val="2DC552FC"/>
    <w:rsid w:val="2DF04A8F"/>
    <w:rsid w:val="2E523FC4"/>
    <w:rsid w:val="2E901F16"/>
    <w:rsid w:val="2EB456D7"/>
    <w:rsid w:val="2EB81E4E"/>
    <w:rsid w:val="2F8361AE"/>
    <w:rsid w:val="2F92141B"/>
    <w:rsid w:val="2F9A457A"/>
    <w:rsid w:val="2FA71930"/>
    <w:rsid w:val="2FE40BFD"/>
    <w:rsid w:val="2FE5547E"/>
    <w:rsid w:val="300D3B2C"/>
    <w:rsid w:val="30310130"/>
    <w:rsid w:val="30317D46"/>
    <w:rsid w:val="30555573"/>
    <w:rsid w:val="30602A0A"/>
    <w:rsid w:val="3066443D"/>
    <w:rsid w:val="30757215"/>
    <w:rsid w:val="30793738"/>
    <w:rsid w:val="30962F10"/>
    <w:rsid w:val="30AA1BD2"/>
    <w:rsid w:val="30BA2778"/>
    <w:rsid w:val="30CB0552"/>
    <w:rsid w:val="30F235F0"/>
    <w:rsid w:val="310538D4"/>
    <w:rsid w:val="310B460C"/>
    <w:rsid w:val="3146543D"/>
    <w:rsid w:val="318E4631"/>
    <w:rsid w:val="3193433C"/>
    <w:rsid w:val="319F17AD"/>
    <w:rsid w:val="31BF20EF"/>
    <w:rsid w:val="31FB613B"/>
    <w:rsid w:val="320F1E41"/>
    <w:rsid w:val="322B7090"/>
    <w:rsid w:val="3231242B"/>
    <w:rsid w:val="3253317A"/>
    <w:rsid w:val="32777ABD"/>
    <w:rsid w:val="32832A43"/>
    <w:rsid w:val="32E560FE"/>
    <w:rsid w:val="333246E5"/>
    <w:rsid w:val="336F2E7E"/>
    <w:rsid w:val="33715053"/>
    <w:rsid w:val="338D5E52"/>
    <w:rsid w:val="33A643C7"/>
    <w:rsid w:val="33BC0233"/>
    <w:rsid w:val="33C40BC0"/>
    <w:rsid w:val="33E40E1A"/>
    <w:rsid w:val="33EF17BD"/>
    <w:rsid w:val="341F1392"/>
    <w:rsid w:val="343D3EF5"/>
    <w:rsid w:val="346A11C0"/>
    <w:rsid w:val="3473027E"/>
    <w:rsid w:val="34843AA5"/>
    <w:rsid w:val="34960442"/>
    <w:rsid w:val="34BB744E"/>
    <w:rsid w:val="34E406B2"/>
    <w:rsid w:val="353330E9"/>
    <w:rsid w:val="35392106"/>
    <w:rsid w:val="353C7A1D"/>
    <w:rsid w:val="35663DE8"/>
    <w:rsid w:val="358E4812"/>
    <w:rsid w:val="35904000"/>
    <w:rsid w:val="35C1080D"/>
    <w:rsid w:val="35E23EA3"/>
    <w:rsid w:val="35EB3481"/>
    <w:rsid w:val="36127347"/>
    <w:rsid w:val="36637691"/>
    <w:rsid w:val="368129E0"/>
    <w:rsid w:val="36AF3E98"/>
    <w:rsid w:val="36B06E39"/>
    <w:rsid w:val="36C22772"/>
    <w:rsid w:val="36CC6FCA"/>
    <w:rsid w:val="36D84ECF"/>
    <w:rsid w:val="37052040"/>
    <w:rsid w:val="372C4DAC"/>
    <w:rsid w:val="37380672"/>
    <w:rsid w:val="374E10D0"/>
    <w:rsid w:val="37513560"/>
    <w:rsid w:val="37582427"/>
    <w:rsid w:val="377F4539"/>
    <w:rsid w:val="37936642"/>
    <w:rsid w:val="379D2DF4"/>
    <w:rsid w:val="379E1CA7"/>
    <w:rsid w:val="37B21F7E"/>
    <w:rsid w:val="37B54803"/>
    <w:rsid w:val="37EC5A98"/>
    <w:rsid w:val="37FF04B8"/>
    <w:rsid w:val="38002F5A"/>
    <w:rsid w:val="38261014"/>
    <w:rsid w:val="384276A8"/>
    <w:rsid w:val="38835929"/>
    <w:rsid w:val="389614A1"/>
    <w:rsid w:val="38A06ACA"/>
    <w:rsid w:val="38A416CB"/>
    <w:rsid w:val="38B739A9"/>
    <w:rsid w:val="38BC1D7D"/>
    <w:rsid w:val="393E0ADE"/>
    <w:rsid w:val="39562F74"/>
    <w:rsid w:val="39CC2F9D"/>
    <w:rsid w:val="3A2D3A43"/>
    <w:rsid w:val="3A3A7E0D"/>
    <w:rsid w:val="3A5A082B"/>
    <w:rsid w:val="3A60713E"/>
    <w:rsid w:val="3A7B64E8"/>
    <w:rsid w:val="3A8A5A70"/>
    <w:rsid w:val="3AA53AEF"/>
    <w:rsid w:val="3AD039B4"/>
    <w:rsid w:val="3B0A476E"/>
    <w:rsid w:val="3B0C5326"/>
    <w:rsid w:val="3B0F594A"/>
    <w:rsid w:val="3B524E50"/>
    <w:rsid w:val="3B727E91"/>
    <w:rsid w:val="3B871355"/>
    <w:rsid w:val="3BA44304"/>
    <w:rsid w:val="3BB3110B"/>
    <w:rsid w:val="3BFB3CBD"/>
    <w:rsid w:val="3C12336D"/>
    <w:rsid w:val="3C2346A1"/>
    <w:rsid w:val="3C2F3413"/>
    <w:rsid w:val="3C3B0A9A"/>
    <w:rsid w:val="3C4A1A47"/>
    <w:rsid w:val="3C6036FE"/>
    <w:rsid w:val="3C652842"/>
    <w:rsid w:val="3C886861"/>
    <w:rsid w:val="3C963D1D"/>
    <w:rsid w:val="3CEA078B"/>
    <w:rsid w:val="3CEA0AEC"/>
    <w:rsid w:val="3CEC119E"/>
    <w:rsid w:val="3D030D9B"/>
    <w:rsid w:val="3D102321"/>
    <w:rsid w:val="3D227269"/>
    <w:rsid w:val="3D3D419D"/>
    <w:rsid w:val="3D4B5C96"/>
    <w:rsid w:val="3D5C6A2B"/>
    <w:rsid w:val="3D7D3315"/>
    <w:rsid w:val="3D94689E"/>
    <w:rsid w:val="3DD4390F"/>
    <w:rsid w:val="3DD649F9"/>
    <w:rsid w:val="3E0C2959"/>
    <w:rsid w:val="3E3829A3"/>
    <w:rsid w:val="3F3B4EF5"/>
    <w:rsid w:val="3F617595"/>
    <w:rsid w:val="3F641D7C"/>
    <w:rsid w:val="3F6E291A"/>
    <w:rsid w:val="3F6F2CA4"/>
    <w:rsid w:val="3F92078F"/>
    <w:rsid w:val="3FE65B57"/>
    <w:rsid w:val="40212FD6"/>
    <w:rsid w:val="40226341"/>
    <w:rsid w:val="40440979"/>
    <w:rsid w:val="408819A8"/>
    <w:rsid w:val="4093238A"/>
    <w:rsid w:val="40E93660"/>
    <w:rsid w:val="40F626AD"/>
    <w:rsid w:val="4159036B"/>
    <w:rsid w:val="41663523"/>
    <w:rsid w:val="418945E0"/>
    <w:rsid w:val="419C2A2A"/>
    <w:rsid w:val="41A53200"/>
    <w:rsid w:val="41AD21DC"/>
    <w:rsid w:val="41EC4EC1"/>
    <w:rsid w:val="41FC2149"/>
    <w:rsid w:val="427A7BC4"/>
    <w:rsid w:val="42A12457"/>
    <w:rsid w:val="42A576C8"/>
    <w:rsid w:val="42BE3D32"/>
    <w:rsid w:val="42E2754D"/>
    <w:rsid w:val="43664346"/>
    <w:rsid w:val="438716D4"/>
    <w:rsid w:val="43AF0D8C"/>
    <w:rsid w:val="43CB60BC"/>
    <w:rsid w:val="43D050B7"/>
    <w:rsid w:val="43D54683"/>
    <w:rsid w:val="44015EE5"/>
    <w:rsid w:val="44234DDC"/>
    <w:rsid w:val="442942EF"/>
    <w:rsid w:val="44587218"/>
    <w:rsid w:val="446A6590"/>
    <w:rsid w:val="447946BC"/>
    <w:rsid w:val="44A63456"/>
    <w:rsid w:val="44C06773"/>
    <w:rsid w:val="44FD7337"/>
    <w:rsid w:val="450135B2"/>
    <w:rsid w:val="45110E25"/>
    <w:rsid w:val="451E31A6"/>
    <w:rsid w:val="45212E1D"/>
    <w:rsid w:val="453C558F"/>
    <w:rsid w:val="455474B7"/>
    <w:rsid w:val="4578025D"/>
    <w:rsid w:val="457B50A7"/>
    <w:rsid w:val="45F57A72"/>
    <w:rsid w:val="46155F01"/>
    <w:rsid w:val="46321365"/>
    <w:rsid w:val="46345668"/>
    <w:rsid w:val="464934AC"/>
    <w:rsid w:val="46621029"/>
    <w:rsid w:val="467A6541"/>
    <w:rsid w:val="46920508"/>
    <w:rsid w:val="46A46E9B"/>
    <w:rsid w:val="46BF1794"/>
    <w:rsid w:val="46C76D13"/>
    <w:rsid w:val="46D07C11"/>
    <w:rsid w:val="46EE3729"/>
    <w:rsid w:val="46EF0E1D"/>
    <w:rsid w:val="47383B43"/>
    <w:rsid w:val="47985CEC"/>
    <w:rsid w:val="47B14A2D"/>
    <w:rsid w:val="47C2316A"/>
    <w:rsid w:val="47CE3ED9"/>
    <w:rsid w:val="47D80A79"/>
    <w:rsid w:val="4807103B"/>
    <w:rsid w:val="48131159"/>
    <w:rsid w:val="48235D10"/>
    <w:rsid w:val="48384FA7"/>
    <w:rsid w:val="483D7C76"/>
    <w:rsid w:val="484C2C88"/>
    <w:rsid w:val="485D559C"/>
    <w:rsid w:val="486F193A"/>
    <w:rsid w:val="48A523BB"/>
    <w:rsid w:val="48D23157"/>
    <w:rsid w:val="48D24D20"/>
    <w:rsid w:val="48EE372E"/>
    <w:rsid w:val="48FA6B00"/>
    <w:rsid w:val="490B4843"/>
    <w:rsid w:val="490C642F"/>
    <w:rsid w:val="49647AE8"/>
    <w:rsid w:val="498A6ED1"/>
    <w:rsid w:val="4A1B49DA"/>
    <w:rsid w:val="4A240E7E"/>
    <w:rsid w:val="4A475A6A"/>
    <w:rsid w:val="4AA31707"/>
    <w:rsid w:val="4AB84A8C"/>
    <w:rsid w:val="4ABF08B3"/>
    <w:rsid w:val="4AC768C8"/>
    <w:rsid w:val="4AE07598"/>
    <w:rsid w:val="4B0318A3"/>
    <w:rsid w:val="4B0413BD"/>
    <w:rsid w:val="4B0D788D"/>
    <w:rsid w:val="4B570D51"/>
    <w:rsid w:val="4B5A72D4"/>
    <w:rsid w:val="4B806BEB"/>
    <w:rsid w:val="4B8E7F48"/>
    <w:rsid w:val="4BB930C4"/>
    <w:rsid w:val="4BD57506"/>
    <w:rsid w:val="4BE21265"/>
    <w:rsid w:val="4BE34905"/>
    <w:rsid w:val="4C167A76"/>
    <w:rsid w:val="4C3C1B65"/>
    <w:rsid w:val="4C7712F9"/>
    <w:rsid w:val="4C7E5D9E"/>
    <w:rsid w:val="4C860E3E"/>
    <w:rsid w:val="4CA518F4"/>
    <w:rsid w:val="4CB11E8C"/>
    <w:rsid w:val="4CCA143A"/>
    <w:rsid w:val="4D0F2055"/>
    <w:rsid w:val="4D22007D"/>
    <w:rsid w:val="4D2629D4"/>
    <w:rsid w:val="4D48305D"/>
    <w:rsid w:val="4D904C53"/>
    <w:rsid w:val="4D9F763A"/>
    <w:rsid w:val="4DD523A6"/>
    <w:rsid w:val="4E045F5F"/>
    <w:rsid w:val="4E0B34DA"/>
    <w:rsid w:val="4E395DCC"/>
    <w:rsid w:val="4E532524"/>
    <w:rsid w:val="4E9B14A1"/>
    <w:rsid w:val="4EA04FC7"/>
    <w:rsid w:val="4EEB25D9"/>
    <w:rsid w:val="4F390F35"/>
    <w:rsid w:val="4F4D0694"/>
    <w:rsid w:val="4F4E0FD7"/>
    <w:rsid w:val="4F505781"/>
    <w:rsid w:val="4F566C91"/>
    <w:rsid w:val="4F6F22EF"/>
    <w:rsid w:val="4FFE47FD"/>
    <w:rsid w:val="50012F9E"/>
    <w:rsid w:val="502E2F5B"/>
    <w:rsid w:val="503160F5"/>
    <w:rsid w:val="50D7051F"/>
    <w:rsid w:val="50D7772C"/>
    <w:rsid w:val="50E810B3"/>
    <w:rsid w:val="50EA2804"/>
    <w:rsid w:val="50F52156"/>
    <w:rsid w:val="50FD2B89"/>
    <w:rsid w:val="510C0855"/>
    <w:rsid w:val="511E403D"/>
    <w:rsid w:val="512A35BB"/>
    <w:rsid w:val="513955BA"/>
    <w:rsid w:val="513B2C6E"/>
    <w:rsid w:val="516D3364"/>
    <w:rsid w:val="51986742"/>
    <w:rsid w:val="51A82755"/>
    <w:rsid w:val="51BC6DB8"/>
    <w:rsid w:val="51C94340"/>
    <w:rsid w:val="51D709FE"/>
    <w:rsid w:val="51FB0EED"/>
    <w:rsid w:val="52357029"/>
    <w:rsid w:val="5242159F"/>
    <w:rsid w:val="524C5612"/>
    <w:rsid w:val="52684B5C"/>
    <w:rsid w:val="526B6824"/>
    <w:rsid w:val="527026A8"/>
    <w:rsid w:val="5272277A"/>
    <w:rsid w:val="527533FF"/>
    <w:rsid w:val="52D8761C"/>
    <w:rsid w:val="52E367EB"/>
    <w:rsid w:val="52EB18CD"/>
    <w:rsid w:val="53333830"/>
    <w:rsid w:val="5348783D"/>
    <w:rsid w:val="534D548A"/>
    <w:rsid w:val="53553BE2"/>
    <w:rsid w:val="537A0B55"/>
    <w:rsid w:val="53927227"/>
    <w:rsid w:val="53B96947"/>
    <w:rsid w:val="53BF0628"/>
    <w:rsid w:val="53F2755C"/>
    <w:rsid w:val="54011BAC"/>
    <w:rsid w:val="543C783E"/>
    <w:rsid w:val="54430F60"/>
    <w:rsid w:val="54F86BB4"/>
    <w:rsid w:val="5510674D"/>
    <w:rsid w:val="5511354F"/>
    <w:rsid w:val="552A7FE7"/>
    <w:rsid w:val="55344A57"/>
    <w:rsid w:val="55A87170"/>
    <w:rsid w:val="55B10DDB"/>
    <w:rsid w:val="5610736C"/>
    <w:rsid w:val="56123F39"/>
    <w:rsid w:val="56373272"/>
    <w:rsid w:val="56704B31"/>
    <w:rsid w:val="56727418"/>
    <w:rsid w:val="567A3D6B"/>
    <w:rsid w:val="56D63DC1"/>
    <w:rsid w:val="570025E1"/>
    <w:rsid w:val="57004A13"/>
    <w:rsid w:val="57037D12"/>
    <w:rsid w:val="57290703"/>
    <w:rsid w:val="57550F05"/>
    <w:rsid w:val="575F3DBA"/>
    <w:rsid w:val="57755834"/>
    <w:rsid w:val="5778503F"/>
    <w:rsid w:val="578E78DA"/>
    <w:rsid w:val="57D46CB6"/>
    <w:rsid w:val="57DA703D"/>
    <w:rsid w:val="58155B8F"/>
    <w:rsid w:val="583E5914"/>
    <w:rsid w:val="58520438"/>
    <w:rsid w:val="588776B2"/>
    <w:rsid w:val="58F608CA"/>
    <w:rsid w:val="592B2996"/>
    <w:rsid w:val="593E4E66"/>
    <w:rsid w:val="594B1740"/>
    <w:rsid w:val="59503039"/>
    <w:rsid w:val="596217AD"/>
    <w:rsid w:val="59630491"/>
    <w:rsid w:val="59997F7F"/>
    <w:rsid w:val="59A524DC"/>
    <w:rsid w:val="59C7287D"/>
    <w:rsid w:val="59E815D6"/>
    <w:rsid w:val="5A1E652B"/>
    <w:rsid w:val="5A247CF7"/>
    <w:rsid w:val="5A483A59"/>
    <w:rsid w:val="5A892135"/>
    <w:rsid w:val="5AAC75BC"/>
    <w:rsid w:val="5B307250"/>
    <w:rsid w:val="5B3A21A7"/>
    <w:rsid w:val="5B45758E"/>
    <w:rsid w:val="5B4F0206"/>
    <w:rsid w:val="5B5E4980"/>
    <w:rsid w:val="5B6D4B1A"/>
    <w:rsid w:val="5BAC5CC3"/>
    <w:rsid w:val="5BB567F1"/>
    <w:rsid w:val="5BDB25A7"/>
    <w:rsid w:val="5BDB672B"/>
    <w:rsid w:val="5BFF7438"/>
    <w:rsid w:val="5C3921AA"/>
    <w:rsid w:val="5C842DAA"/>
    <w:rsid w:val="5C862395"/>
    <w:rsid w:val="5CB5343A"/>
    <w:rsid w:val="5CDD4A94"/>
    <w:rsid w:val="5CE21D5E"/>
    <w:rsid w:val="5CE41205"/>
    <w:rsid w:val="5CFF6C8F"/>
    <w:rsid w:val="5D0529D2"/>
    <w:rsid w:val="5D077506"/>
    <w:rsid w:val="5D2E73B7"/>
    <w:rsid w:val="5D3D3759"/>
    <w:rsid w:val="5D7D0691"/>
    <w:rsid w:val="5D8B6C4D"/>
    <w:rsid w:val="5DB30833"/>
    <w:rsid w:val="5E0E42CF"/>
    <w:rsid w:val="5E2832C0"/>
    <w:rsid w:val="5E491471"/>
    <w:rsid w:val="5E5110F5"/>
    <w:rsid w:val="5E8032CB"/>
    <w:rsid w:val="5E973DA2"/>
    <w:rsid w:val="5EA23ED1"/>
    <w:rsid w:val="5EA2501C"/>
    <w:rsid w:val="5EBF04DF"/>
    <w:rsid w:val="5EC97EE4"/>
    <w:rsid w:val="5EDA288D"/>
    <w:rsid w:val="5EE07F92"/>
    <w:rsid w:val="5F094C7D"/>
    <w:rsid w:val="5F3B63D8"/>
    <w:rsid w:val="5F54163A"/>
    <w:rsid w:val="5F550FA9"/>
    <w:rsid w:val="5F6417F4"/>
    <w:rsid w:val="5F71733F"/>
    <w:rsid w:val="5F801EDD"/>
    <w:rsid w:val="5F980975"/>
    <w:rsid w:val="5FA15703"/>
    <w:rsid w:val="5FAF0CCD"/>
    <w:rsid w:val="5FDC5830"/>
    <w:rsid w:val="5FF51C2C"/>
    <w:rsid w:val="600152EA"/>
    <w:rsid w:val="602826AC"/>
    <w:rsid w:val="60321366"/>
    <w:rsid w:val="60363865"/>
    <w:rsid w:val="6053439B"/>
    <w:rsid w:val="60C27111"/>
    <w:rsid w:val="60ED2CF8"/>
    <w:rsid w:val="60F82E2D"/>
    <w:rsid w:val="610714BA"/>
    <w:rsid w:val="611538C9"/>
    <w:rsid w:val="61727A23"/>
    <w:rsid w:val="618E23BF"/>
    <w:rsid w:val="618E6C5D"/>
    <w:rsid w:val="61954D6F"/>
    <w:rsid w:val="619E013E"/>
    <w:rsid w:val="61A56D1B"/>
    <w:rsid w:val="61D74482"/>
    <w:rsid w:val="61F84C0E"/>
    <w:rsid w:val="623C11FA"/>
    <w:rsid w:val="62421F81"/>
    <w:rsid w:val="62564486"/>
    <w:rsid w:val="62571386"/>
    <w:rsid w:val="626348F9"/>
    <w:rsid w:val="627E246F"/>
    <w:rsid w:val="628D560C"/>
    <w:rsid w:val="62C34EF6"/>
    <w:rsid w:val="63135A63"/>
    <w:rsid w:val="633323CC"/>
    <w:rsid w:val="63587C5C"/>
    <w:rsid w:val="63756077"/>
    <w:rsid w:val="63951D40"/>
    <w:rsid w:val="63A81199"/>
    <w:rsid w:val="63AE162C"/>
    <w:rsid w:val="645E0EC6"/>
    <w:rsid w:val="646443C4"/>
    <w:rsid w:val="647A4534"/>
    <w:rsid w:val="64930D27"/>
    <w:rsid w:val="64DF5AF4"/>
    <w:rsid w:val="64E35C28"/>
    <w:rsid w:val="652B0B42"/>
    <w:rsid w:val="65860B1C"/>
    <w:rsid w:val="65D01DA9"/>
    <w:rsid w:val="65D427EB"/>
    <w:rsid w:val="65F4179A"/>
    <w:rsid w:val="66062660"/>
    <w:rsid w:val="66151CC0"/>
    <w:rsid w:val="661643EC"/>
    <w:rsid w:val="66586846"/>
    <w:rsid w:val="667679E3"/>
    <w:rsid w:val="66B37678"/>
    <w:rsid w:val="66F54209"/>
    <w:rsid w:val="67094037"/>
    <w:rsid w:val="6721301F"/>
    <w:rsid w:val="67217176"/>
    <w:rsid w:val="673E111A"/>
    <w:rsid w:val="679E4341"/>
    <w:rsid w:val="67CF47C3"/>
    <w:rsid w:val="67E40968"/>
    <w:rsid w:val="67FE75E6"/>
    <w:rsid w:val="68026E45"/>
    <w:rsid w:val="684F597E"/>
    <w:rsid w:val="68501C92"/>
    <w:rsid w:val="6885563C"/>
    <w:rsid w:val="68993E43"/>
    <w:rsid w:val="689D4F6C"/>
    <w:rsid w:val="68A60DDF"/>
    <w:rsid w:val="68C251D1"/>
    <w:rsid w:val="68F071DA"/>
    <w:rsid w:val="69330877"/>
    <w:rsid w:val="694F6227"/>
    <w:rsid w:val="69504CB2"/>
    <w:rsid w:val="6982341F"/>
    <w:rsid w:val="698A417C"/>
    <w:rsid w:val="69CC7091"/>
    <w:rsid w:val="69D17D43"/>
    <w:rsid w:val="69DA3028"/>
    <w:rsid w:val="6A04025D"/>
    <w:rsid w:val="6A0402C6"/>
    <w:rsid w:val="6A1B534B"/>
    <w:rsid w:val="6A2B4C44"/>
    <w:rsid w:val="6A417C7E"/>
    <w:rsid w:val="6A5B2530"/>
    <w:rsid w:val="6A8974C3"/>
    <w:rsid w:val="6A9C6438"/>
    <w:rsid w:val="6AB51C57"/>
    <w:rsid w:val="6AEC49E8"/>
    <w:rsid w:val="6AED5613"/>
    <w:rsid w:val="6AEF5B2D"/>
    <w:rsid w:val="6B535C16"/>
    <w:rsid w:val="6B56199B"/>
    <w:rsid w:val="6B5756D3"/>
    <w:rsid w:val="6BC11DF7"/>
    <w:rsid w:val="6BD00CF0"/>
    <w:rsid w:val="6BEE5A83"/>
    <w:rsid w:val="6BF74491"/>
    <w:rsid w:val="6C105DF8"/>
    <w:rsid w:val="6C612812"/>
    <w:rsid w:val="6C682691"/>
    <w:rsid w:val="6C767B23"/>
    <w:rsid w:val="6C812E4B"/>
    <w:rsid w:val="6CC40C52"/>
    <w:rsid w:val="6CD41911"/>
    <w:rsid w:val="6CE76D16"/>
    <w:rsid w:val="6CF95064"/>
    <w:rsid w:val="6D05318B"/>
    <w:rsid w:val="6D535020"/>
    <w:rsid w:val="6D5C68ED"/>
    <w:rsid w:val="6D8A14C0"/>
    <w:rsid w:val="6DAE56C4"/>
    <w:rsid w:val="6DAE690A"/>
    <w:rsid w:val="6DB31940"/>
    <w:rsid w:val="6DC76386"/>
    <w:rsid w:val="6DE16AFA"/>
    <w:rsid w:val="6DEF017C"/>
    <w:rsid w:val="6DF87A1D"/>
    <w:rsid w:val="6E3F44CA"/>
    <w:rsid w:val="6E567C8B"/>
    <w:rsid w:val="6E6963DC"/>
    <w:rsid w:val="6E7401D4"/>
    <w:rsid w:val="6E8746E2"/>
    <w:rsid w:val="6E8B6557"/>
    <w:rsid w:val="6E8D2F0F"/>
    <w:rsid w:val="6E943DF0"/>
    <w:rsid w:val="6E9876EA"/>
    <w:rsid w:val="6EB93D4E"/>
    <w:rsid w:val="6EC0703C"/>
    <w:rsid w:val="6F4139FE"/>
    <w:rsid w:val="6F6D3D73"/>
    <w:rsid w:val="6F7F22DD"/>
    <w:rsid w:val="6F9E3365"/>
    <w:rsid w:val="6FA66156"/>
    <w:rsid w:val="6FBC7C20"/>
    <w:rsid w:val="6FD25B64"/>
    <w:rsid w:val="70010A83"/>
    <w:rsid w:val="700E728F"/>
    <w:rsid w:val="704137B9"/>
    <w:rsid w:val="705671DF"/>
    <w:rsid w:val="70686CEE"/>
    <w:rsid w:val="70802B6C"/>
    <w:rsid w:val="70954313"/>
    <w:rsid w:val="709C3899"/>
    <w:rsid w:val="70A90261"/>
    <w:rsid w:val="70AD2A1B"/>
    <w:rsid w:val="710A4552"/>
    <w:rsid w:val="71192C41"/>
    <w:rsid w:val="7128128F"/>
    <w:rsid w:val="71296610"/>
    <w:rsid w:val="716F21D7"/>
    <w:rsid w:val="7170122E"/>
    <w:rsid w:val="718C733F"/>
    <w:rsid w:val="718F1E5C"/>
    <w:rsid w:val="71D93B9A"/>
    <w:rsid w:val="71E94C3D"/>
    <w:rsid w:val="72014A68"/>
    <w:rsid w:val="720704DF"/>
    <w:rsid w:val="720A33A7"/>
    <w:rsid w:val="723E7666"/>
    <w:rsid w:val="726B65B0"/>
    <w:rsid w:val="7275745F"/>
    <w:rsid w:val="7287082C"/>
    <w:rsid w:val="728E2381"/>
    <w:rsid w:val="72A64A71"/>
    <w:rsid w:val="72D46E3C"/>
    <w:rsid w:val="731B365A"/>
    <w:rsid w:val="732A6916"/>
    <w:rsid w:val="734170FF"/>
    <w:rsid w:val="73561EB3"/>
    <w:rsid w:val="737B4358"/>
    <w:rsid w:val="73E3055D"/>
    <w:rsid w:val="73F17B5B"/>
    <w:rsid w:val="74200EAF"/>
    <w:rsid w:val="742831FF"/>
    <w:rsid w:val="742D790E"/>
    <w:rsid w:val="743D23B6"/>
    <w:rsid w:val="744D5B96"/>
    <w:rsid w:val="74555F11"/>
    <w:rsid w:val="746A5055"/>
    <w:rsid w:val="747011CA"/>
    <w:rsid w:val="747B5B83"/>
    <w:rsid w:val="747D217E"/>
    <w:rsid w:val="74A473AB"/>
    <w:rsid w:val="74B95434"/>
    <w:rsid w:val="74BA089C"/>
    <w:rsid w:val="74BF5EE1"/>
    <w:rsid w:val="74D55588"/>
    <w:rsid w:val="74EE5AC8"/>
    <w:rsid w:val="74F5494D"/>
    <w:rsid w:val="75031970"/>
    <w:rsid w:val="750B5D90"/>
    <w:rsid w:val="753535EF"/>
    <w:rsid w:val="75B92409"/>
    <w:rsid w:val="75C90EF5"/>
    <w:rsid w:val="76096F6A"/>
    <w:rsid w:val="7645157C"/>
    <w:rsid w:val="764D4097"/>
    <w:rsid w:val="767B5563"/>
    <w:rsid w:val="767C1843"/>
    <w:rsid w:val="76AB3256"/>
    <w:rsid w:val="76AC6EE3"/>
    <w:rsid w:val="76DF4FF1"/>
    <w:rsid w:val="76F71FED"/>
    <w:rsid w:val="77144C7B"/>
    <w:rsid w:val="77276CEA"/>
    <w:rsid w:val="77295D2F"/>
    <w:rsid w:val="77CC0C74"/>
    <w:rsid w:val="77F67FF5"/>
    <w:rsid w:val="78191AEA"/>
    <w:rsid w:val="7835223C"/>
    <w:rsid w:val="787F6ED8"/>
    <w:rsid w:val="789E6F0F"/>
    <w:rsid w:val="78B1336D"/>
    <w:rsid w:val="78B423F8"/>
    <w:rsid w:val="78C97A4C"/>
    <w:rsid w:val="78D777F1"/>
    <w:rsid w:val="78DD1B68"/>
    <w:rsid w:val="791C0BF5"/>
    <w:rsid w:val="79455AF6"/>
    <w:rsid w:val="79504442"/>
    <w:rsid w:val="796A0812"/>
    <w:rsid w:val="79747C5C"/>
    <w:rsid w:val="79770113"/>
    <w:rsid w:val="798178D4"/>
    <w:rsid w:val="79CB5136"/>
    <w:rsid w:val="79D67741"/>
    <w:rsid w:val="79E2559A"/>
    <w:rsid w:val="79E31FC5"/>
    <w:rsid w:val="79E76022"/>
    <w:rsid w:val="79F6169D"/>
    <w:rsid w:val="7A3F57C2"/>
    <w:rsid w:val="7A7662BA"/>
    <w:rsid w:val="7A877AC3"/>
    <w:rsid w:val="7AA53D4F"/>
    <w:rsid w:val="7AC07F52"/>
    <w:rsid w:val="7ACC25B8"/>
    <w:rsid w:val="7AEB5CC2"/>
    <w:rsid w:val="7B183554"/>
    <w:rsid w:val="7B5F6C1F"/>
    <w:rsid w:val="7B62573A"/>
    <w:rsid w:val="7B997D00"/>
    <w:rsid w:val="7B9F75A6"/>
    <w:rsid w:val="7BB03AC4"/>
    <w:rsid w:val="7BC062F2"/>
    <w:rsid w:val="7BC3511C"/>
    <w:rsid w:val="7BF82C70"/>
    <w:rsid w:val="7C0B6BFC"/>
    <w:rsid w:val="7C1D4FB0"/>
    <w:rsid w:val="7C2D1EDD"/>
    <w:rsid w:val="7C600B33"/>
    <w:rsid w:val="7C612FC9"/>
    <w:rsid w:val="7C722B6F"/>
    <w:rsid w:val="7CA029F5"/>
    <w:rsid w:val="7CBB47C1"/>
    <w:rsid w:val="7CD65EE2"/>
    <w:rsid w:val="7D304AB3"/>
    <w:rsid w:val="7D6B1319"/>
    <w:rsid w:val="7D930906"/>
    <w:rsid w:val="7DB41764"/>
    <w:rsid w:val="7DD039A8"/>
    <w:rsid w:val="7DEB29A3"/>
    <w:rsid w:val="7E2F55C0"/>
    <w:rsid w:val="7E367DAC"/>
    <w:rsid w:val="7E7018AC"/>
    <w:rsid w:val="7E805D42"/>
    <w:rsid w:val="7E9B3D5E"/>
    <w:rsid w:val="7EA2141B"/>
    <w:rsid w:val="7ED3223C"/>
    <w:rsid w:val="7EEE61C9"/>
    <w:rsid w:val="7F0C1461"/>
    <w:rsid w:val="7F4542A7"/>
    <w:rsid w:val="7F793FAC"/>
    <w:rsid w:val="7F940CED"/>
    <w:rsid w:val="7FA205EA"/>
    <w:rsid w:val="7FAE104F"/>
    <w:rsid w:val="7FB21F08"/>
    <w:rsid w:val="7FBC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link w:val="37"/>
    <w:qFormat/>
    <w:uiPriority w:val="0"/>
    <w:pPr>
      <w:keepNext/>
      <w:spacing w:line="720" w:lineRule="exact"/>
      <w:jc w:val="center"/>
      <w:outlineLvl w:val="1"/>
    </w:pPr>
    <w:rPr>
      <w:rFonts w:ascii="黑体" w:hAnsi="黑体" w:eastAsia="仿宋_GB2312"/>
      <w:b/>
      <w:sz w:val="30"/>
    </w:rPr>
  </w:style>
  <w:style w:type="paragraph" w:styleId="5">
    <w:name w:val="heading 3"/>
    <w:basedOn w:val="1"/>
    <w:next w:val="1"/>
    <w:unhideWhenUsed/>
    <w:qFormat/>
    <w:uiPriority w:val="0"/>
    <w:pPr>
      <w:keepNext/>
      <w:keepLines/>
      <w:spacing w:line="360" w:lineRule="auto"/>
      <w:jc w:val="left"/>
      <w:outlineLvl w:val="2"/>
    </w:pPr>
    <w:rPr>
      <w:rFonts w:ascii="Calibri Light" w:hAnsi="Calibri Light" w:eastAsia="仿宋_GB2312"/>
      <w:bCs/>
      <w:sz w:val="28"/>
      <w:szCs w:val="3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7">
    <w:name w:val="Note Heading"/>
    <w:basedOn w:val="1"/>
    <w:next w:val="1"/>
    <w:qFormat/>
    <w:uiPriority w:val="0"/>
    <w:pPr>
      <w:jc w:val="center"/>
    </w:pPr>
  </w:style>
  <w:style w:type="paragraph" w:styleId="8">
    <w:name w:val="Normal Indent"/>
    <w:basedOn w:val="1"/>
    <w:qFormat/>
    <w:uiPriority w:val="0"/>
    <w:pPr>
      <w:ind w:firstLine="420"/>
    </w:pPr>
    <w:rPr>
      <w:szCs w:val="21"/>
    </w:rPr>
  </w:style>
  <w:style w:type="paragraph" w:styleId="9">
    <w:name w:val="toa heading"/>
    <w:basedOn w:val="1"/>
    <w:next w:val="1"/>
    <w:unhideWhenUsed/>
    <w:qFormat/>
    <w:uiPriority w:val="99"/>
    <w:rPr>
      <w:rFonts w:ascii="Arial" w:hAnsi="Arial"/>
      <w:sz w:val="24"/>
    </w:rPr>
  </w:style>
  <w:style w:type="paragraph" w:styleId="10">
    <w:name w:val="annotation text"/>
    <w:basedOn w:val="1"/>
    <w:qFormat/>
    <w:uiPriority w:val="0"/>
    <w:pPr>
      <w:jc w:val="left"/>
    </w:pPr>
  </w:style>
  <w:style w:type="paragraph" w:styleId="11">
    <w:name w:val="Body Text 3"/>
    <w:basedOn w:val="1"/>
    <w:qFormat/>
    <w:uiPriority w:val="0"/>
    <w:pPr>
      <w:jc w:val="center"/>
    </w:pPr>
    <w:rPr>
      <w:b/>
      <w:spacing w:val="-20"/>
      <w:w w:val="110"/>
      <w:sz w:val="52"/>
    </w:rPr>
  </w:style>
  <w:style w:type="paragraph" w:styleId="12">
    <w:name w:val="Body Text"/>
    <w:basedOn w:val="1"/>
    <w:next w:val="1"/>
    <w:qFormat/>
    <w:uiPriority w:val="0"/>
  </w:style>
  <w:style w:type="paragraph" w:styleId="13">
    <w:name w:val="Body Text Indent"/>
    <w:basedOn w:val="1"/>
    <w:next w:val="14"/>
    <w:semiHidden/>
    <w:unhideWhenUsed/>
    <w:qFormat/>
    <w:uiPriority w:val="99"/>
    <w:pPr>
      <w:ind w:left="420" w:leftChars="200"/>
    </w:pPr>
  </w:style>
  <w:style w:type="paragraph" w:customStyle="1" w:styleId="14">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5">
    <w:name w:val="toc 3"/>
    <w:basedOn w:val="1"/>
    <w:next w:val="1"/>
    <w:semiHidden/>
    <w:qFormat/>
    <w:uiPriority w:val="0"/>
    <w:pPr>
      <w:ind w:left="840" w:leftChars="400"/>
    </w:pPr>
  </w:style>
  <w:style w:type="paragraph" w:styleId="16">
    <w:name w:val="Plain Text"/>
    <w:basedOn w:val="1"/>
    <w:qFormat/>
    <w:uiPriority w:val="0"/>
    <w:rPr>
      <w:rFonts w:ascii="宋体" w:hAnsi="Courier New"/>
    </w:rPr>
  </w:style>
  <w:style w:type="paragraph" w:styleId="17">
    <w:name w:val="Body Text Indent 2"/>
    <w:basedOn w:val="1"/>
    <w:qFormat/>
    <w:uiPriority w:val="0"/>
    <w:pPr>
      <w:autoSpaceDE w:val="0"/>
      <w:autoSpaceDN w:val="0"/>
      <w:adjustRightInd w:val="0"/>
      <w:spacing w:line="640" w:lineRule="exact"/>
      <w:ind w:firstLine="645"/>
    </w:pPr>
    <w:rPr>
      <w:rFonts w:ascii="楷体_GB2312" w:eastAsia="楷体_GB2312"/>
      <w:kern w:val="0"/>
      <w:sz w:val="32"/>
      <w:szCs w:val="32"/>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2"/>
    <w:next w:val="1"/>
    <w:unhideWhenUsed/>
    <w:qFormat/>
    <w:uiPriority w:val="99"/>
    <w:pPr>
      <w:ind w:firstLine="420" w:firstLineChars="100"/>
    </w:pPr>
    <w:rPr>
      <w:szCs w:val="24"/>
    </w:rPr>
  </w:style>
  <w:style w:type="paragraph" w:styleId="23">
    <w:name w:val="Body Text First Indent 2"/>
    <w:basedOn w:val="13"/>
    <w:next w:val="22"/>
    <w:semiHidden/>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rPr>
  </w:style>
  <w:style w:type="character" w:styleId="32">
    <w:name w:val="Hyperlink"/>
    <w:basedOn w:val="26"/>
    <w:qFormat/>
    <w:uiPriority w:val="0"/>
    <w:rPr>
      <w:color w:val="296FBE"/>
      <w:u w:val="none"/>
    </w:rPr>
  </w:style>
  <w:style w:type="character" w:styleId="33">
    <w:name w:val="HTML Code"/>
    <w:basedOn w:val="26"/>
    <w:qFormat/>
    <w:uiPriority w:val="0"/>
    <w:rPr>
      <w:rFonts w:hint="default" w:ascii="Consolas" w:hAnsi="Consolas" w:eastAsia="Consolas" w:cs="Consolas"/>
      <w:color w:val="C7254E"/>
      <w:sz w:val="21"/>
      <w:szCs w:val="21"/>
      <w:shd w:val="clear" w:color="auto" w:fill="F9F2F4"/>
    </w:rPr>
  </w:style>
  <w:style w:type="character" w:styleId="34">
    <w:name w:val="annotation reference"/>
    <w:qFormat/>
    <w:uiPriority w:val="0"/>
    <w:rPr>
      <w:sz w:val="21"/>
      <w:szCs w:val="21"/>
    </w:rPr>
  </w:style>
  <w:style w:type="character" w:styleId="35">
    <w:name w:val="HTML Keyboard"/>
    <w:basedOn w:val="26"/>
    <w:qFormat/>
    <w:uiPriority w:val="0"/>
    <w:rPr>
      <w:rFonts w:ascii="Consolas" w:hAnsi="Consolas" w:eastAsia="Consolas" w:cs="Consolas"/>
      <w:color w:val="FFFFFF"/>
      <w:sz w:val="21"/>
      <w:szCs w:val="21"/>
      <w:shd w:val="clear" w:color="auto" w:fill="333333"/>
    </w:rPr>
  </w:style>
  <w:style w:type="character" w:styleId="36">
    <w:name w:val="HTML Sample"/>
    <w:basedOn w:val="26"/>
    <w:qFormat/>
    <w:uiPriority w:val="0"/>
    <w:rPr>
      <w:rFonts w:hint="default" w:ascii="Consolas" w:hAnsi="Consolas" w:eastAsia="Consolas" w:cs="Consolas"/>
      <w:sz w:val="21"/>
      <w:szCs w:val="21"/>
    </w:rPr>
  </w:style>
  <w:style w:type="character" w:customStyle="1" w:styleId="37">
    <w:name w:val="标题 2 Char"/>
    <w:link w:val="4"/>
    <w:qFormat/>
    <w:uiPriority w:val="0"/>
    <w:rPr>
      <w:rFonts w:ascii="黑体" w:hAnsi="黑体" w:eastAsia="仿宋_GB2312"/>
      <w:b/>
      <w:sz w:val="30"/>
    </w:rPr>
  </w:style>
  <w:style w:type="paragraph" w:customStyle="1" w:styleId="38">
    <w:name w:val="默认段落字体 Para Char Char Char Char"/>
    <w:basedOn w:val="1"/>
    <w:qFormat/>
    <w:uiPriority w:val="0"/>
    <w:rPr>
      <w:szCs w:val="24"/>
    </w:rPr>
  </w:style>
  <w:style w:type="paragraph" w:styleId="39">
    <w:name w:val="List Paragraph"/>
    <w:basedOn w:val="1"/>
    <w:qFormat/>
    <w:uiPriority w:val="0"/>
    <w:pPr>
      <w:ind w:firstLine="420" w:firstLineChars="200"/>
    </w:pPr>
  </w:style>
  <w:style w:type="paragraph" w:customStyle="1" w:styleId="40">
    <w:name w:val="列出段落1"/>
    <w:basedOn w:val="1"/>
    <w:qFormat/>
    <w:uiPriority w:val="34"/>
    <w:pPr>
      <w:ind w:firstLine="420" w:firstLineChars="200"/>
    </w:pPr>
    <w:rPr>
      <w:rFonts w:ascii="Calibri" w:hAnsi="Calibri" w:cs="黑体"/>
      <w:szCs w:val="22"/>
    </w:rPr>
  </w:style>
  <w:style w:type="paragraph" w:customStyle="1" w:styleId="41">
    <w:name w:val="正文自定"/>
    <w:basedOn w:val="1"/>
    <w:qFormat/>
    <w:uiPriority w:val="0"/>
    <w:pPr>
      <w:tabs>
        <w:tab w:val="left" w:pos="7665"/>
      </w:tabs>
      <w:spacing w:line="360" w:lineRule="auto"/>
      <w:ind w:firstLine="480" w:firstLineChars="200"/>
    </w:pPr>
    <w:rPr>
      <w:rFonts w:ascii="宋体" w:hAnsi="宋体"/>
      <w:sz w:val="24"/>
      <w:szCs w:val="24"/>
    </w:rPr>
  </w:style>
  <w:style w:type="character" w:customStyle="1" w:styleId="42">
    <w:name w:val="font11"/>
    <w:basedOn w:val="26"/>
    <w:qFormat/>
    <w:uiPriority w:val="0"/>
    <w:rPr>
      <w:rFonts w:hint="eastAsia" w:ascii="宋体" w:hAnsi="宋体" w:eastAsia="宋体" w:cs="宋体"/>
      <w:color w:val="000000"/>
      <w:sz w:val="18"/>
      <w:szCs w:val="18"/>
      <w:u w:val="none"/>
    </w:rPr>
  </w:style>
  <w:style w:type="character" w:customStyle="1" w:styleId="43">
    <w:name w:val="font41"/>
    <w:basedOn w:val="26"/>
    <w:qFormat/>
    <w:uiPriority w:val="0"/>
    <w:rPr>
      <w:rFonts w:hint="eastAsia" w:ascii="宋体" w:hAnsi="宋体" w:eastAsia="宋体" w:cs="宋体"/>
      <w:color w:val="000000"/>
      <w:sz w:val="24"/>
      <w:szCs w:val="24"/>
      <w:u w:val="none"/>
    </w:rPr>
  </w:style>
  <w:style w:type="character" w:customStyle="1" w:styleId="44">
    <w:name w:val="font81"/>
    <w:basedOn w:val="26"/>
    <w:qFormat/>
    <w:uiPriority w:val="0"/>
    <w:rPr>
      <w:rFonts w:ascii="BatangChe" w:hAnsi="BatangChe" w:eastAsia="BatangChe" w:cs="BatangChe"/>
      <w:color w:val="000000"/>
      <w:sz w:val="18"/>
      <w:szCs w:val="18"/>
      <w:u w:val="none"/>
    </w:rPr>
  </w:style>
  <w:style w:type="character" w:customStyle="1" w:styleId="45">
    <w:name w:val="font01"/>
    <w:basedOn w:val="26"/>
    <w:qFormat/>
    <w:uiPriority w:val="0"/>
    <w:rPr>
      <w:rFonts w:hint="eastAsia" w:ascii="仿宋_GB2312" w:eastAsia="仿宋_GB2312" w:cs="仿宋_GB2312"/>
      <w:color w:val="000000"/>
      <w:sz w:val="18"/>
      <w:szCs w:val="18"/>
      <w:u w:val="none"/>
    </w:rPr>
  </w:style>
  <w:style w:type="character" w:customStyle="1" w:styleId="46">
    <w:name w:val="font31"/>
    <w:basedOn w:val="26"/>
    <w:qFormat/>
    <w:uiPriority w:val="0"/>
    <w:rPr>
      <w:rFonts w:hint="default" w:ascii="Times New Roman" w:hAnsi="Times New Roman" w:cs="Times New Roman"/>
      <w:color w:val="000000"/>
      <w:sz w:val="18"/>
      <w:szCs w:val="18"/>
      <w:u w:val="none"/>
    </w:rPr>
  </w:style>
  <w:style w:type="character" w:customStyle="1" w:styleId="47">
    <w:name w:val="font21"/>
    <w:basedOn w:val="26"/>
    <w:qFormat/>
    <w:uiPriority w:val="0"/>
    <w:rPr>
      <w:rFonts w:hint="eastAsia" w:ascii="仿宋_GB2312" w:eastAsia="仿宋_GB2312" w:cs="仿宋_GB2312"/>
      <w:color w:val="000000"/>
      <w:sz w:val="20"/>
      <w:szCs w:val="20"/>
      <w:u w:val="none"/>
    </w:rPr>
  </w:style>
  <w:style w:type="character" w:customStyle="1" w:styleId="48">
    <w:name w:val="font51"/>
    <w:basedOn w:val="26"/>
    <w:qFormat/>
    <w:uiPriority w:val="0"/>
    <w:rPr>
      <w:rFonts w:hint="eastAsia" w:ascii="仿宋_GB2312" w:eastAsia="仿宋_GB2312" w:cs="仿宋_GB2312"/>
      <w:color w:val="000000"/>
      <w:sz w:val="24"/>
      <w:szCs w:val="24"/>
      <w:u w:val="none"/>
    </w:rPr>
  </w:style>
  <w:style w:type="character" w:customStyle="1" w:styleId="49">
    <w:name w:val="font61"/>
    <w:basedOn w:val="26"/>
    <w:qFormat/>
    <w:uiPriority w:val="0"/>
    <w:rPr>
      <w:rFonts w:hint="default" w:ascii="Times New Roman" w:hAnsi="Times New Roman" w:cs="Times New Roman"/>
      <w:color w:val="000000"/>
      <w:sz w:val="24"/>
      <w:szCs w:val="24"/>
      <w:u w:val="none"/>
    </w:rPr>
  </w:style>
  <w:style w:type="character" w:customStyle="1" w:styleId="50">
    <w:name w:val="hour_pm"/>
    <w:basedOn w:val="26"/>
    <w:qFormat/>
    <w:uiPriority w:val="0"/>
  </w:style>
  <w:style w:type="character" w:customStyle="1" w:styleId="51">
    <w:name w:val="hover3"/>
    <w:basedOn w:val="26"/>
    <w:qFormat/>
    <w:uiPriority w:val="0"/>
    <w:rPr>
      <w:shd w:val="clear" w:color="auto" w:fill="EEEEEE"/>
    </w:rPr>
  </w:style>
  <w:style w:type="character" w:customStyle="1" w:styleId="52">
    <w:name w:val="old"/>
    <w:basedOn w:val="26"/>
    <w:qFormat/>
    <w:uiPriority w:val="0"/>
    <w:rPr>
      <w:color w:val="999999"/>
    </w:rPr>
  </w:style>
  <w:style w:type="character" w:customStyle="1" w:styleId="53">
    <w:name w:val="glyphicon4"/>
    <w:basedOn w:val="26"/>
    <w:qFormat/>
    <w:uiPriority w:val="0"/>
  </w:style>
  <w:style w:type="character" w:customStyle="1" w:styleId="54">
    <w:name w:val="hour_am"/>
    <w:basedOn w:val="26"/>
    <w:qFormat/>
    <w:uiPriority w:val="0"/>
  </w:style>
  <w:style w:type="character" w:customStyle="1" w:styleId="55">
    <w:name w:val="indent"/>
    <w:basedOn w:val="26"/>
    <w:qFormat/>
    <w:uiPriority w:val="0"/>
  </w:style>
  <w:style w:type="character" w:customStyle="1" w:styleId="56">
    <w:name w:val="button"/>
    <w:basedOn w:val="26"/>
    <w:qFormat/>
    <w:uiPriority w:val="0"/>
  </w:style>
  <w:style w:type="character" w:customStyle="1" w:styleId="57">
    <w:name w:val="tmpztreemove_arrow"/>
    <w:basedOn w:val="26"/>
    <w:qFormat/>
    <w:uiPriority w:val="0"/>
    <w:rPr>
      <w:shd w:val="clear" w:color="auto" w:fill="FFFFFF"/>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24" w:lineRule="auto"/>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60">
    <w:name w:val="beforeinfotext"/>
    <w:basedOn w:val="26"/>
    <w:qFormat/>
    <w:uiPriority w:val="0"/>
    <w:rPr>
      <w:color w:val="666666"/>
    </w:rPr>
  </w:style>
  <w:style w:type="character" w:customStyle="1" w:styleId="61">
    <w:name w:val="stclosebtn"/>
    <w:basedOn w:val="26"/>
    <w:qFormat/>
    <w:uiPriority w:val="0"/>
  </w:style>
  <w:style w:type="character" w:customStyle="1" w:styleId="62">
    <w:name w:val="number"/>
    <w:basedOn w:val="26"/>
    <w:qFormat/>
    <w:uiPriority w:val="0"/>
    <w:rPr>
      <w:color w:val="FF8833"/>
      <w:sz w:val="18"/>
      <w:szCs w:val="18"/>
    </w:rPr>
  </w:style>
  <w:style w:type="character" w:customStyle="1" w:styleId="63">
    <w:name w:val="proollist"/>
    <w:basedOn w:val="26"/>
    <w:qFormat/>
    <w:uiPriority w:val="0"/>
  </w:style>
  <w:style w:type="character" w:customStyle="1" w:styleId="64">
    <w:name w:val="phone"/>
    <w:basedOn w:val="26"/>
    <w:qFormat/>
    <w:uiPriority w:val="0"/>
    <w:rPr>
      <w:color w:val="FF8833"/>
      <w:sz w:val="18"/>
      <w:szCs w:val="18"/>
    </w:rPr>
  </w:style>
  <w:style w:type="paragraph" w:customStyle="1" w:styleId="6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67">
    <w:name w:val="_Style 85"/>
    <w:basedOn w:val="1"/>
    <w:next w:val="39"/>
    <w:qFormat/>
    <w:uiPriority w:val="0"/>
    <w:pPr>
      <w:widowControl/>
      <w:ind w:firstLine="4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58</Pages>
  <Words>4999</Words>
  <Characters>28498</Characters>
  <Lines>237</Lines>
  <Paragraphs>66</Paragraphs>
  <TotalTime>0</TotalTime>
  <ScaleCrop>false</ScaleCrop>
  <LinksUpToDate>false</LinksUpToDate>
  <CharactersWithSpaces>33431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2021-04-01T02:35:00Z</dcterms:created>
  <dc:creator>李纪旋</dc:creator>
  <cp:lastModifiedBy>Administrator</cp:lastModifiedBy>
  <cp:lastPrinted>2018-12-10T02:20:00Z</cp:lastPrinted>
  <dcterms:modified xsi:type="dcterms:W3CDTF">2021-09-14T06:18:38Z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174C5381122047F9A0288791CC68A4A4</vt:lpwstr>
  </property>
</Properties>
</file>