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301" w:firstLineChars="100"/>
        <w:jc w:val="left"/>
        <w:rPr>
          <w:rFonts w:ascii="仿宋_GB2312" w:hAnsi="仿宋_GB2312" w:eastAsia="仿宋_GB2312" w:cs="仿宋_GB2312"/>
          <w:b/>
          <w:bCs/>
          <w:sz w:val="30"/>
          <w:szCs w:val="30"/>
          <w:highlight w:val="none"/>
        </w:rPr>
      </w:pPr>
    </w:p>
    <w:p>
      <w:pPr>
        <w:autoSpaceDE w:val="0"/>
        <w:autoSpaceDN w:val="0"/>
        <w:adjustRightInd w:val="0"/>
        <w:snapToGrid w:val="0"/>
        <w:spacing w:line="360" w:lineRule="auto"/>
        <w:ind w:firstLine="301" w:firstLineChars="1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0"/>
          <w:szCs w:val="30"/>
          <w:highlight w:val="none"/>
          <w:lang w:val="zh-CN"/>
        </w:rPr>
      </w:pPr>
      <w:r>
        <w:rPr>
          <w:rFonts w:hint="eastAsia" w:ascii="仿宋" w:hAnsi="仿宋" w:eastAsia="仿宋" w:cs="仿宋"/>
          <w:b/>
          <w:bCs/>
          <w:color w:val="auto"/>
          <w:sz w:val="30"/>
          <w:szCs w:val="30"/>
          <w:highlight w:val="none"/>
          <w:lang w:val="zh-CN"/>
        </w:rPr>
        <w:t>政采编号：</w:t>
      </w:r>
      <w:r>
        <w:rPr>
          <w:rFonts w:hint="eastAsia" w:ascii="仿宋" w:hAnsi="仿宋" w:eastAsia="仿宋" w:cs="仿宋"/>
          <w:b/>
          <w:bCs/>
          <w:sz w:val="30"/>
          <w:szCs w:val="30"/>
          <w:highlight w:val="none"/>
          <w:lang w:val="zh-CN"/>
        </w:rPr>
        <w:t>政采-西安市-2021-02877</w:t>
      </w:r>
    </w:p>
    <w:p>
      <w:pPr>
        <w:tabs>
          <w:tab w:val="left" w:pos="5670"/>
        </w:tabs>
        <w:autoSpaceDE w:val="0"/>
        <w:autoSpaceDN w:val="0"/>
        <w:adjustRightInd w:val="0"/>
        <w:spacing w:line="360" w:lineRule="auto"/>
        <w:ind w:firstLine="300"/>
        <w:rPr>
          <w:rFonts w:ascii="仿宋" w:hAnsi="仿宋" w:eastAsia="仿宋" w:cs="仿宋"/>
          <w:b/>
          <w:bCs/>
          <w:sz w:val="30"/>
          <w:szCs w:val="30"/>
          <w:highlight w:val="none"/>
        </w:rPr>
      </w:pPr>
      <w:r>
        <w:rPr>
          <w:rFonts w:hint="eastAsia" w:ascii="仿宋" w:hAnsi="仿宋" w:eastAsia="仿宋" w:cs="仿宋"/>
          <w:b/>
          <w:bCs/>
          <w:sz w:val="30"/>
          <w:szCs w:val="30"/>
          <w:highlight w:val="none"/>
          <w:lang w:val="zh-CN"/>
        </w:rPr>
        <w:t>项目编号：DX2021-117</w:t>
      </w:r>
    </w:p>
    <w:p>
      <w:pPr>
        <w:tabs>
          <w:tab w:val="left" w:pos="5670"/>
        </w:tabs>
        <w:autoSpaceDE w:val="0"/>
        <w:autoSpaceDN w:val="0"/>
        <w:adjustRightInd w:val="0"/>
        <w:spacing w:line="360" w:lineRule="auto"/>
        <w:ind w:firstLine="300"/>
        <w:rPr>
          <w:rFonts w:ascii="仿宋" w:hAnsi="仿宋" w:eastAsia="仿宋" w:cs="仿宋"/>
          <w:b/>
          <w:bCs/>
          <w:sz w:val="30"/>
          <w:szCs w:val="30"/>
          <w:highlight w:val="none"/>
          <w:lang w:val="zh-CN"/>
        </w:rPr>
      </w:pPr>
    </w:p>
    <w:p>
      <w:pPr>
        <w:pStyle w:val="16"/>
        <w:rPr>
          <w:highlight w:val="none"/>
        </w:rPr>
      </w:pPr>
    </w:p>
    <w:p>
      <w:pPr>
        <w:pStyle w:val="16"/>
        <w:rPr>
          <w:highlight w:val="none"/>
        </w:rPr>
      </w:pPr>
    </w:p>
    <w:p>
      <w:pPr>
        <w:pStyle w:val="9"/>
        <w:tabs>
          <w:tab w:val="left" w:pos="5670"/>
        </w:tabs>
        <w:adjustRightInd w:val="0"/>
        <w:snapToGrid w:val="0"/>
        <w:spacing w:line="360" w:lineRule="auto"/>
        <w:rPr>
          <w:rFonts w:ascii="宋体" w:hAnsi="宋体" w:cs="宋体"/>
          <w:spacing w:val="0"/>
          <w:w w:val="100"/>
          <w:sz w:val="44"/>
          <w:szCs w:val="44"/>
          <w:highlight w:val="none"/>
        </w:rPr>
      </w:pPr>
    </w:p>
    <w:p>
      <w:pPr>
        <w:pStyle w:val="9"/>
        <w:tabs>
          <w:tab w:val="left" w:pos="5670"/>
        </w:tabs>
        <w:adjustRightInd w:val="0"/>
        <w:snapToGrid w:val="0"/>
        <w:spacing w:line="360" w:lineRule="auto"/>
        <w:rPr>
          <w:rFonts w:ascii="宋体" w:hAnsi="宋体" w:cs="宋体"/>
          <w:spacing w:val="0"/>
          <w:w w:val="100"/>
          <w:sz w:val="44"/>
          <w:szCs w:val="44"/>
          <w:highlight w:val="none"/>
        </w:rPr>
      </w:pPr>
    </w:p>
    <w:p>
      <w:pPr>
        <w:spacing w:line="360" w:lineRule="auto"/>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西安市第二保育院</w:t>
      </w:r>
    </w:p>
    <w:p>
      <w:pPr>
        <w:spacing w:line="360" w:lineRule="auto"/>
        <w:jc w:val="center"/>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lang w:eastAsia="zh-CN"/>
        </w:rPr>
        <w:t>全院楼宇外立面改造（二期）工程项目</w:t>
      </w:r>
    </w:p>
    <w:p>
      <w:pPr>
        <w:pStyle w:val="9"/>
        <w:tabs>
          <w:tab w:val="left" w:pos="5670"/>
        </w:tabs>
        <w:adjustRightInd w:val="0"/>
        <w:snapToGrid w:val="0"/>
        <w:spacing w:line="360" w:lineRule="auto"/>
        <w:rPr>
          <w:rFonts w:ascii="宋体" w:hAnsi="宋体" w:cs="宋体"/>
          <w:spacing w:val="0"/>
          <w:w w:val="100"/>
          <w:sz w:val="44"/>
          <w:szCs w:val="44"/>
          <w:highlight w:val="none"/>
        </w:rPr>
      </w:pPr>
    </w:p>
    <w:p>
      <w:pPr>
        <w:pStyle w:val="9"/>
        <w:tabs>
          <w:tab w:val="left" w:pos="5670"/>
        </w:tabs>
        <w:adjustRightInd w:val="0"/>
        <w:snapToGrid w:val="0"/>
        <w:spacing w:line="360" w:lineRule="auto"/>
        <w:rPr>
          <w:rFonts w:ascii="宋体" w:hAnsi="宋体" w:cs="宋体"/>
          <w:spacing w:val="0"/>
          <w:w w:val="100"/>
          <w:sz w:val="44"/>
          <w:szCs w:val="44"/>
          <w:highlight w:val="none"/>
        </w:rPr>
      </w:pPr>
    </w:p>
    <w:p>
      <w:pPr>
        <w:pStyle w:val="9"/>
        <w:tabs>
          <w:tab w:val="left" w:pos="5670"/>
        </w:tabs>
        <w:adjustRightInd w:val="0"/>
        <w:snapToGrid w:val="0"/>
        <w:spacing w:line="360" w:lineRule="auto"/>
        <w:rPr>
          <w:rFonts w:ascii="仿宋_GB2312" w:hAnsi="仿宋_GB2312" w:eastAsia="仿宋_GB2312" w:cs="仿宋_GB2312"/>
          <w:spacing w:val="0"/>
          <w:w w:val="100"/>
          <w:sz w:val="44"/>
          <w:szCs w:val="44"/>
          <w:highlight w:val="none"/>
        </w:rPr>
      </w:pPr>
      <w:r>
        <w:rPr>
          <w:rFonts w:hint="eastAsia" w:ascii="宋体" w:hAnsi="宋体" w:cs="宋体"/>
          <w:spacing w:val="0"/>
          <w:w w:val="100"/>
          <w:sz w:val="44"/>
          <w:szCs w:val="44"/>
          <w:highlight w:val="none"/>
        </w:rPr>
        <w:t>竞争性磋商文件</w:t>
      </w:r>
    </w:p>
    <w:p>
      <w:pPr>
        <w:pStyle w:val="9"/>
        <w:tabs>
          <w:tab w:val="left" w:pos="5670"/>
        </w:tabs>
        <w:adjustRightInd w:val="0"/>
        <w:snapToGrid w:val="0"/>
        <w:spacing w:line="360" w:lineRule="auto"/>
        <w:jc w:val="both"/>
        <w:rPr>
          <w:rFonts w:ascii="仿宋_GB2312" w:hAnsi="仿宋_GB2312" w:eastAsia="仿宋_GB2312" w:cs="仿宋_GB2312"/>
          <w:spacing w:val="0"/>
          <w:w w:val="100"/>
          <w:sz w:val="44"/>
          <w:szCs w:val="44"/>
          <w:highlight w:val="none"/>
        </w:rPr>
      </w:pPr>
    </w:p>
    <w:p>
      <w:pPr>
        <w:pStyle w:val="9"/>
        <w:tabs>
          <w:tab w:val="left" w:pos="5670"/>
        </w:tabs>
        <w:adjustRightInd w:val="0"/>
        <w:snapToGrid w:val="0"/>
        <w:spacing w:line="360" w:lineRule="auto"/>
        <w:jc w:val="both"/>
        <w:rPr>
          <w:rFonts w:ascii="仿宋_GB2312" w:hAnsi="仿宋_GB2312" w:eastAsia="仿宋_GB2312" w:cs="仿宋_GB2312"/>
          <w:spacing w:val="0"/>
          <w:w w:val="100"/>
          <w:sz w:val="44"/>
          <w:szCs w:val="44"/>
          <w:highlight w:val="none"/>
        </w:rPr>
      </w:pPr>
    </w:p>
    <w:p>
      <w:pPr>
        <w:pStyle w:val="9"/>
        <w:tabs>
          <w:tab w:val="left" w:pos="5670"/>
        </w:tabs>
        <w:adjustRightInd w:val="0"/>
        <w:snapToGrid w:val="0"/>
        <w:spacing w:line="360" w:lineRule="auto"/>
        <w:rPr>
          <w:rFonts w:ascii="仿宋" w:hAnsi="仿宋" w:eastAsia="仿宋" w:cs="仿宋"/>
          <w:spacing w:val="0"/>
          <w:w w:val="100"/>
          <w:sz w:val="32"/>
          <w:szCs w:val="32"/>
          <w:highlight w:val="none"/>
        </w:rPr>
      </w:pPr>
    </w:p>
    <w:p>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采购人：西安市第二保育院</w:t>
      </w:r>
    </w:p>
    <w:p>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陕西笃信招标有限公司</w:t>
      </w:r>
    </w:p>
    <w:p>
      <w:pPr>
        <w:autoSpaceDE w:val="0"/>
        <w:autoSpaceDN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二零二一年</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lang w:val="zh-CN"/>
        </w:rPr>
        <w:t>月</w:t>
      </w:r>
    </w:p>
    <w:p>
      <w:pPr>
        <w:rPr>
          <w:rFonts w:ascii="仿宋" w:hAnsi="仿宋" w:eastAsia="仿宋" w:cs="仿宋"/>
          <w:sz w:val="32"/>
          <w:szCs w:val="32"/>
          <w:highlight w:val="none"/>
        </w:rPr>
      </w:pPr>
    </w:p>
    <w:p>
      <w:pPr>
        <w:spacing w:line="360" w:lineRule="auto"/>
        <w:rPr>
          <w:highlight w:val="none"/>
        </w:rPr>
      </w:pPr>
      <w:r>
        <w:rPr>
          <w:rFonts w:hint="eastAsia" w:ascii="仿宋_GB2312" w:hAnsi="仿宋_GB2312" w:eastAsia="仿宋_GB2312" w:cs="仿宋_GB2312"/>
          <w:b/>
          <w:sz w:val="36"/>
          <w:szCs w:val="36"/>
          <w:highlight w:val="none"/>
        </w:rPr>
        <w:br w:type="page"/>
      </w:r>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pPr>
        <w:pStyle w:val="18"/>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TOC \o "1-3" \h \u </w:instrText>
      </w:r>
      <w:r>
        <w:rPr>
          <w:rFonts w:hint="eastAsia" w:ascii="仿宋" w:hAnsi="仿宋" w:eastAsia="仿宋" w:cs="仿宋"/>
          <w:szCs w:val="21"/>
          <w:highlight w:val="none"/>
        </w:rPr>
        <w:fldChar w:fldCharType="separate"/>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_Toc21459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第一部分   竞争性磋商公告</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_Toc21459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8"/>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_Toc17663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第二部分</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zh-CN"/>
        </w:rPr>
        <w:t>竞争性磋商须知</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_Toc17663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_Toc20880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供应商须知前附表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_Toc20880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8</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_Toc10766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一、总则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_Toc10766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_Toc2736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（一）适用范围</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_Toc2736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_Toc15463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二、磋商文件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_Toc15463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_Toc13979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（一）磋商文件及要求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_Toc13979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_Toc15204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（二）磋商响应文件的澄清和修改</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_Toc15204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_Toc11919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（三）磋商文件的询问、质疑及答复</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_Toc11919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_Toc32108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（四）磋商文件的解释权</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_Toc32108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_Toc20719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三、磋商要求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_Toc20719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_Toc10887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（一）磋商内容</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_Toc10887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_Toc9227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（二）合格供应商要求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_Toc9227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_Toc23687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（三）限制磋商要求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_Toc23687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_Toc23595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（四）磋商响应文件有效期</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_Toc23595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_Toc22890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（五）磋商响应文件的编制要求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_Toc22890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_Toc18140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（六）磋商报价要求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_Toc18140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_Toc485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（七）磋商响应文件的式样、签署和装订</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_Toc485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15</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_Toc28122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（八）</w:t>
      </w:r>
      <w:r>
        <w:rPr>
          <w:rFonts w:hint="eastAsia" w:ascii="仿宋" w:hAnsi="仿宋" w:eastAsia="仿宋" w:cs="仿宋"/>
          <w:sz w:val="21"/>
          <w:szCs w:val="21"/>
          <w:highlight w:val="none"/>
          <w:lang w:val="zh-CN"/>
        </w:rPr>
        <w:t>磋商响应文件的密封和提交</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_Toc28122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16</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_Toc7483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四、磋商小组组成及职责</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_Toc7483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16</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_Toc5639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五、磋商会议</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_Toc5639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17</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_Toc13512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六、磋商评审程序及评审办法</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_Toc13512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18</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_Toc9033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（一）磋商响应文件的资格性审查</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_Toc9033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18</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_Toc1257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（二）磋商响应文件符合性审查</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_Toc1257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19</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_Toc28754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（三）磋商响应文件的澄清、说明或者更正</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_Toc28754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20</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_Toc30251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（四）供应商存在下列情况之一的，磋商无效</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_Toc30251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20</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_Toc24982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（五）磋商</w:t>
      </w:r>
      <w:r>
        <w:rPr>
          <w:rFonts w:hint="eastAsia" w:ascii="仿宋" w:hAnsi="仿宋" w:eastAsia="仿宋" w:cs="仿宋"/>
          <w:bCs/>
          <w:sz w:val="21"/>
          <w:szCs w:val="21"/>
          <w:highlight w:val="none"/>
          <w:lang w:eastAsia="zh-CN"/>
        </w:rPr>
        <w:t>环节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_Toc24982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_Toc26852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（六）最终报价</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_Toc26852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_Toc29947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（七）</w:t>
      </w:r>
      <w:r>
        <w:rPr>
          <w:rFonts w:hint="eastAsia" w:ascii="仿宋" w:hAnsi="仿宋" w:eastAsia="仿宋" w:cs="仿宋"/>
          <w:sz w:val="21"/>
          <w:szCs w:val="21"/>
          <w:highlight w:val="none"/>
          <w:lang w:val="zh-CN"/>
        </w:rPr>
        <w:t>比较与评价</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_Toc29947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_Toc11941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（八）推荐成交候选供应商名单</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_Toc11941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_Toc23562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七、确定成交供应商</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_Toc23562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_Toc10276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八、合同</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_Toc10276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_Toc23721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九、成交合同的履约验收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_Toc23721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_Toc21672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十、成交服务费</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_Toc21672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_Toc13932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十一、需要落实的政府采购政策</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_Toc13932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25</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_Toc24227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十二、质疑与投诉</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_Toc24227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29</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8"/>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_Toc10089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第三部分 采购内容及要求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_Toc10089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8"/>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_Toc19206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第四部分 合同主要条款及格式</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_Toc19206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8"/>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_Toc24528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第五部分  磋商响应文件格式</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_Toc24528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37</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_Toc30272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一、磋商响应函</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_Toc30272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39</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_Toc31098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二、第一次磋商报价表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_Toc31098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40</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_Toc3420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三、已标价的工程量清单</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_Toc3420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_Toc25973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四、合同主要条款响应偏差表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_Toc25973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_Toc7327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五、</w:t>
      </w:r>
      <w:r>
        <w:rPr>
          <w:rFonts w:hint="eastAsia" w:ascii="仿宋" w:hAnsi="仿宋" w:eastAsia="仿宋" w:cs="仿宋"/>
          <w:sz w:val="21"/>
          <w:szCs w:val="21"/>
          <w:highlight w:val="none"/>
        </w:rPr>
        <w:t>拟投入本项目的主要负责人简历表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_Toc7327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_Toc2231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六、参与本项目主要人员表</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_Toc2231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_Toc24539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七、施工组织方案</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_Toc24539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45</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_Toc22424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八、安全卡控</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_Toc22424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46</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_Toc19095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九</w:t>
      </w:r>
      <w:r>
        <w:rPr>
          <w:rFonts w:hint="eastAsia" w:ascii="仿宋" w:hAnsi="仿宋" w:eastAsia="仿宋" w:cs="仿宋"/>
          <w:sz w:val="21"/>
          <w:szCs w:val="21"/>
          <w:highlight w:val="none"/>
        </w:rPr>
        <w:t>、服务承诺</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_Toc19095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47</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_Toc11750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十</w:t>
      </w:r>
      <w:r>
        <w:rPr>
          <w:rFonts w:hint="eastAsia" w:ascii="仿宋" w:hAnsi="仿宋" w:eastAsia="仿宋" w:cs="仿宋"/>
          <w:sz w:val="21"/>
          <w:szCs w:val="21"/>
          <w:highlight w:val="none"/>
        </w:rPr>
        <w:t>、供应商资格证明文件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_Toc11750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48</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_Toc11840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（一）提供统一社会信用代码的营业执照或其他组织经营的合法凭证或自然人的提供身份证明文件</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_Toc11840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50</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_Toc20689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二</w:t>
      </w:r>
      <w:r>
        <w:rPr>
          <w:rFonts w:hint="eastAsia" w:ascii="仿宋" w:hAnsi="仿宋" w:eastAsia="仿宋" w:cs="仿宋"/>
          <w:bCs/>
          <w:sz w:val="21"/>
          <w:szCs w:val="21"/>
          <w:highlight w:val="none"/>
        </w:rPr>
        <w:t>）财务状况报告</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_Toc20689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_Toc22257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三</w:t>
      </w:r>
      <w:r>
        <w:rPr>
          <w:rFonts w:hint="eastAsia" w:ascii="仿宋" w:hAnsi="仿宋" w:eastAsia="仿宋" w:cs="仿宋"/>
          <w:sz w:val="21"/>
          <w:szCs w:val="21"/>
          <w:highlight w:val="none"/>
        </w:rPr>
        <w:t>）税收缴纳证明</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_Toc22257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52</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_Toc12547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社会保障资金缴纳证明</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_Toc12547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53</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_Toc31656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五</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出具履行合同所必需的设备和专业技术能力的书面声明</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_Toc31656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_Toc30361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六</w:t>
      </w:r>
      <w:r>
        <w:rPr>
          <w:rFonts w:hint="eastAsia" w:ascii="仿宋" w:hAnsi="仿宋" w:eastAsia="仿宋" w:cs="仿宋"/>
          <w:sz w:val="21"/>
          <w:szCs w:val="21"/>
          <w:highlight w:val="none"/>
        </w:rPr>
        <w:t>）参加政府采购活动的书面声明</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_Toc30361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55</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_Toc1237 </w:instrText>
      </w:r>
      <w:r>
        <w:rPr>
          <w:rFonts w:hint="eastAsia" w:ascii="仿宋" w:hAnsi="仿宋" w:eastAsia="仿宋" w:cs="仿宋"/>
          <w:sz w:val="21"/>
          <w:szCs w:val="21"/>
          <w:highlight w:val="none"/>
        </w:rPr>
        <w:fldChar w:fldCharType="separate"/>
      </w:r>
      <w:r>
        <w:rPr>
          <w:rFonts w:hint="eastAsia" w:ascii="仿宋" w:hAnsi="仿宋" w:eastAsia="仿宋" w:cs="仿宋"/>
          <w:bCs w:val="0"/>
          <w:kern w:val="2"/>
          <w:sz w:val="21"/>
          <w:szCs w:val="21"/>
          <w:highlight w:val="none"/>
          <w:lang w:val="zh-CN" w:eastAsia="zh-CN" w:bidi="ar-SA"/>
        </w:rPr>
        <w:t>（七）特定资格要求</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_Toc1237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56</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4"/>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_Toc28131 </w:instrText>
      </w:r>
      <w:r>
        <w:rPr>
          <w:rFonts w:hint="eastAsia" w:ascii="仿宋" w:hAnsi="仿宋" w:eastAsia="仿宋" w:cs="仿宋"/>
          <w:sz w:val="21"/>
          <w:szCs w:val="21"/>
          <w:highlight w:val="none"/>
        </w:rPr>
        <w:fldChar w:fldCharType="separate"/>
      </w:r>
      <w:r>
        <w:rPr>
          <w:rFonts w:hint="eastAsia" w:ascii="仿宋" w:hAnsi="仿宋" w:eastAsia="仿宋" w:cs="仿宋"/>
          <w:bCs w:val="0"/>
          <w:kern w:val="2"/>
          <w:sz w:val="21"/>
          <w:szCs w:val="21"/>
          <w:highlight w:val="none"/>
          <w:lang w:val="zh-CN" w:eastAsia="zh-CN" w:bidi="ar-SA"/>
        </w:rPr>
        <w:t>（八）提供政府采购政策等证明材料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_Toc28131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61</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_Toc1190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十一、近年业绩的有关证明材料</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_Toc1190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64</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_Toc25355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w:t>
      </w:r>
      <w:r>
        <w:rPr>
          <w:rFonts w:hint="eastAsia" w:ascii="仿宋" w:hAnsi="仿宋" w:eastAsia="仿宋" w:cs="仿宋"/>
          <w:sz w:val="21"/>
          <w:szCs w:val="21"/>
          <w:highlight w:val="none"/>
          <w:lang w:eastAsia="zh-CN"/>
        </w:rPr>
        <w:t>二</w:t>
      </w:r>
      <w:r>
        <w:rPr>
          <w:rFonts w:hint="eastAsia" w:ascii="仿宋" w:hAnsi="仿宋" w:eastAsia="仿宋" w:cs="仿宋"/>
          <w:sz w:val="21"/>
          <w:szCs w:val="21"/>
          <w:highlight w:val="none"/>
          <w:lang w:val="zh-CN"/>
        </w:rPr>
        <w:t>、供应商企业关系关联承诺书</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_Toc25355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65</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Style w:val="19"/>
        <w:tabs>
          <w:tab w:val="right" w:leader="dot" w:pos="9070"/>
        </w:tabs>
        <w:spacing w:line="360" w:lineRule="auto"/>
        <w:rPr>
          <w:highlight w:val="none"/>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_Toc22147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十</w:t>
      </w:r>
      <w:r>
        <w:rPr>
          <w:rFonts w:hint="eastAsia" w:ascii="仿宋" w:hAnsi="仿宋" w:eastAsia="仿宋" w:cs="仿宋"/>
          <w:sz w:val="21"/>
          <w:szCs w:val="21"/>
          <w:highlight w:val="none"/>
          <w:lang w:eastAsia="zh-CN"/>
        </w:rPr>
        <w:t>三</w:t>
      </w:r>
      <w:r>
        <w:rPr>
          <w:rFonts w:hint="eastAsia" w:ascii="仿宋" w:hAnsi="仿宋" w:eastAsia="仿宋" w:cs="仿宋"/>
          <w:sz w:val="21"/>
          <w:szCs w:val="21"/>
          <w:highlight w:val="none"/>
          <w:lang w:val="zh-CN"/>
        </w:rPr>
        <w:t>、供应商廉洁自律承诺书</w:t>
      </w:r>
      <w:r>
        <w:rPr>
          <w:rFonts w:hint="eastAsia" w:ascii="仿宋" w:hAnsi="仿宋" w:eastAsia="仿宋" w:cs="仿宋"/>
          <w:sz w:val="21"/>
          <w:szCs w:val="21"/>
          <w:highlight w:val="none"/>
        </w:rPr>
        <w:tab/>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PAGEREF _Toc22147 \h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66</w:t>
      </w:r>
      <w:r>
        <w:rPr>
          <w:rFonts w:hint="eastAsia" w:ascii="仿宋" w:hAnsi="仿宋" w:eastAsia="仿宋" w:cs="仿宋"/>
          <w:sz w:val="21"/>
          <w:szCs w:val="21"/>
          <w:highlight w:val="none"/>
        </w:rPr>
        <w:fldChar w:fldCharType="end"/>
      </w:r>
      <w:r>
        <w:rPr>
          <w:rFonts w:hint="eastAsia" w:ascii="仿宋" w:hAnsi="仿宋" w:eastAsia="仿宋" w:cs="仿宋"/>
          <w:sz w:val="21"/>
          <w:szCs w:val="21"/>
          <w:highlight w:val="none"/>
        </w:rPr>
        <w:fldChar w:fldCharType="end"/>
      </w:r>
    </w:p>
    <w:p>
      <w:pPr>
        <w:pageBreakBefore/>
        <w:spacing w:line="360" w:lineRule="auto"/>
        <w:jc w:val="center"/>
        <w:outlineLvl w:val="0"/>
        <w:rPr>
          <w:rFonts w:ascii="仿宋_GB2312" w:hAnsi="仿宋_GB2312" w:eastAsia="仿宋_GB2312" w:cs="仿宋_GB2312"/>
          <w:b/>
          <w:sz w:val="32"/>
          <w:szCs w:val="32"/>
          <w:highlight w:val="none"/>
          <w:lang w:val="zh-CN"/>
        </w:rPr>
      </w:pPr>
      <w:r>
        <w:rPr>
          <w:rFonts w:hint="eastAsia" w:ascii="仿宋" w:hAnsi="仿宋" w:eastAsia="仿宋" w:cs="仿宋"/>
          <w:szCs w:val="21"/>
          <w:highlight w:val="none"/>
        </w:rPr>
        <w:fldChar w:fldCharType="end"/>
      </w:r>
      <w:bookmarkStart w:id="0" w:name="_Toc28369"/>
      <w:bookmarkStart w:id="1" w:name="_Toc28176"/>
      <w:bookmarkStart w:id="2" w:name="_Toc11850"/>
      <w:bookmarkStart w:id="3" w:name="_Toc21459"/>
      <w:r>
        <w:rPr>
          <w:rFonts w:hint="eastAsia" w:ascii="宋体" w:hAnsi="宋体" w:cs="宋体"/>
          <w:b/>
          <w:sz w:val="32"/>
          <w:szCs w:val="32"/>
          <w:highlight w:val="none"/>
          <w:lang w:val="zh-CN"/>
        </w:rPr>
        <w:t>第一部分   竞争性磋商公告</w:t>
      </w:r>
      <w:bookmarkEnd w:id="0"/>
      <w:bookmarkEnd w:id="1"/>
      <w:bookmarkEnd w:id="2"/>
      <w:bookmarkEnd w:id="3"/>
    </w:p>
    <w:p>
      <w:pPr>
        <w:spacing w:line="360" w:lineRule="auto"/>
        <w:ind w:firstLine="480" w:firstLineChars="200"/>
        <w:rPr>
          <w:rFonts w:ascii="仿宋" w:hAnsi="仿宋" w:eastAsia="仿宋" w:cs="仿宋"/>
          <w:sz w:val="24"/>
          <w:szCs w:val="24"/>
          <w:highlight w:val="none"/>
        </w:rPr>
      </w:pPr>
      <w:bookmarkStart w:id="4" w:name="_Toc495681502"/>
      <w:bookmarkStart w:id="5" w:name="_Toc10932"/>
      <w:bookmarkStart w:id="6" w:name="_Toc18611"/>
      <w:bookmarkStart w:id="7" w:name="_Toc21600"/>
      <w:bookmarkStart w:id="8" w:name="_Toc32562"/>
      <w:bookmarkStart w:id="9" w:name="_Toc27498"/>
      <w:bookmarkStart w:id="10" w:name="_Toc16236"/>
      <w:bookmarkStart w:id="11" w:name="_Toc22093"/>
      <w:bookmarkStart w:id="12" w:name="_Toc22995"/>
      <w:bookmarkStart w:id="13" w:name="_Toc495681221"/>
      <w:bookmarkStart w:id="14" w:name="_Toc16644"/>
      <w:bookmarkStart w:id="15" w:name="_Toc11530"/>
      <w:bookmarkStart w:id="16" w:name="_Toc26240"/>
      <w:bookmarkStart w:id="17" w:name="_Toc10158"/>
      <w:bookmarkStart w:id="18" w:name="_Toc495681375"/>
      <w:r>
        <w:rPr>
          <w:rFonts w:hint="eastAsia" w:ascii="仿宋" w:hAnsi="仿宋" w:eastAsia="仿宋" w:cs="仿宋"/>
          <w:sz w:val="24"/>
          <w:szCs w:val="24"/>
          <w:highlight w:val="none"/>
          <w:lang w:eastAsia="zh-CN"/>
        </w:rPr>
        <w:t>西安市第二保育院全院楼宇外立面改造（二期）工程项目</w:t>
      </w:r>
      <w:r>
        <w:rPr>
          <w:rFonts w:hint="eastAsia" w:ascii="仿宋" w:hAnsi="仿宋" w:eastAsia="仿宋" w:cs="仿宋"/>
          <w:sz w:val="24"/>
          <w:szCs w:val="24"/>
          <w:highlight w:val="none"/>
        </w:rPr>
        <w:t>潜在的供应商可在陕西笃信招标有限公司（西安经济技术开发区凤城十一路与文景路十字文景商务广场B座8层）获取采购文件，并于202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0:00前递交响应文件。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一、项目基本情况：</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1、项目编号：</w:t>
      </w:r>
      <w:r>
        <w:rPr>
          <w:rFonts w:hint="eastAsia" w:ascii="仿宋" w:hAnsi="仿宋" w:eastAsia="仿宋" w:cs="仿宋"/>
          <w:sz w:val="24"/>
          <w:szCs w:val="24"/>
          <w:highlight w:val="none"/>
          <w:lang w:eastAsia="zh-CN"/>
        </w:rPr>
        <w:t>DX2021-117</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2、项目名称：</w:t>
      </w:r>
      <w:r>
        <w:rPr>
          <w:rFonts w:hint="eastAsia" w:ascii="仿宋" w:hAnsi="仿宋" w:eastAsia="仿宋" w:cs="仿宋"/>
          <w:sz w:val="24"/>
          <w:szCs w:val="24"/>
          <w:highlight w:val="none"/>
          <w:lang w:eastAsia="zh-CN"/>
        </w:rPr>
        <w:t>西安市第二保育院全院楼宇外立面改造（二期）工程项目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3、预算金额：2727158</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元</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4、最高限价：</w:t>
      </w:r>
      <w:r>
        <w:rPr>
          <w:rFonts w:hint="eastAsia" w:ascii="仿宋" w:hAnsi="仿宋" w:eastAsia="仿宋" w:cs="仿宋"/>
          <w:sz w:val="24"/>
          <w:szCs w:val="24"/>
          <w:highlight w:val="none"/>
          <w:lang w:val="en-US" w:eastAsia="zh-CN"/>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5、采购需求：</w:t>
      </w:r>
      <w:r>
        <w:rPr>
          <w:rFonts w:hint="eastAsia" w:ascii="仿宋" w:hAnsi="仿宋" w:eastAsia="仿宋" w:cs="仿宋"/>
          <w:sz w:val="24"/>
          <w:szCs w:val="24"/>
          <w:highlight w:val="none"/>
          <w:lang w:eastAsia="zh-CN"/>
        </w:rPr>
        <w:t>西安市第二保育院全院楼宇外立面改造（二期）工程项目</w:t>
      </w:r>
      <w:r>
        <w:rPr>
          <w:rFonts w:hint="eastAsia" w:ascii="仿宋" w:hAnsi="仿宋" w:eastAsia="仿宋" w:cs="仿宋"/>
          <w:sz w:val="24"/>
          <w:szCs w:val="24"/>
          <w:highlight w:val="none"/>
        </w:rPr>
        <w:t>，1项，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采购预算：2727158</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元</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项目概况：</w:t>
      </w:r>
      <w:r>
        <w:rPr>
          <w:rFonts w:hint="eastAsia" w:ascii="仿宋" w:hAnsi="仿宋" w:eastAsia="仿宋" w:cs="仿宋"/>
          <w:sz w:val="24"/>
          <w:szCs w:val="24"/>
          <w:highlight w:val="none"/>
          <w:lang w:eastAsia="zh-CN"/>
        </w:rPr>
        <w:t>西安市第二保育院全院楼宇外立面改造（二期）工程项目</w:t>
      </w:r>
      <w:r>
        <w:rPr>
          <w:rFonts w:hint="eastAsia" w:ascii="仿宋" w:hAnsi="仿宋" w:eastAsia="仿宋" w:cs="仿宋"/>
          <w:sz w:val="24"/>
          <w:szCs w:val="24"/>
          <w:highlight w:val="none"/>
        </w:rPr>
        <w:t>。具体详见竞争性磋商文件</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简要技术要求、用途：</w:t>
      </w:r>
      <w:r>
        <w:rPr>
          <w:rFonts w:hint="eastAsia" w:ascii="仿宋" w:hAnsi="仿宋" w:eastAsia="仿宋" w:cs="仿宋"/>
          <w:sz w:val="24"/>
          <w:szCs w:val="24"/>
          <w:highlight w:val="none"/>
          <w:lang w:eastAsia="zh-CN"/>
        </w:rPr>
        <w:t>全院楼宇外立面改造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6、合同履行期限：2022-01-15 00:00:00 至 2023-01-30 00:00:00（具体服务起止日期可随合同签订时间相应顺延）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7、本项目是否接受联合体投标：否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 响应供应商的资格要求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2、落实政府采购政策需满足的资格要求：</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1、提供统一社会信用代码的营业执照或其他组织经营的合法凭证或自然人的提供身份证明文件；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w:t>
      </w:r>
      <w:r>
        <w:rPr>
          <w:rFonts w:hint="eastAsia" w:ascii="仿宋" w:hAnsi="仿宋" w:eastAsia="仿宋" w:cs="仿宋"/>
          <w:sz w:val="24"/>
          <w:szCs w:val="24"/>
          <w:highlight w:val="none"/>
          <w:lang w:eastAsia="zh-CN"/>
        </w:rPr>
        <w:t>提供具有财务审计资质单位出具的2020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税收缴纳证明：提供已缴纳的 2021年1月1日以来至少一个月的纳税证明或完税证明（提供增值税、企业所得税至少一种），纳税证明或完税证明上应有代收机构或税务机关的公章或业务专用章。依法免税的供应商应提供相关文件证明；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社会保障资金缴纳证明：提供已缴存的 2021年1月1日以来至少一个月的社会保障资金缴存单据或社保机构开具的社会保险参保缴费情况证明。成立时间至提交响应文件截止时间不足一个月或依法不需要缴纳社会保障资金的供应商应提供相关文件证明；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（2）特定资格条件：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1、法定代表人授权书及被授权人身份证</w:t>
      </w:r>
      <w:r>
        <w:rPr>
          <w:rFonts w:hint="eastAsia" w:ascii="仿宋" w:hAnsi="仿宋" w:eastAsia="仿宋" w:cs="仿宋"/>
          <w:sz w:val="24"/>
          <w:szCs w:val="24"/>
          <w:highlight w:val="none"/>
          <w:lang w:eastAsia="zh-CN"/>
        </w:rPr>
        <w:t>，并且提供</w:t>
      </w:r>
      <w:r>
        <w:rPr>
          <w:rFonts w:hint="eastAsia" w:ascii="仿宋" w:hAnsi="仿宋" w:eastAsia="仿宋" w:cs="仿宋"/>
          <w:sz w:val="24"/>
          <w:szCs w:val="24"/>
          <w:highlight w:val="none"/>
          <w:lang w:val="en-US" w:eastAsia="zh-CN"/>
        </w:rPr>
        <w:t>有效的</w:t>
      </w:r>
      <w:r>
        <w:rPr>
          <w:rFonts w:hint="eastAsia" w:ascii="仿宋" w:hAnsi="仿宋" w:eastAsia="仿宋" w:cs="仿宋"/>
          <w:sz w:val="24"/>
          <w:szCs w:val="24"/>
          <w:highlight w:val="none"/>
        </w:rPr>
        <w:t>劳动合同</w:t>
      </w:r>
      <w:r>
        <w:rPr>
          <w:rFonts w:hint="eastAsia" w:ascii="仿宋" w:hAnsi="仿宋" w:eastAsia="仿宋" w:cs="仿宋"/>
          <w:sz w:val="24"/>
          <w:szCs w:val="24"/>
          <w:highlight w:val="none"/>
          <w:lang w:val="en-US" w:eastAsia="zh-CN"/>
        </w:rPr>
        <w:t>或近三个月</w:t>
      </w:r>
      <w:r>
        <w:rPr>
          <w:rFonts w:hint="eastAsia" w:ascii="仿宋" w:hAnsi="仿宋" w:eastAsia="仿宋" w:cs="仿宋"/>
          <w:sz w:val="24"/>
          <w:szCs w:val="24"/>
          <w:highlight w:val="none"/>
        </w:rPr>
        <w:t>养老保险缴纳证明（法人参加只需提供法定代表人身份证明）</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2、符合《财政部关于在政府采购活动中查询及使用信用记录有关问题的通知》（财库【2016】125号）文件中信用查询的要求；（此项由采购人与采购代理单位在开标时查询，</w:t>
      </w:r>
      <w:r>
        <w:rPr>
          <w:rFonts w:hint="eastAsia" w:ascii="仿宋" w:hAnsi="仿宋" w:eastAsia="仿宋" w:cs="仿宋"/>
          <w:sz w:val="24"/>
          <w:szCs w:val="24"/>
          <w:highlight w:val="none"/>
          <w:lang w:eastAsia="zh-CN"/>
        </w:rPr>
        <w:t>以现场查询为准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供应商具备建筑工程施工总承包贰级或以上资质，具有安全生产许可证；</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4、拟派项目经理须具有建筑工程专业二级或以上注册建造师证书及安全生产考核合格证（B证）, 在本单位注册且无在建工程（承诺说明）；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5、外省企业需提供在陕西省建筑市场监管与诚信信息一体化平台入库证明。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 采购文件的获取方式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时间：即日起至2021-</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 xml:space="preserve"> 17:00:00 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地点：西安经济技术开发区凤城十一路与文景路十字文景商务广场B座8层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方式：现场获取/邮寄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售价：免费赠送</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注：1、领取磋商文件时请携带单位介绍信原件、经办人身份证原件及复印件（加盖公章），获取文件时间：2021年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日至2021年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w:t>
      </w:r>
      <w:r>
        <w:rPr>
          <w:rFonts w:hint="eastAsia" w:ascii="仿宋" w:hAnsi="仿宋" w:eastAsia="仿宋" w:cs="仿宋"/>
          <w:kern w:val="0"/>
          <w:sz w:val="24"/>
          <w:szCs w:val="24"/>
          <w:highlight w:val="none"/>
        </w:rPr>
        <w:t>工作时间：09:00-12:00、14:00-17:00，节假日除外</w:t>
      </w:r>
      <w:r>
        <w:rPr>
          <w:rFonts w:hint="eastAsia" w:ascii="仿宋" w:hAnsi="仿宋" w:eastAsia="仿宋" w:cs="仿宋"/>
          <w:sz w:val="24"/>
          <w:szCs w:val="24"/>
          <w:highlight w:val="none"/>
        </w:rPr>
        <w:t>）；2、请各供应商获取磋商文件后，按照陕西省财政厅《关于政府采购供应商注册登记有关事项的通知》要求，通过陕西省政府采购网注册登记加入陕西省政府采购供应商库</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四、响应文件递交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截止时间：2021-</w:t>
      </w:r>
      <w:r>
        <w:rPr>
          <w:rFonts w:hint="eastAsia" w:ascii="仿宋" w:hAnsi="仿宋" w:eastAsia="仿宋" w:cs="仿宋"/>
          <w:sz w:val="24"/>
          <w:szCs w:val="24"/>
          <w:highlight w:val="none"/>
          <w:lang w:val="en-US" w:eastAsia="zh-CN"/>
        </w:rPr>
        <w:t>11-25</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:00</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地点：西安经济技术开发区凤城十一路与文景路十字文景商务广场B座8层开标室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五、公告期限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自本公告发布之日起3个工作日。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六、其他补充事宜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1、执行的其他政府采购政策：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（1）《政府采购促进中小企业发展管理办法》财库〔2020〕46号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（2）《财政部 司法部关于政府采购支持监狱企业发展有关问题的通知》财库[2014]68号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（4）《财政部 国家发展改革委关于印发〈节能产品政府采购实施意见〉的通知》（财库[2004]185号）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（5）《财政部环保总局关于环境标志产品政府采购实施的意见》财库[2006]90号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（6）《三部门联合发布关于促进残疾人就业政府采购政策的通知》（财库[2017]141号）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（8）《国务院办公厅关于建立政府强制采购节能产品制度的通知》（国办发〔2007〕51号）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（9）《财政部 国务院扶贫办关于运用政府采购政策支持脱贫攻坚的通知》（财库〔2019〕27号）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竞争性磋商文件中凡是需要法定代表人盖章之处，非法人单位的负责人均参照执行。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3、分支机构参与磋商时，响应文件中应附法人出具的授权书。法人只能授权一家分支机构参与磋商，且不能与分支机构同时参与磋商。分支机构须提供自己的资格要求证明文件。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4、供应商如不参与项目投标，需在递交文件截止时间前一日以书面形式告知项目联系人（邮箱号：</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"mailto:2059407584@qq.com"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2059407584@qq.com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),否则采购代理机构将向财政局反映，供应商一年内累计出现三次该情形，将被监管部门记录为失信被执行人。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val="en-US" w:eastAsia="zh-CN"/>
        </w:rPr>
        <w:t>西安市第二保育院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地址：陕西省西安市碑林区含光北路176号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李老师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联系电话：029-88401953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李纪旋、张亚娜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029-86253389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陕西笃信招标有限公司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联系地址：西安经济技术开发区凤城十一路与文景路十字文景商务广场B座8层</w:t>
      </w:r>
    </w:p>
    <w:p>
      <w:pPr>
        <w:rPr>
          <w:rFonts w:hint="eastAsia" w:ascii="宋体" w:hAnsi="宋体" w:cs="宋体"/>
          <w:b/>
          <w:sz w:val="32"/>
          <w:szCs w:val="32"/>
          <w:highlight w:val="none"/>
          <w:lang w:val="zh-CN"/>
        </w:rPr>
      </w:pPr>
      <w:r>
        <w:rPr>
          <w:rFonts w:hint="eastAsia" w:ascii="宋体" w:hAnsi="宋体" w:cs="宋体"/>
          <w:b/>
          <w:sz w:val="32"/>
          <w:szCs w:val="32"/>
          <w:highlight w:val="none"/>
          <w:lang w:val="zh-CN"/>
        </w:rPr>
        <w:br w:type="page"/>
      </w:r>
    </w:p>
    <w:p>
      <w:pPr>
        <w:autoSpaceDE w:val="0"/>
        <w:autoSpaceDN w:val="0"/>
        <w:adjustRightInd w:val="0"/>
        <w:spacing w:line="360" w:lineRule="auto"/>
        <w:jc w:val="center"/>
        <w:outlineLvl w:val="0"/>
        <w:rPr>
          <w:rFonts w:ascii="宋体" w:hAnsi="宋体" w:cs="宋体"/>
          <w:b/>
          <w:sz w:val="32"/>
          <w:szCs w:val="32"/>
          <w:highlight w:val="none"/>
          <w:lang w:val="zh-CN"/>
        </w:rPr>
      </w:pPr>
      <w:bookmarkStart w:id="19" w:name="_Toc17663"/>
      <w:r>
        <w:rPr>
          <w:rFonts w:hint="eastAsia" w:ascii="宋体" w:hAnsi="宋体" w:cs="宋体"/>
          <w:b/>
          <w:sz w:val="32"/>
          <w:szCs w:val="32"/>
          <w:highlight w:val="none"/>
          <w:lang w:val="zh-CN"/>
        </w:rPr>
        <w:t>第二部分</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竞争性磋商须知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4947"/>
    </w:p>
    <w:p>
      <w:pPr>
        <w:autoSpaceDE w:val="0"/>
        <w:autoSpaceDN w:val="0"/>
        <w:adjustRightInd w:val="0"/>
        <w:spacing w:line="360" w:lineRule="auto"/>
        <w:jc w:val="center"/>
        <w:outlineLvl w:val="1"/>
        <w:rPr>
          <w:rFonts w:ascii="仿宋" w:hAnsi="仿宋" w:eastAsia="仿宋" w:cs="仿宋"/>
          <w:b/>
          <w:bCs/>
          <w:sz w:val="28"/>
          <w:szCs w:val="28"/>
          <w:highlight w:val="none"/>
          <w:lang w:val="zh-CN"/>
        </w:rPr>
      </w:pPr>
      <w:bookmarkStart w:id="21" w:name="_Toc3270"/>
      <w:bookmarkStart w:id="22" w:name="_Toc21427"/>
      <w:bookmarkStart w:id="23" w:name="_Toc5591"/>
      <w:bookmarkStart w:id="24" w:name="_Toc22065"/>
      <w:bookmarkStart w:id="25" w:name="_Toc20880"/>
      <w:bookmarkStart w:id="26" w:name="_Toc29618"/>
      <w:bookmarkStart w:id="27" w:name="_Toc14989"/>
      <w:bookmarkStart w:id="28" w:name="_Toc323"/>
      <w:bookmarkStart w:id="29" w:name="_Toc28958"/>
      <w:bookmarkStart w:id="30" w:name="_Toc13315"/>
      <w:bookmarkStart w:id="31" w:name="_Toc7000"/>
      <w:bookmarkStart w:id="32" w:name="_Toc17430"/>
      <w:bookmarkStart w:id="33" w:name="_Toc24047"/>
      <w:bookmarkStart w:id="34" w:name="_Toc25694"/>
      <w:r>
        <w:rPr>
          <w:rFonts w:hint="eastAsia" w:ascii="仿宋" w:hAnsi="仿宋" w:eastAsia="仿宋" w:cs="仿宋"/>
          <w:b/>
          <w:bCs/>
          <w:sz w:val="28"/>
          <w:szCs w:val="28"/>
          <w:highlight w:val="none"/>
          <w:lang w:val="zh-CN"/>
        </w:rPr>
        <w:t>供应商须知前附表</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Style w:val="2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089"/>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条款</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条款名称</w:t>
            </w:r>
          </w:p>
        </w:tc>
        <w:tc>
          <w:tcPr>
            <w:tcW w:w="6308"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308" w:type="dxa"/>
            <w:vAlign w:val="center"/>
          </w:tcPr>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lang w:val="en-US" w:eastAsia="zh-CN"/>
              </w:rPr>
              <w:t>西安市第二保育院</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地址：陕西省西安市碑林区含光北路176号</w:t>
            </w:r>
          </w:p>
          <w:p>
            <w:pPr>
              <w:spacing w:line="360" w:lineRule="auto"/>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李老师</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联系电话：029-88401953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名称：陕西笃信招标有限公司</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地址：西安经济技术开发区凤城十一路与文景路十字文景商务广场B座8层</w:t>
            </w:r>
          </w:p>
          <w:p>
            <w:pPr>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sz w:val="24"/>
                <w:szCs w:val="24"/>
                <w:highlight w:val="none"/>
              </w:rPr>
              <w:t>张亚娜</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李纪旋</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308" w:type="dxa"/>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西安市第二保育院全院楼宇外立面改造（二期）工程项目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磋商文件发售时间</w:t>
            </w:r>
          </w:p>
        </w:tc>
        <w:tc>
          <w:tcPr>
            <w:tcW w:w="6308" w:type="dxa"/>
            <w:vAlign w:val="center"/>
          </w:tcPr>
          <w:p>
            <w:pPr>
              <w:spacing w:line="360" w:lineRule="auto"/>
              <w:jc w:val="left"/>
              <w:rPr>
                <w:rFonts w:ascii="仿宋" w:hAnsi="仿宋" w:eastAsia="仿宋" w:cs="仿宋"/>
                <w:color w:val="C00000"/>
                <w:sz w:val="24"/>
                <w:szCs w:val="24"/>
                <w:highlight w:val="none"/>
              </w:rPr>
            </w:pPr>
            <w:r>
              <w:rPr>
                <w:rFonts w:hint="eastAsia" w:ascii="仿宋" w:hAnsi="仿宋" w:eastAsia="仿宋" w:cs="仿宋"/>
                <w:kern w:val="0"/>
                <w:sz w:val="24"/>
                <w:szCs w:val="24"/>
                <w:highlight w:val="none"/>
              </w:rPr>
              <w:t>2021年</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12</w:t>
            </w:r>
            <w:r>
              <w:rPr>
                <w:rFonts w:hint="eastAsia" w:ascii="仿宋" w:hAnsi="仿宋" w:eastAsia="仿宋" w:cs="仿宋"/>
                <w:kern w:val="0"/>
                <w:sz w:val="24"/>
                <w:szCs w:val="24"/>
                <w:highlight w:val="none"/>
              </w:rPr>
              <w:t>日至202</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19</w:t>
            </w:r>
            <w:r>
              <w:rPr>
                <w:rFonts w:hint="eastAsia" w:ascii="仿宋" w:hAnsi="仿宋" w:eastAsia="仿宋" w:cs="仿宋"/>
                <w:kern w:val="0"/>
                <w:sz w:val="24"/>
                <w:szCs w:val="24"/>
                <w:highlight w:val="none"/>
              </w:rPr>
              <w:t>日（工作时间：09:00-12:00、14:00-17:00，节假日除外）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089"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采购预算</w:t>
            </w:r>
          </w:p>
        </w:tc>
        <w:tc>
          <w:tcPr>
            <w:tcW w:w="6308" w:type="dxa"/>
            <w:vAlign w:val="center"/>
          </w:tcPr>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人民币2727158</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089"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工期</w:t>
            </w:r>
          </w:p>
        </w:tc>
        <w:tc>
          <w:tcPr>
            <w:tcW w:w="6308" w:type="dxa"/>
            <w:vAlign w:val="center"/>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本项目分两次施工，要求如下：</w:t>
            </w:r>
          </w:p>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寒假施工：自2022年1月15日至2022年1月30日完成施工。范围：食堂外立面全部工程，保证恢复，不影响开学使用。</w:t>
            </w:r>
          </w:p>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暑假施工：40个日历天。范围：东、西教学楼外立面全部工程，保证恢复，不影响开学使用。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项目实施地点</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磋商响应文件递交截止时间</w:t>
            </w:r>
          </w:p>
        </w:tc>
        <w:tc>
          <w:tcPr>
            <w:tcW w:w="6308" w:type="dxa"/>
            <w:vAlign w:val="center"/>
          </w:tcPr>
          <w:p>
            <w:pPr>
              <w:snapToGrid w:val="0"/>
              <w:spacing w:line="360" w:lineRule="auto"/>
              <w:rPr>
                <w:rFonts w:ascii="仿宋" w:hAnsi="仿宋" w:eastAsia="仿宋" w:cs="仿宋"/>
                <w:sz w:val="24"/>
                <w:szCs w:val="24"/>
                <w:highlight w:val="none"/>
              </w:rPr>
            </w:pPr>
            <w:r>
              <w:rPr>
                <w:rFonts w:hint="eastAsia" w:ascii="仿宋" w:hAnsi="仿宋" w:eastAsia="仿宋" w:cs="仿宋"/>
                <w:kern w:val="0"/>
                <w:sz w:val="24"/>
                <w:szCs w:val="24"/>
                <w:highlight w:val="none"/>
              </w:rPr>
              <w:t>2021年</w:t>
            </w:r>
            <w:r>
              <w:rPr>
                <w:rFonts w:hint="eastAsia" w:ascii="仿宋" w:hAnsi="仿宋" w:eastAsia="仿宋" w:cs="仿宋"/>
                <w:kern w:val="0"/>
                <w:sz w:val="24"/>
                <w:szCs w:val="24"/>
                <w:highlight w:val="none"/>
                <w:lang w:val="en-US" w:eastAsia="zh-CN"/>
              </w:rPr>
              <w:t>11</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25</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递交磋商响应文件地点</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11</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供应商资格要求</w:t>
            </w:r>
          </w:p>
        </w:tc>
        <w:tc>
          <w:tcPr>
            <w:tcW w:w="6308" w:type="dxa"/>
            <w:vAlign w:val="center"/>
          </w:tcPr>
          <w:p>
            <w:pPr>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资质要求同磋商公告。</w:t>
            </w:r>
          </w:p>
          <w:p>
            <w:pPr>
              <w:spacing w:line="360" w:lineRule="auto"/>
              <w:jc w:val="left"/>
              <w:rPr>
                <w:rFonts w:ascii="仿宋" w:hAnsi="仿宋" w:eastAsia="仿宋" w:cs="仿宋"/>
                <w:sz w:val="24"/>
                <w:szCs w:val="24"/>
                <w:highlight w:val="none"/>
              </w:rPr>
            </w:pPr>
            <w:r>
              <w:rPr>
                <w:rFonts w:hint="eastAsia" w:ascii="仿宋" w:hAnsi="仿宋" w:eastAsia="仿宋" w:cs="仿宋"/>
                <w:bCs/>
                <w:color w:val="auto"/>
                <w:sz w:val="24"/>
                <w:szCs w:val="24"/>
                <w:highlight w:val="none"/>
                <w:lang w:val="zh-CN"/>
              </w:rPr>
              <w:t>以上资质均为必备资质，</w:t>
            </w:r>
            <w:r>
              <w:rPr>
                <w:rFonts w:hint="eastAsia" w:ascii="仿宋" w:hAnsi="仿宋" w:eastAsia="仿宋" w:cs="仿宋"/>
                <w:bCs/>
                <w:color w:val="auto"/>
                <w:sz w:val="24"/>
                <w:szCs w:val="24"/>
                <w:highlight w:val="none"/>
                <w:lang w:val="zh-CN" w:eastAsia="zh-CN"/>
              </w:rPr>
              <w:t>并在响应文件中附资质复印件加盖公章</w:t>
            </w: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必备资质中</w:t>
            </w:r>
            <w:r>
              <w:rPr>
                <w:rFonts w:hint="eastAsia" w:ascii="仿宋" w:hAnsi="仿宋" w:eastAsia="仿宋" w:cs="仿宋"/>
                <w:bCs/>
                <w:color w:val="auto"/>
                <w:sz w:val="24"/>
                <w:szCs w:val="24"/>
                <w:highlight w:val="none"/>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12</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磋商响应文件份数</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color w:val="auto"/>
                <w:sz w:val="24"/>
                <w:szCs w:val="24"/>
                <w:highlight w:val="none"/>
              </w:rPr>
              <w:t>正本 1份，副本2份，电子版1份</w:t>
            </w:r>
            <w:r>
              <w:rPr>
                <w:rFonts w:hint="eastAsia" w:ascii="仿宋" w:hAnsi="仿宋" w:eastAsia="仿宋" w:cs="仿宋"/>
                <w:b/>
                <w:bCs/>
                <w:color w:val="auto"/>
                <w:sz w:val="24"/>
                <w:szCs w:val="24"/>
                <w:highlight w:val="none"/>
              </w:rPr>
              <w:t>（PDF和word文档格式，</w:t>
            </w:r>
            <w:r>
              <w:rPr>
                <w:rFonts w:hint="eastAsia" w:ascii="仿宋" w:hAnsi="仿宋" w:eastAsia="仿宋" w:cs="仿宋"/>
                <w:b/>
                <w:bCs/>
                <w:color w:val="auto"/>
                <w:sz w:val="24"/>
                <w:szCs w:val="24"/>
                <w:highlight w:val="none"/>
                <w:lang w:eastAsia="zh-CN"/>
              </w:rPr>
              <w:t>正版</w:t>
            </w:r>
            <w:r>
              <w:rPr>
                <w:rFonts w:hint="eastAsia" w:ascii="仿宋" w:hAnsi="仿宋" w:eastAsia="仿宋" w:cs="仿宋"/>
                <w:b/>
                <w:bCs/>
                <w:color w:val="auto"/>
                <w:sz w:val="24"/>
                <w:szCs w:val="24"/>
                <w:highlight w:val="none"/>
              </w:rPr>
              <w:t>U盘存储</w:t>
            </w:r>
            <w:r>
              <w:rPr>
                <w:rFonts w:hint="eastAsia" w:ascii="仿宋" w:hAnsi="仿宋" w:eastAsia="仿宋" w:cs="仿宋"/>
                <w:b/>
                <w:bCs/>
                <w:color w:val="auto"/>
                <w:sz w:val="24"/>
                <w:szCs w:val="24"/>
                <w:highlight w:val="none"/>
                <w:lang w:eastAsia="zh-CN"/>
              </w:rPr>
              <w:t>，如因</w:t>
            </w:r>
            <w:r>
              <w:rPr>
                <w:rFonts w:hint="eastAsia" w:ascii="仿宋" w:hAnsi="仿宋" w:eastAsia="仿宋" w:cs="仿宋"/>
                <w:b/>
                <w:bCs/>
                <w:color w:val="auto"/>
                <w:sz w:val="24"/>
                <w:szCs w:val="24"/>
                <w:highlight w:val="none"/>
                <w:lang w:val="en-US" w:eastAsia="zh-CN"/>
              </w:rPr>
              <w:t>U盘问题导致文件无法打开，责任自负</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13</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供应商对磋商文件提出质疑的截止时间</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lang w:val="zh-CN"/>
              </w:rPr>
              <w:t>供应商认为磋商文件、磋商过程、成交结果使自己的权益受到损害的</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可以在知道或者应知其权益受到损害之日起七个工作日内</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以书面形式向采购代理机构提出</w:t>
            </w:r>
            <w:r>
              <w:rPr>
                <w:rFonts w:hint="eastAsia" w:ascii="仿宋" w:hAnsi="仿宋" w:eastAsia="仿宋" w:cs="仿宋"/>
                <w:sz w:val="24"/>
                <w:szCs w:val="24"/>
                <w:highlight w:val="none"/>
              </w:rPr>
              <w:t>（同时须将此书面文件电子版一份发送至采购代理机构电子邮箱，电子邮件：</w:t>
            </w:r>
            <w:r>
              <w:rPr>
                <w:rFonts w:hint="eastAsia" w:ascii="仿宋" w:hAnsi="仿宋" w:eastAsia="仿宋" w:cs="仿宋"/>
                <w:sz w:val="24"/>
                <w:szCs w:val="24"/>
                <w:highlight w:val="none"/>
                <w:lang w:val="en-US" w:eastAsia="zh-CN"/>
              </w:rPr>
              <w:t>2059407584</w:t>
            </w:r>
            <w:r>
              <w:rPr>
                <w:rFonts w:hint="eastAsia" w:ascii="仿宋" w:hAnsi="仿宋" w:eastAsia="仿宋" w:cs="仿宋"/>
                <w:sz w:val="24"/>
                <w:szCs w:val="24"/>
                <w:highlight w:val="none"/>
              </w:rPr>
              <w:t>@qq.com），</w:t>
            </w:r>
            <w:r>
              <w:rPr>
                <w:rFonts w:hint="eastAsia" w:ascii="仿宋" w:hAnsi="仿宋" w:eastAsia="仿宋" w:cs="仿宋"/>
                <w:sz w:val="24"/>
                <w:szCs w:val="24"/>
                <w:highlight w:val="none"/>
                <w:lang w:val="zh-CN"/>
              </w:rPr>
              <w:t>采购代理机构将予以答复</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以书面形式发给所有获取磋商文件的供应商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供应商确认收到澄清或者修改的时间</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lang w:val="zh-CN"/>
              </w:rPr>
              <w:t>供应商在收到澄清或修改文件后，应在一个工作日内以书面形式（加盖公章）向采购代理机构予以确认。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15</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16</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是否接受</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联合体磋商</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17</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答疑会</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18</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磋商响应文件装订要求</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color w:val="auto"/>
                <w:sz w:val="24"/>
                <w:szCs w:val="24"/>
                <w:highlight w:val="none"/>
              </w:rPr>
              <w:t>磋商响应文件建议双面打印，应牢固装订成册，不可插页抽页。牢固装订成册是指用适当的办法,书脊涂有胶粘剂以保证磋商响应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19</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磋商响应文件的签署要求</w:t>
            </w:r>
          </w:p>
        </w:tc>
        <w:tc>
          <w:tcPr>
            <w:tcW w:w="6308" w:type="dxa"/>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zh-CN"/>
              </w:rPr>
              <w:t>磋商响应文件应加盖供应商红色公章</w:t>
            </w:r>
            <w:r>
              <w:rPr>
                <w:rFonts w:hint="eastAsia" w:ascii="仿宋" w:hAnsi="仿宋" w:eastAsia="仿宋" w:cs="仿宋"/>
                <w:bCs/>
                <w:color w:val="auto"/>
                <w:sz w:val="24"/>
                <w:szCs w:val="24"/>
                <w:highlight w:val="none"/>
              </w:rPr>
              <w:t>并按照磋商文件要求由法定代表人（</w:t>
            </w:r>
            <w:r>
              <w:rPr>
                <w:rFonts w:hint="eastAsia" w:ascii="仿宋" w:hAnsi="仿宋" w:eastAsia="仿宋" w:cs="仿宋"/>
                <w:bCs/>
                <w:color w:val="auto"/>
                <w:sz w:val="24"/>
                <w:szCs w:val="24"/>
                <w:highlight w:val="none"/>
                <w:lang w:eastAsia="zh-CN"/>
              </w:rPr>
              <w:t>或</w:t>
            </w:r>
            <w:r>
              <w:rPr>
                <w:rFonts w:hint="eastAsia" w:ascii="仿宋" w:hAnsi="仿宋" w:eastAsia="仿宋" w:cs="仿宋"/>
                <w:bCs/>
                <w:color w:val="auto"/>
                <w:sz w:val="24"/>
                <w:szCs w:val="24"/>
                <w:highlight w:val="none"/>
              </w:rPr>
              <w:t>授权代表人）签字。</w:t>
            </w:r>
          </w:p>
          <w:p>
            <w:pPr>
              <w:spacing w:line="360" w:lineRule="auto"/>
              <w:rPr>
                <w:rFonts w:ascii="仿宋" w:hAnsi="仿宋" w:eastAsia="仿宋" w:cs="仿宋"/>
                <w:sz w:val="24"/>
                <w:szCs w:val="24"/>
                <w:highlight w:val="none"/>
              </w:rPr>
            </w:pPr>
            <w:r>
              <w:rPr>
                <w:rFonts w:hint="eastAsia" w:ascii="仿宋" w:hAnsi="仿宋" w:eastAsia="仿宋" w:cs="仿宋"/>
                <w:bCs/>
                <w:color w:val="auto"/>
                <w:sz w:val="24"/>
                <w:szCs w:val="24"/>
                <w:highlight w:val="none"/>
                <w:lang w:eastAsia="zh-CN"/>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20</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磋商响应文件密封</w:t>
            </w:r>
          </w:p>
        </w:tc>
        <w:tc>
          <w:tcPr>
            <w:tcW w:w="6308" w:type="dxa"/>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1）供应商应将磋商响应文件的正本、所有副本及电子版文件，用单独的信封分别密封，且在信封上标明“正本”、“副本”、“电子版”字样。</w:t>
            </w:r>
          </w:p>
          <w:p>
            <w:pPr>
              <w:spacing w:line="360" w:lineRule="auto"/>
              <w:jc w:val="left"/>
              <w:rPr>
                <w:rFonts w:ascii="仿宋" w:hAnsi="仿宋" w:eastAsia="仿宋" w:cs="仿宋"/>
                <w:sz w:val="24"/>
                <w:szCs w:val="24"/>
                <w:highlight w:val="none"/>
              </w:rPr>
            </w:pPr>
            <w:r>
              <w:rPr>
                <w:rFonts w:hint="eastAsia" w:ascii="仿宋" w:hAnsi="仿宋" w:eastAsia="仿宋" w:cs="仿宋"/>
                <w:color w:val="auto"/>
                <w:sz w:val="24"/>
                <w:szCs w:val="24"/>
                <w:highlight w:val="none"/>
              </w:rPr>
              <w:t>（2）封套应加封条密封，在封线处加盖公章（骑缝章），封套标明项目编号、项目名称，供应商全称（公章）等内容。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21</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成交公告公示媒体</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w:t>
            </w:r>
          </w:p>
        </w:tc>
        <w:tc>
          <w:tcPr>
            <w:tcW w:w="2089"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成交服务费</w:t>
            </w:r>
          </w:p>
        </w:tc>
        <w:tc>
          <w:tcPr>
            <w:tcW w:w="6308" w:type="dxa"/>
            <w:vAlign w:val="center"/>
          </w:tcPr>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参照国家计委关于《招标代理服务收费管理暂行办法》（计价格[2002]1980号）、《国家发展改革委办公厅关于招标代理服务收费有关问题的通知》（发改价格[2003]857号）、《国家发展改革</w:t>
            </w:r>
            <w:bookmarkStart w:id="627" w:name="_GoBack"/>
            <w:bookmarkEnd w:id="627"/>
            <w:r>
              <w:rPr>
                <w:rFonts w:hint="eastAsia" w:ascii="仿宋" w:hAnsi="仿宋" w:eastAsia="仿宋" w:cs="仿宋"/>
                <w:sz w:val="24"/>
                <w:szCs w:val="24"/>
                <w:highlight w:val="none"/>
              </w:rPr>
              <w:t>委关于进一步放开建设项目专业服务价格的通知》；</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本项目招标代理服务费由中标人在中标结果公示期满后三个工作日内按照标准支付给招标代理机构。（代理报酬的币种：人民币，汇率：无）  </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lang w:val="zh-CN"/>
              </w:rPr>
              <w:t>注：</w:t>
            </w:r>
            <w:r>
              <w:rPr>
                <w:rFonts w:hint="eastAsia" w:ascii="仿宋" w:hAnsi="仿宋" w:eastAsia="仿宋" w:cs="仿宋"/>
                <w:sz w:val="24"/>
                <w:szCs w:val="24"/>
                <w:highlight w:val="none"/>
              </w:rPr>
              <w:t>成交服务费不足</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000元的，按</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000元收取。</w:t>
            </w:r>
          </w:p>
        </w:tc>
      </w:tr>
    </w:tbl>
    <w:p>
      <w:pPr>
        <w:pageBreakBefore/>
        <w:spacing w:line="360" w:lineRule="auto"/>
        <w:ind w:firstLine="482" w:firstLineChars="200"/>
        <w:outlineLvl w:val="1"/>
        <w:rPr>
          <w:rFonts w:ascii="仿宋" w:hAnsi="仿宋" w:eastAsia="仿宋" w:cs="仿宋"/>
          <w:b/>
          <w:bCs/>
          <w:sz w:val="24"/>
          <w:szCs w:val="24"/>
          <w:highlight w:val="none"/>
          <w:lang w:val="zh-CN"/>
        </w:rPr>
      </w:pPr>
      <w:bookmarkStart w:id="35" w:name="_Toc20834"/>
      <w:bookmarkStart w:id="36" w:name="_Toc10766"/>
      <w:bookmarkStart w:id="37" w:name="_Toc20605"/>
      <w:bookmarkStart w:id="38" w:name="_Toc21293"/>
      <w:bookmarkStart w:id="39" w:name="_Toc495681376"/>
      <w:bookmarkStart w:id="40" w:name="_Toc11229"/>
      <w:bookmarkStart w:id="41" w:name="_Toc30549"/>
      <w:bookmarkStart w:id="42" w:name="_Toc16165"/>
      <w:bookmarkStart w:id="43" w:name="_Toc5340"/>
      <w:bookmarkStart w:id="44" w:name="_Toc757"/>
      <w:bookmarkStart w:id="45" w:name="_Toc4172"/>
      <w:bookmarkStart w:id="46" w:name="_Toc495908021"/>
      <w:bookmarkStart w:id="47" w:name="_Toc495681222"/>
      <w:bookmarkStart w:id="48" w:name="_Toc10377"/>
      <w:bookmarkStart w:id="49" w:name="_Toc4782"/>
      <w:bookmarkStart w:id="50" w:name="_Toc495681503"/>
      <w:bookmarkStart w:id="51" w:name="_Toc15836"/>
      <w:r>
        <w:rPr>
          <w:rFonts w:hint="eastAsia" w:ascii="仿宋" w:hAnsi="仿宋" w:eastAsia="仿宋" w:cs="仿宋"/>
          <w:b/>
          <w:bCs/>
          <w:sz w:val="24"/>
          <w:szCs w:val="24"/>
          <w:highlight w:val="none"/>
          <w:lang w:val="zh-CN"/>
        </w:rPr>
        <w:t>一、总则</w:t>
      </w:r>
      <w:bookmarkEnd w:id="35"/>
      <w:bookmarkEnd w:id="36"/>
      <w:bookmarkEnd w:id="37"/>
      <w:bookmarkEnd w:id="38"/>
    </w:p>
    <w:p>
      <w:pPr>
        <w:spacing w:line="360" w:lineRule="auto"/>
        <w:ind w:firstLine="482" w:firstLineChars="200"/>
        <w:outlineLvl w:val="2"/>
        <w:rPr>
          <w:rFonts w:ascii="仿宋" w:hAnsi="仿宋" w:eastAsia="仿宋" w:cs="仿宋"/>
          <w:sz w:val="24"/>
          <w:szCs w:val="24"/>
          <w:highlight w:val="none"/>
          <w:lang w:val="zh-CN"/>
        </w:rPr>
      </w:pPr>
      <w:bookmarkStart w:id="52" w:name="_Toc2736"/>
      <w:bookmarkStart w:id="53" w:name="_Toc8852"/>
      <w:bookmarkStart w:id="54" w:name="_Toc29110"/>
      <w:bookmarkStart w:id="55" w:name="_Toc12964"/>
      <w:bookmarkStart w:id="56" w:name="_Toc9682"/>
      <w:bookmarkStart w:id="57" w:name="_Toc7648"/>
      <w:bookmarkStart w:id="58" w:name="_Toc14386"/>
      <w:bookmarkStart w:id="59" w:name="_Toc18507"/>
      <w:r>
        <w:rPr>
          <w:rFonts w:hint="eastAsia" w:ascii="仿宋" w:hAnsi="仿宋" w:eastAsia="仿宋" w:cs="仿宋"/>
          <w:b/>
          <w:bCs/>
          <w:sz w:val="24"/>
          <w:szCs w:val="24"/>
          <w:highlight w:val="none"/>
          <w:lang w:val="zh-CN"/>
        </w:rPr>
        <w:t>（一）适用范围</w:t>
      </w:r>
      <w:bookmarkEnd w:id="52"/>
      <w:bookmarkEnd w:id="53"/>
      <w:bookmarkEnd w:id="54"/>
      <w:bookmarkEnd w:id="55"/>
      <w:bookmarkEnd w:id="56"/>
      <w:bookmarkEnd w:id="57"/>
      <w:bookmarkEnd w:id="58"/>
      <w:bookmarkEnd w:id="59"/>
    </w:p>
    <w:p>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1、本磋商文件仅适用于本次磋商所述的</w:t>
      </w:r>
      <w:r>
        <w:rPr>
          <w:rFonts w:hint="eastAsia" w:ascii="仿宋" w:hAnsi="仿宋" w:eastAsia="仿宋" w:cs="仿宋"/>
          <w:sz w:val="24"/>
          <w:szCs w:val="24"/>
          <w:highlight w:val="none"/>
          <w:lang w:eastAsia="zh-CN"/>
        </w:rPr>
        <w:t>西安市第二保育院全院楼宇外立面改造（二期）工程项目</w:t>
      </w:r>
      <w:r>
        <w:rPr>
          <w:rFonts w:hint="eastAsia" w:ascii="仿宋" w:hAnsi="仿宋" w:eastAsia="仿宋" w:cs="仿宋"/>
          <w:sz w:val="24"/>
          <w:szCs w:val="24"/>
          <w:highlight w:val="none"/>
        </w:rPr>
        <w:t>采购活动。</w:t>
      </w:r>
    </w:p>
    <w:p>
      <w:pPr>
        <w:spacing w:line="360" w:lineRule="auto"/>
        <w:ind w:firstLine="482" w:firstLineChars="200"/>
        <w:jc w:val="left"/>
        <w:rPr>
          <w:rFonts w:ascii="仿宋" w:hAnsi="仿宋" w:eastAsia="仿宋" w:cs="仿宋"/>
          <w:b/>
          <w:bCs/>
          <w:sz w:val="24"/>
          <w:szCs w:val="24"/>
          <w:highlight w:val="none"/>
          <w:lang w:val="zh-CN"/>
        </w:rPr>
      </w:pPr>
      <w:bookmarkStart w:id="60" w:name="_Toc918"/>
      <w:bookmarkStart w:id="61" w:name="_Toc30806"/>
      <w:bookmarkStart w:id="62" w:name="_Toc23631"/>
      <w:r>
        <w:rPr>
          <w:rFonts w:hint="eastAsia" w:ascii="仿宋" w:hAnsi="仿宋" w:eastAsia="仿宋" w:cs="仿宋"/>
          <w:b/>
          <w:bCs/>
          <w:sz w:val="24"/>
          <w:szCs w:val="24"/>
          <w:highlight w:val="none"/>
          <w:lang w:val="zh-CN"/>
        </w:rPr>
        <w:t>（二）名词解释</w:t>
      </w:r>
      <w:bookmarkEnd w:id="39"/>
      <w:bookmarkEnd w:id="40"/>
      <w:bookmarkEnd w:id="41"/>
      <w:bookmarkEnd w:id="42"/>
      <w:bookmarkEnd w:id="43"/>
      <w:bookmarkEnd w:id="44"/>
      <w:bookmarkEnd w:id="45"/>
      <w:bookmarkEnd w:id="46"/>
      <w:bookmarkEnd w:id="47"/>
      <w:bookmarkEnd w:id="48"/>
      <w:bookmarkEnd w:id="49"/>
      <w:bookmarkEnd w:id="50"/>
      <w:bookmarkEnd w:id="51"/>
      <w:bookmarkEnd w:id="60"/>
      <w:bookmarkEnd w:id="61"/>
      <w:bookmarkEnd w:id="6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采 购 人：</w:t>
      </w:r>
      <w:r>
        <w:rPr>
          <w:rFonts w:hint="eastAsia" w:ascii="仿宋" w:hAnsi="仿宋" w:eastAsia="仿宋" w:cs="仿宋"/>
          <w:sz w:val="24"/>
          <w:szCs w:val="24"/>
          <w:highlight w:val="none"/>
          <w:lang w:val="en-US" w:eastAsia="zh-CN"/>
        </w:rPr>
        <w:t>西安市第二保育院</w:t>
      </w:r>
    </w:p>
    <w:p>
      <w:pPr>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监督机构：西安市财政局</w:t>
      </w: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采购代理机构：陕西笃信招标有限公司</w:t>
      </w: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供应商：响应磋商、参加磋商竞争的法人、其他组织或者自然人</w:t>
      </w:r>
    </w:p>
    <w:p>
      <w:pPr>
        <w:autoSpaceDE w:val="0"/>
        <w:autoSpaceDN w:val="0"/>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zh-CN"/>
        </w:rPr>
        <w:t>磋商文件：含澄清、修改内容的书面资料和磋商响应文件格式的统称。</w:t>
      </w:r>
      <w:bookmarkStart w:id="63" w:name="_Toc18525"/>
      <w:bookmarkStart w:id="64" w:name="_Toc24840"/>
      <w:bookmarkStart w:id="65" w:name="_Toc495681377"/>
      <w:bookmarkStart w:id="66" w:name="_Toc495908022"/>
      <w:bookmarkStart w:id="67" w:name="_Toc9661"/>
      <w:bookmarkStart w:id="68" w:name="_Toc14426"/>
      <w:bookmarkStart w:id="69" w:name="_Toc16516"/>
      <w:bookmarkStart w:id="70" w:name="_Toc495681504"/>
      <w:bookmarkStart w:id="71" w:name="_Toc495681223"/>
      <w:bookmarkStart w:id="72" w:name="_Toc18166"/>
      <w:bookmarkStart w:id="73" w:name="_Toc26522"/>
      <w:bookmarkStart w:id="74" w:name="_Toc32045"/>
      <w:bookmarkStart w:id="75" w:name="_Toc20963"/>
    </w:p>
    <w:p>
      <w:pPr>
        <w:autoSpaceDE w:val="0"/>
        <w:autoSpaceDN w:val="0"/>
        <w:adjustRightInd w:val="0"/>
        <w:snapToGrid w:val="0"/>
        <w:spacing w:line="360" w:lineRule="auto"/>
        <w:ind w:firstLine="482" w:firstLineChars="200"/>
        <w:outlineLvl w:val="1"/>
        <w:rPr>
          <w:rFonts w:ascii="仿宋" w:hAnsi="仿宋" w:eastAsia="仿宋" w:cs="仿宋"/>
          <w:b/>
          <w:bCs/>
          <w:sz w:val="24"/>
          <w:szCs w:val="24"/>
          <w:highlight w:val="none"/>
          <w:lang w:val="zh-CN"/>
        </w:rPr>
      </w:pPr>
      <w:bookmarkStart w:id="76" w:name="_Toc31469"/>
      <w:bookmarkStart w:id="77" w:name="_Toc15463"/>
      <w:bookmarkStart w:id="78" w:name="_Toc10332"/>
      <w:bookmarkStart w:id="79" w:name="_Toc25386"/>
      <w:r>
        <w:rPr>
          <w:rFonts w:hint="eastAsia" w:ascii="仿宋" w:hAnsi="仿宋" w:eastAsia="仿宋" w:cs="仿宋"/>
          <w:b/>
          <w:bCs/>
          <w:sz w:val="24"/>
          <w:szCs w:val="24"/>
          <w:highlight w:val="none"/>
          <w:lang w:val="zh-CN"/>
        </w:rPr>
        <w:t>二、磋商文件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5"/>
        <w:spacing w:line="360" w:lineRule="auto"/>
        <w:ind w:firstLine="482" w:firstLineChars="200"/>
        <w:jc w:val="both"/>
        <w:rPr>
          <w:color w:val="auto"/>
          <w:highlight w:val="none"/>
          <w:lang w:val="zh-CN"/>
        </w:rPr>
      </w:pPr>
      <w:bookmarkStart w:id="80" w:name="_Toc25426"/>
      <w:bookmarkStart w:id="81" w:name="_Toc19040"/>
      <w:bookmarkStart w:id="82" w:name="_Toc100"/>
      <w:bookmarkStart w:id="83" w:name="_Toc19655"/>
      <w:bookmarkStart w:id="84" w:name="_Toc13979"/>
      <w:bookmarkStart w:id="85" w:name="_Toc6293"/>
      <w:bookmarkStart w:id="86" w:name="_Toc4720"/>
      <w:bookmarkStart w:id="87" w:name="_Toc5897"/>
      <w:bookmarkStart w:id="88" w:name="_Toc13082"/>
      <w:bookmarkStart w:id="89" w:name="_Toc495908023"/>
      <w:bookmarkStart w:id="90" w:name="_Toc20678"/>
      <w:bookmarkStart w:id="91" w:name="_Toc20772"/>
      <w:bookmarkStart w:id="92" w:name="_Toc23206"/>
      <w:bookmarkStart w:id="93" w:name="_Toc495681378"/>
      <w:bookmarkStart w:id="94" w:name="_Toc6881"/>
      <w:bookmarkStart w:id="95" w:name="_Toc495681505"/>
      <w:bookmarkStart w:id="96" w:name="_Toc2631"/>
      <w:bookmarkStart w:id="97" w:name="_Toc14090"/>
      <w:bookmarkStart w:id="98" w:name="_Toc32335"/>
      <w:bookmarkStart w:id="99" w:name="_Toc22974"/>
      <w:bookmarkStart w:id="100" w:name="_Toc495681224"/>
      <w:r>
        <w:rPr>
          <w:rFonts w:hint="eastAsia" w:ascii="仿宋" w:hAnsi="仿宋" w:eastAsia="仿宋" w:cs="仿宋"/>
          <w:b/>
          <w:color w:val="auto"/>
          <w:sz w:val="24"/>
          <w:szCs w:val="24"/>
          <w:highlight w:val="none"/>
          <w:lang w:val="zh-CN"/>
        </w:rPr>
        <w:t>（一）磋商文件及要求</w:t>
      </w:r>
      <w:bookmarkEnd w:id="80"/>
      <w:bookmarkEnd w:id="81"/>
      <w:bookmarkEnd w:id="82"/>
      <w:bookmarkEnd w:id="83"/>
      <w:bookmarkEnd w:id="84"/>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磋商文件以中文编制，磋商文件包括五部分，各供应商应根据磋商文件中所有内容及要求提交全部资料。</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磋商文件组成：磋商文件是根据本项目的特点和需求编制，包括以下内容：</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）竞争性磋商公告</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）竞争性磋商须知</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）采购内容及要求</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）合同条款及格式(合同主要条款)</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）磋商响应文件格式</w:t>
      </w:r>
    </w:p>
    <w:p>
      <w:pPr>
        <w:autoSpaceDE w:val="0"/>
        <w:autoSpaceDN w:val="0"/>
        <w:adjustRightInd w:val="0"/>
        <w:spacing w:line="360" w:lineRule="auto"/>
        <w:ind w:firstLine="482" w:firstLineChars="200"/>
        <w:outlineLvl w:val="2"/>
        <w:rPr>
          <w:rFonts w:ascii="仿宋" w:hAnsi="仿宋" w:eastAsia="仿宋" w:cs="仿宋"/>
          <w:b/>
          <w:bCs/>
          <w:color w:val="auto"/>
          <w:sz w:val="24"/>
          <w:szCs w:val="24"/>
          <w:highlight w:val="none"/>
          <w:lang w:val="zh-CN"/>
        </w:rPr>
      </w:pPr>
      <w:bookmarkStart w:id="101" w:name="_Toc28538"/>
      <w:bookmarkStart w:id="102" w:name="_Toc15204"/>
      <w:bookmarkStart w:id="103" w:name="_Toc127"/>
      <w:bookmarkStart w:id="104" w:name="_Toc21028"/>
      <w:bookmarkStart w:id="105" w:name="_Toc2595"/>
      <w:r>
        <w:rPr>
          <w:rFonts w:hint="eastAsia" w:ascii="仿宋" w:hAnsi="仿宋" w:eastAsia="仿宋" w:cs="仿宋"/>
          <w:b/>
          <w:bCs/>
          <w:color w:val="auto"/>
          <w:sz w:val="24"/>
          <w:szCs w:val="24"/>
          <w:highlight w:val="none"/>
          <w:lang w:val="zh-CN"/>
        </w:rPr>
        <w:t>（二）磋商响应文件的澄清和修改</w:t>
      </w:r>
      <w:bookmarkEnd w:id="101"/>
      <w:bookmarkEnd w:id="102"/>
      <w:bookmarkEnd w:id="103"/>
      <w:bookmarkEnd w:id="104"/>
      <w:bookmarkEnd w:id="105"/>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如果磋商文件进行必要的澄清或者修改，将在发布磋商公告的财政部门指定媒体上由采购代理机构发布更正公告，并以书面形式通知所有获取磋商文件的单位。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澄清或者修改的内容为磋商文件的组成部分。</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2、供应商在收到澄清或修改文件后，应在一个工作日内以书面形式（加盖公章）向采购代理机构予以确认。</w:t>
      </w:r>
    </w:p>
    <w:p>
      <w:pPr>
        <w:autoSpaceDE w:val="0"/>
        <w:autoSpaceDN w:val="0"/>
        <w:adjustRightInd w:val="0"/>
        <w:spacing w:line="360" w:lineRule="auto"/>
        <w:ind w:firstLine="482" w:firstLineChars="200"/>
        <w:outlineLvl w:val="2"/>
        <w:rPr>
          <w:rFonts w:ascii="仿宋" w:hAnsi="仿宋" w:eastAsia="仿宋" w:cs="仿宋"/>
          <w:b/>
          <w:bCs/>
          <w:color w:val="auto"/>
          <w:sz w:val="24"/>
          <w:szCs w:val="24"/>
          <w:highlight w:val="none"/>
        </w:rPr>
      </w:pPr>
      <w:bookmarkStart w:id="106" w:name="_Toc4256"/>
      <w:bookmarkStart w:id="107" w:name="_Toc12729"/>
      <w:bookmarkStart w:id="108" w:name="_Toc8227"/>
      <w:bookmarkStart w:id="109" w:name="_Toc12617"/>
      <w:bookmarkStart w:id="110" w:name="_Toc5122"/>
      <w:bookmarkStart w:id="111" w:name="_Toc1819"/>
      <w:bookmarkStart w:id="112" w:name="_Toc31097"/>
      <w:bookmarkStart w:id="113" w:name="_Toc17894"/>
      <w:bookmarkStart w:id="114" w:name="_Toc11919"/>
      <w:r>
        <w:rPr>
          <w:rFonts w:hint="eastAsia" w:ascii="仿宋" w:hAnsi="仿宋" w:eastAsia="仿宋" w:cs="仿宋"/>
          <w:b/>
          <w:bCs/>
          <w:color w:val="auto"/>
          <w:sz w:val="24"/>
          <w:szCs w:val="24"/>
          <w:highlight w:val="none"/>
          <w:lang w:val="zh-CN"/>
        </w:rPr>
        <w:t>（三）磋商文件的询问、质疑及答复</w:t>
      </w:r>
      <w:bookmarkEnd w:id="106"/>
      <w:bookmarkEnd w:id="107"/>
      <w:bookmarkEnd w:id="108"/>
      <w:bookmarkEnd w:id="109"/>
      <w:bookmarkEnd w:id="110"/>
      <w:bookmarkEnd w:id="111"/>
      <w:bookmarkEnd w:id="112"/>
      <w:bookmarkEnd w:id="113"/>
      <w:bookmarkEnd w:id="114"/>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1、供应商应仔细阅读和检查磋商文件的全部内容。如发现缺页或附件不全，应及时向采购代理机构提出，以便补齐。</w:t>
      </w:r>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供应商认为磋商文件、磋商过程、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0"/>
        <w:spacing w:before="0" w:beforeAutospacing="0" w:after="0" w:afterAutospacing="0" w:line="360" w:lineRule="auto"/>
        <w:ind w:firstLine="480" w:firstLineChars="200"/>
        <w:jc w:val="both"/>
        <w:rPr>
          <w:rFonts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供应商提出质疑应当有明确的请求和必要的证明材料。</w:t>
      </w:r>
    </w:p>
    <w:p>
      <w:pPr>
        <w:pStyle w:val="20"/>
        <w:spacing w:before="0" w:beforeAutospacing="0" w:after="0" w:afterAutospacing="0" w:line="360" w:lineRule="auto"/>
        <w:ind w:firstLine="480" w:firstLineChars="200"/>
        <w:jc w:val="both"/>
        <w:rPr>
          <w:rFonts w:ascii="仿宋" w:hAnsi="仿宋" w:eastAsia="仿宋" w:cs="仿宋"/>
          <w:color w:val="auto"/>
          <w:highlight w:val="none"/>
          <w:lang w:val="zh-CN"/>
        </w:rPr>
      </w:pPr>
      <w:r>
        <w:rPr>
          <w:rFonts w:hint="eastAsia" w:ascii="仿宋" w:hAnsi="仿宋" w:eastAsia="仿宋" w:cs="仿宋"/>
          <w:color w:val="auto"/>
          <w:highlight w:val="none"/>
        </w:rPr>
        <w:t>4、</w:t>
      </w:r>
      <w:r>
        <w:rPr>
          <w:rFonts w:hint="eastAsia" w:ascii="仿宋" w:hAnsi="仿宋" w:eastAsia="仿宋" w:cs="仿宋"/>
          <w:color w:val="auto"/>
          <w:highlight w:val="none"/>
          <w:lang w:val="zh-CN"/>
        </w:rPr>
        <w:t>对于在规定时间内收到的供应商依法提出的询问或者质疑，采购代理机构将按程序在三个工作日内答复询问，七个工作日内答复质疑。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供应商在收到答复后，应在一个工作日内以书面形式（加盖公章）向采购代理机构予以确认。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color w:val="auto"/>
          <w:sz w:val="24"/>
          <w:szCs w:val="24"/>
          <w:highlight w:val="none"/>
          <w:lang w:val="zh-CN"/>
        </w:rPr>
      </w:pPr>
      <w:bookmarkStart w:id="115" w:name="_Toc32108"/>
      <w:bookmarkStart w:id="116" w:name="_Toc10355"/>
      <w:bookmarkStart w:id="117" w:name="_Toc27651"/>
      <w:bookmarkStart w:id="118" w:name="_Toc17969"/>
      <w:bookmarkStart w:id="119" w:name="_Toc20187"/>
      <w:bookmarkStart w:id="120" w:name="_Toc6964"/>
      <w:bookmarkStart w:id="121" w:name="_Toc5283"/>
      <w:bookmarkStart w:id="122" w:name="_Toc28965"/>
      <w:bookmarkStart w:id="123" w:name="_Toc16363"/>
      <w:r>
        <w:rPr>
          <w:rFonts w:hint="eastAsia" w:ascii="仿宋" w:hAnsi="仿宋" w:eastAsia="仿宋" w:cs="仿宋"/>
          <w:b/>
          <w:bCs/>
          <w:color w:val="auto"/>
          <w:sz w:val="24"/>
          <w:szCs w:val="24"/>
          <w:highlight w:val="none"/>
          <w:lang w:val="zh-CN"/>
        </w:rPr>
        <w:t>（四）磋商文件的解释权</w:t>
      </w:r>
      <w:bookmarkEnd w:id="115"/>
      <w:bookmarkEnd w:id="116"/>
      <w:bookmarkEnd w:id="117"/>
      <w:bookmarkEnd w:id="118"/>
      <w:bookmarkEnd w:id="119"/>
      <w:bookmarkEnd w:id="120"/>
      <w:bookmarkEnd w:id="121"/>
      <w:bookmarkEnd w:id="122"/>
      <w:bookmarkEnd w:id="123"/>
    </w:p>
    <w:p>
      <w:pPr>
        <w:pStyle w:val="20"/>
        <w:spacing w:before="0" w:beforeAutospacing="0" w:after="0" w:afterAutospacing="0" w:line="360" w:lineRule="auto"/>
        <w:ind w:firstLine="480" w:firstLineChars="200"/>
        <w:jc w:val="both"/>
        <w:rPr>
          <w:rFonts w:ascii="仿宋" w:hAnsi="仿宋" w:eastAsia="仿宋" w:cs="仿宋"/>
          <w:color w:val="auto"/>
          <w:highlight w:val="none"/>
          <w:lang w:val="zh-CN"/>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供应商必须从采购代理机构获取磋商文件，供应商自行转让或复制磋商文件视为无效，磋商文件仅作为本次招标使用。</w:t>
      </w:r>
    </w:p>
    <w:p>
      <w:pPr>
        <w:pStyle w:val="20"/>
        <w:spacing w:before="0" w:beforeAutospacing="0" w:after="0" w:afterAutospacing="0" w:line="360" w:lineRule="auto"/>
        <w:ind w:firstLine="480" w:firstLineChars="200"/>
        <w:jc w:val="both"/>
        <w:rPr>
          <w:rFonts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磋商文件的解释权归采购代理机构。</w:t>
      </w:r>
    </w:p>
    <w:p>
      <w:pPr>
        <w:autoSpaceDE w:val="0"/>
        <w:autoSpaceDN w:val="0"/>
        <w:adjustRightInd w:val="0"/>
        <w:snapToGrid w:val="0"/>
        <w:spacing w:line="360" w:lineRule="auto"/>
        <w:ind w:firstLine="482" w:firstLineChars="200"/>
        <w:outlineLvl w:val="1"/>
        <w:rPr>
          <w:rFonts w:ascii="仿宋" w:hAnsi="仿宋" w:eastAsia="仿宋" w:cs="仿宋"/>
          <w:b/>
          <w:bCs/>
          <w:sz w:val="24"/>
          <w:szCs w:val="24"/>
          <w:highlight w:val="none"/>
          <w:lang w:val="zh-CN"/>
        </w:rPr>
      </w:pPr>
      <w:bookmarkStart w:id="124" w:name="_Toc20719"/>
      <w:r>
        <w:rPr>
          <w:rFonts w:hint="eastAsia" w:ascii="仿宋" w:hAnsi="仿宋" w:eastAsia="仿宋" w:cs="仿宋"/>
          <w:b/>
          <w:bCs/>
          <w:sz w:val="24"/>
          <w:szCs w:val="24"/>
          <w:highlight w:val="none"/>
          <w:lang w:val="zh-CN"/>
        </w:rPr>
        <w:t>三、磋商要求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24"/>
    </w:p>
    <w:p>
      <w:pPr>
        <w:autoSpaceDE w:val="0"/>
        <w:autoSpaceDN w:val="0"/>
        <w:adjustRightInd w:val="0"/>
        <w:spacing w:line="360" w:lineRule="auto"/>
        <w:ind w:firstLine="482" w:firstLineChars="200"/>
        <w:outlineLvl w:val="2"/>
        <w:rPr>
          <w:rFonts w:ascii="仿宋" w:hAnsi="仿宋" w:eastAsia="仿宋" w:cs="仿宋"/>
          <w:b/>
          <w:bCs/>
          <w:sz w:val="24"/>
          <w:szCs w:val="24"/>
          <w:highlight w:val="none"/>
          <w:lang w:val="zh-CN"/>
        </w:rPr>
      </w:pPr>
      <w:bookmarkStart w:id="125" w:name="_Toc2358"/>
      <w:bookmarkStart w:id="126" w:name="_Toc14182"/>
      <w:bookmarkStart w:id="127" w:name="_Toc240"/>
      <w:bookmarkStart w:id="128" w:name="_Toc10887"/>
      <w:r>
        <w:rPr>
          <w:rFonts w:hint="eastAsia" w:ascii="仿宋" w:hAnsi="仿宋" w:eastAsia="仿宋" w:cs="仿宋"/>
          <w:b/>
          <w:bCs/>
          <w:sz w:val="24"/>
          <w:szCs w:val="24"/>
          <w:highlight w:val="none"/>
          <w:lang w:val="zh-CN"/>
        </w:rPr>
        <w:t>（一）磋商内容</w:t>
      </w:r>
      <w:bookmarkEnd w:id="125"/>
      <w:bookmarkEnd w:id="126"/>
      <w:bookmarkEnd w:id="127"/>
      <w:bookmarkEnd w:id="128"/>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次磋商内容是西安市第二保育院全院楼宇外立面改造（二期）工程项目，各供应商应仔细阅读磋商文件中的所有事项、格式、条款和要求，对磋商文件的全部内容及要求作出实质性响应，提交相应资料，不得在其中选项磋商或将其中内容再行分解，否则磋商无效。</w:t>
      </w:r>
    </w:p>
    <w:p>
      <w:pPr>
        <w:snapToGrid w:val="0"/>
        <w:spacing w:line="360" w:lineRule="auto"/>
        <w:ind w:firstLine="482" w:firstLineChars="200"/>
        <w:outlineLvl w:val="2"/>
        <w:rPr>
          <w:rFonts w:ascii="仿宋" w:hAnsi="仿宋" w:eastAsia="仿宋" w:cs="仿宋"/>
          <w:b/>
          <w:bCs/>
          <w:sz w:val="24"/>
          <w:szCs w:val="24"/>
          <w:highlight w:val="none"/>
        </w:rPr>
      </w:pPr>
      <w:bookmarkStart w:id="129" w:name="_Toc28872"/>
      <w:bookmarkStart w:id="130" w:name="_Toc9227"/>
      <w:bookmarkStart w:id="131" w:name="_Toc10504"/>
      <w:bookmarkStart w:id="132" w:name="_Toc13025"/>
      <w:r>
        <w:rPr>
          <w:rFonts w:hint="eastAsia" w:ascii="仿宋" w:hAnsi="仿宋" w:eastAsia="仿宋" w:cs="仿宋"/>
          <w:b/>
          <w:bCs/>
          <w:sz w:val="24"/>
          <w:szCs w:val="24"/>
          <w:highlight w:val="none"/>
          <w:lang w:val="zh-CN"/>
        </w:rPr>
        <w:t>（二）合格供应商要求</w:t>
      </w:r>
      <w:bookmarkEnd w:id="129"/>
      <w:bookmarkEnd w:id="130"/>
      <w:bookmarkEnd w:id="131"/>
      <w:bookmarkEnd w:id="132"/>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基本资格条件：符合《中华人民共和国政府采购法》第二十二条的规定</w:t>
      </w:r>
      <w:r>
        <w:rPr>
          <w:rFonts w:hint="eastAsia" w:ascii="仿宋" w:hAnsi="仿宋" w:eastAsia="仿宋" w:cs="仿宋"/>
          <w:sz w:val="24"/>
          <w:szCs w:val="24"/>
          <w:highlight w:val="none"/>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提供统一社会信用代码的营业执照或其他组织经营的合法凭证或自然人的提供身份证明文件；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财务状况报告：</w:t>
      </w:r>
      <w:r>
        <w:rPr>
          <w:rFonts w:hint="eastAsia" w:ascii="仿宋" w:hAnsi="仿宋" w:eastAsia="仿宋" w:cs="仿宋"/>
          <w:sz w:val="24"/>
          <w:szCs w:val="24"/>
          <w:highlight w:val="none"/>
          <w:lang w:eastAsia="zh-CN"/>
        </w:rPr>
        <w:t>提供具有财务审计资质单位出具的2020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）税收缴纳证明：提供已缴纳的 2021年1月1日以来至少一个月的纳税证明或完税证明（提供增值税、企业所得税至少一种），纳税证明或完税证明上应有代收机构或税务机关的公章或业务专用章。依法免税的供应商应提供相关文件证明；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）社会保障资金缴纳证明：提供已缴存的 2021年1月1日以来至少一个月的社会保障资金缴存单据或社保机构开具的社会保险参保缴费情况证明。成立时间至提交响应文件截止时间不足一个月或依法不需要缴纳社会保障资金的供应商应提供相关文件证明；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（2）特定资格条件：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法定代表人授权书及被授权人身份证</w:t>
      </w:r>
      <w:r>
        <w:rPr>
          <w:rFonts w:hint="eastAsia" w:ascii="仿宋" w:hAnsi="仿宋" w:eastAsia="仿宋" w:cs="仿宋"/>
          <w:sz w:val="24"/>
          <w:szCs w:val="24"/>
          <w:highlight w:val="none"/>
          <w:lang w:eastAsia="zh-CN"/>
        </w:rPr>
        <w:t>，并且提供</w:t>
      </w:r>
      <w:r>
        <w:rPr>
          <w:rFonts w:hint="eastAsia" w:ascii="仿宋" w:hAnsi="仿宋" w:eastAsia="仿宋" w:cs="仿宋"/>
          <w:sz w:val="24"/>
          <w:szCs w:val="24"/>
          <w:highlight w:val="none"/>
          <w:lang w:val="en-US" w:eastAsia="zh-CN"/>
        </w:rPr>
        <w:t>有效的</w:t>
      </w:r>
      <w:r>
        <w:rPr>
          <w:rFonts w:hint="eastAsia" w:ascii="仿宋" w:hAnsi="仿宋" w:eastAsia="仿宋" w:cs="仿宋"/>
          <w:sz w:val="24"/>
          <w:szCs w:val="24"/>
          <w:highlight w:val="none"/>
        </w:rPr>
        <w:t>劳动合同</w:t>
      </w:r>
      <w:r>
        <w:rPr>
          <w:rFonts w:hint="eastAsia" w:ascii="仿宋" w:hAnsi="仿宋" w:eastAsia="仿宋" w:cs="仿宋"/>
          <w:sz w:val="24"/>
          <w:szCs w:val="24"/>
          <w:highlight w:val="none"/>
          <w:lang w:val="en-US" w:eastAsia="zh-CN"/>
        </w:rPr>
        <w:t>或近三个月</w:t>
      </w:r>
      <w:r>
        <w:rPr>
          <w:rFonts w:hint="eastAsia" w:ascii="仿宋" w:hAnsi="仿宋" w:eastAsia="仿宋" w:cs="仿宋"/>
          <w:sz w:val="24"/>
          <w:szCs w:val="24"/>
          <w:highlight w:val="none"/>
        </w:rPr>
        <w:t>养老保险缴纳证明（法人参加只需提供法定代表人身份证明）</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符合《财政部关于在政府采购活动中查询及使用信用记录有关问题的通知》（财库【2016】125号）文件中信用查询的要求；（此项由采购人与采购代理单位在开标时查询，</w:t>
      </w:r>
      <w:r>
        <w:rPr>
          <w:rFonts w:hint="eastAsia" w:ascii="仿宋" w:hAnsi="仿宋" w:eastAsia="仿宋" w:cs="仿宋"/>
          <w:sz w:val="24"/>
          <w:szCs w:val="24"/>
          <w:highlight w:val="none"/>
          <w:lang w:eastAsia="zh-CN"/>
        </w:rPr>
        <w:t>以现场查询为准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供应商具备建筑工程施工总承包贰级或以上资质，具有安全生产许可证</w:t>
      </w:r>
      <w:r>
        <w:rPr>
          <w:rFonts w:hint="eastAsia" w:ascii="仿宋" w:hAnsi="仿宋" w:eastAsia="仿宋" w:cs="仿宋"/>
          <w:sz w:val="24"/>
          <w:szCs w:val="24"/>
          <w:highlight w:val="none"/>
        </w:rPr>
        <w:t xml:space="preserve">；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（4）拟派项目经理须具有建筑工程专业二级或以上注册建造师证书及安全生产考核合格证（B证）, 在本单位注册且无在建工程（承诺说明）；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（5）外省企业需提供在陕西省建筑市场监管与诚信信息一体化平台入库证明。</w:t>
      </w:r>
    </w:p>
    <w:p>
      <w:pPr>
        <w:tabs>
          <w:tab w:val="left" w:pos="9030"/>
        </w:tabs>
        <w:snapToGrid w:val="0"/>
        <w:spacing w:line="360" w:lineRule="auto"/>
        <w:ind w:right="-65" w:firstLine="482" w:firstLineChars="200"/>
        <w:outlineLvl w:val="2"/>
        <w:rPr>
          <w:rFonts w:ascii="仿宋" w:hAnsi="仿宋" w:eastAsia="仿宋" w:cs="仿宋"/>
          <w:b/>
          <w:bCs/>
          <w:sz w:val="24"/>
          <w:szCs w:val="24"/>
          <w:highlight w:val="none"/>
          <w:lang w:val="zh-CN"/>
        </w:rPr>
      </w:pPr>
      <w:bookmarkStart w:id="133" w:name="_Toc23687"/>
      <w:bookmarkStart w:id="134" w:name="_Toc9381"/>
      <w:bookmarkStart w:id="135" w:name="_Toc21561"/>
      <w:bookmarkStart w:id="136" w:name="_Toc445"/>
      <w:r>
        <w:rPr>
          <w:rFonts w:hint="eastAsia" w:ascii="仿宋" w:hAnsi="仿宋" w:eastAsia="仿宋" w:cs="仿宋"/>
          <w:b/>
          <w:bCs/>
          <w:sz w:val="24"/>
          <w:szCs w:val="24"/>
          <w:highlight w:val="none"/>
          <w:lang w:val="zh-CN"/>
        </w:rPr>
        <w:t>（三）限制磋商要求</w:t>
      </w:r>
      <w:bookmarkEnd w:id="133"/>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供应商单位负责人为同一人或者存在直接控股、管理关系的不同供应商，不得参加同一项目或同一包的政府采购活动。</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除单一来源采购项目外，为采购项目提供过整体设计、规范编制或者项目管理、监理、检测等服务的供应商，不得再参加同一项目的其他采购活动。</w:t>
      </w:r>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对列入失信被执行人、重大税收违法案件当事人名单、政府采购严重违法失信行为记录名单及其他不符合《中华人民共和国政府采购法》第二十二条规定条件的供应商，采购代理机构将拒绝其参与政府采购活动。</w:t>
      </w:r>
    </w:p>
    <w:p>
      <w:pPr>
        <w:tabs>
          <w:tab w:val="left" w:pos="9030"/>
        </w:tabs>
        <w:snapToGrid w:val="0"/>
        <w:spacing w:line="360" w:lineRule="auto"/>
        <w:ind w:right="-65" w:firstLine="482" w:firstLineChars="200"/>
        <w:rPr>
          <w:rFonts w:ascii="仿宋" w:hAnsi="仿宋" w:eastAsia="仿宋" w:cs="仿宋"/>
          <w:b/>
          <w:bCs/>
          <w:sz w:val="24"/>
          <w:szCs w:val="24"/>
          <w:highlight w:val="none"/>
          <w:lang w:val="zh-CN"/>
        </w:rPr>
      </w:pPr>
      <w:r>
        <w:rPr>
          <w:rFonts w:hint="eastAsia" w:ascii="仿宋" w:hAnsi="仿宋" w:eastAsia="仿宋" w:cs="仿宋"/>
          <w:b/>
          <w:bCs/>
          <w:sz w:val="24"/>
          <w:szCs w:val="24"/>
          <w:highlight w:val="none"/>
        </w:rPr>
        <w:t>4、</w:t>
      </w:r>
      <w:r>
        <w:rPr>
          <w:rFonts w:hint="eastAsia" w:ascii="仿宋" w:hAnsi="仿宋" w:eastAsia="仿宋" w:cs="仿宋"/>
          <w:b/>
          <w:bCs/>
          <w:sz w:val="24"/>
          <w:szCs w:val="24"/>
          <w:highlight w:val="none"/>
          <w:lang w:val="zh-CN"/>
        </w:rPr>
        <w:t>本次磋商项目不接受联合体磋商。</w:t>
      </w:r>
    </w:p>
    <w:p>
      <w:pPr>
        <w:tabs>
          <w:tab w:val="left" w:pos="9030"/>
        </w:tabs>
        <w:snapToGrid w:val="0"/>
        <w:spacing w:line="360" w:lineRule="auto"/>
        <w:ind w:right="-65" w:firstLine="482" w:firstLineChars="200"/>
        <w:outlineLvl w:val="2"/>
        <w:rPr>
          <w:rFonts w:ascii="仿宋" w:hAnsi="仿宋" w:eastAsia="仿宋" w:cs="仿宋"/>
          <w:b/>
          <w:bCs/>
          <w:sz w:val="24"/>
          <w:szCs w:val="24"/>
          <w:highlight w:val="none"/>
          <w:lang w:val="zh-CN"/>
        </w:rPr>
      </w:pPr>
      <w:bookmarkStart w:id="137" w:name="_Toc23595"/>
      <w:r>
        <w:rPr>
          <w:rFonts w:hint="eastAsia" w:ascii="仿宋" w:hAnsi="仿宋" w:eastAsia="仿宋" w:cs="仿宋"/>
          <w:b/>
          <w:bCs/>
          <w:sz w:val="24"/>
          <w:szCs w:val="24"/>
          <w:highlight w:val="none"/>
          <w:lang w:val="zh-CN"/>
        </w:rPr>
        <w:t>（四）磋商响应文件有效期</w:t>
      </w:r>
      <w:bookmarkEnd w:id="134"/>
      <w:bookmarkEnd w:id="135"/>
      <w:bookmarkEnd w:id="136"/>
      <w:bookmarkEnd w:id="137"/>
    </w:p>
    <w:p>
      <w:pPr>
        <w:tabs>
          <w:tab w:val="left" w:pos="9030"/>
        </w:tabs>
        <w:snapToGrid w:val="0"/>
        <w:spacing w:line="360" w:lineRule="auto"/>
        <w:ind w:right="-65"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磋商响应文件有效期为自磋商之日起90个日历日，在有效期内磋商响应文件对供应商具有法律约束力，以保证采购人完成评标、定标以及合同签订事项。成交供应商的磋商响应文件有效期自动延长至合同执行完毕。</w:t>
      </w:r>
    </w:p>
    <w:p>
      <w:pPr>
        <w:autoSpaceDE w:val="0"/>
        <w:autoSpaceDN w:val="0"/>
        <w:adjustRightInd w:val="0"/>
        <w:snapToGrid w:val="0"/>
        <w:spacing w:line="360" w:lineRule="auto"/>
        <w:ind w:firstLine="482" w:firstLineChars="200"/>
        <w:outlineLvl w:val="2"/>
        <w:rPr>
          <w:rFonts w:ascii="仿宋" w:hAnsi="仿宋" w:eastAsia="仿宋" w:cs="仿宋"/>
          <w:b/>
          <w:color w:val="auto"/>
          <w:sz w:val="24"/>
          <w:szCs w:val="24"/>
          <w:highlight w:val="none"/>
          <w:lang w:val="zh-CN"/>
        </w:rPr>
      </w:pPr>
      <w:bookmarkStart w:id="138" w:name="_Toc495681225"/>
      <w:bookmarkStart w:id="139" w:name="_Toc1960"/>
      <w:bookmarkStart w:id="140" w:name="_Toc27500"/>
      <w:bookmarkStart w:id="141" w:name="_Toc4835"/>
      <w:bookmarkStart w:id="142" w:name="_Toc22890"/>
      <w:bookmarkStart w:id="143" w:name="_Toc32264"/>
      <w:bookmarkStart w:id="144" w:name="_Toc25242"/>
      <w:bookmarkStart w:id="145" w:name="_Toc10891"/>
      <w:bookmarkStart w:id="146" w:name="_Toc708"/>
      <w:bookmarkStart w:id="147" w:name="_Toc495681506"/>
      <w:bookmarkStart w:id="148" w:name="_Toc19258"/>
      <w:bookmarkStart w:id="149" w:name="_Toc24960"/>
      <w:bookmarkStart w:id="150" w:name="_Toc495908024"/>
      <w:bookmarkStart w:id="151" w:name="_Toc7375"/>
      <w:bookmarkStart w:id="152" w:name="_Toc495681379"/>
      <w:bookmarkStart w:id="153" w:name="_Toc2035"/>
      <w:bookmarkStart w:id="154" w:name="_Toc14448"/>
      <w:bookmarkStart w:id="155" w:name="_Toc32305"/>
      <w:bookmarkStart w:id="156" w:name="_Toc17282"/>
      <w:bookmarkStart w:id="157" w:name="_Toc495908025"/>
      <w:bookmarkStart w:id="158" w:name="_Toc20476"/>
      <w:bookmarkStart w:id="159" w:name="_Toc495681380"/>
      <w:bookmarkStart w:id="160" w:name="_Toc26224"/>
      <w:bookmarkStart w:id="161" w:name="_Toc23694"/>
      <w:bookmarkStart w:id="162" w:name="_Toc8946"/>
      <w:bookmarkStart w:id="163" w:name="_Toc5923"/>
      <w:bookmarkStart w:id="164" w:name="_Toc27324"/>
      <w:bookmarkStart w:id="165" w:name="_Toc495681226"/>
      <w:bookmarkStart w:id="166" w:name="_Toc11947"/>
      <w:bookmarkStart w:id="167" w:name="_Toc12827"/>
      <w:bookmarkStart w:id="168" w:name="_Toc24492"/>
      <w:bookmarkStart w:id="169" w:name="_Toc495681507"/>
      <w:bookmarkStart w:id="170" w:name="_Toc346"/>
      <w:bookmarkStart w:id="171" w:name="_Toc30998"/>
      <w:bookmarkStart w:id="172" w:name="_Toc356"/>
      <w:bookmarkStart w:id="173" w:name="_Toc495681228"/>
      <w:bookmarkStart w:id="174" w:name="_Toc803"/>
      <w:bookmarkStart w:id="175" w:name="_Toc9078"/>
      <w:bookmarkStart w:id="176" w:name="_Toc495681382"/>
      <w:bookmarkStart w:id="177" w:name="_Toc11653"/>
      <w:bookmarkStart w:id="178" w:name="_Toc26187"/>
      <w:bookmarkStart w:id="179" w:name="_Toc5456"/>
      <w:bookmarkStart w:id="180" w:name="_Toc495681509"/>
      <w:bookmarkStart w:id="181" w:name="_Toc2724"/>
      <w:bookmarkStart w:id="182" w:name="_Toc8968"/>
      <w:bookmarkStart w:id="183" w:name="_Toc25914"/>
      <w:bookmarkStart w:id="184" w:name="_Toc24382"/>
      <w:bookmarkStart w:id="185" w:name="_Toc2707"/>
      <w:bookmarkStart w:id="186" w:name="_Toc7251"/>
      <w:bookmarkStart w:id="187" w:name="_Toc495908027"/>
      <w:bookmarkStart w:id="188" w:name="_Toc28461"/>
      <w:r>
        <w:rPr>
          <w:rFonts w:hint="eastAsia" w:ascii="仿宋" w:hAnsi="仿宋" w:eastAsia="仿宋" w:cs="仿宋"/>
          <w:b/>
          <w:color w:val="auto"/>
          <w:sz w:val="24"/>
          <w:szCs w:val="24"/>
          <w:highlight w:val="none"/>
          <w:lang w:val="zh-CN"/>
        </w:rPr>
        <w:t>（五）磋商响应文件的编制要求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未从采购代理机构处获取磋商文件的供应商，谢绝报价。磋商响应文件应按照</w:t>
      </w:r>
      <w:r>
        <w:rPr>
          <w:rFonts w:hint="eastAsia" w:ascii="仿宋" w:hAnsi="仿宋" w:eastAsia="仿宋" w:cs="仿宋"/>
          <w:color w:val="auto"/>
          <w:sz w:val="24"/>
          <w:szCs w:val="24"/>
          <w:highlight w:val="none"/>
          <w:lang w:val="en-US" w:eastAsia="zh-CN"/>
        </w:rPr>
        <w:t>从</w:t>
      </w:r>
      <w:r>
        <w:rPr>
          <w:rFonts w:hint="eastAsia" w:ascii="仿宋" w:hAnsi="仿宋" w:eastAsia="仿宋" w:cs="仿宋"/>
          <w:color w:val="auto"/>
          <w:sz w:val="24"/>
          <w:szCs w:val="24"/>
          <w:highlight w:val="none"/>
          <w:lang w:val="zh-CN"/>
        </w:rPr>
        <w:t>采购代理机构</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lang w:val="zh-CN"/>
        </w:rPr>
        <w:t>的磋商响应文件格式编写，各供应商对磋商文件做出实质性响应，具体内容包括：</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）对磋商响应函中内容的响应。</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）第一次磋商报价表。</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）供应商出具的合格供应商要求文件，证明参加供应商是响应本项目磋商的合格供应商。</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）供应商为本次磋商采购项目编制的施工组织方案，具有履行合同所必须的人员和专业技术能力，配备了相应的商务和技术人员，项目在组织实施、财务保证、服务承诺及工程安全等方面具体做法和保障措施。</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）供应商提供相应业绩，证明其供应经验及能力，以及为采购活动提供的合理化建议。</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的内容。</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磋商响应文件的编写</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（1）磋商响应文件按照磋商响应文件的“第五部分 磋商响应文件格式”编写磋商响应文件，如有必要，可以增加附页，作为磋商响应文件的组成部分。</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（2）磋商响应文件编写说明:</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①供应商提交的磋商响应文件以及供应商与采购代理机构就有关磋商的所有来往通知、函件和文件均应使用简体中文。</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②除技术性能另有规定外，磋商响应文件所使用的度量衡单位，均须采用国家法定计量单位。</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③供应商应仔细阅读磋商文件，充分理解磋商文件的要求。凡与磋商文件的规定有重大不符合的磋商响应文件，均按照无效文件处理。</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④供应商必须对磋商文件的所有规定和要求做出实质性响应，否则按照无效文件处理。</w:t>
      </w:r>
    </w:p>
    <w:p>
      <w:pPr>
        <w:autoSpaceDE w:val="0"/>
        <w:autoSpaceDN w:val="0"/>
        <w:adjustRightIn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⑤供应商应仔细阅读磋商文件的所有内容，按磋商文件的要求提供磋商响应文件，并保证所提供的全部资料的真实性，否则按照无效文件处理。</w:t>
      </w:r>
    </w:p>
    <w:p>
      <w:pPr>
        <w:snapToGrid w:val="0"/>
        <w:spacing w:line="360" w:lineRule="auto"/>
        <w:ind w:firstLine="482" w:firstLineChars="200"/>
        <w:outlineLvl w:val="2"/>
        <w:rPr>
          <w:rFonts w:ascii="仿宋" w:hAnsi="仿宋" w:eastAsia="仿宋" w:cs="仿宋"/>
          <w:b/>
          <w:color w:val="auto"/>
          <w:sz w:val="24"/>
          <w:szCs w:val="24"/>
          <w:highlight w:val="none"/>
        </w:rPr>
      </w:pPr>
      <w:bookmarkStart w:id="189" w:name="_Toc18140"/>
      <w:r>
        <w:rPr>
          <w:rFonts w:hint="eastAsia" w:ascii="仿宋" w:hAnsi="仿宋" w:eastAsia="仿宋" w:cs="仿宋"/>
          <w:b/>
          <w:color w:val="auto"/>
          <w:sz w:val="24"/>
          <w:szCs w:val="24"/>
          <w:highlight w:val="none"/>
        </w:rPr>
        <w:t>（六）磋商报价要求</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89"/>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1、各供应商应在磋商响应文件中的磋商第一次报价表上标明磋商总报价、</w:t>
      </w:r>
      <w:r>
        <w:rPr>
          <w:rFonts w:hint="eastAsia" w:ascii="仿宋" w:hAnsi="仿宋" w:eastAsia="仿宋" w:cs="仿宋"/>
          <w:color w:val="auto"/>
          <w:sz w:val="24"/>
          <w:szCs w:val="24"/>
          <w:highlight w:val="none"/>
          <w:lang w:eastAsia="zh-CN"/>
        </w:rPr>
        <w:t>工程质量及工期</w:t>
      </w:r>
      <w:r>
        <w:rPr>
          <w:rFonts w:hint="eastAsia" w:ascii="仿宋" w:hAnsi="仿宋" w:eastAsia="仿宋" w:cs="仿宋"/>
          <w:color w:val="auto"/>
          <w:sz w:val="24"/>
          <w:szCs w:val="24"/>
          <w:highlight w:val="none"/>
        </w:rPr>
        <w:t>，任何有选择的报价采购代理机构不予接受。</w:t>
      </w:r>
      <w:bookmarkStart w:id="190" w:name="OLE_LINK1"/>
    </w:p>
    <w:p>
      <w:pPr>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磋商总报价是指完成本次服务工作所需的全部费用</w:t>
      </w:r>
      <w:bookmarkEnd w:id="190"/>
      <w:r>
        <w:rPr>
          <w:rFonts w:hint="eastAsia" w:ascii="仿宋" w:hAnsi="仿宋" w:eastAsia="仿宋" w:cs="仿宋"/>
          <w:bCs/>
          <w:color w:val="auto"/>
          <w:sz w:val="24"/>
          <w:szCs w:val="24"/>
          <w:highlight w:val="none"/>
        </w:rPr>
        <w:t>，竞争性磋商最终报价价格，在合同执行过程中，不得以任何理由变更。</w:t>
      </w:r>
    </w:p>
    <w:p>
      <w:pPr>
        <w:autoSpaceDE w:val="0"/>
        <w:autoSpaceDN w:val="0"/>
        <w:adjustRightIn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3、磋商最后报价，在采购内容无实质性变更下，不得高于首次磋商报价,对于差异较大的报价，须做出明确的说明。</w:t>
      </w:r>
    </w:p>
    <w:p>
      <w:pPr>
        <w:autoSpaceDE w:val="0"/>
        <w:autoSpaceDN w:val="0"/>
        <w:adjustRightIn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供应商不得以低于成本的报价参与磋商。当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报价处理。</w:t>
      </w:r>
    </w:p>
    <w:p>
      <w:pPr>
        <w:autoSpaceDE w:val="0"/>
        <w:autoSpaceDN w:val="0"/>
        <w:adjustRightIn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5、凡因供应商对磋商文件阅读不深、误解、疏漏，或因对市场行情了解不清造成的后果和风险均由供应商自负。</w:t>
      </w:r>
    </w:p>
    <w:p>
      <w:pPr>
        <w:autoSpaceDE w:val="0"/>
        <w:autoSpaceDN w:val="0"/>
        <w:adjustRightIn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6、供应商应按各自的能力，结合</w:t>
      </w:r>
      <w:r>
        <w:rPr>
          <w:rFonts w:hint="eastAsia" w:ascii="仿宋" w:hAnsi="仿宋" w:eastAsia="仿宋" w:cs="仿宋"/>
          <w:color w:val="auto"/>
          <w:sz w:val="24"/>
          <w:szCs w:val="24"/>
          <w:highlight w:val="none"/>
          <w:lang w:val="zh-CN" w:eastAsia="zh-CN"/>
        </w:rPr>
        <w:t>施工要求</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工期</w:t>
      </w:r>
      <w:r>
        <w:rPr>
          <w:rFonts w:hint="eastAsia" w:ascii="仿宋" w:hAnsi="仿宋" w:eastAsia="仿宋" w:cs="仿宋"/>
          <w:color w:val="auto"/>
          <w:sz w:val="24"/>
          <w:szCs w:val="24"/>
          <w:highlight w:val="none"/>
          <w:lang w:val="zh-CN"/>
        </w:rPr>
        <w:t>、人</w:t>
      </w:r>
      <w:r>
        <w:rPr>
          <w:rFonts w:hint="eastAsia" w:ascii="仿宋" w:hAnsi="仿宋" w:eastAsia="仿宋" w:cs="仿宋"/>
          <w:bCs/>
          <w:color w:val="auto"/>
          <w:sz w:val="24"/>
          <w:szCs w:val="24"/>
          <w:highlight w:val="none"/>
        </w:rPr>
        <w:t>员投入等各种因素，综合测定后报价。</w:t>
      </w:r>
    </w:p>
    <w:p>
      <w:pPr>
        <w:autoSpaceDE w:val="0"/>
        <w:autoSpaceDN w:val="0"/>
        <w:adjustRightIn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7、磋商报价超出采购预算的供应商不进入磋商程序。</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8、最低报价不是确定成交的唯一条件，</w:t>
      </w:r>
      <w:r>
        <w:rPr>
          <w:rFonts w:hint="eastAsia" w:ascii="仿宋" w:hAnsi="仿宋" w:eastAsia="仿宋" w:cs="仿宋"/>
          <w:color w:val="auto"/>
          <w:sz w:val="24"/>
          <w:szCs w:val="24"/>
          <w:highlight w:val="none"/>
          <w:lang w:val="zh-CN"/>
        </w:rPr>
        <w:t>磋商过程中所产生的一切费用由供应商自行承担。</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Pr>
        <w:snapToGrid w:val="0"/>
        <w:spacing w:line="360" w:lineRule="auto"/>
        <w:ind w:firstLine="482" w:firstLineChars="200"/>
        <w:outlineLvl w:val="2"/>
        <w:rPr>
          <w:rFonts w:ascii="仿宋" w:hAnsi="仿宋" w:eastAsia="仿宋" w:cs="仿宋"/>
          <w:b/>
          <w:color w:val="auto"/>
          <w:sz w:val="24"/>
          <w:szCs w:val="24"/>
          <w:highlight w:val="none"/>
        </w:rPr>
      </w:pPr>
      <w:bookmarkStart w:id="191" w:name="_Toc485"/>
      <w:bookmarkStart w:id="192" w:name="_Toc9977"/>
      <w:bookmarkStart w:id="193" w:name="_Toc9413"/>
      <w:bookmarkStart w:id="194" w:name="_Toc19346"/>
      <w:bookmarkStart w:id="195" w:name="_Toc495681512"/>
      <w:bookmarkStart w:id="196" w:name="_Toc17983"/>
      <w:bookmarkStart w:id="197" w:name="_Toc495908030"/>
      <w:bookmarkStart w:id="198" w:name="_Toc495681231"/>
      <w:bookmarkStart w:id="199" w:name="_Toc2690"/>
      <w:bookmarkStart w:id="200" w:name="_Toc8686"/>
      <w:bookmarkStart w:id="201" w:name="_Toc5429"/>
      <w:bookmarkStart w:id="202" w:name="_Toc8043"/>
      <w:bookmarkStart w:id="203" w:name="_Toc22233"/>
      <w:bookmarkStart w:id="204" w:name="_Toc495681385"/>
      <w:bookmarkStart w:id="205" w:name="_Toc25488"/>
      <w:bookmarkStart w:id="206" w:name="_Toc3012"/>
      <w:bookmarkStart w:id="207" w:name="_Toc6863"/>
      <w:bookmarkStart w:id="208" w:name="_Toc3761"/>
      <w:r>
        <w:rPr>
          <w:rFonts w:hint="eastAsia" w:ascii="仿宋" w:hAnsi="仿宋" w:eastAsia="仿宋" w:cs="仿宋"/>
          <w:b/>
          <w:color w:val="auto"/>
          <w:sz w:val="24"/>
          <w:szCs w:val="24"/>
          <w:highlight w:val="none"/>
        </w:rPr>
        <w:t>（七）磋商响应文件的式样、签署和装订</w:t>
      </w:r>
      <w:bookmarkEnd w:id="191"/>
      <w:bookmarkEnd w:id="192"/>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各供应商应参照磋商文件给定的样式，准备磋商响应文件正本一份、副本两份，</w:t>
      </w:r>
      <w:r>
        <w:rPr>
          <w:rFonts w:hint="eastAsia" w:ascii="仿宋" w:hAnsi="仿宋" w:eastAsia="仿宋" w:cs="仿宋"/>
          <w:color w:val="auto"/>
          <w:sz w:val="24"/>
          <w:szCs w:val="24"/>
          <w:highlight w:val="none"/>
        </w:rPr>
        <w:t>电子版1份</w:t>
      </w:r>
      <w:r>
        <w:rPr>
          <w:rFonts w:hint="eastAsia" w:ascii="仿宋" w:hAnsi="仿宋" w:eastAsia="仿宋" w:cs="仿宋"/>
          <w:b/>
          <w:bCs/>
          <w:color w:val="auto"/>
          <w:sz w:val="24"/>
          <w:szCs w:val="24"/>
          <w:highlight w:val="none"/>
        </w:rPr>
        <w:t>（PDF和word文档格式，</w:t>
      </w:r>
      <w:r>
        <w:rPr>
          <w:rFonts w:hint="eastAsia" w:ascii="仿宋" w:hAnsi="仿宋" w:eastAsia="仿宋" w:cs="仿宋"/>
          <w:b/>
          <w:bCs/>
          <w:color w:val="auto"/>
          <w:sz w:val="24"/>
          <w:szCs w:val="24"/>
          <w:highlight w:val="none"/>
          <w:lang w:eastAsia="zh-CN"/>
        </w:rPr>
        <w:t>正版</w:t>
      </w:r>
      <w:r>
        <w:rPr>
          <w:rFonts w:hint="eastAsia" w:ascii="仿宋" w:hAnsi="仿宋" w:eastAsia="仿宋" w:cs="仿宋"/>
          <w:b/>
          <w:bCs/>
          <w:color w:val="auto"/>
          <w:sz w:val="24"/>
          <w:szCs w:val="24"/>
          <w:highlight w:val="none"/>
        </w:rPr>
        <w:t>U盘存储</w:t>
      </w:r>
      <w:r>
        <w:rPr>
          <w:rFonts w:hint="eastAsia" w:ascii="仿宋" w:hAnsi="仿宋" w:eastAsia="仿宋" w:cs="仿宋"/>
          <w:b/>
          <w:bCs/>
          <w:color w:val="auto"/>
          <w:sz w:val="24"/>
          <w:szCs w:val="24"/>
          <w:highlight w:val="none"/>
          <w:lang w:eastAsia="zh-CN"/>
        </w:rPr>
        <w:t>，如因</w:t>
      </w:r>
      <w:r>
        <w:rPr>
          <w:rFonts w:hint="eastAsia" w:ascii="仿宋" w:hAnsi="仿宋" w:eastAsia="仿宋" w:cs="仿宋"/>
          <w:b/>
          <w:bCs/>
          <w:color w:val="auto"/>
          <w:sz w:val="24"/>
          <w:szCs w:val="24"/>
          <w:highlight w:val="none"/>
          <w:lang w:val="en-US" w:eastAsia="zh-CN"/>
        </w:rPr>
        <w:t>U盘问题导致文件无法打开，责任自负</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zh-CN"/>
        </w:rPr>
        <w:t>，响应文件的封面上应清楚地标记“正本”、“副本”、“电子版”字样。</w:t>
      </w:r>
    </w:p>
    <w:p>
      <w:pPr>
        <w:tabs>
          <w:tab w:val="left" w:pos="9030"/>
        </w:tabs>
        <w:snapToGrid w:val="0"/>
        <w:spacing w:line="360" w:lineRule="auto"/>
        <w:ind w:right="-65" w:firstLine="480" w:firstLineChars="200"/>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磋商响应文件的正本和所有的副本建议双面打印且用不褪色蓝（黑）墨水（汁）书写，统一装订、编码。</w:t>
      </w:r>
      <w:r>
        <w:rPr>
          <w:rFonts w:hint="eastAsia" w:ascii="仿宋" w:hAnsi="仿宋" w:eastAsia="仿宋" w:cs="仿宋"/>
          <w:color w:val="auto"/>
          <w:spacing w:val="-6"/>
          <w:sz w:val="24"/>
          <w:szCs w:val="24"/>
          <w:highlight w:val="none"/>
        </w:rPr>
        <w:t>因字迹不清、表达不准或不按给定的磋商文件格式编制的磋商响应文件，所引起的不利后果由供应商自负。</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磋商响应文件必须加盖供应商红色公章</w:t>
      </w:r>
      <w:r>
        <w:rPr>
          <w:rFonts w:hint="eastAsia" w:ascii="仿宋" w:hAnsi="仿宋" w:eastAsia="仿宋" w:cs="仿宋"/>
          <w:bCs/>
          <w:color w:val="auto"/>
          <w:sz w:val="24"/>
          <w:szCs w:val="24"/>
          <w:highlight w:val="none"/>
        </w:rPr>
        <w:t>并按照磋商文件要求由法定代表人（</w:t>
      </w:r>
      <w:r>
        <w:rPr>
          <w:rFonts w:hint="eastAsia" w:ascii="仿宋" w:hAnsi="仿宋" w:eastAsia="仿宋" w:cs="仿宋"/>
          <w:bCs/>
          <w:color w:val="auto"/>
          <w:sz w:val="24"/>
          <w:szCs w:val="24"/>
          <w:highlight w:val="none"/>
          <w:lang w:eastAsia="zh-CN"/>
        </w:rPr>
        <w:t>或</w:t>
      </w:r>
      <w:r>
        <w:rPr>
          <w:rFonts w:hint="eastAsia" w:ascii="仿宋" w:hAnsi="仿宋" w:eastAsia="仿宋" w:cs="仿宋"/>
          <w:bCs/>
          <w:color w:val="auto"/>
          <w:sz w:val="24"/>
          <w:szCs w:val="24"/>
          <w:highlight w:val="none"/>
        </w:rPr>
        <w:t>授权代表人）签字，响应文件副本可以</w:t>
      </w:r>
      <w:r>
        <w:rPr>
          <w:rFonts w:hint="eastAsia" w:ascii="仿宋" w:hAnsi="仿宋" w:eastAsia="仿宋" w:cs="仿宋"/>
          <w:bCs/>
          <w:color w:val="auto"/>
          <w:sz w:val="24"/>
          <w:szCs w:val="24"/>
          <w:highlight w:val="none"/>
          <w:lang w:eastAsia="zh-CN"/>
        </w:rPr>
        <w:t>为</w:t>
      </w:r>
      <w:r>
        <w:rPr>
          <w:rFonts w:hint="eastAsia" w:ascii="仿宋" w:hAnsi="仿宋" w:eastAsia="仿宋" w:cs="仿宋"/>
          <w:bCs/>
          <w:color w:val="auto"/>
          <w:sz w:val="24"/>
          <w:szCs w:val="24"/>
          <w:highlight w:val="none"/>
        </w:rPr>
        <w:t>正本的复印件</w:t>
      </w:r>
      <w:r>
        <w:rPr>
          <w:rFonts w:hint="eastAsia" w:ascii="仿宋" w:hAnsi="仿宋" w:eastAsia="仿宋" w:cs="仿宋"/>
          <w:color w:val="auto"/>
          <w:sz w:val="24"/>
          <w:szCs w:val="24"/>
          <w:highlight w:val="none"/>
          <w:lang w:val="zh-CN"/>
        </w:rPr>
        <w:t>。</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磋商响应文件的打印应清楚工整，统一采用A4纸编制（如部分附表需要用其他规格的复印纸编写，则应按A4复印纸折叠）。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磋商响应文件除各供应商对错处做必要修改外，不得行间插字、涂改和增删，如有修改错漏处，必须由供应商法定代表人或其授权人代表签字或盖章。</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磋商响应文件应牢固装订成册，不可插页抽页。牢固装订成册是指书脊涂有胶粘剂以保证磋商响应文件不至于散开或用简单办法不能将任何一页在没有任何损坏的情况下取出或插入。各种用活页夹、文件夹、塑料方便式书脊（插入式或穿孔式）装订均不认为是牢固装订。</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若潜在供应商为其他组织单位，无法定代表人，则响应文件中法定代表人授权书、签字之处可由单位负责人填写。</w:t>
      </w:r>
    </w:p>
    <w:p>
      <w:pPr>
        <w:snapToGrid w:val="0"/>
        <w:spacing w:line="360" w:lineRule="auto"/>
        <w:ind w:firstLine="482" w:firstLineChars="200"/>
        <w:outlineLvl w:val="2"/>
        <w:rPr>
          <w:rFonts w:ascii="仿宋" w:hAnsi="仿宋" w:eastAsia="仿宋" w:cs="仿宋"/>
          <w:b/>
          <w:color w:val="auto"/>
          <w:sz w:val="24"/>
          <w:szCs w:val="24"/>
          <w:highlight w:val="none"/>
          <w:lang w:val="zh-CN"/>
        </w:rPr>
      </w:pPr>
      <w:bookmarkStart w:id="209" w:name="_Toc18243"/>
      <w:bookmarkStart w:id="210" w:name="_Toc32577"/>
      <w:bookmarkStart w:id="211" w:name="_Toc16128"/>
      <w:bookmarkStart w:id="212" w:name="_Toc21545"/>
      <w:bookmarkStart w:id="213" w:name="_Toc495681510"/>
      <w:bookmarkStart w:id="214" w:name="_Toc495908028"/>
      <w:bookmarkStart w:id="215" w:name="_Toc21862"/>
      <w:bookmarkStart w:id="216" w:name="_Toc6377"/>
      <w:bookmarkStart w:id="217" w:name="_Toc28122"/>
      <w:bookmarkStart w:id="218" w:name="_Toc495681383"/>
      <w:bookmarkStart w:id="219" w:name="_Toc8989"/>
      <w:bookmarkStart w:id="220" w:name="_Toc7399"/>
      <w:bookmarkStart w:id="221" w:name="_Toc23115"/>
      <w:bookmarkStart w:id="222" w:name="_Toc24315"/>
      <w:bookmarkStart w:id="223" w:name="_Toc21204"/>
      <w:bookmarkStart w:id="224" w:name="_Toc495681229"/>
      <w:bookmarkStart w:id="225" w:name="_Toc27109"/>
      <w:bookmarkStart w:id="226" w:name="_Toc12263"/>
      <w:r>
        <w:rPr>
          <w:rFonts w:hint="eastAsia" w:ascii="仿宋" w:hAnsi="仿宋" w:eastAsia="仿宋" w:cs="仿宋"/>
          <w:b/>
          <w:color w:val="auto"/>
          <w:sz w:val="24"/>
          <w:szCs w:val="24"/>
          <w:highlight w:val="none"/>
        </w:rPr>
        <w:t>（八）</w:t>
      </w:r>
      <w:r>
        <w:rPr>
          <w:rFonts w:hint="eastAsia" w:ascii="仿宋" w:hAnsi="仿宋" w:eastAsia="仿宋" w:cs="仿宋"/>
          <w:b/>
          <w:color w:val="auto"/>
          <w:sz w:val="24"/>
          <w:szCs w:val="24"/>
          <w:highlight w:val="none"/>
          <w:lang w:val="zh-CN"/>
        </w:rPr>
        <w:t>磋商响应文件的密封和提交</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1、磋商响应</w:t>
      </w:r>
      <w:r>
        <w:rPr>
          <w:rFonts w:hint="eastAsia" w:ascii="仿宋" w:hAnsi="仿宋" w:eastAsia="仿宋" w:cs="仿宋"/>
          <w:color w:val="auto"/>
          <w:sz w:val="24"/>
          <w:szCs w:val="24"/>
          <w:highlight w:val="none"/>
          <w:lang w:val="zh-CN"/>
        </w:rPr>
        <w:t>文件密封</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供应商应将磋商响应文件密封且在外层包装上标明字样。</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外层包装应加封条密封，在封线处加盖公章（骑缝章），标明项目编号、项目名称，供应商全称（公章）、在</w:t>
      </w:r>
      <w:r>
        <w:rPr>
          <w:rFonts w:hint="eastAsia" w:ascii="仿宋" w:hAnsi="仿宋" w:eastAsia="仿宋" w:cs="仿宋"/>
          <w:color w:val="auto"/>
          <w:sz w:val="24"/>
          <w:szCs w:val="24"/>
          <w:highlight w:val="none"/>
        </w:rPr>
        <w:t>XXXX年XX月XX日XX：XX前不得启封</w:t>
      </w:r>
      <w:r>
        <w:rPr>
          <w:rFonts w:hint="eastAsia" w:ascii="仿宋" w:hAnsi="仿宋" w:eastAsia="仿宋" w:cs="仿宋"/>
          <w:color w:val="auto"/>
          <w:sz w:val="24"/>
          <w:szCs w:val="24"/>
          <w:highlight w:val="none"/>
          <w:lang w:val="zh-CN"/>
        </w:rPr>
        <w:t>等内容。</w:t>
      </w:r>
    </w:p>
    <w:p>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2、磋商响应文件的递交</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）供应商应在磋商文件要求提交磋商响应文件的截止时间前将磋商响应文件密封送达磋商地点，递交并办理签收手续。</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）对于需要提供必备资格文件和业绩原件等相关资料的采购项目，供应商应将其内容与磋商响应文件一起递交，并标明所提供资料原件的明细表（若文件未要求原件可不提供）。</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）在磋商文件要求提交磋商响应文件的截止时间之后送达的磋商响应文件和相关资料原件，为无效文件，采购代理机构拒绝接收。</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）采购代理机构在磋商文件规定的磋商响应文件递交截止时间前，只负责磋商响应文件和其相关资料原件的接收、登记和组织工作，对其磋商响应文件和相关资料原件的有效性不负任何责任。</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磋商响应文件递送后，在磋商截止期前，供应商可以补充、修改或撤回其磋商响应文件，并书面通知采购代理机构。补充、修改的内容应按磋商响应文件的要求签署、盖章，密封后，作为磋商响应文件的组成部分。</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）磋商截止时间后，供应商不得对其磋商响应文件做任何修改。</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napToGrid w:val="0"/>
        <w:spacing w:line="360" w:lineRule="auto"/>
        <w:ind w:firstLine="482" w:firstLineChars="200"/>
        <w:outlineLvl w:val="1"/>
        <w:rPr>
          <w:rFonts w:ascii="仿宋" w:hAnsi="仿宋" w:eastAsia="仿宋" w:cs="仿宋"/>
          <w:b/>
          <w:color w:val="auto"/>
          <w:sz w:val="24"/>
          <w:szCs w:val="24"/>
          <w:highlight w:val="none"/>
        </w:rPr>
      </w:pPr>
      <w:bookmarkStart w:id="227" w:name="_Toc7483"/>
      <w:bookmarkStart w:id="228" w:name="_Toc14638"/>
      <w:r>
        <w:rPr>
          <w:rFonts w:hint="eastAsia" w:ascii="仿宋" w:hAnsi="仿宋" w:eastAsia="仿宋" w:cs="仿宋"/>
          <w:b/>
          <w:color w:val="auto"/>
          <w:sz w:val="24"/>
          <w:szCs w:val="24"/>
          <w:highlight w:val="none"/>
        </w:rPr>
        <w:t>四、磋商小组组成及职责</w:t>
      </w:r>
      <w:bookmarkEnd w:id="227"/>
      <w:bookmarkEnd w:id="228"/>
    </w:p>
    <w:p>
      <w:pPr>
        <w:snapToGrid w:val="0"/>
        <w:spacing w:line="360" w:lineRule="auto"/>
        <w:ind w:firstLine="482" w:firstLineChars="200"/>
        <w:outlineLvl w:val="9"/>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（一）磋商小组的组成</w:t>
      </w:r>
    </w:p>
    <w:p>
      <w:pPr>
        <w:tabs>
          <w:tab w:val="left" w:pos="9030"/>
        </w:tabs>
        <w:snapToGrid w:val="0"/>
        <w:spacing w:line="360" w:lineRule="auto"/>
        <w:ind w:right="-65" w:firstLine="480" w:firstLineChars="200"/>
        <w:outlineLvl w:val="9"/>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本项目磋商小组为</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zh-CN"/>
        </w:rPr>
        <w:t>磋商小组成员在省级以上财政部门设立的政府采购评审专家库中随机抽取，其中评审专家不得少于成员总数的三分之二，磋商小组成员与供应商有利害关系的应当回避。</w:t>
      </w:r>
    </w:p>
    <w:p>
      <w:pPr>
        <w:tabs>
          <w:tab w:val="left" w:pos="9030"/>
        </w:tabs>
        <w:snapToGrid w:val="0"/>
        <w:spacing w:line="360" w:lineRule="auto"/>
        <w:ind w:right="-65" w:firstLine="482" w:firstLineChars="200"/>
        <w:outlineLvl w:val="9"/>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CN"/>
        </w:rPr>
        <w:t>磋商小组的职责</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磋商小组成员应当遵守并履行下列义务：</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1、遵纪守法，客观、公正、廉洁地履行职责，审查磋商响应文件是否符合竞争性磋商文件的要求，并做出评价；</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2、要求供应商对磋商响应文件有关事项作出解释或者澄清；</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3、按照竞争性磋商文件的要求和磋商办法进行评审，推荐成交候选供应商名单，对评审意见承担个人责任；</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4、对评审过程和结果以及供应商的商业秘密保密；</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5、编写磋商评审报告；</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6、配合采购代理机构答复供应商提出的质疑；</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7、配合财政部门的投诉处理工作；</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8、依据政府采购法有关精神，有权对磋商过程中出现的一切问题做出处理决定。</w:t>
      </w:r>
    </w:p>
    <w:p>
      <w:pPr>
        <w:snapToGrid w:val="0"/>
        <w:spacing w:line="360" w:lineRule="auto"/>
        <w:ind w:firstLine="482" w:firstLineChars="200"/>
        <w:outlineLvl w:val="9"/>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CN"/>
        </w:rPr>
        <w:t>（三）</w:t>
      </w:r>
      <w:r>
        <w:rPr>
          <w:rFonts w:hint="eastAsia" w:ascii="仿宋" w:hAnsi="仿宋" w:eastAsia="仿宋" w:cs="仿宋"/>
          <w:b/>
          <w:bCs/>
          <w:color w:val="auto"/>
          <w:sz w:val="24"/>
          <w:szCs w:val="24"/>
          <w:highlight w:val="none"/>
        </w:rPr>
        <w:t>磋商小组的职能</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1、审查参加磋商供应商的资质文件是否齐全、合法、有效；</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2、与各供应商就磋商响应文件（含澄清、说明或补正的内容）中的实施方案、磋商报价、业绩、商务响应等进行磋商；</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3、依据磋商文件，并视磋商情况，确定进入最终评审的供应商；</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4、排序推荐成交侯选人；</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5、协商处理磋商过程中出现的其它相关问题。</w:t>
      </w:r>
    </w:p>
    <w:p>
      <w:pPr>
        <w:snapToGrid w:val="0"/>
        <w:spacing w:line="360" w:lineRule="auto"/>
        <w:ind w:firstLine="482" w:firstLineChars="200"/>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磋商小组的权利</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有权对整个磋商过程中出现的一切问题，根据《中华人民共和国政府采购法》、《中华人民共和国政府采购实施条例》和《政府采购竞争性磋商采购方式管理暂行办法》的精神，本着公开、公平、公正的原则，进行处理。</w:t>
      </w:r>
    </w:p>
    <w:p>
      <w:pPr>
        <w:snapToGrid w:val="0"/>
        <w:spacing w:line="360" w:lineRule="auto"/>
        <w:ind w:firstLine="482" w:firstLineChars="200"/>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（五）磋商小组的义务</w:t>
      </w:r>
    </w:p>
    <w:p>
      <w:pPr>
        <w:snapToGrid w:val="0"/>
        <w:spacing w:line="360" w:lineRule="auto"/>
        <w:ind w:firstLine="480" w:firstLineChars="200"/>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竞争性磋商开始后，直到与成交的供应商签订合同为止，凡与审查、澄清、评价和比较各供应商的有关资料及意见等内容，磋商小组均不得向供应商及与磋商无关的其他人透露。</w:t>
      </w:r>
    </w:p>
    <w:p>
      <w:pPr>
        <w:snapToGrid w:val="0"/>
        <w:spacing w:line="360" w:lineRule="auto"/>
        <w:ind w:firstLine="482" w:firstLineChars="200"/>
        <w:outlineLvl w:val="1"/>
        <w:rPr>
          <w:rFonts w:ascii="仿宋" w:hAnsi="仿宋" w:eastAsia="仿宋" w:cs="仿宋"/>
          <w:b/>
          <w:color w:val="auto"/>
          <w:sz w:val="24"/>
          <w:szCs w:val="24"/>
          <w:highlight w:val="none"/>
        </w:rPr>
      </w:pPr>
      <w:bookmarkStart w:id="229" w:name="_Toc495908031"/>
      <w:bookmarkStart w:id="230" w:name="_Toc13067"/>
      <w:bookmarkStart w:id="231" w:name="_Toc24287"/>
      <w:bookmarkStart w:id="232" w:name="_Toc5639"/>
      <w:bookmarkStart w:id="233" w:name="_Toc9937"/>
      <w:bookmarkStart w:id="234" w:name="_Toc17170"/>
      <w:bookmarkStart w:id="235" w:name="_Toc11057"/>
      <w:bookmarkStart w:id="236" w:name="_Toc705"/>
      <w:bookmarkStart w:id="237" w:name="_Toc7591"/>
      <w:bookmarkStart w:id="238" w:name="_Toc495681386"/>
      <w:bookmarkStart w:id="239" w:name="_Toc18764"/>
      <w:bookmarkStart w:id="240" w:name="_Toc495681232"/>
      <w:bookmarkStart w:id="241" w:name="_Toc16740"/>
      <w:bookmarkStart w:id="242" w:name="_Toc32163"/>
      <w:bookmarkStart w:id="243" w:name="_Toc495681513"/>
      <w:bookmarkStart w:id="244" w:name="_Toc7227"/>
      <w:bookmarkStart w:id="245" w:name="_Toc6044"/>
      <w:bookmarkStart w:id="246" w:name="_Toc9971"/>
      <w:r>
        <w:rPr>
          <w:rFonts w:hint="eastAsia" w:ascii="仿宋" w:hAnsi="仿宋" w:eastAsia="仿宋" w:cs="仿宋"/>
          <w:b/>
          <w:color w:val="auto"/>
          <w:sz w:val="24"/>
          <w:szCs w:val="24"/>
          <w:highlight w:val="none"/>
        </w:rPr>
        <w:t>五、磋商会议</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（一）在磋商文件规定的时间和地点，由采购代理机构组织磋商工作，供应商委派代表参加，签名报到以证明其出席。磋商整个过程接受监督机构的监督和管理。</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（二）竞争性磋商会议进行时，由供应商或其推荐的代表与采购监标人共同检查响应文件的密封情况，经检查无误后，签字确认。</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（三）采购代理机构工作人员按照顺序，将各供应商首次响应文件的份数等内容公布，无异议后，由供应商法定代表人（或授权代表人）和监标人签字确认。</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color w:val="auto"/>
          <w:sz w:val="24"/>
          <w:szCs w:val="24"/>
          <w:highlight w:val="none"/>
        </w:rPr>
        <w:t>（四）磋商过程由采购代理机构指定专人记录。</w:t>
      </w:r>
    </w:p>
    <w:p>
      <w:pPr>
        <w:snapToGrid w:val="0"/>
        <w:spacing w:line="360" w:lineRule="auto"/>
        <w:ind w:firstLine="482" w:firstLineChars="200"/>
        <w:outlineLvl w:val="1"/>
        <w:rPr>
          <w:rFonts w:ascii="仿宋" w:hAnsi="仿宋" w:eastAsia="仿宋" w:cs="仿宋"/>
          <w:b/>
          <w:sz w:val="24"/>
          <w:szCs w:val="24"/>
          <w:highlight w:val="none"/>
        </w:rPr>
      </w:pPr>
      <w:bookmarkStart w:id="247" w:name="_Toc5745"/>
      <w:bookmarkStart w:id="248" w:name="_Toc19800"/>
      <w:bookmarkStart w:id="249" w:name="_Toc26932"/>
      <w:bookmarkStart w:id="250" w:name="_Toc13512"/>
      <w:r>
        <w:rPr>
          <w:rFonts w:hint="eastAsia" w:ascii="仿宋" w:hAnsi="仿宋" w:eastAsia="仿宋" w:cs="仿宋"/>
          <w:b/>
          <w:sz w:val="24"/>
          <w:szCs w:val="24"/>
          <w:highlight w:val="none"/>
        </w:rPr>
        <w:t>六、磋商评审程序及评审办法</w:t>
      </w:r>
      <w:bookmarkEnd w:id="247"/>
      <w:bookmarkEnd w:id="248"/>
      <w:bookmarkEnd w:id="249"/>
      <w:bookmarkEnd w:id="250"/>
    </w:p>
    <w:p>
      <w:pPr>
        <w:tabs>
          <w:tab w:val="left" w:pos="9030"/>
        </w:tabs>
        <w:snapToGrid w:val="0"/>
        <w:spacing w:line="360" w:lineRule="auto"/>
        <w:ind w:right="-65" w:firstLine="482" w:firstLineChars="200"/>
        <w:outlineLvl w:val="2"/>
        <w:rPr>
          <w:rFonts w:ascii="仿宋" w:hAnsi="仿宋" w:eastAsia="仿宋" w:cs="仿宋"/>
          <w:color w:val="auto"/>
          <w:sz w:val="24"/>
          <w:szCs w:val="24"/>
          <w:highlight w:val="none"/>
        </w:rPr>
      </w:pPr>
      <w:bookmarkStart w:id="251" w:name="_Toc9033"/>
      <w:bookmarkStart w:id="252" w:name="_Toc16990"/>
      <w:bookmarkStart w:id="253" w:name="_Toc8670"/>
      <w:bookmarkStart w:id="254" w:name="_Toc14716"/>
      <w:bookmarkStart w:id="255" w:name="_Toc4804"/>
      <w:bookmarkStart w:id="256" w:name="_Toc18470"/>
      <w:bookmarkStart w:id="257" w:name="_Toc27628"/>
      <w:bookmarkStart w:id="258" w:name="_Toc26970"/>
      <w:r>
        <w:rPr>
          <w:rFonts w:hint="eastAsia" w:ascii="仿宋" w:hAnsi="仿宋" w:eastAsia="仿宋" w:cs="仿宋"/>
          <w:b/>
          <w:bCs/>
          <w:color w:val="auto"/>
          <w:sz w:val="24"/>
          <w:szCs w:val="24"/>
          <w:highlight w:val="none"/>
        </w:rPr>
        <w:t>（一）磋商响应文件的资格性审查</w:t>
      </w:r>
      <w:bookmarkEnd w:id="251"/>
      <w:bookmarkEnd w:id="252"/>
      <w:bookmarkEnd w:id="253"/>
      <w:bookmarkEnd w:id="254"/>
      <w:bookmarkEnd w:id="25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19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bookmarkStart w:id="259" w:name="_Toc17500"/>
            <w:bookmarkStart w:id="260" w:name="_Toc3356"/>
            <w:bookmarkStart w:id="261" w:name="_Toc18630"/>
            <w:r>
              <w:rPr>
                <w:rFonts w:hint="eastAsia" w:ascii="仿宋" w:hAnsi="仿宋" w:eastAsia="仿宋" w:cs="仿宋"/>
                <w:color w:val="auto"/>
                <w:sz w:val="22"/>
                <w:szCs w:val="22"/>
                <w:highlight w:val="none"/>
                <w:vertAlign w:val="baseline"/>
                <w:lang w:eastAsia="zh-CN"/>
              </w:rPr>
              <w:t>序号</w:t>
            </w:r>
          </w:p>
        </w:tc>
        <w:tc>
          <w:tcPr>
            <w:tcW w:w="2195"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资格审查项</w:t>
            </w:r>
          </w:p>
        </w:tc>
        <w:tc>
          <w:tcPr>
            <w:tcW w:w="6019"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w:t>
            </w:r>
          </w:p>
        </w:tc>
        <w:tc>
          <w:tcPr>
            <w:tcW w:w="2195" w:type="dxa"/>
            <w:vAlign w:val="center"/>
          </w:tcPr>
          <w:p>
            <w:pPr>
              <w:spacing w:before="313" w:line="360" w:lineRule="auto"/>
              <w:ind w:right="112" w:rightChars="0"/>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9"/>
                <w:sz w:val="22"/>
                <w:szCs w:val="22"/>
                <w:highlight w:val="none"/>
              </w:rPr>
              <w:t>营业执照等主</w:t>
            </w:r>
            <w:r>
              <w:rPr>
                <w:rFonts w:hint="eastAsia" w:ascii="仿宋" w:hAnsi="仿宋" w:eastAsia="仿宋" w:cs="仿宋"/>
                <w:spacing w:val="20"/>
                <w:sz w:val="22"/>
                <w:szCs w:val="22"/>
                <w:highlight w:val="none"/>
              </w:rPr>
              <w:t>体资格证明文</w:t>
            </w:r>
            <w:r>
              <w:rPr>
                <w:rFonts w:hint="eastAsia" w:ascii="仿宋" w:hAnsi="仿宋" w:eastAsia="仿宋" w:cs="仿宋"/>
                <w:sz w:val="22"/>
                <w:szCs w:val="22"/>
                <w:highlight w:val="none"/>
              </w:rPr>
              <w:t>件</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sz w:val="22"/>
                <w:szCs w:val="22"/>
                <w:highlight w:val="none"/>
              </w:rPr>
              <w:t>提供统一社会信用代码的营业执照或其他组织经营的合法凭证或自然人的提供身份证明文件</w:t>
            </w:r>
            <w:r>
              <w:rPr>
                <w:rFonts w:hint="eastAsia" w:ascii="仿宋" w:hAnsi="仿宋" w:eastAsia="仿宋" w:cs="仿宋"/>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财务状况报告</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具有财务审计资质单位出具的2020年度财务报告或磋商前六个月内其基本账户银行出具的资信证明（附基本户证明资料）或财政部门认可的政府采购专业担保机构出具的担保函，以上形式的证明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社保缴纳证明</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提供已缴存的 2021年1月1日以来至少一个月的社会保障资金缴存单据或社保机构开具的社会保险参保缴费情况证明。成立时间至提交响应文件截止时间不足一个月或依法不需要缴纳社会保障资金的供应商应提供相关文件证明；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4</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税收缴纳证明</w:t>
            </w:r>
          </w:p>
        </w:tc>
        <w:tc>
          <w:tcPr>
            <w:tcW w:w="6019" w:type="dxa"/>
            <w:vAlign w:val="center"/>
          </w:tcPr>
          <w:p>
            <w:pPr>
              <w:spacing w:line="360" w:lineRule="auto"/>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提供已缴纳的 2021年1月1日以来至少一个月的纳税证明或完税证明（提供增值税、企业所得税至少一种），纳税证明或完税证明上应有代收机构或税务机关的公章或业务专用章。依法免税的供应商应提供相关文件证明。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w:t>
            </w:r>
          </w:p>
        </w:tc>
        <w:tc>
          <w:tcPr>
            <w:tcW w:w="2195" w:type="dxa"/>
            <w:vAlign w:val="center"/>
          </w:tcPr>
          <w:p>
            <w:pPr>
              <w:spacing w:before="78" w:line="360" w:lineRule="auto"/>
              <w:jc w:val="center"/>
              <w:outlineLvl w:val="9"/>
              <w:rPr>
                <w:rFonts w:hint="eastAsia" w:ascii="仿宋" w:hAnsi="仿宋" w:eastAsia="仿宋" w:cs="仿宋"/>
                <w:spacing w:val="-1"/>
                <w:sz w:val="22"/>
                <w:szCs w:val="22"/>
                <w:highlight w:val="none"/>
                <w:lang w:eastAsia="zh-CN"/>
              </w:rPr>
            </w:pPr>
            <w:r>
              <w:rPr>
                <w:rFonts w:hint="eastAsia" w:ascii="仿宋" w:hAnsi="仿宋" w:eastAsia="仿宋" w:cs="仿宋"/>
                <w:spacing w:val="-1"/>
                <w:sz w:val="22"/>
                <w:szCs w:val="22"/>
                <w:highlight w:val="none"/>
                <w:lang w:eastAsia="zh-CN"/>
              </w:rPr>
              <w:t>书面声明</w:t>
            </w:r>
          </w:p>
        </w:tc>
        <w:tc>
          <w:tcPr>
            <w:tcW w:w="6019" w:type="dxa"/>
            <w:vAlign w:val="center"/>
          </w:tcPr>
          <w:p>
            <w:pPr>
              <w:spacing w:line="360" w:lineRule="auto"/>
              <w:outlineLvl w:val="9"/>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出具履行合同所必需的设备和专业技术能力的书面声明</w:t>
            </w:r>
            <w:r>
              <w:rPr>
                <w:rFonts w:hint="eastAsia" w:ascii="仿宋" w:hAnsi="仿宋" w:eastAsia="仿宋" w:cs="仿宋"/>
                <w:sz w:val="22"/>
                <w:szCs w:val="22"/>
                <w:highlight w:val="none"/>
              </w:rPr>
              <w:t xml:space="preserve">； </w:t>
            </w:r>
          </w:p>
          <w:p>
            <w:pPr>
              <w:spacing w:line="360" w:lineRule="auto"/>
              <w:outlineLvl w:val="9"/>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 xml:space="preserve">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6</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2"/>
                <w:sz w:val="22"/>
                <w:szCs w:val="22"/>
                <w:highlight w:val="none"/>
              </w:rPr>
              <w:t>信用记录</w:t>
            </w:r>
          </w:p>
        </w:tc>
        <w:tc>
          <w:tcPr>
            <w:tcW w:w="6019" w:type="dxa"/>
            <w:vAlign w:val="center"/>
          </w:tcPr>
          <w:p>
            <w:pPr>
              <w:tabs>
                <w:tab w:val="left" w:pos="9030"/>
              </w:tabs>
              <w:snapToGrid w:val="0"/>
              <w:spacing w:line="360" w:lineRule="auto"/>
              <w:ind w:right="-65" w:firstLine="364" w:firstLineChars="200"/>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9"/>
                <w:sz w:val="22"/>
                <w:szCs w:val="22"/>
                <w:highlight w:val="none"/>
              </w:rPr>
              <w:t>经</w:t>
            </w:r>
            <w:r>
              <w:rPr>
                <w:rFonts w:hint="eastAsia" w:ascii="仿宋" w:hAnsi="仿宋" w:eastAsia="仿宋" w:cs="仿宋"/>
                <w:spacing w:val="-19"/>
                <w:sz w:val="22"/>
                <w:szCs w:val="22"/>
                <w:highlight w:val="none"/>
                <w:lang w:val="en-US" w:eastAsia="zh-CN"/>
              </w:rPr>
              <w:t>查询</w:t>
            </w:r>
            <w:r>
              <w:rPr>
                <w:rFonts w:hint="eastAsia" w:ascii="仿宋" w:hAnsi="仿宋" w:eastAsia="仿宋" w:cs="仿宋"/>
                <w:spacing w:val="-19"/>
                <w:sz w:val="22"/>
                <w:szCs w:val="22"/>
                <w:highlight w:val="none"/>
              </w:rPr>
              <w:t>，供应商未被列</w:t>
            </w:r>
            <w:r>
              <w:rPr>
                <w:rFonts w:hint="eastAsia" w:ascii="仿宋" w:hAnsi="仿宋" w:eastAsia="仿宋" w:cs="仿宋"/>
                <w:sz w:val="22"/>
                <w:szCs w:val="22"/>
                <w:highlight w:val="none"/>
              </w:rPr>
              <w:t xml:space="preserve"> </w:t>
            </w:r>
            <w:r>
              <w:rPr>
                <w:rFonts w:hint="eastAsia" w:ascii="仿宋" w:hAnsi="仿宋" w:eastAsia="仿宋" w:cs="仿宋"/>
                <w:spacing w:val="4"/>
                <w:sz w:val="22"/>
                <w:szCs w:val="22"/>
                <w:highlight w:val="none"/>
              </w:rPr>
              <w:t>入“信用中国”网站记录的“失信被执行</w:t>
            </w:r>
            <w:r>
              <w:rPr>
                <w:rFonts w:hint="eastAsia" w:ascii="仿宋" w:hAnsi="仿宋" w:eastAsia="仿宋" w:cs="仿宋"/>
                <w:spacing w:val="-5"/>
                <w:sz w:val="22"/>
                <w:szCs w:val="22"/>
                <w:highlight w:val="none"/>
              </w:rPr>
              <w:t>人”或“重大税收违法案件当事人”名单；</w:t>
            </w:r>
            <w:r>
              <w:rPr>
                <w:rFonts w:hint="eastAsia" w:ascii="仿宋" w:hAnsi="仿宋" w:eastAsia="仿宋" w:cs="仿宋"/>
                <w:spacing w:val="-8"/>
                <w:sz w:val="22"/>
                <w:szCs w:val="22"/>
                <w:highlight w:val="none"/>
              </w:rPr>
              <w:t>不处于“中国政府采购网”记录的“政府采</w:t>
            </w:r>
            <w:r>
              <w:rPr>
                <w:rFonts w:hint="eastAsia" w:ascii="仿宋" w:hAnsi="仿宋" w:eastAsia="仿宋" w:cs="仿宋"/>
                <w:spacing w:val="-4"/>
                <w:sz w:val="22"/>
                <w:szCs w:val="22"/>
                <w:highlight w:val="none"/>
              </w:rPr>
              <w:t>购严重违法失信行为记录名单”中的禁止</w:t>
            </w:r>
            <w:r>
              <w:rPr>
                <w:rFonts w:hint="eastAsia" w:ascii="仿宋" w:hAnsi="仿宋" w:eastAsia="仿宋" w:cs="仿宋"/>
                <w:sz w:val="22"/>
                <w:szCs w:val="22"/>
                <w:highlight w:val="none"/>
              </w:rPr>
              <w:t>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7</w:t>
            </w:r>
          </w:p>
        </w:tc>
        <w:tc>
          <w:tcPr>
            <w:tcW w:w="2195" w:type="dxa"/>
            <w:vAlign w:val="center"/>
          </w:tcPr>
          <w:p>
            <w:pPr>
              <w:spacing w:before="78" w:line="360" w:lineRule="auto"/>
              <w:jc w:val="center"/>
              <w:outlineLvl w:val="9"/>
              <w:rPr>
                <w:rFonts w:hint="eastAsia" w:ascii="仿宋" w:hAnsi="仿宋" w:eastAsia="仿宋" w:cs="仿宋"/>
                <w:spacing w:val="-2"/>
                <w:sz w:val="22"/>
                <w:szCs w:val="22"/>
                <w:highlight w:val="none"/>
              </w:rPr>
            </w:pPr>
            <w:r>
              <w:rPr>
                <w:rFonts w:ascii="仿宋" w:hAnsi="仿宋" w:eastAsia="仿宋" w:cs="仿宋"/>
                <w:spacing w:val="19"/>
                <w:sz w:val="22"/>
                <w:szCs w:val="22"/>
                <w:highlight w:val="none"/>
              </w:rPr>
              <w:t>法定代表人授</w:t>
            </w:r>
            <w:r>
              <w:rPr>
                <w:rFonts w:ascii="仿宋" w:hAnsi="仿宋" w:eastAsia="仿宋" w:cs="仿宋"/>
                <w:spacing w:val="-2"/>
                <w:sz w:val="22"/>
                <w:szCs w:val="22"/>
                <w:highlight w:val="none"/>
              </w:rPr>
              <w:t>权委托书</w:t>
            </w:r>
          </w:p>
        </w:tc>
        <w:tc>
          <w:tcPr>
            <w:tcW w:w="6019" w:type="dxa"/>
            <w:vAlign w:val="center"/>
          </w:tcPr>
          <w:p>
            <w:pPr>
              <w:spacing w:line="360" w:lineRule="auto"/>
              <w:ind w:firstLine="420" w:firstLineChars="200"/>
              <w:outlineLvl w:val="9"/>
              <w:rPr>
                <w:rFonts w:hint="eastAsia" w:ascii="仿宋" w:hAnsi="仿宋" w:eastAsia="仿宋" w:cs="仿宋"/>
                <w:spacing w:val="-19"/>
                <w:sz w:val="22"/>
                <w:szCs w:val="22"/>
                <w:highlight w:val="none"/>
                <w:lang w:eastAsia="zh-CN"/>
              </w:rPr>
            </w:pPr>
            <w:r>
              <w:rPr>
                <w:rFonts w:hint="eastAsia" w:ascii="仿宋" w:hAnsi="仿宋" w:eastAsia="仿宋" w:cs="仿宋"/>
                <w:spacing w:val="-5"/>
                <w:sz w:val="22"/>
                <w:szCs w:val="22"/>
                <w:highlight w:val="none"/>
              </w:rPr>
              <w:t>法定代表人参加</w:t>
            </w:r>
            <w:r>
              <w:rPr>
                <w:rFonts w:hint="eastAsia" w:ascii="仿宋" w:hAnsi="仿宋" w:eastAsia="仿宋" w:cs="仿宋"/>
                <w:spacing w:val="-5"/>
                <w:sz w:val="22"/>
                <w:szCs w:val="22"/>
                <w:highlight w:val="none"/>
                <w:lang w:eastAsia="zh-CN"/>
              </w:rPr>
              <w:t>磋商</w:t>
            </w:r>
            <w:r>
              <w:rPr>
                <w:rFonts w:hint="eastAsia" w:ascii="仿宋" w:hAnsi="仿宋" w:eastAsia="仿宋" w:cs="仿宋"/>
                <w:spacing w:val="-5"/>
                <w:sz w:val="22"/>
                <w:szCs w:val="22"/>
                <w:highlight w:val="none"/>
              </w:rPr>
              <w:t>的，须提供法定代表人身份证明；法定代表人授权他人参加</w:t>
            </w:r>
            <w:r>
              <w:rPr>
                <w:rFonts w:hint="eastAsia" w:ascii="仿宋" w:hAnsi="仿宋" w:eastAsia="仿宋" w:cs="仿宋"/>
                <w:spacing w:val="-5"/>
                <w:sz w:val="22"/>
                <w:szCs w:val="22"/>
                <w:highlight w:val="none"/>
                <w:lang w:eastAsia="zh-CN"/>
              </w:rPr>
              <w:t>磋商</w:t>
            </w:r>
            <w:r>
              <w:rPr>
                <w:rFonts w:hint="eastAsia" w:ascii="仿宋" w:hAnsi="仿宋" w:eastAsia="仿宋" w:cs="仿宋"/>
                <w:spacing w:val="-5"/>
                <w:sz w:val="22"/>
                <w:szCs w:val="22"/>
                <w:highlight w:val="none"/>
              </w:rPr>
              <w:t>的，须提供法定代表人授权委托书</w:t>
            </w:r>
            <w:r>
              <w:rPr>
                <w:rFonts w:hint="eastAsia" w:ascii="仿宋" w:hAnsi="仿宋" w:eastAsia="仿宋" w:cs="仿宋"/>
                <w:spacing w:val="-5"/>
                <w:sz w:val="22"/>
                <w:szCs w:val="22"/>
                <w:highlight w:val="none"/>
                <w:lang w:eastAsia="zh-CN"/>
              </w:rPr>
              <w:t>，</w:t>
            </w:r>
            <w:r>
              <w:rPr>
                <w:rFonts w:hint="eastAsia" w:ascii="仿宋" w:hAnsi="仿宋" w:eastAsia="仿宋" w:cs="仿宋"/>
                <w:spacing w:val="-5"/>
                <w:sz w:val="22"/>
                <w:szCs w:val="22"/>
                <w:highlight w:val="none"/>
              </w:rPr>
              <w:t>被授权代表本单位证明：有效的劳动合同或磋商截止前三个月的养老保险缴纳证明。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8</w:t>
            </w:r>
          </w:p>
        </w:tc>
        <w:tc>
          <w:tcPr>
            <w:tcW w:w="2195" w:type="dxa"/>
            <w:vAlign w:val="center"/>
          </w:tcPr>
          <w:p>
            <w:pPr>
              <w:spacing w:before="78" w:line="360" w:lineRule="auto"/>
              <w:jc w:val="center"/>
              <w:outlineLvl w:val="9"/>
              <w:rPr>
                <w:rFonts w:hint="eastAsia" w:ascii="仿宋" w:hAnsi="仿宋" w:eastAsia="仿宋" w:cs="仿宋"/>
                <w:spacing w:val="19"/>
                <w:sz w:val="22"/>
                <w:szCs w:val="22"/>
                <w:highlight w:val="none"/>
                <w:lang w:eastAsia="zh-CN"/>
              </w:rPr>
            </w:pPr>
            <w:r>
              <w:rPr>
                <w:rFonts w:hint="eastAsia" w:ascii="仿宋" w:hAnsi="仿宋" w:eastAsia="仿宋" w:cs="仿宋"/>
                <w:spacing w:val="19"/>
                <w:sz w:val="22"/>
                <w:szCs w:val="22"/>
                <w:highlight w:val="none"/>
                <w:lang w:eastAsia="zh-CN"/>
              </w:rPr>
              <w:t>其他资格要求</w:t>
            </w:r>
          </w:p>
        </w:tc>
        <w:tc>
          <w:tcPr>
            <w:tcW w:w="6019" w:type="dxa"/>
            <w:vAlign w:val="center"/>
          </w:tcPr>
          <w:p>
            <w:pPr>
              <w:spacing w:line="360" w:lineRule="auto"/>
              <w:ind w:firstLine="420" w:firstLineChars="200"/>
              <w:outlineLvl w:val="9"/>
              <w:rPr>
                <w:rFonts w:hint="eastAsia" w:ascii="仿宋" w:hAnsi="仿宋" w:eastAsia="仿宋" w:cs="仿宋"/>
                <w:spacing w:val="-5"/>
                <w:sz w:val="22"/>
                <w:szCs w:val="22"/>
                <w:highlight w:val="none"/>
                <w:lang w:eastAsia="zh-CN"/>
              </w:rPr>
            </w:pPr>
            <w:r>
              <w:rPr>
                <w:rFonts w:hint="eastAsia" w:ascii="仿宋" w:hAnsi="仿宋" w:eastAsia="仿宋" w:cs="仿宋"/>
                <w:spacing w:val="-5"/>
                <w:sz w:val="22"/>
                <w:szCs w:val="22"/>
                <w:highlight w:val="none"/>
                <w:lang w:val="en-US" w:eastAsia="zh-CN"/>
              </w:rPr>
              <w:t>1</w:t>
            </w:r>
            <w:r>
              <w:rPr>
                <w:rFonts w:hint="eastAsia" w:ascii="仿宋" w:hAnsi="仿宋" w:eastAsia="仿宋" w:cs="仿宋"/>
                <w:spacing w:val="-5"/>
                <w:sz w:val="22"/>
                <w:szCs w:val="22"/>
                <w:highlight w:val="none"/>
              </w:rPr>
              <w:t>、</w:t>
            </w:r>
            <w:r>
              <w:rPr>
                <w:rFonts w:hint="eastAsia" w:ascii="仿宋" w:hAnsi="仿宋" w:eastAsia="仿宋" w:cs="仿宋"/>
                <w:spacing w:val="-5"/>
                <w:sz w:val="22"/>
                <w:szCs w:val="22"/>
                <w:highlight w:val="none"/>
                <w:lang w:eastAsia="zh-CN"/>
              </w:rPr>
              <w:t>供应商具备建筑工程施工总承包贰级或以上资质，具有安全生产许可证；</w:t>
            </w:r>
          </w:p>
          <w:p>
            <w:pPr>
              <w:spacing w:line="360" w:lineRule="auto"/>
              <w:ind w:firstLine="420" w:firstLineChars="200"/>
              <w:outlineLvl w:val="9"/>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2</w:t>
            </w:r>
            <w:r>
              <w:rPr>
                <w:rFonts w:hint="eastAsia" w:ascii="仿宋" w:hAnsi="仿宋" w:eastAsia="仿宋" w:cs="仿宋"/>
                <w:spacing w:val="-5"/>
                <w:sz w:val="22"/>
                <w:szCs w:val="22"/>
                <w:highlight w:val="none"/>
              </w:rPr>
              <w:t>、拟派项目经理须具有建筑工程专业二级或以上注册建造师证书及安全生产考核合格证（B证）, 在本单位注册且无在建工程（承诺说明）；</w:t>
            </w:r>
          </w:p>
          <w:p>
            <w:pPr>
              <w:spacing w:line="360" w:lineRule="auto"/>
              <w:ind w:firstLine="420" w:firstLineChars="200"/>
              <w:outlineLvl w:val="9"/>
              <w:rPr>
                <w:rFonts w:hint="eastAsia"/>
                <w:highlight w:val="none"/>
              </w:rPr>
            </w:pPr>
            <w:r>
              <w:rPr>
                <w:rFonts w:hint="eastAsia" w:ascii="仿宋" w:hAnsi="仿宋" w:eastAsia="仿宋" w:cs="仿宋"/>
                <w:spacing w:val="-5"/>
                <w:sz w:val="22"/>
                <w:szCs w:val="22"/>
                <w:highlight w:val="none"/>
                <w:lang w:val="en-US" w:eastAsia="zh-CN"/>
              </w:rPr>
              <w:t>3</w:t>
            </w:r>
            <w:r>
              <w:rPr>
                <w:rFonts w:hint="eastAsia" w:ascii="仿宋" w:hAnsi="仿宋" w:eastAsia="仿宋" w:cs="仿宋"/>
                <w:spacing w:val="-5"/>
                <w:sz w:val="22"/>
                <w:szCs w:val="22"/>
                <w:highlight w:val="none"/>
              </w:rPr>
              <w:t>、外省企业需提供在陕西省建筑市场监管与诚信信息一体化平台入库证明。</w:t>
            </w:r>
          </w:p>
        </w:tc>
      </w:tr>
    </w:tbl>
    <w:p>
      <w:pPr>
        <w:tabs>
          <w:tab w:val="left" w:pos="9030"/>
        </w:tabs>
        <w:snapToGrid w:val="0"/>
        <w:spacing w:line="360" w:lineRule="auto"/>
        <w:ind w:right="-65" w:firstLine="482" w:firstLineChars="200"/>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lang w:val="zh-CN"/>
        </w:rPr>
        <w:t>说明：资格审查结束后，资格审查人员对审查结果进行签字确认，若供应商资格审查未通过，注明未通过原因并告知其供应商，资格审查不合格的供应商，不得进入下一评标环节。</w:t>
      </w:r>
    </w:p>
    <w:p>
      <w:pPr>
        <w:tabs>
          <w:tab w:val="left" w:pos="9030"/>
        </w:tabs>
        <w:snapToGrid w:val="0"/>
        <w:spacing w:line="360" w:lineRule="auto"/>
        <w:ind w:right="-65" w:firstLine="482" w:firstLineChars="200"/>
        <w:outlineLvl w:val="2"/>
        <w:rPr>
          <w:rFonts w:ascii="仿宋" w:hAnsi="仿宋" w:eastAsia="仿宋" w:cs="仿宋"/>
          <w:color w:val="auto"/>
          <w:sz w:val="24"/>
          <w:szCs w:val="24"/>
          <w:highlight w:val="none"/>
        </w:rPr>
      </w:pPr>
      <w:bookmarkStart w:id="262" w:name="_Toc28664"/>
      <w:bookmarkStart w:id="263" w:name="_Toc1257"/>
      <w:r>
        <w:rPr>
          <w:rFonts w:hint="eastAsia" w:ascii="仿宋" w:hAnsi="仿宋" w:eastAsia="仿宋" w:cs="仿宋"/>
          <w:b/>
          <w:bCs/>
          <w:color w:val="auto"/>
          <w:sz w:val="24"/>
          <w:szCs w:val="24"/>
          <w:highlight w:val="none"/>
        </w:rPr>
        <w:t>（二）磋商响应文件符合性审查</w:t>
      </w:r>
      <w:bookmarkEnd w:id="259"/>
      <w:bookmarkEnd w:id="260"/>
      <w:bookmarkEnd w:id="261"/>
      <w:bookmarkEnd w:id="262"/>
      <w:bookmarkEnd w:id="26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19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序号</w:t>
            </w:r>
          </w:p>
        </w:tc>
        <w:tc>
          <w:tcPr>
            <w:tcW w:w="2195"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ascii="仿宋" w:hAnsi="仿宋" w:eastAsia="仿宋" w:cs="仿宋"/>
                <w:spacing w:val="-1"/>
                <w:sz w:val="22"/>
                <w:szCs w:val="22"/>
                <w:highlight w:val="none"/>
              </w:rPr>
              <w:t>符合性审查项</w:t>
            </w:r>
          </w:p>
        </w:tc>
        <w:tc>
          <w:tcPr>
            <w:tcW w:w="6019"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w:t>
            </w:r>
          </w:p>
        </w:tc>
        <w:tc>
          <w:tcPr>
            <w:tcW w:w="2195" w:type="dxa"/>
            <w:vAlign w:val="center"/>
          </w:tcPr>
          <w:p>
            <w:pPr>
              <w:spacing w:before="313" w:line="360" w:lineRule="auto"/>
              <w:ind w:right="112" w:rightChars="0"/>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lang w:eastAsia="zh-CN"/>
              </w:rPr>
              <w:t>响应</w:t>
            </w:r>
            <w:r>
              <w:rPr>
                <w:rFonts w:ascii="仿宋" w:hAnsi="仿宋" w:eastAsia="仿宋" w:cs="仿宋"/>
                <w:spacing w:val="1"/>
                <w:sz w:val="22"/>
                <w:szCs w:val="22"/>
                <w:highlight w:val="none"/>
              </w:rPr>
              <w:t>文件语言及有效</w:t>
            </w:r>
            <w:r>
              <w:rPr>
                <w:rFonts w:ascii="仿宋" w:hAnsi="仿宋" w:eastAsia="仿宋" w:cs="仿宋"/>
                <w:sz w:val="22"/>
                <w:szCs w:val="22"/>
                <w:highlight w:val="none"/>
              </w:rPr>
              <w:t>期</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spacing w:val="1"/>
                <w:sz w:val="22"/>
                <w:szCs w:val="22"/>
                <w:highlight w:val="none"/>
                <w:lang w:eastAsia="zh-CN"/>
              </w:rPr>
              <w:t>响应</w:t>
            </w:r>
            <w:r>
              <w:rPr>
                <w:rFonts w:ascii="仿宋" w:hAnsi="仿宋" w:eastAsia="仿宋" w:cs="仿宋"/>
                <w:spacing w:val="1"/>
                <w:sz w:val="22"/>
                <w:szCs w:val="22"/>
                <w:highlight w:val="none"/>
              </w:rPr>
              <w:t>文件语言及有效期符合</w:t>
            </w:r>
            <w:r>
              <w:rPr>
                <w:rFonts w:hint="eastAsia" w:ascii="仿宋" w:hAnsi="仿宋" w:eastAsia="仿宋" w:cs="仿宋"/>
                <w:spacing w:val="1"/>
                <w:sz w:val="22"/>
                <w:szCs w:val="22"/>
                <w:highlight w:val="none"/>
                <w:lang w:eastAsia="zh-CN"/>
              </w:rPr>
              <w:t>磋商</w:t>
            </w:r>
            <w:r>
              <w:rPr>
                <w:rFonts w:ascii="仿宋" w:hAnsi="仿宋" w:eastAsia="仿宋" w:cs="仿宋"/>
                <w:spacing w:val="1"/>
                <w:sz w:val="22"/>
                <w:szCs w:val="22"/>
                <w:highlight w:val="none"/>
              </w:rPr>
              <w:t>文件</w:t>
            </w:r>
            <w:r>
              <w:rPr>
                <w:rFonts w:ascii="仿宋" w:hAnsi="仿宋" w:eastAsia="仿宋" w:cs="仿宋"/>
                <w:spacing w:val="-11"/>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lang w:eastAsia="zh-CN"/>
              </w:rPr>
              <w:t>响应</w:t>
            </w:r>
            <w:r>
              <w:rPr>
                <w:rFonts w:ascii="仿宋" w:hAnsi="仿宋" w:eastAsia="仿宋" w:cs="仿宋"/>
                <w:spacing w:val="1"/>
                <w:sz w:val="22"/>
                <w:szCs w:val="22"/>
                <w:highlight w:val="none"/>
              </w:rPr>
              <w:t>文件的</w:t>
            </w:r>
            <w:r>
              <w:rPr>
                <w:rFonts w:hint="eastAsia" w:ascii="仿宋" w:hAnsi="仿宋" w:eastAsia="仿宋" w:cs="仿宋"/>
                <w:spacing w:val="1"/>
                <w:sz w:val="22"/>
                <w:szCs w:val="22"/>
                <w:highlight w:val="none"/>
                <w:lang w:eastAsia="zh-CN"/>
              </w:rPr>
              <w:t>磋商响应</w:t>
            </w:r>
            <w:r>
              <w:rPr>
                <w:rFonts w:ascii="仿宋" w:hAnsi="仿宋" w:eastAsia="仿宋" w:cs="仿宋"/>
                <w:spacing w:val="1"/>
                <w:sz w:val="22"/>
                <w:szCs w:val="22"/>
                <w:highlight w:val="none"/>
              </w:rPr>
              <w:t>函以</w:t>
            </w:r>
            <w:r>
              <w:rPr>
                <w:rFonts w:ascii="仿宋" w:hAnsi="仿宋" w:eastAsia="仿宋" w:cs="仿宋"/>
                <w:sz w:val="22"/>
                <w:szCs w:val="22"/>
                <w:highlight w:val="none"/>
              </w:rPr>
              <w:t>及法定代表人授权委</w:t>
            </w:r>
            <w:r>
              <w:rPr>
                <w:rFonts w:ascii="仿宋" w:hAnsi="仿宋" w:eastAsia="仿宋" w:cs="仿宋"/>
                <w:spacing w:val="-4"/>
                <w:sz w:val="22"/>
                <w:szCs w:val="22"/>
                <w:highlight w:val="none"/>
              </w:rPr>
              <w:t>托书</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ascii="仿宋" w:hAnsi="仿宋" w:eastAsia="仿宋" w:cs="仿宋"/>
                <w:spacing w:val="-10"/>
                <w:sz w:val="22"/>
                <w:szCs w:val="22"/>
                <w:highlight w:val="none"/>
              </w:rPr>
              <w:t>二处均无遗漏，且所投项目名称、标</w:t>
            </w:r>
            <w:r>
              <w:rPr>
                <w:rFonts w:ascii="仿宋" w:hAnsi="仿宋" w:eastAsia="仿宋" w:cs="仿宋"/>
                <w:spacing w:val="1"/>
                <w:sz w:val="22"/>
                <w:szCs w:val="22"/>
                <w:highlight w:val="none"/>
              </w:rPr>
              <w:t>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磋商报价表</w:t>
            </w:r>
          </w:p>
        </w:tc>
        <w:tc>
          <w:tcPr>
            <w:tcW w:w="6019" w:type="dxa"/>
            <w:vAlign w:val="center"/>
          </w:tcPr>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rPr>
              <w:t xml:space="preserve">（1） </w:t>
            </w:r>
            <w:r>
              <w:rPr>
                <w:rFonts w:hint="eastAsia" w:ascii="仿宋" w:hAnsi="仿宋" w:eastAsia="仿宋" w:cs="仿宋"/>
                <w:color w:val="auto"/>
                <w:sz w:val="22"/>
                <w:szCs w:val="22"/>
                <w:highlight w:val="none"/>
                <w:vertAlign w:val="baseline"/>
                <w:lang w:eastAsia="zh-CN"/>
              </w:rPr>
              <w:t>磋商</w:t>
            </w:r>
            <w:r>
              <w:rPr>
                <w:rFonts w:hint="eastAsia" w:ascii="仿宋" w:hAnsi="仿宋" w:eastAsia="仿宋" w:cs="仿宋"/>
                <w:color w:val="auto"/>
                <w:sz w:val="22"/>
                <w:szCs w:val="22"/>
                <w:highlight w:val="none"/>
                <w:vertAlign w:val="baseline"/>
              </w:rPr>
              <w:t>报价符合唯一性要求：</w:t>
            </w:r>
          </w:p>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rPr>
              <w:t xml:space="preserve">（2） </w:t>
            </w:r>
            <w:r>
              <w:rPr>
                <w:rFonts w:hint="eastAsia" w:ascii="仿宋" w:hAnsi="仿宋" w:eastAsia="仿宋" w:cs="仿宋"/>
                <w:color w:val="auto"/>
                <w:sz w:val="22"/>
                <w:szCs w:val="22"/>
                <w:highlight w:val="none"/>
                <w:vertAlign w:val="baseline"/>
                <w:lang w:eastAsia="zh-CN"/>
              </w:rPr>
              <w:t>磋商报价表</w:t>
            </w:r>
            <w:r>
              <w:rPr>
                <w:rFonts w:hint="eastAsia" w:ascii="仿宋" w:hAnsi="仿宋" w:eastAsia="仿宋" w:cs="仿宋"/>
                <w:color w:val="auto"/>
                <w:sz w:val="22"/>
                <w:szCs w:val="22"/>
                <w:highlight w:val="none"/>
                <w:vertAlign w:val="baseline"/>
              </w:rPr>
              <w:t>填写符合要求；</w:t>
            </w:r>
          </w:p>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rPr>
              <w:t>（3） 计量单位、报价货币均符合</w:t>
            </w:r>
            <w:r>
              <w:rPr>
                <w:rFonts w:hint="eastAsia" w:ascii="仿宋" w:hAnsi="仿宋" w:eastAsia="仿宋" w:cs="仿宋"/>
                <w:color w:val="auto"/>
                <w:sz w:val="22"/>
                <w:szCs w:val="22"/>
                <w:highlight w:val="none"/>
                <w:vertAlign w:val="baseline"/>
                <w:lang w:eastAsia="zh-CN"/>
              </w:rPr>
              <w:t>磋商</w:t>
            </w:r>
            <w:r>
              <w:rPr>
                <w:rFonts w:hint="eastAsia" w:ascii="仿宋" w:hAnsi="仿宋" w:eastAsia="仿宋" w:cs="仿宋"/>
                <w:color w:val="auto"/>
                <w:sz w:val="22"/>
                <w:szCs w:val="22"/>
                <w:highlight w:val="none"/>
                <w:vertAlign w:val="baseline"/>
              </w:rPr>
              <w:t>文件要求；</w:t>
            </w:r>
          </w:p>
          <w:p>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rPr>
              <w:t>（4） 未超出采购预算或</w:t>
            </w:r>
            <w:r>
              <w:rPr>
                <w:rFonts w:hint="eastAsia" w:ascii="仿宋" w:hAnsi="仿宋" w:eastAsia="仿宋" w:cs="仿宋"/>
                <w:color w:val="auto"/>
                <w:sz w:val="22"/>
                <w:szCs w:val="22"/>
                <w:highlight w:val="none"/>
                <w:vertAlign w:val="baseline"/>
                <w:lang w:eastAsia="zh-CN"/>
              </w:rPr>
              <w:t>磋商</w:t>
            </w:r>
            <w:r>
              <w:rPr>
                <w:rFonts w:hint="eastAsia" w:ascii="仿宋" w:hAnsi="仿宋" w:eastAsia="仿宋" w:cs="仿宋"/>
                <w:color w:val="auto"/>
                <w:sz w:val="22"/>
                <w:szCs w:val="22"/>
                <w:highlight w:val="none"/>
                <w:vertAlign w:val="baseline"/>
              </w:rPr>
              <w:t>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4</w:t>
            </w:r>
          </w:p>
        </w:tc>
        <w:tc>
          <w:tcPr>
            <w:tcW w:w="2195" w:type="dxa"/>
            <w:vAlign w:val="center"/>
          </w:tcPr>
          <w:p>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rPr>
              <w:t>供应商承诺书</w:t>
            </w:r>
          </w:p>
        </w:tc>
        <w:tc>
          <w:tcPr>
            <w:tcW w:w="6019" w:type="dxa"/>
            <w:vAlign w:val="center"/>
          </w:tcPr>
          <w:p>
            <w:pPr>
              <w:spacing w:line="360" w:lineRule="auto"/>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color w:val="auto"/>
                <w:sz w:val="22"/>
                <w:szCs w:val="22"/>
                <w:highlight w:val="none"/>
                <w:vertAlign w:val="baseline"/>
                <w:lang w:eastAsia="zh-CN"/>
              </w:rPr>
              <w:t>完全理解并接受《</w:t>
            </w:r>
            <w:r>
              <w:rPr>
                <w:rFonts w:hint="eastAsia" w:ascii="仿宋" w:hAnsi="仿宋" w:eastAsia="仿宋" w:cs="仿宋"/>
                <w:color w:val="auto"/>
                <w:sz w:val="22"/>
                <w:szCs w:val="22"/>
                <w:highlight w:val="none"/>
                <w:vertAlign w:val="baseline"/>
                <w:lang w:val="zh-CN" w:eastAsia="zh-CN"/>
              </w:rPr>
              <w:t>供应商廉洁自律承诺书</w:t>
            </w:r>
            <w:r>
              <w:rPr>
                <w:rFonts w:hint="eastAsia" w:ascii="仿宋" w:hAnsi="仿宋" w:eastAsia="仿宋" w:cs="仿宋"/>
                <w:color w:val="auto"/>
                <w:sz w:val="22"/>
                <w:szCs w:val="22"/>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Align w:val="center"/>
          </w:tcPr>
          <w:p>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w:t>
            </w:r>
          </w:p>
        </w:tc>
        <w:tc>
          <w:tcPr>
            <w:tcW w:w="2195" w:type="dxa"/>
            <w:vAlign w:val="center"/>
          </w:tcPr>
          <w:p>
            <w:pPr>
              <w:spacing w:before="78" w:line="360" w:lineRule="auto"/>
              <w:jc w:val="center"/>
              <w:outlineLvl w:val="9"/>
              <w:rPr>
                <w:rFonts w:hint="eastAsia" w:ascii="仿宋" w:hAnsi="仿宋" w:eastAsia="仿宋" w:cs="仿宋"/>
                <w:spacing w:val="-1"/>
                <w:sz w:val="22"/>
                <w:szCs w:val="22"/>
                <w:highlight w:val="none"/>
                <w:lang w:eastAsia="zh-CN"/>
              </w:rPr>
            </w:pPr>
            <w:r>
              <w:rPr>
                <w:rFonts w:hint="eastAsia" w:ascii="仿宋" w:hAnsi="仿宋" w:eastAsia="仿宋" w:cs="仿宋"/>
                <w:spacing w:val="-1"/>
                <w:sz w:val="22"/>
                <w:szCs w:val="22"/>
                <w:highlight w:val="none"/>
                <w:lang w:eastAsia="zh-CN"/>
              </w:rPr>
              <w:t>无其</w:t>
            </w:r>
            <w:r>
              <w:rPr>
                <w:rFonts w:hint="eastAsia" w:ascii="仿宋" w:hAnsi="仿宋" w:eastAsia="仿宋" w:cs="仿宋"/>
                <w:spacing w:val="-1"/>
                <w:sz w:val="22"/>
                <w:szCs w:val="22"/>
                <w:highlight w:val="none"/>
                <w:lang w:val="en-US" w:eastAsia="zh-CN"/>
              </w:rPr>
              <w:t>它</w:t>
            </w:r>
            <w:r>
              <w:rPr>
                <w:rFonts w:hint="eastAsia" w:ascii="仿宋" w:hAnsi="仿宋" w:eastAsia="仿宋" w:cs="仿宋"/>
                <w:spacing w:val="-1"/>
                <w:sz w:val="22"/>
                <w:szCs w:val="22"/>
                <w:highlight w:val="none"/>
                <w:lang w:eastAsia="zh-CN"/>
              </w:rPr>
              <w:t>他磋商文件或法规明确规定响应无效的事项</w:t>
            </w:r>
          </w:p>
        </w:tc>
        <w:tc>
          <w:tcPr>
            <w:tcW w:w="6019" w:type="dxa"/>
            <w:vAlign w:val="center"/>
          </w:tcPr>
          <w:p>
            <w:pPr>
              <w:spacing w:line="360" w:lineRule="auto"/>
              <w:outlineLvl w:val="9"/>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没有</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不符合</w:t>
            </w:r>
            <w:r>
              <w:rPr>
                <w:rFonts w:hint="eastAsia" w:ascii="仿宋" w:hAnsi="仿宋" w:eastAsia="仿宋" w:cs="仿宋"/>
                <w:sz w:val="22"/>
                <w:szCs w:val="22"/>
                <w:highlight w:val="none"/>
                <w:lang w:eastAsia="zh-CN"/>
              </w:rPr>
              <w:t>磋商</w:t>
            </w:r>
            <w:r>
              <w:rPr>
                <w:rFonts w:hint="eastAsia" w:ascii="仿宋" w:hAnsi="仿宋" w:eastAsia="仿宋" w:cs="仿宋"/>
                <w:sz w:val="22"/>
                <w:szCs w:val="22"/>
                <w:highlight w:val="none"/>
              </w:rPr>
              <w:t>文件规定的被视为无效响应的</w:t>
            </w:r>
            <w:r>
              <w:rPr>
                <w:rFonts w:hint="eastAsia" w:ascii="仿宋" w:hAnsi="仿宋" w:eastAsia="仿宋" w:cs="仿宋"/>
                <w:spacing w:val="-1"/>
                <w:sz w:val="22"/>
                <w:szCs w:val="22"/>
                <w:highlight w:val="none"/>
                <w:lang w:eastAsia="zh-CN"/>
              </w:rPr>
              <w:t>其</w:t>
            </w:r>
            <w:r>
              <w:rPr>
                <w:rFonts w:hint="eastAsia" w:ascii="仿宋" w:hAnsi="仿宋" w:eastAsia="仿宋" w:cs="仿宋"/>
                <w:spacing w:val="-1"/>
                <w:sz w:val="22"/>
                <w:szCs w:val="22"/>
                <w:highlight w:val="none"/>
                <w:lang w:val="en-US" w:eastAsia="zh-CN"/>
              </w:rPr>
              <w:t>它</w:t>
            </w:r>
            <w:r>
              <w:rPr>
                <w:rFonts w:hint="eastAsia" w:ascii="仿宋" w:hAnsi="仿宋" w:eastAsia="仿宋" w:cs="仿宋"/>
                <w:sz w:val="22"/>
                <w:szCs w:val="22"/>
                <w:highlight w:val="none"/>
              </w:rPr>
              <w:t>条款</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情况</w:t>
            </w:r>
            <w:r>
              <w:rPr>
                <w:rFonts w:hint="eastAsia" w:ascii="仿宋" w:hAnsi="仿宋" w:eastAsia="仿宋" w:cs="仿宋"/>
                <w:sz w:val="22"/>
                <w:szCs w:val="22"/>
                <w:highlight w:val="none"/>
              </w:rPr>
              <w:t xml:space="preserve"> </w:t>
            </w:r>
          </w:p>
        </w:tc>
      </w:tr>
    </w:tbl>
    <w:p>
      <w:pPr>
        <w:tabs>
          <w:tab w:val="left" w:pos="9030"/>
        </w:tabs>
        <w:snapToGrid w:val="0"/>
        <w:spacing w:line="360" w:lineRule="auto"/>
        <w:ind w:right="-65" w:firstLine="482" w:firstLineChars="200"/>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lang w:val="zh-CN"/>
        </w:rPr>
        <w:t>说明：符合性审查结束后，符合性审核人员当对审查结果进行签字确认。若供应商符合性审查未通过，注明未通过原因并告知其供应商。符合性审查不合格的供应商，不得进入单一磋商环节。</w:t>
      </w:r>
    </w:p>
    <w:bookmarkEnd w:id="256"/>
    <w:bookmarkEnd w:id="257"/>
    <w:bookmarkEnd w:id="258"/>
    <w:p>
      <w:pPr>
        <w:tabs>
          <w:tab w:val="left" w:pos="9030"/>
        </w:tabs>
        <w:snapToGrid w:val="0"/>
        <w:spacing w:line="360" w:lineRule="auto"/>
        <w:ind w:right="-65" w:firstLine="482" w:firstLineChars="200"/>
        <w:outlineLvl w:val="2"/>
        <w:rPr>
          <w:rFonts w:hint="eastAsia" w:ascii="仿宋" w:hAnsi="仿宋" w:eastAsia="仿宋" w:cs="仿宋"/>
          <w:color w:val="auto"/>
          <w:sz w:val="24"/>
          <w:szCs w:val="24"/>
          <w:highlight w:val="none"/>
        </w:rPr>
      </w:pPr>
      <w:bookmarkStart w:id="264" w:name="_Toc28754"/>
      <w:bookmarkStart w:id="265" w:name="_Toc30393"/>
      <w:bookmarkStart w:id="266" w:name="_Toc8219"/>
      <w:bookmarkStart w:id="267" w:name="_Toc10188"/>
      <w:bookmarkStart w:id="268" w:name="_Toc2197"/>
      <w:r>
        <w:rPr>
          <w:rFonts w:hint="eastAsia" w:ascii="仿宋" w:hAnsi="仿宋" w:eastAsia="仿宋" w:cs="仿宋"/>
          <w:b/>
          <w:bCs/>
          <w:color w:val="auto"/>
          <w:sz w:val="24"/>
          <w:szCs w:val="24"/>
          <w:highlight w:val="none"/>
        </w:rPr>
        <w:t>（三）磋商响应文件的澄清、说明或者更正</w:t>
      </w:r>
      <w:bookmarkEnd w:id="264"/>
      <w:bookmarkEnd w:id="265"/>
    </w:p>
    <w:p>
      <w:pPr>
        <w:tabs>
          <w:tab w:val="left" w:pos="9030"/>
        </w:tabs>
        <w:snapToGrid w:val="0"/>
        <w:spacing w:line="360" w:lineRule="auto"/>
        <w:ind w:right="-6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30"/>
        </w:tabs>
        <w:snapToGrid w:val="0"/>
        <w:spacing w:line="360" w:lineRule="auto"/>
        <w:ind w:right="-6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3、报价出现前后不一致的，按照下列规定修正：</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磋商响应文件中第一次磋商报价表内容与磋商响应文件中相应内容不一致的，以第一次磋商报价表为准；</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大写金额和小写金额不一致的，以大写金额为准；</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单价金额小数点或者百分比有明显错位的，以第一次磋商报价表的总价为准，并修改单价；</w:t>
      </w:r>
    </w:p>
    <w:p>
      <w:pPr>
        <w:tabs>
          <w:tab w:val="left" w:pos="9030"/>
        </w:tabs>
        <w:snapToGrid w:val="0"/>
        <w:spacing w:line="360" w:lineRule="auto"/>
        <w:ind w:right="-65" w:firstLine="480" w:firstLineChars="200"/>
        <w:rPr>
          <w:rFonts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总价金额与按单价汇总金额不一致的，以单价金额计算结果为准。同时</w:t>
      </w:r>
      <w:r>
        <w:rPr>
          <w:rFonts w:hint="eastAsia" w:ascii="仿宋" w:hAnsi="仿宋" w:eastAsia="仿宋" w:cs="仿宋"/>
          <w:b/>
          <w:bCs/>
          <w:color w:val="auto"/>
          <w:sz w:val="24"/>
          <w:szCs w:val="24"/>
          <w:highlight w:val="none"/>
          <w:lang w:val="zh-CN"/>
        </w:rPr>
        <w:t>出现两种以上不一致的，按照前款规定的顺序修正。修正后的报价经供应商书面确认后产生约束力，供应商不确认的，其磋商无效。</w:t>
      </w:r>
    </w:p>
    <w:p>
      <w:pPr>
        <w:tabs>
          <w:tab w:val="left" w:pos="9030"/>
        </w:tabs>
        <w:snapToGrid w:val="0"/>
        <w:spacing w:line="360" w:lineRule="auto"/>
        <w:ind w:right="-65" w:firstLine="482" w:firstLineChars="200"/>
        <w:outlineLvl w:val="2"/>
        <w:rPr>
          <w:rFonts w:ascii="仿宋" w:hAnsi="仿宋" w:eastAsia="仿宋" w:cs="仿宋"/>
          <w:color w:val="auto"/>
          <w:sz w:val="24"/>
          <w:szCs w:val="24"/>
          <w:highlight w:val="none"/>
          <w:lang w:val="zh-CN"/>
        </w:rPr>
      </w:pPr>
      <w:bookmarkStart w:id="269" w:name="_Toc13624"/>
      <w:bookmarkStart w:id="270" w:name="_Toc30251"/>
      <w:bookmarkStart w:id="271" w:name="_Toc6206"/>
      <w:bookmarkStart w:id="272" w:name="_Toc15145"/>
      <w:bookmarkStart w:id="273" w:name="_Toc10917"/>
      <w:r>
        <w:rPr>
          <w:rFonts w:hint="eastAsia" w:ascii="仿宋" w:hAnsi="仿宋" w:eastAsia="仿宋" w:cs="仿宋"/>
          <w:b/>
          <w:bCs/>
          <w:color w:val="auto"/>
          <w:sz w:val="24"/>
          <w:szCs w:val="24"/>
          <w:highlight w:val="none"/>
          <w:lang w:val="zh-CN"/>
        </w:rPr>
        <w:t>（四）供应商存在下列情况之一的，磋商无效</w:t>
      </w:r>
      <w:bookmarkEnd w:id="269"/>
      <w:bookmarkEnd w:id="270"/>
      <w:bookmarkEnd w:id="271"/>
      <w:bookmarkEnd w:id="272"/>
      <w:bookmarkEnd w:id="273"/>
    </w:p>
    <w:p>
      <w:pPr>
        <w:tabs>
          <w:tab w:val="left" w:pos="9030"/>
        </w:tabs>
        <w:snapToGrid w:val="0"/>
        <w:spacing w:line="360" w:lineRule="auto"/>
        <w:ind w:right="-65"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1、供应商没有经过正常渠道获取磋商文件或供应商的名称与登记领取磋商文件单位的名称不符。</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lang w:val="zh-CN"/>
        </w:rPr>
        <w:t>不具备磋商文件中规定的资格要求的或提供的资格要求文件不符合磋商文件要求的；</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、磋商响应文件递交份数不符合磋商文件要求的；</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、磋商响应文件含有采购人不能接受的附加条件的;</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供应商串通参加磋商活动的，出现以下情形之一的：①不同供应商的磋商响应文件由同一单位或者个人编制；②不同供应商委托同一单位或者个人办理磋商事宜；③不同供应商的磋商响应文件载明的项目管理成员或者联系人员为同一人；④不同供应商的磋商响应文件异常一致或者磋商报价呈规律性差异；⑤不同供应商的磋商响应文件相互混装；</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、供应商出现多份报价，出现选择性报价的；</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、磋商报价与市场价偏离较大，低于成本，形成不正当竞争；</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、提供虚假证明，开具虚假资质，出现虚假应答，除按无效标处理外，还进行相应的处罚；</w:t>
      </w:r>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、报价超过磋商文件中规定的预算金额或者最高限价的。</w:t>
      </w:r>
    </w:p>
    <w:p>
      <w:pPr>
        <w:snapToGrid w:val="0"/>
        <w:spacing w:line="360" w:lineRule="auto"/>
        <w:ind w:firstLine="482" w:firstLineChars="200"/>
        <w:outlineLvl w:val="2"/>
        <w:rPr>
          <w:rFonts w:hint="eastAsia" w:ascii="仿宋" w:hAnsi="仿宋" w:eastAsia="仿宋" w:cs="仿宋"/>
          <w:b/>
          <w:bCs/>
          <w:color w:val="auto"/>
          <w:sz w:val="24"/>
          <w:szCs w:val="24"/>
          <w:highlight w:val="none"/>
          <w:lang w:eastAsia="zh-CN"/>
        </w:rPr>
      </w:pPr>
      <w:bookmarkStart w:id="274" w:name="_Toc20207"/>
      <w:bookmarkStart w:id="275" w:name="_Toc21482"/>
      <w:bookmarkStart w:id="276" w:name="_Toc15869"/>
      <w:bookmarkStart w:id="277" w:name="_Toc24982"/>
      <w:bookmarkStart w:id="278" w:name="_Toc14216"/>
      <w:r>
        <w:rPr>
          <w:rFonts w:hint="eastAsia" w:ascii="仿宋" w:hAnsi="仿宋" w:eastAsia="仿宋" w:cs="仿宋"/>
          <w:b/>
          <w:bCs/>
          <w:color w:val="auto"/>
          <w:sz w:val="24"/>
          <w:szCs w:val="24"/>
          <w:highlight w:val="none"/>
        </w:rPr>
        <w:t>（五）磋商</w:t>
      </w:r>
      <w:bookmarkEnd w:id="274"/>
      <w:bookmarkEnd w:id="275"/>
      <w:bookmarkEnd w:id="276"/>
      <w:r>
        <w:rPr>
          <w:rFonts w:hint="eastAsia" w:ascii="仿宋" w:hAnsi="仿宋" w:eastAsia="仿宋" w:cs="仿宋"/>
          <w:b/>
          <w:bCs/>
          <w:color w:val="auto"/>
          <w:sz w:val="24"/>
          <w:szCs w:val="24"/>
          <w:highlight w:val="none"/>
          <w:lang w:eastAsia="zh-CN"/>
        </w:rPr>
        <w:t>环节</w:t>
      </w:r>
      <w:bookmarkEnd w:id="277"/>
      <w:bookmarkEnd w:id="278"/>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磋商小组所有成员集中与</w:t>
      </w:r>
      <w:r>
        <w:rPr>
          <w:rFonts w:hint="eastAsia" w:ascii="仿宋" w:hAnsi="仿宋" w:eastAsia="仿宋" w:cs="仿宋"/>
          <w:color w:val="auto"/>
          <w:sz w:val="24"/>
          <w:szCs w:val="24"/>
          <w:highlight w:val="none"/>
          <w:lang w:eastAsia="zh-CN"/>
        </w:rPr>
        <w:t>各</w:t>
      </w:r>
      <w:r>
        <w:rPr>
          <w:rFonts w:hint="eastAsia" w:ascii="仿宋" w:hAnsi="仿宋" w:eastAsia="仿宋" w:cs="仿宋"/>
          <w:color w:val="auto"/>
          <w:sz w:val="24"/>
          <w:szCs w:val="24"/>
          <w:highlight w:val="none"/>
        </w:rPr>
        <w:t>供应商分别进行磋商，并给所有参加磋商供应商平等的磋商机会。</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6"/>
          <w:sz w:val="24"/>
          <w:szCs w:val="24"/>
          <w:highlight w:val="none"/>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2" w:firstLineChars="200"/>
        <w:outlineLvl w:val="2"/>
        <w:rPr>
          <w:rFonts w:ascii="仿宋" w:hAnsi="仿宋" w:eastAsia="仿宋" w:cs="仿宋"/>
          <w:color w:val="auto"/>
          <w:sz w:val="24"/>
          <w:szCs w:val="24"/>
          <w:highlight w:val="none"/>
        </w:rPr>
      </w:pPr>
      <w:bookmarkStart w:id="279" w:name="_Toc16133"/>
      <w:bookmarkStart w:id="280" w:name="_Toc7821"/>
      <w:bookmarkStart w:id="281" w:name="_Toc32415"/>
      <w:bookmarkStart w:id="282" w:name="_Toc22968"/>
      <w:bookmarkStart w:id="283" w:name="_Toc26852"/>
      <w:r>
        <w:rPr>
          <w:rFonts w:hint="eastAsia" w:ascii="仿宋" w:hAnsi="仿宋" w:eastAsia="仿宋" w:cs="仿宋"/>
          <w:b/>
          <w:bCs/>
          <w:color w:val="auto"/>
          <w:sz w:val="24"/>
          <w:szCs w:val="24"/>
          <w:highlight w:val="none"/>
        </w:rPr>
        <w:t>（六）最终报价</w:t>
      </w:r>
      <w:bookmarkEnd w:id="279"/>
      <w:bookmarkEnd w:id="280"/>
      <w:bookmarkEnd w:id="281"/>
      <w:bookmarkEnd w:id="282"/>
      <w:bookmarkEnd w:id="283"/>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文件不能详细列明采购标的的技术、服务要求，需经磋商由供应商提供最终设计方案或解决方案的，磋商结束后，磋商小组应当按照少数服从多数的原则投票推荐3家以上供应商的服务方案或者解决方案，并要求其在规定时间内提交最后报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3、最后报价是供应商响应文件的有效组成部分。</w:t>
      </w:r>
      <w:r>
        <w:rPr>
          <w:rFonts w:hint="eastAsia" w:ascii="仿宋" w:hAnsi="仿宋" w:eastAsia="仿宋" w:cs="仿宋"/>
          <w:snapToGrid w:val="0"/>
          <w:color w:val="auto"/>
          <w:kern w:val="0"/>
          <w:sz w:val="24"/>
          <w:szCs w:val="24"/>
          <w:highlight w:val="none"/>
        </w:rPr>
        <w:t>符合</w:t>
      </w:r>
      <w:r>
        <w:rPr>
          <w:rFonts w:hint="eastAsia" w:ascii="仿宋" w:hAnsi="仿宋" w:eastAsia="仿宋" w:cs="仿宋"/>
          <w:color w:val="auto"/>
          <w:sz w:val="24"/>
          <w:szCs w:val="24"/>
          <w:highlight w:val="none"/>
        </w:rPr>
        <w:t>《政府采购竞争性磋商采购方式管理暂行办法》</w:t>
      </w:r>
      <w:r>
        <w:rPr>
          <w:rFonts w:hint="eastAsia" w:ascii="仿宋" w:hAnsi="仿宋" w:eastAsia="仿宋" w:cs="仿宋"/>
          <w:snapToGrid w:val="0"/>
          <w:color w:val="auto"/>
          <w:kern w:val="0"/>
          <w:sz w:val="24"/>
          <w:szCs w:val="24"/>
          <w:highlight w:val="none"/>
        </w:rPr>
        <w:t>第三条第四项情形的</w:t>
      </w:r>
      <w:r>
        <w:rPr>
          <w:rFonts w:hint="eastAsia" w:ascii="仿宋" w:hAnsi="仿宋" w:eastAsia="仿宋" w:cs="仿宋"/>
          <w:color w:val="auto"/>
          <w:sz w:val="24"/>
          <w:szCs w:val="24"/>
          <w:highlight w:val="none"/>
        </w:rPr>
        <w:t>，提交最后报价的供应商可以为2家。</w:t>
      </w:r>
    </w:p>
    <w:p>
      <w:pPr>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4、最后报价应按首次报价的格式内容填写，且由法定代表人（或授权代表人）签字。</w:t>
      </w:r>
    </w:p>
    <w:p>
      <w:pPr>
        <w:snapToGrid w:val="0"/>
        <w:spacing w:line="360" w:lineRule="auto"/>
        <w:ind w:firstLine="480" w:firstLineChars="200"/>
        <w:outlineLvl w:val="2"/>
        <w:rPr>
          <w:rFonts w:ascii="仿宋" w:hAnsi="仿宋" w:eastAsia="仿宋" w:cs="仿宋"/>
          <w:sz w:val="24"/>
          <w:szCs w:val="24"/>
          <w:highlight w:val="none"/>
        </w:rPr>
      </w:pPr>
      <w:bookmarkStart w:id="284" w:name="_Toc29947"/>
      <w:r>
        <w:rPr>
          <w:rFonts w:hint="eastAsia" w:ascii="仿宋" w:hAnsi="仿宋" w:eastAsia="仿宋" w:cs="仿宋"/>
          <w:sz w:val="24"/>
          <w:szCs w:val="24"/>
          <w:highlight w:val="none"/>
        </w:rPr>
        <w:t>（七）</w:t>
      </w:r>
      <w:r>
        <w:rPr>
          <w:rFonts w:hint="eastAsia" w:ascii="仿宋" w:hAnsi="仿宋" w:eastAsia="仿宋" w:cs="仿宋"/>
          <w:sz w:val="24"/>
          <w:szCs w:val="24"/>
          <w:highlight w:val="none"/>
          <w:lang w:val="zh-CN"/>
        </w:rPr>
        <w:t>比较与评价</w:t>
      </w:r>
      <w:bookmarkEnd w:id="266"/>
      <w:bookmarkEnd w:id="267"/>
      <w:bookmarkEnd w:id="268"/>
      <w:bookmarkEnd w:id="284"/>
    </w:p>
    <w:p>
      <w:pPr>
        <w:snapToGrid w:val="0"/>
        <w:spacing w:line="360" w:lineRule="auto"/>
        <w:ind w:firstLine="480" w:firstLineChars="200"/>
        <w:rPr>
          <w:rFonts w:ascii="仿宋" w:hAnsi="仿宋" w:eastAsia="仿宋" w:cs="仿宋"/>
          <w:bCs/>
          <w:snapToGrid w:val="0"/>
          <w:kern w:val="0"/>
          <w:sz w:val="24"/>
          <w:szCs w:val="24"/>
          <w:highlight w:val="none"/>
        </w:rPr>
      </w:pPr>
      <w:r>
        <w:rPr>
          <w:rFonts w:hint="eastAsia" w:ascii="仿宋" w:hAnsi="仿宋" w:eastAsia="仿宋" w:cs="仿宋"/>
          <w:bCs/>
          <w:snapToGrid w:val="0"/>
          <w:kern w:val="0"/>
          <w:sz w:val="24"/>
          <w:szCs w:val="24"/>
          <w:highlight w:val="none"/>
        </w:rPr>
        <w:t>1.经磋商确定最终采购需求和提交最后报价的供应商后，由磋商小组采用综合评分法对提交最后报价的供应商的响应文件和最后报价进行综合评分。</w:t>
      </w:r>
    </w:p>
    <w:p>
      <w:pPr>
        <w:snapToGrid w:val="0"/>
        <w:spacing w:line="360" w:lineRule="auto"/>
        <w:ind w:firstLine="480" w:firstLineChars="200"/>
        <w:rPr>
          <w:rFonts w:ascii="仿宋" w:hAnsi="仿宋" w:eastAsia="仿宋" w:cs="仿宋"/>
          <w:bCs/>
          <w:snapToGrid w:val="0"/>
          <w:kern w:val="0"/>
          <w:sz w:val="24"/>
          <w:szCs w:val="24"/>
          <w:highlight w:val="none"/>
        </w:rPr>
      </w:pPr>
      <w:r>
        <w:rPr>
          <w:rFonts w:hint="eastAsia" w:ascii="仿宋" w:hAnsi="仿宋" w:eastAsia="仿宋" w:cs="仿宋"/>
          <w:bCs/>
          <w:snapToGrid w:val="0"/>
          <w:kern w:val="0"/>
          <w:sz w:val="24"/>
          <w:szCs w:val="24"/>
          <w:highlight w:val="none"/>
        </w:rPr>
        <w:t>2.评审方法：采用综合评分法，即对响应文件满足磋商文件全部实质性要求且按评审因素的量化指标评审得分最高的供应商为成交候选供应商的评审方法。</w:t>
      </w:r>
    </w:p>
    <w:p>
      <w:pPr>
        <w:snapToGrid w:val="0"/>
        <w:spacing w:line="360" w:lineRule="auto"/>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3. 评标因素及权重分解表（总计100分）</w:t>
      </w:r>
    </w:p>
    <w:tbl>
      <w:tblPr>
        <w:tblStyle w:val="2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222"/>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97"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评审因素</w:t>
            </w:r>
          </w:p>
        </w:tc>
        <w:tc>
          <w:tcPr>
            <w:tcW w:w="7222"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内     容</w:t>
            </w:r>
          </w:p>
        </w:tc>
        <w:tc>
          <w:tcPr>
            <w:tcW w:w="688"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权值</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tabs>
                <w:tab w:val="left" w:pos="420"/>
                <w:tab w:val="center" w:pos="4153"/>
                <w:tab w:val="right" w:pos="8306"/>
              </w:tabs>
              <w:adjustRightInd w:val="0"/>
              <w:spacing w:line="360" w:lineRule="auto"/>
              <w:jc w:val="center"/>
              <w:rPr>
                <w:rFonts w:ascii="仿宋" w:hAnsi="仿宋" w:eastAsia="仿宋" w:cs="仿宋"/>
                <w:kern w:val="0"/>
                <w:sz w:val="24"/>
                <w:szCs w:val="24"/>
                <w:highlight w:val="none"/>
              </w:rPr>
            </w:pPr>
          </w:p>
          <w:p>
            <w:pPr>
              <w:tabs>
                <w:tab w:val="left" w:pos="420"/>
                <w:tab w:val="center" w:pos="4153"/>
                <w:tab w:val="right" w:pos="8306"/>
              </w:tabs>
              <w:adjustRightInd w:val="0"/>
              <w:spacing w:line="36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磋商报价</w:t>
            </w:r>
          </w:p>
          <w:p>
            <w:pPr>
              <w:tabs>
                <w:tab w:val="left" w:pos="420"/>
                <w:tab w:val="center" w:pos="4153"/>
                <w:tab w:val="right" w:pos="8306"/>
              </w:tabs>
              <w:adjustRightInd w:val="0"/>
              <w:spacing w:line="360" w:lineRule="auto"/>
              <w:jc w:val="center"/>
              <w:rPr>
                <w:rFonts w:ascii="仿宋" w:hAnsi="仿宋" w:eastAsia="仿宋" w:cs="仿宋"/>
                <w:kern w:val="0"/>
                <w:sz w:val="24"/>
                <w:szCs w:val="24"/>
                <w:highlight w:val="none"/>
              </w:rPr>
            </w:pPr>
          </w:p>
        </w:tc>
        <w:tc>
          <w:tcPr>
            <w:tcW w:w="7222" w:type="dxa"/>
            <w:vAlign w:val="center"/>
          </w:tcPr>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满足磋商文件要求且磋商报价最低的投标价为评标基准价，其价格分为满分。</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磋商报价得分=（评审基准价／磋商报价）×价格权值×100。</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符合磋商文件规定的小微企业、监狱企业、</w:t>
            </w:r>
            <w:r>
              <w:rPr>
                <w:rFonts w:hint="eastAsia" w:ascii="仿宋" w:hAnsi="仿宋" w:eastAsia="仿宋" w:cs="仿宋"/>
                <w:sz w:val="24"/>
                <w:szCs w:val="24"/>
                <w:highlight w:val="none"/>
                <w:lang w:val="zh-CN"/>
              </w:rPr>
              <w:t>残疾人福利性单位</w:t>
            </w:r>
            <w:r>
              <w:rPr>
                <w:rFonts w:hint="eastAsia" w:ascii="仿宋" w:hAnsi="仿宋" w:eastAsia="仿宋" w:cs="仿宋"/>
                <w:sz w:val="24"/>
                <w:szCs w:val="24"/>
                <w:highlight w:val="none"/>
              </w:rPr>
              <w:t>优惠条件的供应商，价格给予3%的扣除，用扣除后的价格参与评审。</w:t>
            </w:r>
          </w:p>
        </w:tc>
        <w:tc>
          <w:tcPr>
            <w:tcW w:w="688"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97" w:type="dxa"/>
            <w:vAlign w:val="center"/>
          </w:tcPr>
          <w:p>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商务条款</w:t>
            </w:r>
          </w:p>
          <w:p>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响应程度</w:t>
            </w:r>
          </w:p>
        </w:tc>
        <w:tc>
          <w:tcPr>
            <w:tcW w:w="7222" w:type="dxa"/>
            <w:vAlign w:val="center"/>
          </w:tcPr>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1.磋商响应文件对付款、技术方案、质量保证、工期等商务要求进行响应说明，根据响应程度计0-</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分，无响应说明不计分；</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2.磋商响应文件按磋商文件规定的格式、顺序编制，有目录、编页码，装订成册，书面整洁无涂改，没有缺漏项，价格数量等计算准确的，计0-2分，编制有偏差的由专家酌情扣分。</w:t>
            </w:r>
          </w:p>
        </w:tc>
        <w:tc>
          <w:tcPr>
            <w:tcW w:w="688" w:type="dxa"/>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7" w:type="dxa"/>
            <w:vAlign w:val="center"/>
          </w:tcPr>
          <w:p>
            <w:pPr>
              <w:tabs>
                <w:tab w:val="left" w:pos="420"/>
                <w:tab w:val="center" w:pos="4153"/>
                <w:tab w:val="right" w:pos="8306"/>
              </w:tabs>
              <w:adjustRightInd w:val="0"/>
              <w:spacing w:line="36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施工组织</w:t>
            </w:r>
          </w:p>
          <w:p>
            <w:pPr>
              <w:tabs>
                <w:tab w:val="left" w:pos="420"/>
                <w:tab w:val="center" w:pos="4153"/>
                <w:tab w:val="right" w:pos="8306"/>
              </w:tabs>
              <w:adjustRightInd w:val="0"/>
              <w:spacing w:line="360" w:lineRule="auto"/>
              <w:jc w:val="center"/>
              <w:rPr>
                <w:rFonts w:ascii="仿宋" w:hAnsi="仿宋" w:eastAsia="仿宋" w:cs="仿宋"/>
                <w:kern w:val="0"/>
                <w:sz w:val="24"/>
                <w:szCs w:val="24"/>
                <w:highlight w:val="none"/>
              </w:rPr>
            </w:pPr>
            <w:r>
              <w:rPr>
                <w:rFonts w:hint="eastAsia" w:ascii="仿宋" w:hAnsi="仿宋" w:eastAsia="仿宋" w:cs="仿宋"/>
                <w:bCs/>
                <w:sz w:val="24"/>
                <w:szCs w:val="24"/>
                <w:highlight w:val="none"/>
              </w:rPr>
              <w:t>方案</w:t>
            </w:r>
          </w:p>
        </w:tc>
        <w:tc>
          <w:tcPr>
            <w:tcW w:w="7222" w:type="dxa"/>
            <w:vAlign w:val="center"/>
          </w:tcPr>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1.项目经理和项目部组成；根据响应程度计0-</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分</w:t>
            </w:r>
          </w:p>
          <w:p>
            <w:pPr>
              <w:snapToGrid w:val="0"/>
              <w:spacing w:line="360" w:lineRule="auto"/>
              <w:ind w:firstLine="482" w:firstLineChars="200"/>
              <w:rPr>
                <w:rFonts w:ascii="仿宋" w:hAnsi="仿宋" w:eastAsia="仿宋" w:cs="仿宋"/>
                <w:b/>
                <w:bCs/>
                <w:sz w:val="24"/>
                <w:szCs w:val="24"/>
                <w:highlight w:val="none"/>
              </w:rPr>
            </w:pPr>
            <w:r>
              <w:rPr>
                <w:rFonts w:ascii="仿宋" w:hAnsi="仿宋" w:eastAsia="仿宋" w:cs="仿宋"/>
                <w:b/>
                <w:bCs/>
                <w:sz w:val="24"/>
                <w:szCs w:val="24"/>
                <w:highlight w:val="none"/>
              </w:rPr>
              <w:t>2.施工方案和方法</w:t>
            </w:r>
            <w:r>
              <w:rPr>
                <w:rFonts w:hint="eastAsia" w:ascii="仿宋" w:hAnsi="仿宋" w:eastAsia="仿宋" w:cs="仿宋"/>
                <w:b/>
                <w:bCs/>
                <w:sz w:val="24"/>
                <w:szCs w:val="24"/>
                <w:highlight w:val="none"/>
                <w:lang w:eastAsia="zh-CN"/>
              </w:rPr>
              <w:t>，施工方案包括冬季施工方案及措施</w:t>
            </w:r>
            <w:r>
              <w:rPr>
                <w:rFonts w:ascii="仿宋" w:hAnsi="仿宋" w:eastAsia="仿宋" w:cs="仿宋"/>
                <w:b/>
                <w:bCs/>
                <w:sz w:val="24"/>
                <w:szCs w:val="24"/>
                <w:highlight w:val="none"/>
              </w:rPr>
              <w:t>；根据响应程度计0-</w:t>
            </w:r>
            <w:r>
              <w:rPr>
                <w:rFonts w:hint="eastAsia" w:ascii="仿宋" w:hAnsi="仿宋" w:eastAsia="仿宋" w:cs="仿宋"/>
                <w:b/>
                <w:bCs/>
                <w:sz w:val="24"/>
                <w:szCs w:val="24"/>
                <w:highlight w:val="none"/>
                <w:lang w:val="en-US" w:eastAsia="zh-CN"/>
              </w:rPr>
              <w:t>10</w:t>
            </w:r>
            <w:r>
              <w:rPr>
                <w:rFonts w:ascii="仿宋" w:hAnsi="仿宋" w:eastAsia="仿宋" w:cs="仿宋"/>
                <w:b/>
                <w:bCs/>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3.确保工期的技术组织措施；根据响应程度计0-</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4.确保工程质量的技术措施；根据响应程度计0-</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5.确保安全生产的技术组织措施；根据响应程度计0-</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6.施工部署及临时设施临时用地表；根据响应程度计0-</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7.确保文明施工的技术组织措施及环境保护</w:t>
            </w:r>
            <w:r>
              <w:rPr>
                <w:rFonts w:hint="eastAsia" w:ascii="仿宋" w:hAnsi="仿宋" w:eastAsia="仿宋" w:cs="仿宋"/>
                <w:sz w:val="24"/>
                <w:szCs w:val="24"/>
                <w:highlight w:val="none"/>
              </w:rPr>
              <w:t>、防尘治霾</w:t>
            </w:r>
            <w:r>
              <w:rPr>
                <w:rFonts w:ascii="仿宋" w:hAnsi="仿宋" w:eastAsia="仿宋" w:cs="仿宋"/>
                <w:sz w:val="24"/>
                <w:szCs w:val="24"/>
                <w:highlight w:val="none"/>
              </w:rPr>
              <w:t>措施；根据响应程度计0-</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8.主要机具、设备、人员配备情况根据响应程度计0-</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9.进度计划和工期目标；根据响应程度计0-</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分</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10.采用新技术、新工艺对提供工程质量、缩短工期、降低造价的可行性；根据响应程度计0-</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分</w:t>
            </w:r>
          </w:p>
          <w:p>
            <w:pPr>
              <w:snapToGrid w:val="0"/>
              <w:spacing w:line="360" w:lineRule="auto"/>
              <w:ind w:firstLine="480" w:firstLineChars="200"/>
              <w:rPr>
                <w:highlight w:val="none"/>
              </w:rPr>
            </w:pPr>
            <w:r>
              <w:rPr>
                <w:rFonts w:ascii="仿宋" w:hAnsi="仿宋" w:eastAsia="仿宋" w:cs="仿宋"/>
                <w:sz w:val="24"/>
                <w:szCs w:val="24"/>
                <w:highlight w:val="none"/>
              </w:rPr>
              <w:t>注：由磋商小组对供应商编制内容的完整性、合理性、可行性进行计分法评审。有缺项或只有标题并无实质性内容或有严重错误者，该项磋商小组评议得0分。</w:t>
            </w:r>
          </w:p>
        </w:tc>
        <w:tc>
          <w:tcPr>
            <w:tcW w:w="688" w:type="dxa"/>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597" w:type="dxa"/>
            <w:vAlign w:val="center"/>
          </w:tcPr>
          <w:p>
            <w:pPr>
              <w:widowControl/>
              <w:spacing w:line="360" w:lineRule="auto"/>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安全卡控</w:t>
            </w:r>
          </w:p>
        </w:tc>
        <w:tc>
          <w:tcPr>
            <w:tcW w:w="7222" w:type="dxa"/>
            <w:vAlign w:val="center"/>
          </w:tcPr>
          <w:p>
            <w:pPr>
              <w:pStyle w:val="16"/>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投标单位具有针对本项目的安全卡控措施，配备专业人员，提供相关证书或证明资料，</w:t>
            </w:r>
            <w:r>
              <w:rPr>
                <w:rFonts w:hint="eastAsia" w:ascii="仿宋" w:hAnsi="仿宋" w:eastAsia="仿宋" w:cs="仿宋"/>
                <w:sz w:val="24"/>
                <w:szCs w:val="24"/>
                <w:highlight w:val="none"/>
              </w:rPr>
              <w:t>根据响应程度计0-</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c>
          <w:tcPr>
            <w:tcW w:w="688" w:type="dxa"/>
            <w:vAlign w:val="center"/>
          </w:tcPr>
          <w:p>
            <w:pPr>
              <w:snapToGrid w:val="0"/>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97" w:type="dxa"/>
            <w:vAlign w:val="center"/>
          </w:tcPr>
          <w:p>
            <w:pPr>
              <w:widowControl/>
              <w:spacing w:line="360" w:lineRule="auto"/>
              <w:jc w:val="center"/>
              <w:rPr>
                <w:rFonts w:ascii="仿宋" w:hAnsi="仿宋" w:eastAsia="仿宋" w:cs="仿宋"/>
                <w:kern w:val="0"/>
                <w:sz w:val="24"/>
                <w:szCs w:val="24"/>
                <w:highlight w:val="none"/>
              </w:rPr>
            </w:pPr>
            <w:r>
              <w:rPr>
                <w:rFonts w:hint="eastAsia" w:ascii="仿宋" w:hAnsi="仿宋" w:eastAsia="仿宋" w:cs="仿宋"/>
                <w:bCs/>
                <w:sz w:val="24"/>
                <w:szCs w:val="24"/>
                <w:highlight w:val="none"/>
              </w:rPr>
              <w:t>业绩</w:t>
            </w:r>
          </w:p>
        </w:tc>
        <w:tc>
          <w:tcPr>
            <w:tcW w:w="7222" w:type="dxa"/>
            <w:vAlign w:val="center"/>
          </w:tcPr>
          <w:p>
            <w:pPr>
              <w:adjustRightInd w:val="0"/>
              <w:snapToGrid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供应商具有近三年（2018年1月至今以合同签订时间为准）的</w:t>
            </w:r>
            <w:r>
              <w:rPr>
                <w:rFonts w:hint="eastAsia" w:ascii="仿宋" w:hAnsi="仿宋" w:eastAsia="仿宋" w:cs="仿宋"/>
                <w:sz w:val="24"/>
                <w:szCs w:val="24"/>
                <w:highlight w:val="none"/>
                <w:lang w:eastAsia="zh-CN"/>
              </w:rPr>
              <w:t>同类项目</w:t>
            </w:r>
            <w:r>
              <w:rPr>
                <w:rFonts w:hint="eastAsia" w:ascii="仿宋" w:hAnsi="仿宋" w:eastAsia="仿宋" w:cs="仿宋"/>
                <w:sz w:val="24"/>
                <w:szCs w:val="24"/>
                <w:highlight w:val="none"/>
                <w:lang w:val="zh-CN"/>
              </w:rPr>
              <w:t>业绩证明文件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以中标通知书及合同为准，合同金额在50-100万的得1分，100万以上得2分，</w:t>
            </w:r>
            <w:r>
              <w:rPr>
                <w:rFonts w:hint="eastAsia" w:ascii="仿宋" w:hAnsi="仿宋" w:eastAsia="仿宋" w:cs="仿宋"/>
                <w:sz w:val="24"/>
                <w:szCs w:val="24"/>
                <w:highlight w:val="none"/>
              </w:rPr>
              <w:t>满分</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复印件加盖公章。（原件备查）</w:t>
            </w:r>
          </w:p>
        </w:tc>
        <w:tc>
          <w:tcPr>
            <w:tcW w:w="688" w:type="dxa"/>
            <w:vAlign w:val="center"/>
          </w:tcPr>
          <w:p>
            <w:pPr>
              <w:spacing w:line="360" w:lineRule="auto"/>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r>
    </w:tbl>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bookmarkStart w:id="285" w:name="_Toc23352"/>
      <w:bookmarkStart w:id="286" w:name="_Toc29455"/>
      <w:bookmarkStart w:id="287" w:name="_Toc28744"/>
      <w:bookmarkStart w:id="288" w:name="_Toc8287"/>
      <w:bookmarkStart w:id="289" w:name="_Toc3119"/>
      <w:bookmarkStart w:id="290" w:name="_Toc20897"/>
      <w:bookmarkStart w:id="291" w:name="_Toc11144"/>
      <w:bookmarkStart w:id="292" w:name="_Toc16046"/>
      <w:bookmarkStart w:id="293" w:name="_Toc22975"/>
      <w:bookmarkStart w:id="294" w:name="_Toc29879"/>
      <w:bookmarkStart w:id="295" w:name="_Toc15073"/>
      <w:bookmarkStart w:id="296" w:name="_Toc29155"/>
      <w:bookmarkStart w:id="297" w:name="_Toc495681393"/>
      <w:bookmarkStart w:id="298" w:name="_Toc495681239"/>
      <w:bookmarkStart w:id="299" w:name="_Toc495681520"/>
      <w:r>
        <w:rPr>
          <w:rFonts w:hint="eastAsia" w:ascii="仿宋" w:hAnsi="仿宋" w:eastAsia="仿宋" w:cs="仿宋"/>
          <w:color w:val="auto"/>
          <w:sz w:val="24"/>
          <w:szCs w:val="24"/>
          <w:highlight w:val="none"/>
          <w:lang w:val="zh-CN"/>
        </w:rPr>
        <w:t>4.其他事项说明</w:t>
      </w:r>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因落实政府采购政策进行价格调整的，以调整后的价格计算评审基准价和磋商报价。</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评审时，磋商小组根据以上内容进行综合比较，自主打分，分数四舍五入保留两位小数，独立对每个供应商的磋商响应文件进行评价，并汇总每个供应商的得分。</w:t>
      </w:r>
    </w:p>
    <w:p>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提供相同品牌产品且通过资格审查、符合性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pPr>
        <w:snapToGrid w:val="0"/>
        <w:spacing w:line="360" w:lineRule="auto"/>
        <w:ind w:firstLine="482" w:firstLineChars="200"/>
        <w:outlineLvl w:val="2"/>
        <w:rPr>
          <w:rFonts w:ascii="仿宋" w:hAnsi="仿宋" w:eastAsia="仿宋" w:cs="仿宋"/>
          <w:color w:val="auto"/>
          <w:sz w:val="24"/>
          <w:szCs w:val="24"/>
          <w:highlight w:val="none"/>
          <w:lang w:val="zh-CN"/>
        </w:rPr>
      </w:pPr>
      <w:bookmarkStart w:id="300" w:name="_Toc23688"/>
      <w:bookmarkStart w:id="301" w:name="_Toc28674"/>
      <w:bookmarkStart w:id="302" w:name="_Toc10717"/>
      <w:bookmarkStart w:id="303" w:name="_Toc22385"/>
      <w:bookmarkStart w:id="304" w:name="_Toc11941"/>
      <w:r>
        <w:rPr>
          <w:rFonts w:hint="eastAsia" w:ascii="仿宋" w:hAnsi="仿宋" w:eastAsia="仿宋" w:cs="仿宋"/>
          <w:b/>
          <w:bCs/>
          <w:color w:val="auto"/>
          <w:sz w:val="24"/>
          <w:szCs w:val="24"/>
          <w:highlight w:val="none"/>
          <w:lang w:val="zh-CN"/>
        </w:rPr>
        <w:t>（八）推荐成交候选供应商名单</w:t>
      </w:r>
      <w:bookmarkEnd w:id="300"/>
      <w:bookmarkEnd w:id="301"/>
      <w:bookmarkEnd w:id="302"/>
      <w:bookmarkEnd w:id="303"/>
      <w:bookmarkEnd w:id="304"/>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应当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pPr>
        <w:snapToGrid w:val="0"/>
        <w:spacing w:line="360" w:lineRule="auto"/>
        <w:ind w:firstLine="482" w:firstLineChars="200"/>
        <w:outlineLvl w:val="1"/>
        <w:rPr>
          <w:rFonts w:ascii="仿宋" w:hAnsi="仿宋" w:eastAsia="仿宋" w:cs="仿宋"/>
          <w:b/>
          <w:color w:val="auto"/>
          <w:sz w:val="24"/>
          <w:szCs w:val="24"/>
          <w:highlight w:val="none"/>
        </w:rPr>
      </w:pPr>
      <w:bookmarkStart w:id="305" w:name="_Toc495681514"/>
      <w:bookmarkStart w:id="306" w:name="_Toc19772"/>
      <w:bookmarkStart w:id="307" w:name="_Toc18707"/>
      <w:bookmarkStart w:id="308" w:name="_Toc5569"/>
      <w:bookmarkStart w:id="309" w:name="_Toc23562"/>
      <w:bookmarkStart w:id="310" w:name="_Toc495681387"/>
      <w:bookmarkStart w:id="311" w:name="_Toc5498"/>
      <w:bookmarkStart w:id="312" w:name="_Toc17968"/>
      <w:bookmarkStart w:id="313" w:name="_Toc8859"/>
      <w:bookmarkStart w:id="314" w:name="_Toc22513"/>
      <w:bookmarkStart w:id="315" w:name="_Toc16758"/>
      <w:bookmarkStart w:id="316" w:name="_Toc495908032"/>
      <w:bookmarkStart w:id="317" w:name="_Toc11824"/>
      <w:bookmarkStart w:id="318" w:name="_Toc14537"/>
      <w:bookmarkStart w:id="319" w:name="_Toc495681233"/>
      <w:bookmarkStart w:id="320" w:name="_Toc24654"/>
      <w:bookmarkStart w:id="321" w:name="_Toc21709"/>
      <w:bookmarkStart w:id="322" w:name="_Toc19450"/>
      <w:r>
        <w:rPr>
          <w:rFonts w:hint="eastAsia" w:ascii="仿宋" w:hAnsi="仿宋" w:eastAsia="仿宋" w:cs="仿宋"/>
          <w:b/>
          <w:color w:val="auto"/>
          <w:sz w:val="24"/>
          <w:szCs w:val="24"/>
          <w:highlight w:val="none"/>
        </w:rPr>
        <w:t>七、确定成交供应商</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（一）采购代理机构应在评审结束后两个工作日内，将评审报告送采购人确定成交供应商。</w:t>
      </w:r>
    </w:p>
    <w:p>
      <w:pPr>
        <w:snapToGrid w:val="0"/>
        <w:spacing w:line="360" w:lineRule="auto"/>
        <w:ind w:firstLine="480" w:firstLineChars="200"/>
        <w:rPr>
          <w:rFonts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（二）采购人在收到评审报告后五个工作日内，从评审报告提出的成交候选人中，</w:t>
      </w:r>
      <w:r>
        <w:rPr>
          <w:rFonts w:hint="eastAsia" w:ascii="仿宋" w:hAnsi="仿宋" w:eastAsia="仿宋" w:cs="仿宋"/>
          <w:snapToGrid w:val="0"/>
          <w:color w:val="auto"/>
          <w:kern w:val="0"/>
          <w:sz w:val="24"/>
          <w:szCs w:val="24"/>
          <w:highlight w:val="none"/>
        </w:rPr>
        <w:t>按照排序由高到低的原则确定成交供应商，也可以书面授权磋商小组直接确定成交供应商。</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（三）采购代理机构在接到采购人的“成交复函”确认文件后两个工作日内，在</w:t>
      </w:r>
      <w:r>
        <w:rPr>
          <w:rFonts w:hint="eastAsia" w:ascii="仿宋" w:hAnsi="仿宋" w:eastAsia="仿宋" w:cs="仿宋"/>
          <w:snapToGrid w:val="0"/>
          <w:color w:val="auto"/>
          <w:kern w:val="0"/>
          <w:sz w:val="24"/>
          <w:szCs w:val="24"/>
          <w:highlight w:val="none"/>
        </w:rPr>
        <w:t>省级以上财政部门指定的政府采购信息发布媒体上公告成交结果，同时向成交供应商发出成交通知书。</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zh-CN"/>
        </w:rPr>
        <w:t>供应商对成交公告有异议的，按照《中华人民共和国政府采购法》第五十二条之规定执行。提出质疑的供应商应当有明确的请求和必要的证明材料，应保证提出的质疑内容及相应证明材料的真实性及来源的合法性，并承担相应的法律责任。</w:t>
      </w:r>
    </w:p>
    <w:p>
      <w:pPr>
        <w:snapToGrid w:val="0"/>
        <w:spacing w:line="360" w:lineRule="auto"/>
        <w:ind w:firstLine="482" w:firstLineChars="200"/>
        <w:outlineLvl w:val="1"/>
        <w:rPr>
          <w:rFonts w:ascii="仿宋" w:hAnsi="仿宋" w:eastAsia="仿宋" w:cs="仿宋"/>
          <w:b/>
          <w:color w:val="auto"/>
          <w:sz w:val="24"/>
          <w:szCs w:val="24"/>
          <w:highlight w:val="none"/>
        </w:rPr>
      </w:pPr>
      <w:bookmarkStart w:id="323" w:name="_Toc495681515"/>
      <w:bookmarkStart w:id="324" w:name="_Toc12629"/>
      <w:bookmarkStart w:id="325" w:name="_Toc6019"/>
      <w:bookmarkStart w:id="326" w:name="_Toc27755"/>
      <w:bookmarkStart w:id="327" w:name="_Toc14377"/>
      <w:bookmarkStart w:id="328" w:name="_Toc22831"/>
      <w:bookmarkStart w:id="329" w:name="_Toc21581"/>
      <w:bookmarkStart w:id="330" w:name="_Toc495908033"/>
      <w:bookmarkStart w:id="331" w:name="_Toc28410"/>
      <w:bookmarkStart w:id="332" w:name="_Toc29069"/>
      <w:bookmarkStart w:id="333" w:name="_Toc495681234"/>
      <w:bookmarkStart w:id="334" w:name="_Toc3315"/>
      <w:bookmarkStart w:id="335" w:name="_Toc19132"/>
      <w:bookmarkStart w:id="336" w:name="_Toc18909"/>
      <w:bookmarkStart w:id="337" w:name="_Toc495681388"/>
      <w:bookmarkStart w:id="338" w:name="_Toc10276"/>
      <w:bookmarkStart w:id="339" w:name="_Toc13929"/>
      <w:bookmarkStart w:id="340" w:name="_Toc18122"/>
      <w:r>
        <w:rPr>
          <w:rFonts w:hint="eastAsia" w:ascii="仿宋" w:hAnsi="仿宋" w:eastAsia="仿宋" w:cs="仿宋"/>
          <w:b/>
          <w:color w:val="auto"/>
          <w:sz w:val="24"/>
          <w:szCs w:val="24"/>
          <w:highlight w:val="none"/>
        </w:rPr>
        <w:t>八、合同</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（一）采购人与成交供应商应当在成交通知书发出之日起30日内，</w:t>
      </w:r>
      <w:r>
        <w:rPr>
          <w:rFonts w:hint="eastAsia" w:ascii="仿宋" w:hAnsi="仿宋" w:eastAsia="仿宋" w:cs="仿宋"/>
          <w:color w:val="auto"/>
          <w:sz w:val="24"/>
          <w:szCs w:val="24"/>
          <w:highlight w:val="none"/>
          <w:lang w:val="zh-CN"/>
        </w:rPr>
        <w:t>按照磋商文件和成交供应商磋商响应文件的约定，采购人与成交供应商洽谈合同条款，并签订合同。磋商文件及成交供应商的磋商响应文件均作为合同的组成部分。</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（二）成交后，成交供应商无正当理由拖延或拒签合同，</w:t>
      </w:r>
      <w:r>
        <w:rPr>
          <w:rFonts w:hint="eastAsia" w:ascii="仿宋" w:hAnsi="仿宋" w:eastAsia="仿宋" w:cs="仿宋"/>
          <w:color w:val="auto"/>
          <w:sz w:val="24"/>
          <w:szCs w:val="24"/>
          <w:highlight w:val="none"/>
          <w:lang w:val="zh-CN"/>
        </w:rPr>
        <w:t>采购人可以按照评审报告推荐的成交候选人名单排序，确定下一候选人为成交供应商，也可以重新开展政府采购活动。</w:t>
      </w:r>
      <w:r>
        <w:rPr>
          <w:rFonts w:hint="eastAsia" w:ascii="仿宋" w:hAnsi="仿宋" w:eastAsia="仿宋" w:cs="仿宋"/>
          <w:color w:val="auto"/>
          <w:sz w:val="24"/>
          <w:szCs w:val="24"/>
          <w:highlight w:val="none"/>
        </w:rPr>
        <w:t>同时报请监督机构通报，取消其进入政府采购市场的资格，按规定予以处罚。</w:t>
      </w:r>
    </w:p>
    <w:p>
      <w:pPr>
        <w:autoSpaceDE w:val="0"/>
        <w:autoSpaceDN w:val="0"/>
        <w:adjustRightInd w:val="0"/>
        <w:snapToGrid w:val="0"/>
        <w:spacing w:line="360" w:lineRule="auto"/>
        <w:ind w:firstLine="482" w:firstLineChars="200"/>
        <w:outlineLvl w:val="1"/>
        <w:rPr>
          <w:rFonts w:ascii="仿宋" w:hAnsi="仿宋" w:eastAsia="仿宋" w:cs="仿宋"/>
          <w:b/>
          <w:color w:val="auto"/>
          <w:sz w:val="24"/>
          <w:szCs w:val="24"/>
          <w:highlight w:val="none"/>
          <w:lang w:val="zh-CN"/>
        </w:rPr>
      </w:pPr>
      <w:bookmarkStart w:id="341" w:name="_Toc25837"/>
      <w:bookmarkStart w:id="342" w:name="_Toc495681516"/>
      <w:bookmarkStart w:id="343" w:name="_Toc495671243"/>
      <w:bookmarkStart w:id="344" w:name="_Toc19711"/>
      <w:bookmarkStart w:id="345" w:name="_Toc22242"/>
      <w:bookmarkStart w:id="346" w:name="_Toc23721"/>
      <w:bookmarkStart w:id="347" w:name="_Toc13779"/>
      <w:bookmarkStart w:id="348" w:name="_Toc8437"/>
      <w:bookmarkStart w:id="349" w:name="_Toc17728"/>
      <w:bookmarkStart w:id="350" w:name="_Toc2657"/>
      <w:bookmarkStart w:id="351" w:name="_Toc21962"/>
      <w:bookmarkStart w:id="352" w:name="_Toc7116"/>
      <w:bookmarkStart w:id="353" w:name="_Toc9688"/>
      <w:bookmarkStart w:id="354" w:name="_Toc495681389"/>
      <w:bookmarkStart w:id="355" w:name="_Toc12204"/>
      <w:bookmarkStart w:id="356" w:name="_Toc9118"/>
      <w:bookmarkStart w:id="357" w:name="_Toc495681235"/>
      <w:bookmarkStart w:id="358" w:name="_Toc27365"/>
      <w:bookmarkStart w:id="359" w:name="_Toc495908034"/>
      <w:r>
        <w:rPr>
          <w:rFonts w:hint="eastAsia" w:ascii="仿宋" w:hAnsi="仿宋" w:eastAsia="仿宋" w:cs="仿宋"/>
          <w:b/>
          <w:color w:val="auto"/>
          <w:sz w:val="24"/>
          <w:szCs w:val="24"/>
          <w:highlight w:val="none"/>
          <w:lang w:val="zh-CN"/>
        </w:rPr>
        <w:t>九、成交合同的履约验收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政府采购合同的履行、违约责任和解决争议的方法等适用《中华人民共和国民法典》，采购人按照政府采购合同规定的技术、服务、安全标准组织对供应商履约情况进行验收，并出具验收书。</w:t>
      </w:r>
    </w:p>
    <w:p>
      <w:pPr>
        <w:snapToGrid w:val="0"/>
        <w:spacing w:line="360" w:lineRule="auto"/>
        <w:ind w:firstLine="482" w:firstLineChars="200"/>
        <w:outlineLvl w:val="1"/>
        <w:rPr>
          <w:rFonts w:ascii="仿宋" w:hAnsi="仿宋" w:eastAsia="仿宋" w:cs="仿宋"/>
          <w:b/>
          <w:color w:val="auto"/>
          <w:sz w:val="24"/>
          <w:szCs w:val="24"/>
          <w:highlight w:val="none"/>
        </w:rPr>
      </w:pPr>
      <w:bookmarkStart w:id="360" w:name="_Toc495908035"/>
      <w:bookmarkStart w:id="361" w:name="_Toc19"/>
      <w:bookmarkStart w:id="362" w:name="_Toc7570"/>
      <w:bookmarkStart w:id="363" w:name="_Toc495681236"/>
      <w:bookmarkStart w:id="364" w:name="_Toc18466"/>
      <w:bookmarkStart w:id="365" w:name="_Toc29492"/>
      <w:bookmarkStart w:id="366" w:name="_Toc29351"/>
      <w:bookmarkStart w:id="367" w:name="_Toc20679"/>
      <w:bookmarkStart w:id="368" w:name="_Toc25429"/>
      <w:bookmarkStart w:id="369" w:name="_Toc495681517"/>
      <w:bookmarkStart w:id="370" w:name="_Toc7638"/>
      <w:bookmarkStart w:id="371" w:name="_Toc22334"/>
      <w:bookmarkStart w:id="372" w:name="_Toc7379"/>
      <w:bookmarkStart w:id="373" w:name="_Toc21672"/>
      <w:bookmarkStart w:id="374" w:name="_Toc24838"/>
      <w:bookmarkStart w:id="375" w:name="_Toc26884"/>
      <w:bookmarkStart w:id="376" w:name="_Toc18844"/>
      <w:bookmarkStart w:id="377" w:name="_Toc495681390"/>
      <w:r>
        <w:rPr>
          <w:rFonts w:hint="eastAsia" w:ascii="仿宋" w:hAnsi="仿宋" w:eastAsia="仿宋" w:cs="仿宋"/>
          <w:b/>
          <w:color w:val="auto"/>
          <w:sz w:val="24"/>
          <w:szCs w:val="24"/>
          <w:highlight w:val="none"/>
        </w:rPr>
        <w:t>十、成交服务费</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 w:hAnsi="仿宋" w:eastAsia="仿宋" w:cs="仿宋"/>
          <w:color w:val="auto"/>
          <w:sz w:val="24"/>
          <w:szCs w:val="24"/>
          <w:highlight w:val="none"/>
        </w:rPr>
        <w:t>（一）本项目招标代理服务费由成交供应商在成交结果公示期满后三个工作日内按照标准支付给招标代理机构。</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pPr>
        <w:autoSpaceDE w:val="0"/>
        <w:autoSpaceDN w:val="0"/>
        <w:adjustRightInd w:val="0"/>
        <w:spacing w:line="360" w:lineRule="auto"/>
        <w:ind w:firstLine="64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备注：</w:t>
      </w:r>
      <w:r>
        <w:rPr>
          <w:rFonts w:hint="eastAsia" w:ascii="仿宋" w:hAnsi="仿宋" w:eastAsia="仿宋" w:cs="仿宋"/>
          <w:color w:val="auto"/>
          <w:sz w:val="24"/>
          <w:szCs w:val="24"/>
          <w:highlight w:val="none"/>
        </w:rPr>
        <w:t>成交服务费不足</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000元的，按</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000元收取。</w:t>
      </w:r>
    </w:p>
    <w:p>
      <w:pPr>
        <w:spacing w:line="360" w:lineRule="auto"/>
        <w:jc w:val="righ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单位：万元</w:t>
      </w:r>
    </w:p>
    <w:tbl>
      <w:tblPr>
        <w:tblStyle w:val="2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pPr>
              <w:spacing w:line="360" w:lineRule="auto"/>
              <w:ind w:firstLine="960" w:firstLineChars="400"/>
              <w:rPr>
                <w:rFonts w:ascii="仿宋" w:hAnsi="仿宋" w:eastAsia="仿宋" w:cs="仿宋"/>
                <w:b/>
                <w:color w:val="auto"/>
                <w:sz w:val="24"/>
                <w:szCs w:val="24"/>
                <w:highlight w:val="none"/>
              </w:rPr>
            </w:pPr>
            <w:r>
              <w:rPr>
                <w:rFonts w:ascii="仿宋" w:hAnsi="仿宋" w:eastAsia="仿宋" w:cs="仿宋"/>
                <w:color w:val="auto"/>
                <w:sz w:val="24"/>
                <w:szCs w:val="24"/>
                <w:highlight w:val="none"/>
              </w:rPr>
              <w:pict>
                <v:shape id="_x0000_s2052" o:spid="_x0000_s2052" o:spt="32" type="#_x0000_t32" style="position:absolute;left:0pt;margin-left:-6.35pt;margin-top:0.25pt;height:45.45pt;width:123.7pt;z-index:251660288;mso-width-relative:page;mso-height-relative:page;" filled="f"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2zID9UAAAAHAQAADwAAAAAAAAABACAAAAAiAAAAZHJz&#10;L2Rvd25yZXYueG1sUEsBAhQAFAAAAAgAh07iQDe2uocHAgAA/QMAAA4AAAAAAAAAAQAgAAAAJAEA&#10;AGRycy9lMm9Eb2MueG1sUEsFBgAAAAAGAAYAWQEAAJ0FAAAAAA==&#10;">
                  <v:path arrowok="t"/>
                  <v:fill on="f" focussize="0,0"/>
                  <v:stroke/>
                  <v:imagedata o:title=""/>
                  <o:lock v:ext="edit"/>
                </v:shape>
              </w:pict>
            </w:r>
            <w:r>
              <w:rPr>
                <w:rFonts w:hint="eastAsia" w:ascii="仿宋" w:hAnsi="仿宋" w:eastAsia="仿宋" w:cs="仿宋"/>
                <w:b/>
                <w:color w:val="auto"/>
                <w:sz w:val="24"/>
                <w:szCs w:val="24"/>
                <w:highlight w:val="none"/>
              </w:rPr>
              <w:t>采购类型</w:t>
            </w:r>
          </w:p>
          <w:p>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w:t>
            </w:r>
          </w:p>
        </w:tc>
        <w:tc>
          <w:tcPr>
            <w:tcW w:w="198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w:t>
            </w:r>
          </w:p>
        </w:tc>
        <w:tc>
          <w:tcPr>
            <w:tcW w:w="198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服务招标</w:t>
            </w:r>
          </w:p>
        </w:tc>
        <w:tc>
          <w:tcPr>
            <w:tcW w:w="1980" w:type="dxa"/>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10000-100000</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1000000以上</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r>
    </w:tbl>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（三）成交供应商服务费交纳信息：</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银行户名：陕西笃信招标有限公司</w:t>
      </w:r>
    </w:p>
    <w:p>
      <w:pPr>
        <w:tabs>
          <w:tab w:val="left" w:pos="9030"/>
        </w:tabs>
        <w:snapToGrid w:val="0"/>
        <w:spacing w:line="360" w:lineRule="auto"/>
        <w:ind w:right="-6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开户银行：中国建设银行股份有限公司西安劳动北路支行</w:t>
      </w:r>
    </w:p>
    <w:p>
      <w:pPr>
        <w:tabs>
          <w:tab w:val="left" w:pos="9030"/>
        </w:tabs>
        <w:snapToGrid w:val="0"/>
        <w:spacing w:line="360" w:lineRule="auto"/>
        <w:ind w:right="-6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号：61050174390000000193</w:t>
      </w:r>
    </w:p>
    <w:p>
      <w:pPr>
        <w:autoSpaceDE w:val="0"/>
        <w:autoSpaceDN w:val="0"/>
        <w:adjustRightInd w:val="0"/>
        <w:snapToGrid w:val="0"/>
        <w:spacing w:line="360" w:lineRule="auto"/>
        <w:ind w:firstLine="627"/>
        <w:outlineLvl w:val="1"/>
        <w:rPr>
          <w:rFonts w:hint="eastAsia" w:ascii="仿宋" w:hAnsi="仿宋" w:eastAsia="仿宋" w:cs="仿宋"/>
          <w:b/>
          <w:sz w:val="24"/>
          <w:szCs w:val="24"/>
          <w:highlight w:val="none"/>
          <w:lang w:val="zh-CN"/>
        </w:rPr>
      </w:pPr>
      <w:bookmarkStart w:id="378" w:name="_Toc12871"/>
      <w:bookmarkStart w:id="379" w:name="_Toc13932"/>
      <w:bookmarkStart w:id="380" w:name="_Toc23881"/>
      <w:bookmarkStart w:id="381" w:name="_Toc18260"/>
      <w:bookmarkStart w:id="382" w:name="_Toc16324"/>
      <w:bookmarkStart w:id="383" w:name="_Toc21416"/>
      <w:r>
        <w:rPr>
          <w:rFonts w:hint="eastAsia" w:ascii="仿宋" w:hAnsi="仿宋" w:eastAsia="仿宋" w:cs="仿宋"/>
          <w:b/>
          <w:sz w:val="24"/>
          <w:szCs w:val="24"/>
          <w:highlight w:val="none"/>
          <w:lang w:val="zh-CN"/>
        </w:rPr>
        <w:t>十一、需要落实的政府采购政策</w:t>
      </w:r>
      <w:bookmarkEnd w:id="378"/>
      <w:bookmarkEnd w:id="379"/>
      <w:bookmarkEnd w:id="380"/>
      <w:bookmarkEnd w:id="381"/>
      <w:bookmarkEnd w:id="382"/>
      <w:bookmarkEnd w:id="383"/>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落实促进支持中小企业、监狱企业、残疾人福利性单位发展、脱贫攻坚工作的政策(如为专门面向中小企业的采购项目（或采购包），不执行</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条款。)</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《政府采购促进中小企业发展管理办法》（财库〔2020〕46号）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在政府采购活动中，供应商提供的货物、工程或者服务符合下列情形的，享受《办法》规定的中小企业扶持政策: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)在货物采购项目中，货物由中小企业制造，即货物由中小企业生产且使用该中小企业商号或者注册商标；</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)在工程采购项目中，工程由中小企业承建，即工程施工单位为中小企业；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)在服务采购项目中，服务由中小企业承接，即提供服务的人员为中小企业依照《中华人民共和国劳动合同法》订立劳动合同的从业人员。</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在货物采购项目中，供应商提供的货物既有中小企业制造货物，也有大型企业制造货物的，不享受《办法》规定的中小企业扶持政策。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依据《办法》规定享受扶持政策获得政府采购合同的，小微企业不得将合同分包给大中型企业，中型企业不得将合同分包给大型企业。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的相关规定，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《财政部 司法部关于政府采购支持监狱企业发展有关问题的通知》（财库〔2014〕68号）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《三部门联合发布关于促进残疾人就业政府采购政策的通知》（财库〔2017〕141号）；</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落实优先采购节能、环保产品的政策</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据《财政部 国家发展改革委关于印发〈节能产品政府采购实施意见〉的通知》（财库〔2004〕185号）规定“政府采购属于节能产品品目清单的，在技术、服务等指标同等条件下，应当优先采购节能品目清单的节能产品。”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根据《财政部环保总局关于环境标志产品政府采购实施的意见》（财库〔2006〕90号）规定“采购人采购的产品属于环境标志产品政府采购清单中品目的，在性能、技术、服务等指标同等条件下，应当优先采购清单中的产品”。</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 “节能产品政府采购品目清单”的，应提供相关证书复印件，相关证书的颁发机构应来自《参与实施政府采购节能产品认证机构名录》。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所有投标产品进入“环境标志产品政府采购品目清单”的，应提供相关证书复印件，相关证书的颁发机构应来自《参与实施政府采购环境标志产品认证机构名录》。</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政府采购信用融资政策</w:t>
      </w:r>
    </w:p>
    <w:p>
      <w:pPr>
        <w:autoSpaceDE w:val="0"/>
        <w:autoSpaceDN w:val="0"/>
        <w:adjustRightInd w:val="0"/>
        <w:snapToGrid w:val="0"/>
        <w:spacing w:line="360" w:lineRule="auto"/>
        <w:ind w:firstLine="646"/>
        <w:rPr>
          <w:rFonts w:ascii="仿宋" w:hAnsi="仿宋" w:eastAsia="仿宋" w:cs="仿宋"/>
          <w:color w:val="auto"/>
          <w:sz w:val="24"/>
          <w:szCs w:val="24"/>
          <w:highlight w:val="none"/>
          <w:lang w:val="zh-CN"/>
        </w:rPr>
      </w:pPr>
      <w:bookmarkStart w:id="384" w:name="_Toc8951"/>
      <w:bookmarkStart w:id="385" w:name="_Toc19879"/>
      <w:bookmarkStart w:id="386" w:name="_Toc5903"/>
      <w:bookmarkStart w:id="387" w:name="_Toc18813"/>
      <w:r>
        <w:rPr>
          <w:rFonts w:hint="eastAsia" w:ascii="仿宋" w:hAnsi="仿宋" w:eastAsia="仿宋" w:cs="仿宋"/>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r>
        <w:rPr>
          <w:rFonts w:hint="eastAsia" w:ascii="仿宋" w:hAnsi="仿宋" w:eastAsia="仿宋" w:cs="仿宋"/>
          <w:color w:val="auto"/>
          <w:sz w:val="24"/>
          <w:szCs w:val="24"/>
          <w:highlight w:val="none"/>
          <w:lang w:val="zh-CN"/>
        </w:rPr>
        <w:t> </w:t>
      </w:r>
    </w:p>
    <w:p>
      <w:pPr>
        <w:keepNext w:val="0"/>
        <w:keepLines w:val="0"/>
        <w:kinsoku/>
        <w:wordWrap/>
        <w:overflowPunct/>
        <w:topLinePunct w:val="0"/>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w:t>
      </w:r>
      <w:r>
        <w:rPr>
          <w:rFonts w:hint="eastAsia" w:ascii="仿宋" w:hAnsi="仿宋" w:eastAsia="仿宋" w:cs="仿宋"/>
          <w:sz w:val="24"/>
          <w:szCs w:val="24"/>
          <w:highlight w:val="none"/>
          <w:lang w:val="en-US" w:eastAsia="zh-CN"/>
        </w:rPr>
        <w:t>进入陕西省政府采购信用融资平台</w:t>
      </w:r>
      <w:r>
        <w:rPr>
          <w:rFonts w:hint="eastAsia" w:ascii="仿宋" w:hAnsi="仿宋" w:eastAsia="仿宋" w:cs="仿宋"/>
          <w:sz w:val="24"/>
          <w:szCs w:val="24"/>
          <w:highlight w:val="none"/>
        </w:rPr>
        <w:t>查询了解。</w:t>
      </w:r>
    </w:p>
    <w:p>
      <w:pPr>
        <w:autoSpaceDE w:val="0"/>
        <w:autoSpaceDN w:val="0"/>
        <w:adjustRightInd w:val="0"/>
        <w:snapToGrid w:val="0"/>
        <w:spacing w:line="360" w:lineRule="auto"/>
        <w:ind w:firstLine="646"/>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后附：</w:t>
      </w:r>
      <w:r>
        <w:rPr>
          <w:rFonts w:hint="eastAsia" w:ascii="仿宋" w:hAnsi="仿宋" w:eastAsia="仿宋" w:cs="仿宋"/>
          <w:sz w:val="24"/>
          <w:szCs w:val="24"/>
          <w:highlight w:val="none"/>
        </w:rPr>
        <w:t>西安市政府采购信用担保及信用融资合作机构联系名单</w:t>
      </w:r>
    </w:p>
    <w:tbl>
      <w:tblPr>
        <w:tblStyle w:val="24"/>
        <w:tblW w:w="9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4"/>
        <w:gridCol w:w="1565"/>
        <w:gridCol w:w="1668"/>
        <w:gridCol w:w="1125"/>
        <w:gridCol w:w="945"/>
        <w:gridCol w:w="2724"/>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合作单位名称</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主办单位名称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联系部门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联系人员</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联系电话</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西安投融资担保有限公司</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西安投融资担保有限公司</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业务五部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李晓</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何彦君</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张华</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88499422 13572821281</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88499422 13679255205</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88499422 18220823060</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陕西省信用再担保有限责任公司</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陕西省信用再担保</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有限责任公司</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业务三部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夏靖颜</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朱筠祥</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88606038-6027</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18591406320</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18629282228</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5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中国银行股份有限公司陕西省分行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中国银行西安二环世纪星支行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公司业务部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胡涛 </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叶楚沙</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88360743 18629048822</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88360749 13772153612</w:t>
            </w:r>
          </w:p>
        </w:tc>
        <w:tc>
          <w:tcPr>
            <w:tcW w:w="105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5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中国银行西安鄠邑区支行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中小企业信贷部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李旭</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84892992  18729863898</w:t>
            </w:r>
          </w:p>
        </w:tc>
        <w:tc>
          <w:tcPr>
            <w:tcW w:w="105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5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中国建设银行股份有限公司陕西省分行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建设银行西安市南大街支行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公司部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杨向晖</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87281468</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13379229383</w:t>
            </w:r>
          </w:p>
        </w:tc>
        <w:tc>
          <w:tcPr>
            <w:tcW w:w="105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信用融资</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5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建设银行西安鄠邑区支行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客户部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柳佳伟</w:t>
            </w:r>
          </w:p>
          <w:p>
            <w:pPr>
              <w:pStyle w:val="6"/>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 卢建钊</w:t>
            </w:r>
          </w:p>
        </w:tc>
        <w:tc>
          <w:tcPr>
            <w:tcW w:w="2724" w:type="dxa"/>
            <w:tcBorders>
              <w:top w:val="single" w:color="000000" w:sz="4" w:space="0"/>
              <w:left w:val="single" w:color="000000" w:sz="4" w:space="0"/>
              <w:bottom w:val="single" w:color="000000" w:sz="4" w:space="0"/>
              <w:right w:val="single" w:color="000000" w:sz="4" w:space="0"/>
            </w:tcBorders>
            <w:vAlign w:val="center"/>
          </w:tcPr>
          <w:p>
            <w:pPr>
              <w:pStyle w:val="6"/>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  84812632  18792831383</w:t>
            </w:r>
          </w:p>
          <w:p>
            <w:pPr>
              <w:pStyle w:val="6"/>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            18710973144</w:t>
            </w:r>
          </w:p>
        </w:tc>
        <w:tc>
          <w:tcPr>
            <w:tcW w:w="105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56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中国工商银行股份有限公司陕西省分行营业部</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工商银行陕西分行营业部</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小企业金融业务部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牛国群</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张航</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87609569 18992851811</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87609761 13891883334</w:t>
            </w:r>
          </w:p>
        </w:tc>
        <w:tc>
          <w:tcPr>
            <w:tcW w:w="105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5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工行西安鄠邑区支行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市场部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鲁向兵</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84812752 </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13991212739</w:t>
            </w:r>
          </w:p>
        </w:tc>
        <w:tc>
          <w:tcPr>
            <w:tcW w:w="105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中国农业银行股份有限公司陕西省分行营业部</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农业银行西安西大街支行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公司业务部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贾珊</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高雅</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87617245 13891957123</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87613444 13659192425</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招商银行股份有限公司西安分行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招商银行西安未央路支行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公司银行部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杨皓</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马秦香</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62811553 15002905553</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62811553 13609183259</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中国光大银行股份有限公司西安分行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光大银行经济技术开发区支行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对公客户经理部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高艺瑄</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15619006186</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西安银行股份有限公司</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西安银行鄠邑区支行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客户经理部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孙鹏</w:t>
            </w:r>
          </w:p>
          <w:p>
            <w:pPr>
              <w:pStyle w:val="6"/>
              <w:ind w:left="0" w:leftChars="0" w:firstLine="0" w:firstLineChars="0"/>
              <w:rPr>
                <w:rFonts w:hint="eastAsia" w:ascii="仿宋" w:hAnsi="仿宋" w:eastAsia="仿宋" w:cs="仿宋"/>
                <w:sz w:val="24"/>
                <w:szCs w:val="24"/>
                <w:highlight w:val="none"/>
                <w:lang w:val="en-US"/>
              </w:rPr>
            </w:pPr>
            <w:r>
              <w:rPr>
                <w:rFonts w:hint="eastAsia" w:ascii="仿宋" w:hAnsi="仿宋" w:eastAsia="仿宋" w:cs="仿宋"/>
                <w:i w:val="0"/>
                <w:color w:val="000000"/>
                <w:kern w:val="0"/>
                <w:sz w:val="24"/>
                <w:szCs w:val="24"/>
                <w:highlight w:val="none"/>
                <w:u w:val="none"/>
                <w:lang w:val="en-US" w:eastAsia="zh-CN" w:bidi="ar"/>
              </w:rPr>
              <w:t xml:space="preserve">  张晨</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          13519127426</w:t>
            </w:r>
          </w:p>
          <w:p>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84858978  18706729791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平安银行股份有限公司西安分行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平安银行西安分行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业务发展七部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祝捷</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王尧</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18629505188</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18591767577</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北京银行股份有限公司西安分行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北京银行西安分行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营业部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范诗阳</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曹英</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13991945764</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18691892195</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兴业银行股份有限公司西安分行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兴业银行西安分行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新城业务总部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徐常磊</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鲁旸</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15991623666</w:t>
            </w:r>
          </w:p>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15389081886</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陕西秦农农村商业银行股份有限公司</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西安鄠邑农村商业银行股份有限公司</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营业部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刘涛</w:t>
            </w:r>
          </w:p>
          <w:p>
            <w:pPr>
              <w:pStyle w:val="6"/>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i w:val="0"/>
                <w:color w:val="000000"/>
                <w:kern w:val="0"/>
                <w:sz w:val="24"/>
                <w:szCs w:val="24"/>
                <w:highlight w:val="none"/>
                <w:u w:val="none"/>
                <w:lang w:val="en-US" w:eastAsia="zh-CN" w:bidi="ar"/>
              </w:rPr>
              <w:t xml:space="preserve">  屈帅</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84866539 13636718789</w:t>
            </w:r>
          </w:p>
          <w:p>
            <w:pPr>
              <w:pStyle w:val="6"/>
              <w:rPr>
                <w:rFonts w:hint="eastAsia" w:ascii="仿宋" w:hAnsi="仿宋" w:eastAsia="仿宋" w:cs="仿宋"/>
                <w:sz w:val="24"/>
                <w:szCs w:val="24"/>
                <w:highlight w:val="none"/>
                <w:lang w:val="en-US" w:eastAsia="zh-CN"/>
              </w:rPr>
            </w:pPr>
            <w:r>
              <w:rPr>
                <w:rFonts w:hint="eastAsia" w:ascii="仿宋" w:hAnsi="仿宋" w:eastAsia="仿宋" w:cs="仿宋"/>
                <w:i w:val="0"/>
                <w:color w:val="000000"/>
                <w:kern w:val="0"/>
                <w:sz w:val="24"/>
                <w:szCs w:val="24"/>
                <w:highlight w:val="none"/>
                <w:u w:val="none"/>
                <w:lang w:val="en-US" w:eastAsia="zh-CN" w:bidi="ar"/>
              </w:rPr>
              <w:t xml:space="preserve">       </w:t>
            </w:r>
            <w:r>
              <w:rPr>
                <w:rFonts w:hint="eastAsia" w:ascii="仿宋" w:hAnsi="仿宋" w:eastAsia="仿宋" w:cs="仿宋"/>
                <w:kern w:val="0"/>
                <w:sz w:val="24"/>
                <w:szCs w:val="24"/>
                <w:highlight w:val="none"/>
                <w:lang w:val="en-US" w:eastAsia="zh-CN" w:bidi="ar-SA"/>
              </w:rPr>
              <w:t>18502978814</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中国邮政储蓄银行陕西省分行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邮政储蓄银行西安市分行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信贷部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  孙歌</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89359305 18192828899</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信用融资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中国民生银行股份有限公司西安分行</w:t>
            </w:r>
          </w:p>
        </w:tc>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民生银行西安分行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城建金融部</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李楠</w:t>
            </w:r>
          </w:p>
        </w:tc>
        <w:tc>
          <w:tcPr>
            <w:tcW w:w="27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88266088-8450</w:t>
            </w:r>
          </w:p>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13572058213</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信用融资</w:t>
            </w:r>
          </w:p>
        </w:tc>
      </w:tr>
    </w:tbl>
    <w:p>
      <w:pPr>
        <w:bidi w:val="0"/>
        <w:rPr>
          <w:highlight w:val="none"/>
        </w:rPr>
      </w:pPr>
    </w:p>
    <w:p>
      <w:pPr>
        <w:autoSpaceDE w:val="0"/>
        <w:autoSpaceDN w:val="0"/>
        <w:adjustRightInd w:val="0"/>
        <w:snapToGrid w:val="0"/>
        <w:spacing w:line="360" w:lineRule="auto"/>
        <w:ind w:firstLine="482" w:firstLineChars="200"/>
        <w:outlineLvl w:val="1"/>
        <w:rPr>
          <w:rFonts w:ascii="仿宋" w:hAnsi="仿宋" w:eastAsia="仿宋" w:cs="仿宋"/>
          <w:b/>
          <w:color w:val="auto"/>
          <w:sz w:val="24"/>
          <w:szCs w:val="24"/>
          <w:highlight w:val="none"/>
          <w:lang w:val="zh-CN"/>
        </w:rPr>
      </w:pPr>
      <w:bookmarkStart w:id="388" w:name="_Toc24227"/>
      <w:r>
        <w:rPr>
          <w:rFonts w:hint="eastAsia" w:ascii="仿宋" w:hAnsi="仿宋" w:eastAsia="仿宋" w:cs="仿宋"/>
          <w:b/>
          <w:color w:val="auto"/>
          <w:sz w:val="24"/>
          <w:szCs w:val="24"/>
          <w:highlight w:val="none"/>
          <w:lang w:val="zh-CN"/>
        </w:rPr>
        <w:t>十二、质疑与投诉</w:t>
      </w:r>
      <w:bookmarkEnd w:id="384"/>
      <w:bookmarkEnd w:id="385"/>
      <w:bookmarkEnd w:id="386"/>
      <w:bookmarkEnd w:id="387"/>
      <w:bookmarkEnd w:id="388"/>
    </w:p>
    <w:p>
      <w:pPr>
        <w:autoSpaceDE w:val="0"/>
        <w:autoSpaceDN w:val="0"/>
        <w:adjustRightInd w:val="0"/>
        <w:snapToGrid w:val="0"/>
        <w:spacing w:line="360" w:lineRule="auto"/>
        <w:ind w:firstLine="482" w:firstLineChars="200"/>
        <w:outlineLvl w:val="9"/>
        <w:rPr>
          <w:rFonts w:ascii="仿宋" w:hAnsi="仿宋" w:eastAsia="仿宋" w:cs="仿宋"/>
          <w:b/>
          <w:bCs w:val="0"/>
          <w:color w:val="auto"/>
          <w:sz w:val="24"/>
          <w:szCs w:val="24"/>
          <w:highlight w:val="none"/>
          <w:lang w:val="zh-CN"/>
        </w:rPr>
      </w:pPr>
      <w:bookmarkStart w:id="389" w:name="_Toc32253"/>
      <w:r>
        <w:rPr>
          <w:rFonts w:hint="eastAsia" w:ascii="仿宋" w:hAnsi="仿宋" w:eastAsia="仿宋" w:cs="仿宋"/>
          <w:b/>
          <w:bCs w:val="0"/>
          <w:color w:val="auto"/>
          <w:sz w:val="24"/>
          <w:szCs w:val="24"/>
          <w:highlight w:val="none"/>
          <w:lang w:val="zh-CN"/>
        </w:rPr>
        <w:t>（一）质疑</w:t>
      </w:r>
      <w:bookmarkEnd w:id="389"/>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1、供应商认为磋商文件、采购过程或成交结果使自身的合法权益受到损害，可以在法定期限内，以书面形式向采购代理机构或采购人提出质疑。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w:t>
      </w:r>
      <w:r>
        <w:rPr>
          <w:rFonts w:hint="eastAsia" w:ascii="仿宋" w:hAnsi="仿宋" w:eastAsia="仿宋" w:cs="仿宋"/>
          <w:bCs/>
          <w:color w:val="auto"/>
          <w:sz w:val="24"/>
          <w:szCs w:val="24"/>
          <w:highlight w:val="none"/>
          <w:lang w:val="zh-CN" w:eastAsia="zh-CN"/>
        </w:rPr>
        <w:t xml:space="preserve">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 </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rPr>
        <w:t>）有下列情形之一的，属于无效质疑：</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①质疑人不是参与本次政府采购项目的供应商或潜在供应商；</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②质疑人与质疑事项不存在利害关系的；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③未在法定期限内提出质疑的；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④质疑未以书面形式提出，或质疑函主要内容构成不完整的；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⑤质疑函没有合法有效的签字、盖章或授权的；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⑥以非法手段取得证据、材料的；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⑦质疑答复后，同一质疑人就同一事项再次提出质疑的；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⑧不符合法律、法规、规章和政府采购监管机构规定的其他条件的。</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2、符合要求的质疑，采购代理机构将予以受理并答复，具体联系方式如下：</w:t>
      </w:r>
    </w:p>
    <w:p>
      <w:pPr>
        <w:autoSpaceDE w:val="0"/>
        <w:autoSpaceDN w:val="0"/>
        <w:adjustRightInd w:val="0"/>
        <w:snapToGrid w:val="0"/>
        <w:spacing w:line="360" w:lineRule="auto"/>
        <w:ind w:firstLine="480" w:firstLineChars="200"/>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联系人：</w:t>
      </w:r>
      <w:r>
        <w:rPr>
          <w:rFonts w:hint="eastAsia" w:ascii="仿宋" w:hAnsi="仿宋" w:eastAsia="仿宋" w:cs="仿宋"/>
          <w:bCs/>
          <w:color w:val="auto"/>
          <w:sz w:val="24"/>
          <w:szCs w:val="24"/>
          <w:highlight w:val="none"/>
          <w:lang w:val="en-US" w:eastAsia="zh-CN"/>
        </w:rPr>
        <w:t>张亚娜、李纪旋</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联系电话：029-</w:t>
      </w:r>
      <w:r>
        <w:rPr>
          <w:rFonts w:hint="eastAsia" w:ascii="仿宋" w:hAnsi="仿宋" w:eastAsia="仿宋" w:cs="仿宋"/>
          <w:bCs/>
          <w:color w:val="auto"/>
          <w:sz w:val="24"/>
          <w:szCs w:val="24"/>
          <w:highlight w:val="none"/>
        </w:rPr>
        <w:t>86253389</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邮箱：</w:t>
      </w:r>
      <w:r>
        <w:rPr>
          <w:rFonts w:hint="eastAsia" w:ascii="仿宋" w:hAnsi="仿宋" w:eastAsia="仿宋" w:cs="仿宋"/>
          <w:bCs/>
          <w:color w:val="auto"/>
          <w:sz w:val="24"/>
          <w:szCs w:val="24"/>
          <w:highlight w:val="none"/>
          <w:lang w:val="en-US" w:eastAsia="zh-CN"/>
        </w:rPr>
        <w:t>2059407584</w:t>
      </w:r>
      <w:r>
        <w:rPr>
          <w:rFonts w:hint="eastAsia" w:ascii="仿宋" w:hAnsi="仿宋" w:eastAsia="仿宋" w:cs="仿宋"/>
          <w:bCs/>
          <w:color w:val="auto"/>
          <w:sz w:val="24"/>
          <w:szCs w:val="24"/>
          <w:highlight w:val="none"/>
        </w:rPr>
        <w:t>@qq.com</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地址：西安市经济技术开发区凤城十一路与文景路十字文景商务广场B座8层陕西笃信招标有限公司</w:t>
      </w:r>
    </w:p>
    <w:p>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2" w:firstLineChars="200"/>
        <w:outlineLvl w:val="9"/>
        <w:rPr>
          <w:rFonts w:ascii="仿宋" w:hAnsi="仿宋" w:eastAsia="仿宋" w:cs="仿宋"/>
          <w:b/>
          <w:bCs w:val="0"/>
          <w:color w:val="auto"/>
          <w:sz w:val="24"/>
          <w:szCs w:val="24"/>
          <w:highlight w:val="none"/>
          <w:lang w:val="zh-CN"/>
        </w:rPr>
      </w:pPr>
      <w:bookmarkStart w:id="390" w:name="_Toc27685"/>
      <w:r>
        <w:rPr>
          <w:rFonts w:hint="eastAsia" w:ascii="仿宋" w:hAnsi="仿宋" w:eastAsia="仿宋" w:cs="仿宋"/>
          <w:b/>
          <w:bCs w:val="0"/>
          <w:color w:val="auto"/>
          <w:sz w:val="24"/>
          <w:szCs w:val="24"/>
          <w:highlight w:val="none"/>
          <w:lang w:val="zh-CN"/>
        </w:rPr>
        <w:t>（二）投诉</w:t>
      </w:r>
      <w:bookmarkEnd w:id="390"/>
    </w:p>
    <w:p>
      <w:pPr>
        <w:autoSpaceDE w:val="0"/>
        <w:autoSpaceDN w:val="0"/>
        <w:adjustRightInd w:val="0"/>
        <w:snapToGrid w:val="0"/>
        <w:spacing w:line="360" w:lineRule="auto"/>
        <w:ind w:firstLine="480" w:firstLineChars="20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2、投诉的事项不得超出已质疑事项的范围。</w:t>
      </w:r>
    </w:p>
    <w:p>
      <w:pPr>
        <w:autoSpaceDE w:val="0"/>
        <w:autoSpaceDN w:val="0"/>
        <w:adjustRightInd w:val="0"/>
        <w:snapToGrid w:val="0"/>
        <w:spacing w:line="360" w:lineRule="auto"/>
        <w:ind w:firstLine="482" w:firstLineChars="200"/>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（三）其他事项</w:t>
      </w:r>
    </w:p>
    <w:p>
      <w:pPr>
        <w:autoSpaceDE w:val="0"/>
        <w:autoSpaceDN w:val="0"/>
        <w:adjustRightInd w:val="0"/>
        <w:snapToGrid w:val="0"/>
        <w:spacing w:line="360" w:lineRule="auto"/>
        <w:ind w:firstLine="480" w:firstLineChars="200"/>
        <w:outlineLvl w:val="9"/>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en-US" w:eastAsia="zh-CN"/>
        </w:rPr>
        <w:t>1、对捏造事实、提供虚假材料进行质疑、投诉的行为予以严肃处理</w:t>
      </w:r>
    </w:p>
    <w:p>
      <w:pPr>
        <w:autoSpaceDE w:val="0"/>
        <w:autoSpaceDN w:val="0"/>
        <w:adjustRightInd w:val="0"/>
        <w:snapToGrid w:val="0"/>
        <w:spacing w:line="360" w:lineRule="auto"/>
        <w:ind w:firstLine="480" w:firstLineChars="200"/>
        <w:outlineLvl w:val="9"/>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 xml:space="preserve">依据《中华人民共和国政府采购法》及其实施条例、《政府采购货物和服务招标投标管理办法》（财政部令第 87 号）、《政府采购质疑和投诉办法》等法律法规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 </w:t>
      </w:r>
    </w:p>
    <w:p>
      <w:pPr>
        <w:autoSpaceDE w:val="0"/>
        <w:autoSpaceDN w:val="0"/>
        <w:adjustRightInd w:val="0"/>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default" w:ascii="仿宋" w:hAnsi="仿宋" w:eastAsia="仿宋" w:cs="仿宋"/>
          <w:bCs/>
          <w:color w:val="auto"/>
          <w:sz w:val="24"/>
          <w:szCs w:val="24"/>
          <w:highlight w:val="none"/>
          <w:lang w:val="en-US" w:eastAsia="zh-CN"/>
        </w:rPr>
        <w:t xml:space="preserve">对捏造事实诬告陷害他人、诽谤他人的法律适用： </w:t>
      </w:r>
    </w:p>
    <w:p>
      <w:pPr>
        <w:autoSpaceDE w:val="0"/>
        <w:autoSpaceDN w:val="0"/>
        <w:adjustRightInd w:val="0"/>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 xml:space="preserve">《中华人民共和国刑法》第 243 条【诬告陷害罪】捏造事实诬告陷害他人，意图使他人受刑事追究，情节严重的，处三年以下有期徒刑、拘役或者管制；造成严重后果的，处三年以上十年以下有期徒刑。《中华人民共和国刑法》第 246 条【侮辱罪、诽谤罪】以暴力或者其他方法公然侮辱他人或者捏造事实诽谤他人，情节严重的，处三年以下有期徒刑、拘役、管制或者剥夺政治权利。 </w:t>
      </w:r>
    </w:p>
    <w:p>
      <w:pPr>
        <w:bidi w:val="0"/>
        <w:rPr>
          <w:rFonts w:hint="default"/>
          <w:highlight w:val="none"/>
          <w:lang w:val="en-US" w:eastAsia="zh-CN"/>
        </w:rPr>
      </w:pPr>
    </w:p>
    <w:p>
      <w:pPr>
        <w:pageBreakBefore/>
        <w:numPr>
          <w:ilvl w:val="0"/>
          <w:numId w:val="1"/>
        </w:numPr>
        <w:spacing w:line="360" w:lineRule="auto"/>
        <w:jc w:val="center"/>
        <w:outlineLvl w:val="0"/>
        <w:rPr>
          <w:rFonts w:ascii="宋体" w:hAnsi="宋体" w:cs="宋体"/>
          <w:b/>
          <w:sz w:val="32"/>
          <w:szCs w:val="32"/>
          <w:highlight w:val="none"/>
        </w:rPr>
      </w:pPr>
      <w:r>
        <w:rPr>
          <w:rFonts w:hint="eastAsia" w:ascii="宋体" w:hAnsi="宋体" w:cs="宋体"/>
          <w:b/>
          <w:sz w:val="32"/>
          <w:szCs w:val="32"/>
          <w:highlight w:val="none"/>
        </w:rPr>
        <w:t xml:space="preserve"> </w:t>
      </w:r>
      <w:bookmarkStart w:id="391" w:name="_Toc10089"/>
      <w:r>
        <w:rPr>
          <w:rFonts w:hint="eastAsia" w:ascii="宋体" w:hAnsi="宋体" w:cs="宋体"/>
          <w:b/>
          <w:sz w:val="32"/>
          <w:szCs w:val="32"/>
          <w:highlight w:val="none"/>
        </w:rPr>
        <w:t>采购内容及要求</w:t>
      </w:r>
      <w:bookmarkEnd w:id="285"/>
      <w:bookmarkEnd w:id="286"/>
      <w:bookmarkEnd w:id="287"/>
      <w:bookmarkEnd w:id="288"/>
      <w:bookmarkEnd w:id="289"/>
      <w:bookmarkEnd w:id="290"/>
      <w:bookmarkEnd w:id="291"/>
      <w:bookmarkEnd w:id="292"/>
      <w:bookmarkEnd w:id="293"/>
      <w:bookmarkEnd w:id="294"/>
      <w:bookmarkEnd w:id="295"/>
      <w:bookmarkEnd w:id="296"/>
      <w:bookmarkEnd w:id="391"/>
    </w:p>
    <w:p>
      <w:pPr>
        <w:jc w:val="center"/>
        <w:rPr>
          <w:rFonts w:ascii="仿宋" w:hAnsi="仿宋" w:eastAsia="仿宋" w:cs="仿宋"/>
          <w:sz w:val="24"/>
          <w:szCs w:val="24"/>
          <w:highlight w:val="none"/>
        </w:rPr>
      </w:pP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bookmarkStart w:id="392" w:name="_Toc17761"/>
      <w:bookmarkStart w:id="393" w:name="_Toc24222"/>
      <w:bookmarkStart w:id="394" w:name="_Toc22699"/>
      <w:bookmarkStart w:id="395" w:name="_Toc31815"/>
      <w:bookmarkStart w:id="396" w:name="_Toc19915"/>
      <w:bookmarkStart w:id="397" w:name="_Toc4229"/>
      <w:bookmarkStart w:id="398" w:name="_Toc22079"/>
      <w:bookmarkStart w:id="399" w:name="_Toc29117"/>
      <w:bookmarkStart w:id="400" w:name="_Toc23469"/>
      <w:bookmarkStart w:id="401" w:name="_Toc32539"/>
      <w:bookmarkStart w:id="402" w:name="_Toc2752"/>
      <w:bookmarkStart w:id="403" w:name="_Toc3059"/>
      <w:r>
        <w:rPr>
          <w:rFonts w:hint="eastAsia" w:ascii="仿宋" w:hAnsi="仿宋" w:eastAsia="仿宋" w:cs="仿宋"/>
          <w:bCs/>
          <w:sz w:val="24"/>
          <w:szCs w:val="24"/>
          <w:highlight w:val="none"/>
          <w:lang w:val="en-US" w:eastAsia="zh-CN"/>
        </w:rPr>
        <w:t>1、投标单位应积极配合采购人校园安全建设。</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2、投标单位中标后，采购人组织的第一次会议须由投标单位响应文件中提供的项目经理到会参与，项目经理后期不允许更换。</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4、投标单位保证使用的外墙真石漆为国内一线品牌。(如立邦漆、金飞马、华润涂料、大地漆等国内一线品牌）</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5、根据采购人施工要求的时间及人员，投标单位积极配合完成。</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6、外立面围挡投标单位保证采用同一颜色彩钢板，优质材料制作。</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7、遵守采购人施工场地的规章制度和管理，做到安全文明施工，拆除物件须保持完整，在施工结束后，保证还原，并保证能够正常使用。</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8、本项目分两次施工，分别为2022年寒假施工、2022年暑假施工。投标单位须承诺两次施工结束后，保证工程质量，墙体颜色保持统一一致。投标单位需出具具体的冬季施工措施。</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8、投标单位保证冬季施工条件，在投标文件中附有相关的施工措施。</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9、根据疫情防控相关要求，工人首次入园时须携带48小时内的核酸证明资料，施工七天后须提供新的核酸证明资料。费用自理。</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10、本项目工程量清单另附。</w:t>
      </w:r>
    </w:p>
    <w:p>
      <w:pPr>
        <w:pageBreakBefore/>
        <w:numPr>
          <w:ilvl w:val="0"/>
          <w:numId w:val="1"/>
        </w:numPr>
        <w:spacing w:line="360" w:lineRule="auto"/>
        <w:jc w:val="center"/>
        <w:outlineLvl w:val="0"/>
        <w:rPr>
          <w:rFonts w:ascii="仿宋" w:hAnsi="仿宋" w:eastAsia="仿宋" w:cs="仿宋"/>
          <w:b/>
          <w:sz w:val="32"/>
          <w:szCs w:val="32"/>
          <w:highlight w:val="none"/>
          <w:lang w:val="zh-CN"/>
        </w:rPr>
      </w:pPr>
      <w:r>
        <w:rPr>
          <w:rFonts w:hint="eastAsia" w:ascii="仿宋" w:hAnsi="仿宋" w:eastAsia="仿宋" w:cs="仿宋"/>
          <w:b/>
          <w:sz w:val="32"/>
          <w:szCs w:val="32"/>
          <w:highlight w:val="none"/>
        </w:rPr>
        <w:t xml:space="preserve">  </w:t>
      </w:r>
      <w:bookmarkStart w:id="404" w:name="_Toc19206"/>
      <w:r>
        <w:rPr>
          <w:rFonts w:hint="eastAsia" w:ascii="仿宋" w:hAnsi="仿宋" w:eastAsia="仿宋" w:cs="仿宋"/>
          <w:b/>
          <w:sz w:val="32"/>
          <w:szCs w:val="32"/>
          <w:highlight w:val="none"/>
          <w:lang w:val="zh-CN"/>
        </w:rPr>
        <w:t>合同主要条款及格式</w:t>
      </w:r>
      <w:bookmarkEnd w:id="297"/>
      <w:bookmarkEnd w:id="298"/>
      <w:bookmarkEnd w:id="299"/>
      <w:bookmarkEnd w:id="392"/>
      <w:bookmarkEnd w:id="393"/>
      <w:bookmarkEnd w:id="394"/>
      <w:bookmarkEnd w:id="395"/>
      <w:bookmarkEnd w:id="396"/>
      <w:bookmarkEnd w:id="397"/>
      <w:bookmarkEnd w:id="398"/>
      <w:bookmarkEnd w:id="399"/>
      <w:bookmarkEnd w:id="400"/>
      <w:bookmarkEnd w:id="401"/>
      <w:bookmarkEnd w:id="402"/>
      <w:bookmarkEnd w:id="403"/>
      <w:bookmarkEnd w:id="404"/>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甲方（采购人）：</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乙方（供应商）： </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kern w:val="0"/>
          <w:sz w:val="24"/>
          <w:szCs w:val="24"/>
          <w:highlight w:val="none"/>
          <w:lang w:eastAsia="zh-CN"/>
        </w:rPr>
        <w:t>西安市第二保育院全院楼宇外立面改造（二期）工程项目</w:t>
      </w:r>
      <w:r>
        <w:rPr>
          <w:rFonts w:hint="eastAsia" w:ascii="仿宋" w:hAnsi="仿宋" w:eastAsia="仿宋" w:cs="仿宋"/>
          <w:bCs/>
          <w:sz w:val="24"/>
          <w:szCs w:val="24"/>
          <w:highlight w:val="none"/>
        </w:rPr>
        <w:t>(项目编号：</w:t>
      </w:r>
      <w:r>
        <w:rPr>
          <w:rFonts w:hint="eastAsia" w:ascii="仿宋" w:hAnsi="仿宋" w:eastAsia="仿宋" w:cs="仿宋"/>
          <w:bCs/>
          <w:sz w:val="24"/>
          <w:szCs w:val="24"/>
          <w:highlight w:val="none"/>
          <w:lang w:eastAsia="zh-CN"/>
        </w:rPr>
        <w:t>DX2021-117</w:t>
      </w:r>
      <w:r>
        <w:rPr>
          <w:rFonts w:hint="eastAsia" w:ascii="仿宋" w:hAnsi="仿宋" w:eastAsia="仿宋" w:cs="仿宋"/>
          <w:bCs/>
          <w:sz w:val="24"/>
          <w:szCs w:val="24"/>
          <w:highlight w:val="none"/>
        </w:rPr>
        <w:t>)在由陕西笃信招标有限公司组织竞争性磋商，</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(以下简称“甲方”)确定</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（以下简称“乙方”）为成交供应商。</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依据《中华人民共和国</w:t>
      </w:r>
      <w:r>
        <w:rPr>
          <w:rFonts w:hint="eastAsia" w:ascii="仿宋" w:hAnsi="仿宋" w:eastAsia="仿宋" w:cs="仿宋"/>
          <w:bCs/>
          <w:sz w:val="24"/>
          <w:szCs w:val="24"/>
          <w:highlight w:val="none"/>
          <w:lang w:val="en-US" w:eastAsia="zh-CN"/>
        </w:rPr>
        <w:t>民法典</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经双方协商按下述条款和条件签署本合同。</w:t>
      </w:r>
    </w:p>
    <w:p>
      <w:pPr>
        <w:autoSpaceDE w:val="0"/>
        <w:autoSpaceDN w:val="0"/>
        <w:adjustRightIn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一、合同价款</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（一）合同总价款为人民币（大写）</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元 </w:t>
      </w:r>
      <w:r>
        <w:rPr>
          <w:rFonts w:hint="eastAsia" w:ascii="仿宋" w:hAnsi="仿宋" w:eastAsia="仿宋" w:cs="仿宋"/>
          <w:bCs/>
          <w:sz w:val="24"/>
          <w:szCs w:val="24"/>
          <w:highlight w:val="none"/>
        </w:rPr>
        <w:t>）。</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（二）合同总价包括：材料费、人工费、措施费、耗费、税金及其他费用。</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（三）合同总价一次性包死，不受市场价格变化因素的影响</w:t>
      </w:r>
      <w:r>
        <w:rPr>
          <w:rFonts w:hint="eastAsia" w:ascii="仿宋" w:hAnsi="仿宋" w:eastAsia="仿宋" w:cs="仿宋"/>
          <w:bCs/>
          <w:sz w:val="24"/>
          <w:szCs w:val="24"/>
          <w:highlight w:val="none"/>
          <w:lang w:eastAsia="zh-CN"/>
        </w:rPr>
        <w:t>，</w:t>
      </w:r>
      <w:r>
        <w:rPr>
          <w:rFonts w:hint="eastAsia" w:ascii="仿宋" w:hAnsi="仿宋" w:eastAsia="仿宋" w:cs="仿宋"/>
          <w:sz w:val="24"/>
          <w:szCs w:val="24"/>
          <w:highlight w:val="none"/>
          <w:lang w:val="en-US" w:eastAsia="zh-CN"/>
        </w:rPr>
        <w:t>如因政策变化或其他不可抗力因素影响施工的，合同价款不变，按照原材料价款执行</w:t>
      </w:r>
      <w:r>
        <w:rPr>
          <w:rFonts w:hint="eastAsia" w:ascii="仿宋" w:hAnsi="仿宋" w:eastAsia="仿宋" w:cs="仿宋"/>
          <w:bCs/>
          <w:sz w:val="24"/>
          <w:szCs w:val="24"/>
          <w:highlight w:val="none"/>
        </w:rPr>
        <w:t>。</w:t>
      </w:r>
      <w:r>
        <w:rPr>
          <w:rFonts w:hint="default" w:ascii="仿宋" w:hAnsi="仿宋" w:eastAsia="仿宋" w:cs="仿宋"/>
          <w:bCs/>
          <w:sz w:val="24"/>
          <w:szCs w:val="24"/>
          <w:highlight w:val="none"/>
          <w:lang w:val="en-US"/>
        </w:rPr>
        <w:t>（清单以内的不予以变更，清单以外的以变更签证的形式进入合同总价）</w:t>
      </w:r>
    </w:p>
    <w:p>
      <w:pPr>
        <w:autoSpaceDE w:val="0"/>
        <w:autoSpaceDN w:val="0"/>
        <w:adjustRightIn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二、材料清单（附后）</w:t>
      </w:r>
    </w:p>
    <w:p>
      <w:pPr>
        <w:autoSpaceDE w:val="0"/>
        <w:autoSpaceDN w:val="0"/>
        <w:adjustRightIn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三、款项结算</w:t>
      </w:r>
    </w:p>
    <w:p>
      <w:pPr>
        <w:shd w:val="solid" w:color="FFFFFF" w:fill="auto"/>
        <w:tabs>
          <w:tab w:val="left" w:pos="480"/>
        </w:tabs>
        <w:autoSpaceDN w:val="0"/>
        <w:spacing w:line="360" w:lineRule="auto"/>
        <w:ind w:firstLine="480" w:firstLineChars="200"/>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eastAsia="zh-CN"/>
        </w:rPr>
        <w:t>（一）</w:t>
      </w:r>
      <w:r>
        <w:rPr>
          <w:rFonts w:hint="default" w:ascii="仿宋" w:hAnsi="仿宋" w:eastAsia="仿宋" w:cs="仿宋"/>
          <w:sz w:val="24"/>
          <w:szCs w:val="24"/>
          <w:highlight w:val="none"/>
          <w:shd w:val="clear" w:color="auto" w:fill="FFFFFF"/>
          <w:lang w:val="en-US" w:eastAsia="zh-CN"/>
        </w:rPr>
        <w:t>签订合同后支付合同总价的30%</w:t>
      </w:r>
      <w:r>
        <w:rPr>
          <w:rFonts w:hint="eastAsia" w:ascii="仿宋" w:hAnsi="仿宋" w:eastAsia="仿宋" w:cs="仿宋"/>
          <w:sz w:val="24"/>
          <w:szCs w:val="24"/>
          <w:highlight w:val="none"/>
          <w:shd w:val="clear" w:color="auto" w:fill="FFFFFF"/>
          <w:lang w:val="en-US" w:eastAsia="zh-CN"/>
        </w:rPr>
        <w:t>；2022年暑期施工完成后付</w:t>
      </w:r>
      <w:r>
        <w:rPr>
          <w:rFonts w:hint="default" w:ascii="仿宋" w:hAnsi="仿宋" w:eastAsia="仿宋" w:cs="仿宋"/>
          <w:sz w:val="24"/>
          <w:szCs w:val="24"/>
          <w:highlight w:val="none"/>
          <w:shd w:val="clear" w:color="auto" w:fill="FFFFFF"/>
          <w:lang w:val="en-US" w:eastAsia="zh-CN"/>
        </w:rPr>
        <w:t>合同总价的</w:t>
      </w:r>
      <w:r>
        <w:rPr>
          <w:rFonts w:hint="eastAsia" w:ascii="仿宋" w:hAnsi="仿宋" w:eastAsia="仿宋" w:cs="仿宋"/>
          <w:sz w:val="24"/>
          <w:szCs w:val="24"/>
          <w:highlight w:val="none"/>
          <w:shd w:val="clear" w:color="auto" w:fill="FFFFFF"/>
          <w:lang w:val="en-US" w:eastAsia="zh-CN"/>
        </w:rPr>
        <w:t>6</w:t>
      </w:r>
      <w:r>
        <w:rPr>
          <w:rFonts w:hint="default" w:ascii="仿宋" w:hAnsi="仿宋" w:eastAsia="仿宋" w:cs="仿宋"/>
          <w:sz w:val="24"/>
          <w:szCs w:val="24"/>
          <w:highlight w:val="none"/>
          <w:shd w:val="clear" w:color="auto" w:fill="FFFFFF"/>
          <w:lang w:val="en-US" w:eastAsia="zh-CN"/>
        </w:rPr>
        <w:t>0%</w:t>
      </w:r>
      <w:r>
        <w:rPr>
          <w:rFonts w:hint="eastAsia" w:ascii="仿宋" w:hAnsi="仿宋" w:eastAsia="仿宋" w:cs="仿宋"/>
          <w:sz w:val="24"/>
          <w:szCs w:val="24"/>
          <w:highlight w:val="none"/>
          <w:shd w:val="clear" w:color="auto" w:fill="FFFFFF"/>
          <w:lang w:val="en-US" w:eastAsia="zh-CN"/>
        </w:rPr>
        <w:t>；</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本项目验收前乙方应向甲方提供劳务合同，转账凭证，中标单位劳务费承诺书，如有讨薪与</w:t>
      </w:r>
      <w:r>
        <w:rPr>
          <w:rFonts w:hint="eastAsia" w:ascii="仿宋" w:hAnsi="仿宋" w:eastAsia="仿宋" w:cs="仿宋"/>
          <w:kern w:val="0"/>
          <w:sz w:val="24"/>
          <w:szCs w:val="24"/>
          <w:highlight w:val="none"/>
          <w:lang w:eastAsia="zh-CN"/>
        </w:rPr>
        <w:t>西安市第二保育院</w:t>
      </w:r>
      <w:r>
        <w:rPr>
          <w:rFonts w:hint="eastAsia" w:ascii="仿宋" w:hAnsi="仿宋" w:eastAsia="仿宋" w:cs="仿宋"/>
          <w:sz w:val="24"/>
          <w:szCs w:val="24"/>
          <w:highlight w:val="none"/>
          <w:shd w:val="clear" w:color="auto" w:fill="FFFFFF"/>
          <w:lang w:val="en-US" w:eastAsia="zh-CN"/>
        </w:rPr>
        <w:t>无关的相关承诺书等；</w:t>
      </w:r>
    </w:p>
    <w:p>
      <w:pPr>
        <w:shd w:val="solid" w:color="FFFFFF" w:fill="auto"/>
        <w:tabs>
          <w:tab w:val="left" w:pos="480"/>
        </w:tabs>
        <w:autoSpaceDN w:val="0"/>
        <w:spacing w:line="360" w:lineRule="auto"/>
        <w:ind w:firstLine="480" w:firstLineChars="200"/>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本项目验收前乙方应向甲方缴纳</w:t>
      </w:r>
      <w:r>
        <w:rPr>
          <w:rFonts w:hint="default" w:ascii="仿宋" w:hAnsi="仿宋" w:eastAsia="仿宋" w:cs="仿宋"/>
          <w:sz w:val="24"/>
          <w:szCs w:val="24"/>
          <w:highlight w:val="none"/>
          <w:shd w:val="clear" w:color="auto" w:fill="FFFFFF"/>
          <w:lang w:val="en-US" w:eastAsia="zh-CN"/>
        </w:rPr>
        <w:t>合同总价</w:t>
      </w:r>
      <w:r>
        <w:rPr>
          <w:rFonts w:hint="eastAsia" w:ascii="仿宋" w:hAnsi="仿宋" w:eastAsia="仿宋" w:cs="仿宋"/>
          <w:sz w:val="24"/>
          <w:szCs w:val="24"/>
          <w:highlight w:val="none"/>
          <w:shd w:val="clear" w:color="auto" w:fill="FFFFFF"/>
          <w:lang w:val="en-US" w:eastAsia="zh-CN"/>
        </w:rPr>
        <w:t>的5%作为质保金，质保期结束后一次性退还；</w:t>
      </w:r>
    </w:p>
    <w:p>
      <w:pPr>
        <w:shd w:val="solid" w:color="FFFFFF" w:fill="auto"/>
        <w:tabs>
          <w:tab w:val="left" w:pos="480"/>
        </w:tabs>
        <w:autoSpaceDN w:val="0"/>
        <w:spacing w:line="360" w:lineRule="auto"/>
        <w:ind w:firstLine="480" w:firstLineChars="200"/>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本项目</w:t>
      </w:r>
      <w:r>
        <w:rPr>
          <w:rFonts w:hint="default" w:ascii="仿宋" w:hAnsi="仿宋" w:eastAsia="仿宋" w:cs="仿宋"/>
          <w:sz w:val="24"/>
          <w:szCs w:val="24"/>
          <w:highlight w:val="none"/>
          <w:shd w:val="clear" w:color="auto" w:fill="FFFFFF"/>
          <w:lang w:val="en-US" w:eastAsia="zh-CN"/>
        </w:rPr>
        <w:t>施工完毕验收合格支付合同总价的</w:t>
      </w:r>
      <w:r>
        <w:rPr>
          <w:rFonts w:hint="eastAsia" w:ascii="仿宋" w:hAnsi="仿宋" w:eastAsia="仿宋" w:cs="仿宋"/>
          <w:sz w:val="24"/>
          <w:szCs w:val="24"/>
          <w:highlight w:val="none"/>
          <w:shd w:val="clear" w:color="auto" w:fill="FFFFFF"/>
          <w:lang w:val="en-US" w:eastAsia="zh-CN"/>
        </w:rPr>
        <w:t>1</w:t>
      </w:r>
      <w:r>
        <w:rPr>
          <w:rFonts w:hint="default" w:ascii="仿宋" w:hAnsi="仿宋" w:eastAsia="仿宋" w:cs="仿宋"/>
          <w:sz w:val="24"/>
          <w:szCs w:val="24"/>
          <w:highlight w:val="none"/>
          <w:shd w:val="clear" w:color="auto" w:fill="FFFFFF"/>
          <w:lang w:val="en-US" w:eastAsia="zh-CN"/>
        </w:rPr>
        <w:t>0%</w:t>
      </w:r>
      <w:r>
        <w:rPr>
          <w:rFonts w:hint="eastAsia" w:ascii="仿宋" w:hAnsi="仿宋" w:eastAsia="仿宋" w:cs="仿宋"/>
          <w:sz w:val="24"/>
          <w:szCs w:val="24"/>
          <w:highlight w:val="none"/>
          <w:shd w:val="clear" w:color="auto" w:fill="FFFFFF"/>
          <w:lang w:val="en-US" w:eastAsia="zh-CN"/>
        </w:rPr>
        <w:t>。</w:t>
      </w:r>
    </w:p>
    <w:p>
      <w:pPr>
        <w:pStyle w:val="6"/>
        <w:numPr>
          <w:ilvl w:val="0"/>
          <w:numId w:val="0"/>
        </w:num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lang w:val="en-US" w:eastAsia="zh-CN"/>
        </w:rPr>
      </w:pPr>
      <w:r>
        <w:rPr>
          <w:rFonts w:hint="default" w:ascii="仿宋" w:hAnsi="仿宋" w:eastAsia="仿宋" w:cs="仿宋"/>
          <w:sz w:val="24"/>
          <w:szCs w:val="24"/>
          <w:highlight w:val="none"/>
          <w:shd w:val="clear" w:color="auto" w:fill="FFFFFF"/>
          <w:lang w:val="en-US" w:eastAsia="zh-CN"/>
        </w:rPr>
        <w:t>（二）开具发票</w:t>
      </w:r>
      <w:r>
        <w:rPr>
          <w:rFonts w:hint="default" w:ascii="仿宋" w:hAnsi="仿宋" w:eastAsia="仿宋" w:cs="仿宋"/>
          <w:sz w:val="24"/>
          <w:szCs w:val="24"/>
          <w:highlight w:val="none"/>
          <w:shd w:val="clear" w:color="FFFFFF" w:fill="FFFFFF"/>
        </w:rPr>
        <w:t>：</w:t>
      </w:r>
      <w:r>
        <w:rPr>
          <w:rFonts w:hint="default" w:ascii="仿宋" w:hAnsi="仿宋" w:eastAsia="仿宋" w:cs="仿宋"/>
          <w:sz w:val="24"/>
          <w:szCs w:val="24"/>
          <w:highlight w:val="none"/>
          <w:shd w:val="clear" w:color="FFFFFF" w:fill="FFFFFF"/>
          <w:lang w:val="en-US"/>
        </w:rPr>
        <w:t>按照付款进度的金额分次开具发票</w:t>
      </w:r>
      <w:r>
        <w:rPr>
          <w:rFonts w:hint="eastAsia" w:ascii="仿宋" w:hAnsi="仿宋" w:eastAsia="仿宋" w:cs="仿宋"/>
          <w:sz w:val="24"/>
          <w:szCs w:val="24"/>
          <w:highlight w:val="none"/>
          <w:shd w:val="clear" w:color="FFFFFF" w:fill="FFFFFF"/>
          <w:lang w:val="en-US" w:eastAsia="zh-CN"/>
        </w:rPr>
        <w:t>。</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default" w:ascii="仿宋" w:hAnsi="仿宋" w:eastAsia="仿宋" w:cs="仿宋"/>
          <w:sz w:val="24"/>
          <w:szCs w:val="24"/>
          <w:highlight w:val="none"/>
          <w:shd w:val="clear" w:color="auto" w:fill="FFFFFF"/>
          <w:lang w:val="en-US"/>
        </w:rPr>
        <w:t>三</w:t>
      </w:r>
      <w:r>
        <w:rPr>
          <w:rFonts w:hint="eastAsia" w:ascii="仿宋" w:hAnsi="仿宋" w:eastAsia="仿宋" w:cs="仿宋"/>
          <w:sz w:val="24"/>
          <w:szCs w:val="24"/>
          <w:highlight w:val="none"/>
          <w:shd w:val="clear" w:color="auto" w:fill="FFFFFF"/>
        </w:rPr>
        <w:t>）支付方式：银行转帐。</w:t>
      </w:r>
    </w:p>
    <w:p>
      <w:pPr>
        <w:shd w:val="solid" w:color="FFFFFF" w:fill="auto"/>
        <w:tabs>
          <w:tab w:val="left" w:pos="480"/>
        </w:tabs>
        <w:autoSpaceDN w:val="0"/>
        <w:spacing w:line="360" w:lineRule="auto"/>
        <w:ind w:firstLine="480" w:firstLineChars="20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default" w:ascii="仿宋" w:hAnsi="仿宋" w:eastAsia="仿宋" w:cs="仿宋"/>
          <w:sz w:val="24"/>
          <w:szCs w:val="24"/>
          <w:highlight w:val="none"/>
          <w:shd w:val="clear" w:color="auto" w:fill="FFFFFF"/>
          <w:lang w:val="en-US"/>
        </w:rPr>
        <w:t>四</w:t>
      </w:r>
      <w:r>
        <w:rPr>
          <w:rFonts w:hint="eastAsia" w:ascii="仿宋" w:hAnsi="仿宋" w:eastAsia="仿宋" w:cs="仿宋"/>
          <w:sz w:val="24"/>
          <w:szCs w:val="24"/>
          <w:highlight w:val="none"/>
          <w:shd w:val="clear" w:color="auto" w:fill="FFFFFF"/>
        </w:rPr>
        <w:t>）结算方式：由乙方与采购人结算，发票开采购单位，到采购单位办理付款手续。</w:t>
      </w:r>
    </w:p>
    <w:p>
      <w:pPr>
        <w:autoSpaceDE w:val="0"/>
        <w:autoSpaceDN w:val="0"/>
        <w:adjustRightIn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四、服务地点及工期</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（一）服务地点：甲方指定地点。</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（二）工期：</w:t>
      </w:r>
      <w:r>
        <w:rPr>
          <w:rFonts w:hint="eastAsia" w:ascii="仿宋" w:hAnsi="仿宋" w:eastAsia="仿宋" w:cs="仿宋"/>
          <w:bCs/>
          <w:color w:val="auto"/>
          <w:sz w:val="24"/>
          <w:szCs w:val="24"/>
          <w:highlight w:val="none"/>
          <w:lang w:val="en-US" w:eastAsia="zh-CN"/>
        </w:rPr>
        <w:t>本项目分两次施工，要求如下：</w:t>
      </w:r>
    </w:p>
    <w:p>
      <w:pPr>
        <w:autoSpaceDE w:val="0"/>
        <w:autoSpaceDN w:val="0"/>
        <w:adjustRightIn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寒假施工：自2022年1月15日至2022年1月30日完成施工。范围：食堂外立面全部工程，保证恢复，不影响开学使用。</w:t>
      </w:r>
    </w:p>
    <w:p>
      <w:pPr>
        <w:autoSpaceDE w:val="0"/>
        <w:autoSpaceDN w:val="0"/>
        <w:adjustRightIn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暑假施工：40个日历天。范围：东、西教学楼外立面全部工程，保证恢复，不影响开学使用。</w:t>
      </w:r>
    </w:p>
    <w:p>
      <w:pPr>
        <w:autoSpaceDE w:val="0"/>
        <w:autoSpaceDN w:val="0"/>
        <w:adjustRightIn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（三）质保期：</w:t>
      </w:r>
      <w:r>
        <w:rPr>
          <w:rFonts w:hint="eastAsia" w:ascii="仿宋" w:hAnsi="仿宋" w:eastAsia="仿宋" w:cs="仿宋"/>
          <w:bCs/>
          <w:color w:val="auto"/>
          <w:sz w:val="24"/>
          <w:szCs w:val="24"/>
          <w:highlight w:val="none"/>
          <w:lang w:val="en-US" w:eastAsia="zh-CN"/>
        </w:rPr>
        <w:t>1年</w:t>
      </w:r>
    </w:p>
    <w:p>
      <w:pPr>
        <w:autoSpaceDE w:val="0"/>
        <w:autoSpaceDN w:val="0"/>
        <w:adjustRightInd w:val="0"/>
        <w:spacing w:line="360" w:lineRule="auto"/>
        <w:ind w:firstLine="482" w:firstLineChars="200"/>
        <w:rPr>
          <w:rFonts w:ascii="仿宋" w:hAnsi="仿宋" w:eastAsia="仿宋" w:cs="仿宋"/>
          <w:b/>
          <w:sz w:val="24"/>
          <w:szCs w:val="24"/>
          <w:highlight w:val="none"/>
          <w:lang w:val="zh-CN"/>
        </w:rPr>
      </w:pPr>
      <w:r>
        <w:rPr>
          <w:rFonts w:hint="eastAsia" w:ascii="仿宋" w:hAnsi="仿宋" w:eastAsia="仿宋" w:cs="仿宋"/>
          <w:b/>
          <w:sz w:val="24"/>
          <w:szCs w:val="24"/>
          <w:highlight w:val="none"/>
          <w:lang w:val="zh-CN"/>
        </w:rPr>
        <w:t>五、质量保证</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（一）所选材料必须保证质量可靠、进货渠道正常，符合国家环保等相关标准，满足施工要求。</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（二）</w:t>
      </w:r>
      <w:r>
        <w:rPr>
          <w:rFonts w:hint="eastAsia" w:ascii="仿宋" w:hAnsi="仿宋" w:eastAsia="仿宋" w:cs="仿宋"/>
          <w:bCs/>
          <w:sz w:val="24"/>
          <w:szCs w:val="24"/>
          <w:highlight w:val="none"/>
          <w:lang w:val="en-US" w:eastAsia="zh-CN"/>
        </w:rPr>
        <w:t>本项目分两次施工，分别为2022年寒假施工、2022年暑假施工。投标单位须承诺两次施工结束后，保证工程质量，墙体颜色保持统一一致。</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（三）工程质量符合国家有关规范，确保达到合格。</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（四）该工程项目质量保修期按有关文件规定执行。</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六、双方责任</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（一）甲方责任：</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1、甲方负责施工场地的提供，排除施工障碍的协调。</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2、组织设计、施工单位进行图纸交底，负责设计图纸问题的处理，设计变更及现场签证，工程结算的审定等工作。</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3、对工程进度、质量进行监督检查。</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4、组织有关单位对工程进行竣工验收。</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5、按时支付工程款。</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（二） 乙方责任：</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1、乙方应积极配合甲方校园安全建设，否则甲方有权终止合同。</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2、乙方中标后，甲方组织的第一次会议须由乙方投标文件中提供的项目经理到会参与，项目经理后期不允许更换。</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3、负责办理完成项目使用审批手续，负责工程安全文明施工、承担一切风险，满足甲方工程的需要。保证甲方正式投入使用，再无其他费用发生。</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乙方进入甲方要求场地施工，应服从当地对治安、卫生、环保、社会保险等工程建设的统一管理，并按有关规定交纳费用以及因违反相关规定而造成的罚款。乙方按照国家和当地政府有关规定应采取的任何必要安全防护措施已包含在乙方的合同价款当中，甲方不另行支付。竣工后交甲方竣工图二份及甲方委托乙方办理项目手续的相关资料等，以备留档。</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乙方保证使用的外墙真石漆为国内一线品牌。(如立邦漆、金飞马、华润涂料、大地漆等国内一线品牌）</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6、根据甲方施工要求的时间及人员，乙方积极配合完成。如无法完成甲方立刻终止合同。</w:t>
      </w:r>
    </w:p>
    <w:p>
      <w:pPr>
        <w:autoSpaceDE w:val="0"/>
        <w:autoSpaceDN w:val="0"/>
        <w:adjustRightInd w:val="0"/>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7、外立面围挡乙方保证采用同一颜色彩钢板，优质材料制作。</w:t>
      </w:r>
    </w:p>
    <w:p>
      <w:pPr>
        <w:autoSpaceDE w:val="0"/>
        <w:autoSpaceDN w:val="0"/>
        <w:adjustRightIn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按照设计施工图纸与说明进行施工，确保工程按合同规定的时间如期完工和交付；并应接受甲方代表或委派人员的检查、检验，乙方应为甲方人员检查提供便利条件，对不合格的部分按甲方代表及委派人员的要求返工修改，承担由自身原因导致的返工修改费用，工期不予顺延。</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9</w:t>
      </w:r>
      <w:r>
        <w:rPr>
          <w:rFonts w:hint="eastAsia" w:ascii="仿宋" w:hAnsi="仿宋" w:eastAsia="仿宋" w:cs="仿宋"/>
          <w:bCs/>
          <w:sz w:val="24"/>
          <w:szCs w:val="24"/>
          <w:highlight w:val="none"/>
        </w:rPr>
        <w:t>、乙方提供的主要材料、设备必须有质量合格证等相关证件方可用于工程，对材料改变或代用必须经原设计单位同意，并发书面通知和甲方代表签证后，方可用于工程，任何一方认为对方提供的材料需要复检的，应允许复检。经复检符合质量要求的，方可用于工程，其复检费由要求一方承担，不符合质量要求的，应按有关规定处理，其复检费由提供材料、设备一方承担。</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、隐蔽工程在覆盖前必须经甲方代表或现场监理代表验收签章后，方可进行下一道工序。</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、遵守甲方施工场地的规章制度和管理，做到安全文明施工，</w:t>
      </w:r>
      <w:r>
        <w:rPr>
          <w:rFonts w:hint="eastAsia" w:ascii="仿宋" w:hAnsi="仿宋" w:eastAsia="仿宋" w:cs="仿宋"/>
          <w:bCs/>
          <w:sz w:val="24"/>
          <w:szCs w:val="24"/>
          <w:highlight w:val="none"/>
          <w:lang w:val="en-US" w:eastAsia="zh-CN"/>
        </w:rPr>
        <w:t>乙方拆除物件须保持完整，在施工结束后，保证还原，并保证能够正常使用</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对甲方提出的问题应在 24 小时内予以解决或处理；遵守有关施工规范和安全操作规程，如发生安全事故，乙方应及时通知甲方，积极采取有效的补救措施，如因此造成甲方、乙方或第三方人身或财产损失，全部责任由乙方自行承担。</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12</w:t>
      </w:r>
      <w:r>
        <w:rPr>
          <w:rFonts w:hint="eastAsia" w:ascii="仿宋" w:hAnsi="仿宋" w:eastAsia="仿宋" w:cs="仿宋"/>
          <w:bCs/>
          <w:sz w:val="24"/>
          <w:szCs w:val="24"/>
          <w:highlight w:val="none"/>
        </w:rPr>
        <w:t>、采取有效的安全保障措施，确保施工安全，包括悬挂警示标牌、装设围栏、配备安全人员等，并承担事故的全部费用和责任。</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13</w:t>
      </w:r>
      <w:r>
        <w:rPr>
          <w:rFonts w:hint="eastAsia" w:ascii="仿宋" w:hAnsi="仿宋" w:eastAsia="仿宋" w:cs="仿宋"/>
          <w:bCs/>
          <w:sz w:val="24"/>
          <w:szCs w:val="24"/>
          <w:highlight w:val="none"/>
        </w:rPr>
        <w:t>、工程竣工后提供竣工验收技术资料及竣工图肆套，办理工程竣工结算手续，参加工程竣工验收。</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、已完工的项目，在交工前乙方应负责保管，清理现场达到建筑物无污染，现场无建筑垃圾。</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15</w:t>
      </w:r>
      <w:r>
        <w:rPr>
          <w:rFonts w:hint="eastAsia" w:ascii="仿宋" w:hAnsi="仿宋" w:eastAsia="仿宋" w:cs="仿宋"/>
          <w:bCs/>
          <w:sz w:val="24"/>
          <w:szCs w:val="24"/>
          <w:highlight w:val="none"/>
        </w:rPr>
        <w:t>、本工程不得转包。</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16</w:t>
      </w:r>
      <w:r>
        <w:rPr>
          <w:rFonts w:hint="eastAsia" w:ascii="仿宋" w:hAnsi="仿宋" w:eastAsia="仿宋" w:cs="仿宋"/>
          <w:bCs/>
          <w:sz w:val="24"/>
          <w:szCs w:val="24"/>
          <w:highlight w:val="none"/>
        </w:rPr>
        <w:t>、乙方应在设备运行过程中，对安全隐患进行全面的不定期检查与维护，并对不按安全规程操作的施工单位及时制止，并报甲方进行处理。</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17</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因不可抗力影响施工进度的，由乙方自行承担，如逾期完工的扣除本项目的质保金。</w:t>
      </w:r>
    </w:p>
    <w:p>
      <w:pPr>
        <w:autoSpaceDE w:val="0"/>
        <w:autoSpaceDN w:val="0"/>
        <w:adjustRightInd w:val="0"/>
        <w:spacing w:line="360" w:lineRule="auto"/>
        <w:ind w:firstLine="480" w:firstLineChars="200"/>
        <w:rPr>
          <w:rFonts w:hint="default"/>
          <w:highlight w:val="none"/>
          <w:lang w:val="en-US" w:eastAsia="zh-CN"/>
        </w:rPr>
      </w:pPr>
      <w:r>
        <w:rPr>
          <w:rFonts w:hint="eastAsia" w:ascii="仿宋" w:hAnsi="仿宋" w:eastAsia="仿宋" w:cs="仿宋"/>
          <w:bCs/>
          <w:sz w:val="24"/>
          <w:szCs w:val="24"/>
          <w:highlight w:val="none"/>
          <w:lang w:val="en-US" w:eastAsia="zh-CN"/>
        </w:rPr>
        <w:t>18、</w:t>
      </w:r>
      <w:r>
        <w:rPr>
          <w:rFonts w:hint="eastAsia" w:ascii="仿宋" w:hAnsi="仿宋" w:eastAsia="仿宋" w:cs="仿宋"/>
          <w:bCs/>
          <w:sz w:val="24"/>
          <w:szCs w:val="24"/>
          <w:highlight w:val="none"/>
        </w:rPr>
        <w:t>乙方不能按合同规定的工期竣工的，应向甲方支付违约金，每逾期一日，支付合同总价款万分之二的违约金，造成甲方损失的，还应赔偿甲方损失。</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七、验收</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（一）主材到现场后，由甲方对其进行验收，确认材料的产地、规格、数量。</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（二）乙方工程完工后，进行自检，合格后准备验收文件，并书面通知甲方。</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（三）甲方确认乙方的自检内容，验收合格作为工程的最终认可。</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zh-CN"/>
        </w:rPr>
        <w:t>（四）本项目分两次施工，在</w:t>
      </w:r>
      <w:r>
        <w:rPr>
          <w:rFonts w:hint="eastAsia" w:ascii="仿宋" w:hAnsi="仿宋" w:eastAsia="仿宋" w:cs="仿宋"/>
          <w:bCs/>
          <w:sz w:val="24"/>
          <w:szCs w:val="24"/>
          <w:highlight w:val="none"/>
          <w:lang w:val="en-US" w:eastAsia="zh-CN"/>
        </w:rPr>
        <w:t>2022年暑期施工结束后组织统一验收。若两次交付不一致，则扣除本项目的质保金</w:t>
      </w:r>
      <w:r>
        <w:rPr>
          <w:rFonts w:hint="eastAsia" w:ascii="仿宋" w:hAnsi="仿宋" w:eastAsia="仿宋" w:cs="仿宋"/>
          <w:bCs/>
          <w:sz w:val="24"/>
          <w:szCs w:val="24"/>
          <w:highlight w:val="none"/>
          <w:lang w:eastAsia="zh-CN"/>
        </w:rPr>
        <w:t>。</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（五）验收依据：</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4-1、合同、磋商文件、响应文件及承诺。</w:t>
      </w:r>
    </w:p>
    <w:p>
      <w:pPr>
        <w:autoSpaceDE w:val="0"/>
        <w:autoSpaceDN w:val="0"/>
        <w:adjustRightIn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4-2、国家相关标准、规范及有关技术文件。</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八、工程保修：</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在保修期限内，对甲方提出的有关维修、维护要求，乙方应在24小时内予以解决。乙方未能按时予以维修、维护的，甲方可另行委托第三方进行，因此而产生的费用由乙方承担，甲方有权从质保金中直接扣除，不足部分由乙方支付，乙方不得提出任何异议，给甲方造成损失的，乙方须给予赔偿。</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九、争议的解决方式</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合同执行过程中如发生争议，双方应及时协商解决，协商不成， 双方均可向项目所在地人民法院起诉。</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十、其他：</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rPr>
        <w:t>本合同未定事宜，双方可根据具体情况结合有关规定另行签订补充协议，补充协议与本合同具有同等法律效力。</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rPr>
        <w:t>十一</w:t>
      </w:r>
      <w:r>
        <w:rPr>
          <w:rFonts w:hint="eastAsia" w:ascii="仿宋" w:hAnsi="仿宋" w:eastAsia="仿宋" w:cs="仿宋"/>
          <w:bCs/>
          <w:sz w:val="24"/>
          <w:szCs w:val="24"/>
          <w:highlight w:val="none"/>
          <w:lang w:val="zh-CN"/>
        </w:rPr>
        <w:t>、合同生效</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（一）本合同经双方签字盖章后生效。</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（二）本合同须经甲、乙双方的法定代表人（负责人）在合同书上签字并加盖本单位公章后正式生效。</w:t>
      </w:r>
    </w:p>
    <w:p>
      <w:pPr>
        <w:autoSpaceDE w:val="0"/>
        <w:autoSpaceDN w:val="0"/>
        <w:adjustRightInd w:val="0"/>
        <w:spacing w:line="360" w:lineRule="auto"/>
        <w:ind w:firstLine="480" w:firstLineChars="200"/>
        <w:rPr>
          <w:rFonts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（三）合同生效后，甲、乙双方须严格执行本合同条款的规定，全面履行合同，违者按《中华人民共和国合同法》的有关规定承担相应责任。</w:t>
      </w:r>
    </w:p>
    <w:p>
      <w:pPr>
        <w:autoSpaceDE w:val="0"/>
        <w:autoSpaceDN w:val="0"/>
        <w:adjustRightInd w:val="0"/>
        <w:spacing w:line="360" w:lineRule="auto"/>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val="zh-CN"/>
        </w:rPr>
        <w:t>（四）本合同一式</w:t>
      </w:r>
      <w:r>
        <w:rPr>
          <w:rFonts w:hint="eastAsia" w:ascii="仿宋" w:hAnsi="仿宋" w:eastAsia="仿宋" w:cs="仿宋"/>
          <w:bCs/>
          <w:sz w:val="24"/>
          <w:szCs w:val="24"/>
          <w:highlight w:val="none"/>
          <w:u w:val="single"/>
          <w:lang w:val="zh-CN"/>
        </w:rPr>
        <w:t xml:space="preserve">   </w:t>
      </w:r>
      <w:r>
        <w:rPr>
          <w:rFonts w:hint="eastAsia" w:ascii="仿宋" w:hAnsi="仿宋" w:eastAsia="仿宋" w:cs="仿宋"/>
          <w:bCs/>
          <w:sz w:val="24"/>
          <w:szCs w:val="24"/>
          <w:highlight w:val="none"/>
          <w:lang w:val="zh-CN"/>
        </w:rPr>
        <w:t>份，甲乙双方各执</w:t>
      </w:r>
      <w:r>
        <w:rPr>
          <w:rFonts w:hint="eastAsia" w:ascii="仿宋" w:hAnsi="仿宋" w:eastAsia="仿宋" w:cs="仿宋"/>
          <w:bCs/>
          <w:sz w:val="24"/>
          <w:szCs w:val="24"/>
          <w:highlight w:val="none"/>
          <w:u w:val="single"/>
          <w:lang w:val="zh-CN"/>
        </w:rPr>
        <w:t xml:space="preserve">    </w:t>
      </w:r>
      <w:r>
        <w:rPr>
          <w:rFonts w:hint="eastAsia" w:ascii="仿宋" w:hAnsi="仿宋" w:eastAsia="仿宋" w:cs="仿宋"/>
          <w:bCs/>
          <w:sz w:val="24"/>
          <w:szCs w:val="24"/>
          <w:highlight w:val="none"/>
          <w:lang w:val="zh-CN"/>
        </w:rPr>
        <w:t>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vAlign w:val="center"/>
          </w:tcPr>
          <w:p>
            <w:pPr>
              <w:spacing w:line="360" w:lineRule="auto"/>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tc>
        <w:tc>
          <w:tcPr>
            <w:tcW w:w="3186" w:type="dxa"/>
            <w:shd w:val="clear" w:color="auto" w:fill="D8D8D8"/>
            <w:vAlign w:val="center"/>
          </w:tcPr>
          <w:p>
            <w:pPr>
              <w:spacing w:line="360" w:lineRule="auto"/>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乙  方</w:t>
            </w:r>
          </w:p>
        </w:tc>
        <w:tc>
          <w:tcPr>
            <w:tcW w:w="2889" w:type="dxa"/>
            <w:shd w:val="clear" w:color="auto" w:fill="D8D8D8"/>
            <w:vAlign w:val="center"/>
          </w:tcPr>
          <w:p>
            <w:pPr>
              <w:spacing w:line="360" w:lineRule="auto"/>
              <w:jc w:val="center"/>
              <w:rPr>
                <w:rFonts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中标供应商</w:t>
            </w:r>
          </w:p>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2889" w:type="dxa"/>
            <w:vAlign w:val="center"/>
          </w:tcPr>
          <w:p>
            <w:pPr>
              <w:spacing w:line="360" w:lineRule="auto"/>
              <w:rPr>
                <w:rFonts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w:t>
            </w:r>
          </w:p>
        </w:tc>
        <w:tc>
          <w:tcPr>
            <w:tcW w:w="2889" w:type="dxa"/>
            <w:vAlign w:val="center"/>
          </w:tcPr>
          <w:p>
            <w:pPr>
              <w:spacing w:line="360" w:lineRule="auto"/>
              <w:rPr>
                <w:rFonts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3186"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2889" w:type="dxa"/>
            <w:vAlign w:val="center"/>
          </w:tcPr>
          <w:p>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r>
    </w:tbl>
    <w:p>
      <w:pPr>
        <w:rPr>
          <w:highlight w:val="none"/>
        </w:rPr>
      </w:pPr>
      <w:r>
        <w:rPr>
          <w:highlight w:val="none"/>
        </w:rPr>
        <w:br w:type="page"/>
      </w:r>
    </w:p>
    <w:p>
      <w:pPr>
        <w:pageBreakBefore/>
        <w:spacing w:before="120" w:line="360" w:lineRule="auto"/>
        <w:jc w:val="center"/>
        <w:outlineLvl w:val="0"/>
        <w:rPr>
          <w:rFonts w:ascii="仿宋_GB2312" w:hAnsi="仿宋_GB2312" w:eastAsia="仿宋_GB2312" w:cs="仿宋_GB2312"/>
          <w:b/>
          <w:sz w:val="44"/>
          <w:szCs w:val="44"/>
          <w:highlight w:val="none"/>
          <w:lang w:val="zh-CN"/>
        </w:rPr>
      </w:pPr>
      <w:bookmarkStart w:id="405" w:name="_Toc27716"/>
      <w:bookmarkStart w:id="406" w:name="_Toc10133"/>
      <w:bookmarkStart w:id="407" w:name="_Toc11957"/>
      <w:bookmarkStart w:id="408" w:name="_Toc23754"/>
      <w:bookmarkStart w:id="409" w:name="_Toc19059"/>
      <w:bookmarkStart w:id="410" w:name="_Toc16734"/>
      <w:bookmarkStart w:id="411" w:name="_Toc11662"/>
      <w:bookmarkStart w:id="412" w:name="_Toc31324"/>
      <w:bookmarkStart w:id="413" w:name="_Toc3178"/>
      <w:bookmarkStart w:id="414" w:name="_Toc495681394"/>
      <w:bookmarkStart w:id="415" w:name="_Toc16987"/>
      <w:bookmarkStart w:id="416" w:name="_Toc24528"/>
      <w:bookmarkStart w:id="417" w:name="_Toc26694"/>
      <w:bookmarkStart w:id="418" w:name="_Toc495681240"/>
      <w:bookmarkStart w:id="419" w:name="_Toc6568"/>
      <w:bookmarkStart w:id="420" w:name="_Toc495681521"/>
      <w:r>
        <w:rPr>
          <w:rFonts w:hint="eastAsia" w:ascii="宋体" w:hAnsi="宋体" w:cs="宋体"/>
          <w:b/>
          <w:sz w:val="32"/>
          <w:szCs w:val="32"/>
          <w:highlight w:val="none"/>
          <w:lang w:val="zh-CN"/>
        </w:rPr>
        <w:t>第五部分  磋商响应文件格式</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snapToGrid w:val="0"/>
        <w:spacing w:line="360" w:lineRule="auto"/>
        <w:jc w:val="right"/>
        <w:rPr>
          <w:rFonts w:ascii="仿宋_GB2312" w:hAnsi="仿宋_GB2312" w:eastAsia="仿宋_GB2312" w:cs="仿宋_GB2312"/>
          <w:b/>
          <w:bCs/>
          <w:sz w:val="32"/>
          <w:szCs w:val="32"/>
          <w:highlight w:val="none"/>
          <w:lang w:val="zh-CN"/>
        </w:rPr>
      </w:pPr>
    </w:p>
    <w:p>
      <w:pPr>
        <w:snapToGrid w:val="0"/>
        <w:spacing w:line="360" w:lineRule="auto"/>
        <w:jc w:val="right"/>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正本/副本</w:t>
      </w:r>
    </w:p>
    <w:p>
      <w:pPr>
        <w:tabs>
          <w:tab w:val="left" w:pos="5670"/>
        </w:tabs>
        <w:autoSpaceDE w:val="0"/>
        <w:autoSpaceDN w:val="0"/>
        <w:adjustRightInd w:val="0"/>
        <w:spacing w:line="360" w:lineRule="auto"/>
        <w:ind w:firstLine="300"/>
        <w:rPr>
          <w:rFonts w:ascii="仿宋" w:hAnsi="仿宋" w:eastAsia="仿宋" w:cs="仿宋"/>
          <w:b/>
          <w:bCs/>
          <w:sz w:val="32"/>
          <w:szCs w:val="32"/>
          <w:highlight w:val="none"/>
          <w:lang w:val="zh-CN"/>
        </w:rPr>
      </w:pPr>
      <w:bookmarkStart w:id="421" w:name="OLE_LINK2"/>
      <w:r>
        <w:rPr>
          <w:rFonts w:hint="eastAsia" w:ascii="仿宋" w:hAnsi="仿宋" w:eastAsia="仿宋" w:cs="仿宋"/>
          <w:b/>
          <w:bCs/>
          <w:sz w:val="32"/>
          <w:szCs w:val="32"/>
          <w:highlight w:val="none"/>
          <w:lang w:val="zh-CN"/>
        </w:rPr>
        <w:t>政府采购项目</w:t>
      </w:r>
    </w:p>
    <w:p>
      <w:pPr>
        <w:tabs>
          <w:tab w:val="left" w:pos="5670"/>
        </w:tabs>
        <w:autoSpaceDE w:val="0"/>
        <w:autoSpaceDN w:val="0"/>
        <w:adjustRightInd w:val="0"/>
        <w:spacing w:line="360" w:lineRule="auto"/>
        <w:ind w:firstLine="300"/>
        <w:rPr>
          <w:rFonts w:hint="eastAsia" w:ascii="仿宋" w:hAnsi="仿宋" w:eastAsia="仿宋" w:cs="仿宋"/>
          <w:b/>
          <w:bCs/>
          <w:sz w:val="30"/>
          <w:szCs w:val="30"/>
          <w:highlight w:val="none"/>
          <w:lang w:val="zh-CN"/>
        </w:rPr>
      </w:pPr>
      <w:r>
        <w:rPr>
          <w:rFonts w:hint="eastAsia" w:ascii="仿宋" w:hAnsi="仿宋" w:eastAsia="仿宋" w:cs="仿宋"/>
          <w:b/>
          <w:bCs/>
          <w:color w:val="auto"/>
          <w:sz w:val="30"/>
          <w:szCs w:val="30"/>
          <w:highlight w:val="none"/>
          <w:lang w:val="zh-CN"/>
        </w:rPr>
        <w:t>政采编号：</w:t>
      </w:r>
      <w:r>
        <w:rPr>
          <w:rFonts w:hint="eastAsia" w:ascii="仿宋" w:hAnsi="仿宋" w:eastAsia="仿宋" w:cs="仿宋"/>
          <w:b/>
          <w:bCs/>
          <w:sz w:val="30"/>
          <w:szCs w:val="30"/>
          <w:highlight w:val="none"/>
          <w:lang w:val="zh-CN"/>
        </w:rPr>
        <w:t>政采-西安市-2021-02877</w:t>
      </w:r>
    </w:p>
    <w:p>
      <w:pPr>
        <w:tabs>
          <w:tab w:val="left" w:pos="5670"/>
        </w:tabs>
        <w:autoSpaceDE w:val="0"/>
        <w:autoSpaceDN w:val="0"/>
        <w:adjustRightInd w:val="0"/>
        <w:spacing w:line="360" w:lineRule="auto"/>
        <w:ind w:firstLine="300"/>
        <w:rPr>
          <w:rFonts w:ascii="仿宋" w:hAnsi="仿宋" w:eastAsia="仿宋" w:cs="仿宋"/>
          <w:b/>
          <w:bCs/>
          <w:sz w:val="32"/>
          <w:szCs w:val="32"/>
          <w:highlight w:val="none"/>
        </w:rPr>
      </w:pPr>
      <w:r>
        <w:rPr>
          <w:rFonts w:hint="eastAsia" w:ascii="仿宋" w:hAnsi="仿宋" w:eastAsia="仿宋" w:cs="仿宋"/>
          <w:b/>
          <w:bCs/>
          <w:sz w:val="32"/>
          <w:szCs w:val="32"/>
          <w:highlight w:val="none"/>
          <w:lang w:val="zh-CN"/>
        </w:rPr>
        <w:t>项目编号：DX2021-117</w:t>
      </w:r>
    </w:p>
    <w:p>
      <w:pPr>
        <w:tabs>
          <w:tab w:val="left" w:pos="5670"/>
        </w:tabs>
        <w:autoSpaceDE w:val="0"/>
        <w:autoSpaceDN w:val="0"/>
        <w:adjustRightInd w:val="0"/>
        <w:spacing w:line="360" w:lineRule="auto"/>
        <w:ind w:firstLine="300"/>
        <w:rPr>
          <w:rFonts w:ascii="仿宋" w:hAnsi="仿宋" w:eastAsia="仿宋" w:cs="仿宋"/>
          <w:b/>
          <w:bCs/>
          <w:sz w:val="32"/>
          <w:szCs w:val="32"/>
          <w:highlight w:val="none"/>
        </w:rPr>
      </w:pPr>
    </w:p>
    <w:p>
      <w:pPr>
        <w:pStyle w:val="16"/>
        <w:rPr>
          <w:rFonts w:ascii="仿宋_GB2312" w:hAnsi="仿宋_GB2312" w:eastAsia="仿宋_GB2312" w:cs="仿宋_GB2312"/>
          <w:b/>
          <w:bCs/>
          <w:sz w:val="32"/>
          <w:szCs w:val="32"/>
          <w:highlight w:val="none"/>
        </w:rPr>
      </w:pPr>
    </w:p>
    <w:p>
      <w:pPr>
        <w:pStyle w:val="16"/>
        <w:rPr>
          <w:rFonts w:ascii="仿宋_GB2312" w:hAnsi="仿宋_GB2312" w:eastAsia="仿宋_GB2312" w:cs="仿宋_GB2312"/>
          <w:b/>
          <w:bCs/>
          <w:sz w:val="32"/>
          <w:szCs w:val="32"/>
          <w:highlight w:val="none"/>
        </w:rPr>
      </w:pPr>
    </w:p>
    <w:bookmarkEnd w:id="421"/>
    <w:p>
      <w:pPr>
        <w:pStyle w:val="9"/>
        <w:tabs>
          <w:tab w:val="left" w:pos="5670"/>
        </w:tabs>
        <w:adjustRightInd w:val="0"/>
        <w:snapToGrid w:val="0"/>
        <w:spacing w:line="360" w:lineRule="auto"/>
        <w:rPr>
          <w:rFonts w:hint="eastAsia" w:ascii="宋体" w:hAnsi="宋体" w:cs="宋体"/>
          <w:spacing w:val="0"/>
          <w:w w:val="100"/>
          <w:sz w:val="44"/>
          <w:szCs w:val="44"/>
          <w:highlight w:val="none"/>
          <w:lang w:eastAsia="zh-CN"/>
        </w:rPr>
      </w:pPr>
      <w:r>
        <w:rPr>
          <w:rFonts w:hint="eastAsia" w:ascii="宋体" w:hAnsi="宋体" w:cs="宋体"/>
          <w:spacing w:val="0"/>
          <w:w w:val="100"/>
          <w:sz w:val="44"/>
          <w:szCs w:val="44"/>
          <w:highlight w:val="none"/>
          <w:lang w:eastAsia="zh-CN"/>
        </w:rPr>
        <w:t>西安市第二保育院</w:t>
      </w:r>
    </w:p>
    <w:p>
      <w:pPr>
        <w:pStyle w:val="9"/>
        <w:tabs>
          <w:tab w:val="left" w:pos="5670"/>
        </w:tabs>
        <w:adjustRightInd w:val="0"/>
        <w:snapToGrid w:val="0"/>
        <w:spacing w:line="360" w:lineRule="auto"/>
        <w:rPr>
          <w:rFonts w:hint="eastAsia" w:ascii="宋体" w:hAnsi="宋体" w:eastAsia="宋体" w:cs="宋体"/>
          <w:spacing w:val="0"/>
          <w:w w:val="100"/>
          <w:sz w:val="44"/>
          <w:szCs w:val="44"/>
          <w:highlight w:val="none"/>
          <w:lang w:eastAsia="zh-CN"/>
        </w:rPr>
      </w:pPr>
      <w:r>
        <w:rPr>
          <w:rFonts w:hint="eastAsia" w:ascii="宋体" w:hAnsi="宋体" w:cs="宋体"/>
          <w:spacing w:val="0"/>
          <w:w w:val="100"/>
          <w:sz w:val="44"/>
          <w:szCs w:val="44"/>
          <w:highlight w:val="none"/>
          <w:lang w:eastAsia="zh-CN"/>
        </w:rPr>
        <w:t>全院楼宇外立面改造（二期）工程项目</w:t>
      </w:r>
    </w:p>
    <w:p>
      <w:pPr>
        <w:pStyle w:val="9"/>
        <w:tabs>
          <w:tab w:val="left" w:pos="5670"/>
        </w:tabs>
        <w:adjustRightInd w:val="0"/>
        <w:snapToGrid w:val="0"/>
        <w:spacing w:line="360" w:lineRule="auto"/>
        <w:rPr>
          <w:rFonts w:ascii="宋体" w:hAnsi="宋体" w:cs="宋体"/>
          <w:spacing w:val="0"/>
          <w:w w:val="100"/>
          <w:sz w:val="44"/>
          <w:szCs w:val="44"/>
          <w:highlight w:val="none"/>
        </w:rPr>
      </w:pPr>
    </w:p>
    <w:p>
      <w:pPr>
        <w:pStyle w:val="9"/>
        <w:tabs>
          <w:tab w:val="left" w:pos="5670"/>
        </w:tabs>
        <w:adjustRightInd w:val="0"/>
        <w:snapToGrid w:val="0"/>
        <w:spacing w:line="360" w:lineRule="auto"/>
        <w:rPr>
          <w:rFonts w:ascii="宋体" w:hAnsi="宋体" w:cs="宋体"/>
          <w:spacing w:val="0"/>
          <w:w w:val="100"/>
          <w:sz w:val="44"/>
          <w:szCs w:val="44"/>
          <w:highlight w:val="none"/>
        </w:rPr>
      </w:pPr>
    </w:p>
    <w:p>
      <w:pPr>
        <w:pStyle w:val="9"/>
        <w:tabs>
          <w:tab w:val="left" w:pos="5670"/>
        </w:tabs>
        <w:adjustRightInd w:val="0"/>
        <w:snapToGrid w:val="0"/>
        <w:spacing w:line="360" w:lineRule="auto"/>
        <w:rPr>
          <w:rFonts w:ascii="宋体" w:hAnsi="宋体" w:cs="宋体"/>
          <w:spacing w:val="0"/>
          <w:w w:val="100"/>
          <w:sz w:val="44"/>
          <w:szCs w:val="44"/>
          <w:highlight w:val="none"/>
        </w:rPr>
      </w:pPr>
      <w:r>
        <w:rPr>
          <w:rFonts w:hint="eastAsia" w:ascii="宋体" w:hAnsi="宋体" w:cs="宋体"/>
          <w:spacing w:val="0"/>
          <w:w w:val="100"/>
          <w:sz w:val="44"/>
          <w:szCs w:val="44"/>
          <w:highlight w:val="none"/>
        </w:rPr>
        <w:t>竞争性磋商响应文件</w:t>
      </w:r>
    </w:p>
    <w:p>
      <w:pPr>
        <w:autoSpaceDE w:val="0"/>
        <w:autoSpaceDN w:val="0"/>
        <w:adjustRightInd w:val="0"/>
        <w:snapToGrid w:val="0"/>
        <w:spacing w:line="360" w:lineRule="auto"/>
        <w:jc w:val="center"/>
        <w:rPr>
          <w:rFonts w:ascii="仿宋_GB2312" w:hAnsi="仿宋_GB2312" w:eastAsia="仿宋_GB2312" w:cs="仿宋_GB2312"/>
          <w:b/>
          <w:bCs/>
          <w:sz w:val="32"/>
          <w:szCs w:val="32"/>
          <w:highlight w:val="none"/>
          <w:lang w:val="zh-CN"/>
        </w:rPr>
      </w:pPr>
      <w:r>
        <w:rPr>
          <w:rFonts w:hint="eastAsia" w:ascii="仿宋" w:hAnsi="仿宋" w:eastAsia="仿宋" w:cs="仿宋"/>
          <w:b/>
          <w:bCs/>
          <w:sz w:val="32"/>
          <w:szCs w:val="32"/>
          <w:highlight w:val="none"/>
          <w:lang w:val="zh-CN"/>
        </w:rPr>
        <w:t>（格式）</w:t>
      </w:r>
    </w:p>
    <w:p>
      <w:pPr>
        <w:pStyle w:val="16"/>
        <w:rPr>
          <w:rFonts w:ascii="仿宋_GB2312" w:hAnsi="仿宋_GB2312" w:eastAsia="仿宋_GB2312" w:cs="仿宋_GB2312"/>
          <w:sz w:val="42"/>
          <w:highlight w:val="none"/>
        </w:rPr>
      </w:pPr>
    </w:p>
    <w:p>
      <w:pPr>
        <w:pStyle w:val="16"/>
        <w:rPr>
          <w:rFonts w:ascii="仿宋" w:hAnsi="仿宋" w:eastAsia="仿宋" w:cs="仿宋"/>
          <w:sz w:val="32"/>
          <w:szCs w:val="32"/>
          <w:highlight w:val="none"/>
        </w:rPr>
      </w:pPr>
    </w:p>
    <w:p>
      <w:pPr>
        <w:spacing w:line="360" w:lineRule="auto"/>
        <w:ind w:left="420" w:leftChars="200" w:firstLine="851" w:firstLineChars="265"/>
        <w:rPr>
          <w:rFonts w:ascii="仿宋" w:hAnsi="仿宋" w:eastAsia="仿宋" w:cs="仿宋"/>
          <w:b/>
          <w:bCs/>
          <w:sz w:val="32"/>
          <w:szCs w:val="32"/>
          <w:highlight w:val="none"/>
        </w:rPr>
      </w:pPr>
      <w:r>
        <w:rPr>
          <w:rFonts w:hint="eastAsia" w:ascii="仿宋" w:hAnsi="仿宋" w:eastAsia="仿宋" w:cs="仿宋"/>
          <w:b/>
          <w:bCs/>
          <w:sz w:val="32"/>
          <w:szCs w:val="32"/>
          <w:highlight w:val="none"/>
        </w:rPr>
        <w:t>供  应  商：</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（盖章）</w:t>
      </w:r>
    </w:p>
    <w:p>
      <w:pPr>
        <w:spacing w:line="360" w:lineRule="auto"/>
        <w:ind w:firstLine="1285" w:firstLineChars="400"/>
        <w:rPr>
          <w:rFonts w:ascii="仿宋" w:hAnsi="仿宋" w:eastAsia="仿宋" w:cs="仿宋"/>
          <w:b/>
          <w:bCs/>
          <w:sz w:val="32"/>
          <w:szCs w:val="32"/>
          <w:highlight w:val="none"/>
        </w:rPr>
      </w:pPr>
      <w:r>
        <w:rPr>
          <w:rFonts w:hint="eastAsia" w:ascii="仿宋" w:hAnsi="仿宋" w:eastAsia="仿宋" w:cs="仿宋"/>
          <w:b/>
          <w:sz w:val="32"/>
          <w:szCs w:val="32"/>
          <w:highlight w:val="none"/>
        </w:rPr>
        <w:t>法定代表人或授权代表：</w:t>
      </w:r>
      <w:r>
        <w:rPr>
          <w:rFonts w:hint="eastAsia" w:ascii="仿宋" w:hAnsi="仿宋" w:eastAsia="仿宋" w:cs="仿宋"/>
          <w:b/>
          <w:sz w:val="32"/>
          <w:szCs w:val="32"/>
          <w:highlight w:val="none"/>
          <w:u w:val="single"/>
        </w:rPr>
        <w:t xml:space="preserve">        </w:t>
      </w:r>
      <w:r>
        <w:rPr>
          <w:rFonts w:hint="eastAsia" w:ascii="仿宋" w:hAnsi="仿宋" w:eastAsia="仿宋" w:cs="仿宋"/>
          <w:b/>
          <w:bCs/>
          <w:sz w:val="32"/>
          <w:szCs w:val="32"/>
          <w:highlight w:val="none"/>
        </w:rPr>
        <w:t>（签字或盖章）</w:t>
      </w:r>
    </w:p>
    <w:p>
      <w:pPr>
        <w:autoSpaceDE w:val="0"/>
        <w:autoSpaceDN w:val="0"/>
        <w:adjustRightInd w:val="0"/>
        <w:snapToGrid w:val="0"/>
        <w:spacing w:line="360" w:lineRule="auto"/>
        <w:ind w:firstLine="1263" w:firstLineChars="393"/>
        <w:rPr>
          <w:rFonts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adjustRightInd w:val="0"/>
        <w:snapToGrid w:val="0"/>
        <w:spacing w:line="360" w:lineRule="auto"/>
        <w:jc w:val="center"/>
        <w:rPr>
          <w:b/>
          <w:bCs/>
          <w:sz w:val="32"/>
          <w:szCs w:val="15"/>
          <w:highlight w:val="none"/>
          <w:lang w:val="zh-CN"/>
        </w:rPr>
      </w:pPr>
      <w:bookmarkStart w:id="422" w:name="_Toc30727"/>
      <w:bookmarkStart w:id="423" w:name="_Toc3446"/>
      <w:bookmarkStart w:id="424" w:name="_Toc495908037"/>
      <w:bookmarkStart w:id="425" w:name="_Toc495681522"/>
      <w:bookmarkStart w:id="426" w:name="_Toc25409"/>
      <w:bookmarkStart w:id="427" w:name="_Toc56"/>
      <w:bookmarkStart w:id="428" w:name="_Toc25880"/>
      <w:bookmarkStart w:id="429" w:name="_Toc27610"/>
      <w:bookmarkStart w:id="430" w:name="_Toc14433"/>
      <w:bookmarkStart w:id="431" w:name="_Toc16388"/>
      <w:bookmarkStart w:id="432" w:name="_Toc495681241"/>
      <w:bookmarkStart w:id="433" w:name="_Toc495681395"/>
      <w:bookmarkStart w:id="434" w:name="_Toc23370"/>
      <w:r>
        <w:rPr>
          <w:rFonts w:hint="eastAsia"/>
          <w:b/>
          <w:bCs/>
          <w:sz w:val="32"/>
          <w:szCs w:val="15"/>
          <w:highlight w:val="none"/>
          <w:lang w:val="zh-CN"/>
        </w:rPr>
        <w:t>目</w:t>
      </w:r>
      <w:r>
        <w:rPr>
          <w:rFonts w:hint="eastAsia"/>
          <w:b/>
          <w:bCs/>
          <w:sz w:val="32"/>
          <w:szCs w:val="15"/>
          <w:highlight w:val="none"/>
        </w:rPr>
        <w:t xml:space="preserve">  </w:t>
      </w:r>
      <w:r>
        <w:rPr>
          <w:rFonts w:hint="eastAsia"/>
          <w:b/>
          <w:bCs/>
          <w:sz w:val="32"/>
          <w:szCs w:val="15"/>
          <w:highlight w:val="none"/>
          <w:lang w:val="zh-CN"/>
        </w:rPr>
        <w:t>录</w:t>
      </w:r>
    </w:p>
    <w:p>
      <w:pPr>
        <w:jc w:val="center"/>
        <w:rPr>
          <w:highlight w:val="none"/>
          <w:lang w:val="zh-CN"/>
        </w:rPr>
      </w:pPr>
      <w:r>
        <w:rPr>
          <w:rFonts w:hint="eastAsia" w:ascii="仿宋" w:hAnsi="仿宋" w:eastAsia="仿宋" w:cs="仿宋"/>
          <w:sz w:val="24"/>
          <w:szCs w:val="16"/>
          <w:highlight w:val="none"/>
          <w:lang w:val="zh-CN"/>
        </w:rPr>
        <w:t>请根据磋商响应文件内容自动生成目录</w:t>
      </w:r>
    </w:p>
    <w:p>
      <w:pPr>
        <w:rPr>
          <w:rFonts w:ascii="宋体" w:hAnsi="宋体" w:cs="宋体"/>
          <w:sz w:val="32"/>
          <w:szCs w:val="32"/>
          <w:highlight w:val="none"/>
        </w:rPr>
      </w:pPr>
      <w:r>
        <w:rPr>
          <w:rFonts w:hint="eastAsia" w:ascii="宋体" w:hAnsi="宋体" w:cs="宋体"/>
          <w:sz w:val="32"/>
          <w:szCs w:val="32"/>
          <w:highlight w:val="none"/>
        </w:rPr>
        <w:br w:type="page"/>
      </w:r>
    </w:p>
    <w:p>
      <w:pPr>
        <w:pStyle w:val="4"/>
        <w:spacing w:line="360" w:lineRule="auto"/>
        <w:ind w:firstLine="643" w:firstLineChars="200"/>
        <w:rPr>
          <w:rFonts w:ascii="仿宋" w:hAnsi="仿宋" w:eastAsia="仿宋" w:cs="仿宋"/>
          <w:sz w:val="32"/>
          <w:szCs w:val="32"/>
          <w:highlight w:val="none"/>
        </w:rPr>
      </w:pPr>
      <w:bookmarkStart w:id="435" w:name="_Toc10290"/>
      <w:bookmarkStart w:id="436" w:name="_Toc10159"/>
      <w:bookmarkStart w:id="437" w:name="_Toc30272"/>
      <w:bookmarkStart w:id="438" w:name="_Toc19928"/>
      <w:r>
        <w:rPr>
          <w:rFonts w:hint="eastAsia" w:ascii="仿宋" w:hAnsi="仿宋" w:eastAsia="仿宋" w:cs="仿宋"/>
          <w:sz w:val="32"/>
          <w:szCs w:val="32"/>
          <w:highlight w:val="none"/>
        </w:rPr>
        <w:t>一、磋商响应函</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陕西笃信招标有限公司：</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我单位收到贵公司</w:t>
      </w:r>
      <w:r>
        <w:rPr>
          <w:rFonts w:hint="eastAsia" w:ascii="仿宋" w:hAnsi="仿宋" w:eastAsia="仿宋" w:cs="仿宋"/>
          <w:sz w:val="24"/>
          <w:szCs w:val="24"/>
          <w:highlight w:val="none"/>
          <w:lang w:eastAsia="zh-CN"/>
        </w:rPr>
        <w:t>西安市第二保育院全院楼宇外立面改造（二期）工程项目</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DX2021-117</w:t>
      </w:r>
      <w:r>
        <w:rPr>
          <w:rFonts w:hint="eastAsia" w:ascii="仿宋" w:hAnsi="仿宋" w:eastAsia="仿宋" w:cs="仿宋"/>
          <w:sz w:val="24"/>
          <w:szCs w:val="24"/>
          <w:highlight w:val="none"/>
        </w:rPr>
        <w:t>）磋商文件，经详细研究，我们决定参加本次项目活动，为此，我方郑重声明以下诸点，并负法律责任。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一、愿意按照磋商文件中的要求，提供磋商技术及服务，完成合同的责任和义务。</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二、按磋商文件的规定，我公司的第一次磋商总报价为：</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元），并对其最后的磋商报价负法律责任。</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三、我方提交的磋商响应文件正本一份、副本两份及电子版一份，并保证磋商响应文件提供的数据和材料真实、准确。否则，愿承担相关的法律责任。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四、我方已详细阅读了磋商文件，完全理解并放弃提出含糊不清或易形成歧义的表述和资料。</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五、磋商后在规定的有效期内撤回磋商，我方愿接受政府采购的有关处罚决定。</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六、同意向贵方提供可能要求的，与本次磋商有关的任何证据或资料，我们完全理解最低磋商报价不作为成交的唯一条件，且尊重磋商小组的评审结论和结果。</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七、我方的磋商响应文件在磋商后有效期为90个日历天，若我方成交，磋商响应文件有效期延长至合同执行完毕。</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八、有关于本磋商响应文件的函电，请按下列地址联系。</w:t>
      </w:r>
    </w:p>
    <w:p>
      <w:pPr>
        <w:snapToGrid w:val="0"/>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供应商全称（印章）：</w:t>
      </w:r>
      <w:r>
        <w:rPr>
          <w:rFonts w:hint="eastAsia" w:ascii="仿宋" w:hAnsi="仿宋" w:eastAsia="仿宋" w:cs="仿宋"/>
          <w:sz w:val="24"/>
          <w:szCs w:val="24"/>
          <w:highlight w:val="none"/>
          <w:u w:val="single"/>
        </w:rPr>
        <w:t xml:space="preserve">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授权代表(签字)：</w:t>
      </w:r>
      <w:r>
        <w:rPr>
          <w:rFonts w:hint="eastAsia" w:ascii="仿宋" w:hAnsi="仿宋" w:eastAsia="仿宋" w:cs="仿宋"/>
          <w:sz w:val="24"/>
          <w:szCs w:val="24"/>
          <w:highlight w:val="none"/>
          <w:u w:val="single"/>
        </w:rPr>
        <w:t xml:space="preserve">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帐    号：</w:t>
      </w:r>
      <w:r>
        <w:rPr>
          <w:rFonts w:hint="eastAsia" w:ascii="仿宋" w:hAnsi="仿宋" w:eastAsia="仿宋" w:cs="仿宋"/>
          <w:sz w:val="24"/>
          <w:szCs w:val="24"/>
          <w:highlight w:val="none"/>
          <w:u w:val="single"/>
        </w:rPr>
        <w:t xml:space="preserve">                                          </w:t>
      </w:r>
    </w:p>
    <w:p>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p>
    <w:p>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pPr>
        <w:snapToGrid w:val="0"/>
        <w:spacing w:line="360" w:lineRule="auto"/>
        <w:jc w:val="center"/>
        <w:rPr>
          <w:rFonts w:ascii="仿宋" w:hAnsi="仿宋" w:eastAsia="仿宋" w:cs="仿宋"/>
          <w:sz w:val="24"/>
          <w:szCs w:val="24"/>
          <w:highlight w:val="none"/>
        </w:rPr>
        <w:sectPr>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pStyle w:val="4"/>
        <w:spacing w:line="360" w:lineRule="auto"/>
        <w:rPr>
          <w:rFonts w:ascii="仿宋_GB2312" w:hAnsi="仿宋_GB2312" w:cs="仿宋_GB2312"/>
          <w:color w:val="FF0000"/>
          <w:sz w:val="32"/>
          <w:szCs w:val="32"/>
          <w:highlight w:val="none"/>
        </w:rPr>
      </w:pPr>
      <w:bookmarkStart w:id="439" w:name="_Toc31028"/>
      <w:bookmarkStart w:id="440" w:name="_Toc13342"/>
      <w:bookmarkStart w:id="441" w:name="_Toc9496"/>
      <w:bookmarkStart w:id="442" w:name="_Toc12303"/>
      <w:bookmarkStart w:id="443" w:name="_Toc30196"/>
      <w:bookmarkStart w:id="444" w:name="_Toc31098"/>
      <w:bookmarkStart w:id="445" w:name="_Toc31519"/>
      <w:bookmarkStart w:id="446" w:name="_Toc722"/>
      <w:bookmarkStart w:id="447" w:name="_Toc495681523"/>
      <w:bookmarkStart w:id="448" w:name="_Toc23789"/>
      <w:bookmarkStart w:id="449" w:name="_Toc495681242"/>
      <w:bookmarkStart w:id="450" w:name="_Toc6924"/>
      <w:bookmarkStart w:id="451" w:name="_Toc31138"/>
      <w:bookmarkStart w:id="452" w:name="_Toc495908038"/>
      <w:bookmarkStart w:id="453" w:name="_Toc495681396"/>
      <w:bookmarkStart w:id="454" w:name="_Toc8463"/>
      <w:bookmarkStart w:id="455" w:name="_Toc13144"/>
      <w:r>
        <w:rPr>
          <w:rStyle w:val="37"/>
          <w:rFonts w:hint="eastAsia" w:ascii="仿宋" w:hAnsi="仿宋" w:eastAsia="仿宋" w:cs="仿宋"/>
          <w:b/>
          <w:sz w:val="32"/>
          <w:szCs w:val="32"/>
          <w:highlight w:val="none"/>
        </w:rPr>
        <w:t>二、第一次磋商报价表</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Style w:val="37"/>
          <w:rFonts w:hint="eastAsia" w:ascii="仿宋" w:hAnsi="仿宋" w:eastAsia="仿宋" w:cs="仿宋"/>
          <w:b/>
          <w:sz w:val="32"/>
          <w:szCs w:val="32"/>
          <w:highlight w:val="none"/>
        </w:rPr>
        <w:t xml:space="preserve"> </w:t>
      </w:r>
      <w:r>
        <w:rPr>
          <w:rFonts w:hint="eastAsia" w:ascii="仿宋" w:hAnsi="仿宋" w:eastAsia="仿宋" w:cs="仿宋"/>
          <w:color w:val="FF0000"/>
          <w:sz w:val="32"/>
          <w:szCs w:val="32"/>
          <w:highlight w:val="none"/>
        </w:rPr>
        <w:t xml:space="preserve">  </w:t>
      </w:r>
      <w:r>
        <w:rPr>
          <w:rFonts w:hint="eastAsia" w:ascii="宋体" w:hAnsi="宋体" w:eastAsia="宋体" w:cs="宋体"/>
          <w:color w:val="FF0000"/>
          <w:sz w:val="32"/>
          <w:szCs w:val="32"/>
          <w:highlight w:val="none"/>
        </w:rPr>
        <w:t xml:space="preserve">  </w:t>
      </w:r>
      <w:r>
        <w:rPr>
          <w:rFonts w:hint="eastAsia" w:ascii="仿宋_GB2312" w:hAnsi="仿宋_GB2312" w:cs="仿宋_GB2312"/>
          <w:color w:val="FF0000"/>
          <w:sz w:val="32"/>
          <w:szCs w:val="32"/>
          <w:highlight w:val="none"/>
        </w:rPr>
        <w:t xml:space="preserve">                                                </w:t>
      </w:r>
    </w:p>
    <w:tbl>
      <w:tblPr>
        <w:tblStyle w:val="2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41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6496" w:type="dxa"/>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西安市第二保育院全院楼宇外立面改造（二期）工程项目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41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bCs/>
                <w:kern w:val="0"/>
                <w:sz w:val="24"/>
                <w:szCs w:val="24"/>
                <w:highlight w:val="none"/>
              </w:rPr>
              <w:t>项目编号</w:t>
            </w:r>
          </w:p>
        </w:tc>
        <w:tc>
          <w:tcPr>
            <w:tcW w:w="6496" w:type="dxa"/>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DX2021-117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415" w:type="dxa"/>
            <w:vAlign w:val="center"/>
          </w:tcPr>
          <w:p>
            <w:pPr>
              <w:autoSpaceDE w:val="0"/>
              <w:autoSpaceDN w:val="0"/>
              <w:adjustRightIn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磋商总报价（元）</w:t>
            </w:r>
          </w:p>
        </w:tc>
        <w:tc>
          <w:tcPr>
            <w:tcW w:w="6496" w:type="dxa"/>
            <w:vAlign w:val="center"/>
          </w:tcPr>
          <w:p>
            <w:pPr>
              <w:autoSpaceDE w:val="0"/>
              <w:autoSpaceDN w:val="0"/>
              <w:adjustRightIn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415" w:type="dxa"/>
            <w:vAlign w:val="center"/>
          </w:tcPr>
          <w:p>
            <w:pPr>
              <w:widowControl/>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工程质量</w:t>
            </w:r>
          </w:p>
        </w:tc>
        <w:tc>
          <w:tcPr>
            <w:tcW w:w="6496" w:type="dxa"/>
            <w:vAlign w:val="center"/>
          </w:tcPr>
          <w:p>
            <w:pPr>
              <w:widowControl/>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415" w:type="dxa"/>
            <w:vAlign w:val="center"/>
          </w:tcPr>
          <w:p>
            <w:pPr>
              <w:widowControl/>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6496" w:type="dxa"/>
            <w:vAlign w:val="center"/>
          </w:tcPr>
          <w:p>
            <w:pPr>
              <w:widowControl/>
              <w:spacing w:line="360" w:lineRule="auto"/>
              <w:jc w:val="left"/>
              <w:rPr>
                <w:rFonts w:ascii="仿宋" w:hAnsi="仿宋" w:eastAsia="仿宋" w:cs="仿宋"/>
                <w:kern w:val="0"/>
                <w:sz w:val="24"/>
                <w:szCs w:val="24"/>
                <w:highlight w:val="none"/>
              </w:rPr>
            </w:pPr>
            <w:r>
              <w:rPr>
                <w:rFonts w:hint="eastAsia" w:ascii="仿宋" w:hAnsi="仿宋" w:eastAsia="仿宋" w:cs="仿宋"/>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911" w:type="dxa"/>
            <w:gridSpan w:val="2"/>
            <w:vAlign w:val="center"/>
          </w:tcPr>
          <w:p>
            <w:pPr>
              <w:widowControl/>
              <w:spacing w:line="360" w:lineRule="auto"/>
              <w:jc w:val="left"/>
              <w:rPr>
                <w:rFonts w:ascii="仿宋" w:hAnsi="仿宋" w:eastAsia="仿宋" w:cs="仿宋"/>
                <w:bCs/>
                <w:kern w:val="0"/>
                <w:sz w:val="24"/>
                <w:szCs w:val="24"/>
                <w:highlight w:val="none"/>
              </w:rPr>
            </w:pPr>
            <w:r>
              <w:rPr>
                <w:rFonts w:hint="eastAsia" w:ascii="仿宋" w:hAnsi="仿宋" w:eastAsia="仿宋" w:cs="仿宋"/>
                <w:b/>
                <w:bCs/>
                <w:sz w:val="24"/>
                <w:szCs w:val="24"/>
                <w:highlight w:val="none"/>
              </w:rPr>
              <w:t>说明：</w:t>
            </w:r>
            <w:r>
              <w:rPr>
                <w:rFonts w:hint="eastAsia" w:ascii="仿宋" w:hAnsi="仿宋" w:eastAsia="仿宋" w:cs="仿宋"/>
                <w:sz w:val="24"/>
                <w:szCs w:val="24"/>
                <w:highlight w:val="none"/>
              </w:rPr>
              <w:t>磋商报价以元为单位，保留小数点后两位，大小写不一致时，以大写为准。</w:t>
            </w:r>
          </w:p>
        </w:tc>
      </w:tr>
    </w:tbl>
    <w:p>
      <w:pPr>
        <w:spacing w:line="360" w:lineRule="auto"/>
        <w:rPr>
          <w:rFonts w:ascii="仿宋_GB2312" w:hAnsi="仿宋_GB2312" w:eastAsia="仿宋_GB2312" w:cs="仿宋_GB2312"/>
          <w:b/>
          <w:sz w:val="32"/>
          <w:highlight w:val="none"/>
        </w:rPr>
      </w:pPr>
      <w:r>
        <w:rPr>
          <w:rFonts w:hint="eastAsia" w:ascii="仿宋_GB2312" w:hAnsi="仿宋_GB2312" w:eastAsia="仿宋_GB2312" w:cs="仿宋_GB2312"/>
          <w:b/>
          <w:sz w:val="28"/>
          <w:highlight w:val="none"/>
        </w:rPr>
        <w:t xml:space="preserve">  </w:t>
      </w:r>
      <w:r>
        <w:rPr>
          <w:rFonts w:hint="eastAsia" w:ascii="仿宋_GB2312" w:hAnsi="仿宋_GB2312" w:eastAsia="仿宋_GB2312" w:cs="仿宋_GB2312"/>
          <w:b/>
          <w:sz w:val="36"/>
          <w:highlight w:val="none"/>
        </w:rPr>
        <w:t xml:space="preserve">  </w:t>
      </w:r>
      <w:r>
        <w:rPr>
          <w:rFonts w:hint="eastAsia" w:ascii="仿宋_GB2312" w:hAnsi="仿宋_GB2312" w:eastAsia="仿宋_GB2312" w:cs="仿宋_GB2312"/>
          <w:bCs/>
          <w:sz w:val="36"/>
          <w:highlight w:val="none"/>
        </w:rPr>
        <w:t xml:space="preserve">  </w:t>
      </w:r>
    </w:p>
    <w:p>
      <w:pPr>
        <w:spacing w:line="360" w:lineRule="auto"/>
        <w:ind w:firstLine="2560" w:firstLineChars="800"/>
        <w:rPr>
          <w:rFonts w:ascii="仿宋" w:hAnsi="仿宋" w:eastAsia="仿宋" w:cs="仿宋"/>
          <w:sz w:val="32"/>
          <w:highlight w:val="none"/>
        </w:rPr>
      </w:pPr>
    </w:p>
    <w:p>
      <w:pPr>
        <w:spacing w:line="360" w:lineRule="auto"/>
        <w:ind w:firstLine="3360" w:firstLineChars="1400"/>
        <w:rPr>
          <w:rFonts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br w:type="page"/>
      </w:r>
    </w:p>
    <w:p>
      <w:pPr>
        <w:pStyle w:val="4"/>
        <w:spacing w:line="360" w:lineRule="auto"/>
        <w:rPr>
          <w:rStyle w:val="37"/>
          <w:rFonts w:ascii="仿宋" w:hAnsi="仿宋" w:eastAsia="仿宋" w:cs="仿宋"/>
          <w:b/>
          <w:sz w:val="32"/>
          <w:szCs w:val="32"/>
          <w:highlight w:val="none"/>
        </w:rPr>
      </w:pPr>
      <w:bookmarkStart w:id="456" w:name="_Toc3420"/>
      <w:r>
        <w:rPr>
          <w:rStyle w:val="37"/>
          <w:rFonts w:hint="eastAsia" w:ascii="仿宋" w:hAnsi="仿宋" w:eastAsia="仿宋" w:cs="仿宋"/>
          <w:b/>
          <w:sz w:val="32"/>
          <w:szCs w:val="32"/>
          <w:highlight w:val="none"/>
        </w:rPr>
        <w:t>三、已标价的工程量清单</w:t>
      </w:r>
      <w:bookmarkEnd w:id="456"/>
    </w:p>
    <w:p>
      <w:pPr>
        <w:rPr>
          <w:highlight w:val="none"/>
        </w:rPr>
      </w:pP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根据工程量清单自行组价。</w:t>
      </w:r>
    </w:p>
    <w:p>
      <w:pPr>
        <w:spacing w:line="360" w:lineRule="auto"/>
        <w:ind w:firstLine="3360" w:firstLineChars="1400"/>
        <w:rPr>
          <w:rFonts w:ascii="仿宋" w:hAnsi="仿宋" w:eastAsia="仿宋" w:cs="仿宋"/>
          <w:sz w:val="24"/>
          <w:szCs w:val="24"/>
          <w:highlight w:val="none"/>
        </w:rPr>
      </w:pPr>
    </w:p>
    <w:p>
      <w:pPr>
        <w:spacing w:line="360" w:lineRule="auto"/>
        <w:ind w:firstLine="3360" w:firstLineChars="1400"/>
        <w:rPr>
          <w:rFonts w:ascii="仿宋" w:hAnsi="仿宋" w:eastAsia="仿宋" w:cs="仿宋"/>
          <w:sz w:val="24"/>
          <w:szCs w:val="24"/>
          <w:highlight w:val="none"/>
        </w:rPr>
      </w:pPr>
      <w:bookmarkStart w:id="457" w:name="_Toc19130"/>
      <w:bookmarkStart w:id="458" w:name="_Toc13257"/>
      <w:bookmarkStart w:id="459" w:name="_Toc26772"/>
      <w:bookmarkStart w:id="460" w:name="_Toc4009"/>
      <w:bookmarkStart w:id="461" w:name="_Toc28831"/>
      <w:bookmarkStart w:id="462" w:name="_Toc2748"/>
      <w:bookmarkStart w:id="463" w:name="_Toc14988"/>
      <w:bookmarkStart w:id="464" w:name="_Toc14078"/>
      <w:bookmarkStart w:id="465" w:name="_Toc620"/>
      <w:bookmarkStart w:id="466" w:name="_Toc22665"/>
      <w:bookmarkStart w:id="467" w:name="_Toc11784"/>
      <w:bookmarkStart w:id="468" w:name="_Toc30293"/>
      <w:bookmarkStart w:id="469" w:name="_Toc495908042"/>
      <w:bookmarkStart w:id="470" w:name="_Toc495681400"/>
      <w:bookmarkStart w:id="471" w:name="_Toc25757"/>
      <w:bookmarkStart w:id="472" w:name="_Toc495681246"/>
      <w:bookmarkStart w:id="473" w:name="_Toc31853"/>
      <w:bookmarkStart w:id="474" w:name="_Toc495681527"/>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rPr>
          <w:rFonts w:ascii="仿宋" w:hAnsi="仿宋" w:eastAsia="仿宋" w:cs="仿宋"/>
          <w:sz w:val="32"/>
          <w:szCs w:val="32"/>
          <w:highlight w:val="none"/>
        </w:rPr>
      </w:pPr>
    </w:p>
    <w:p>
      <w:pPr>
        <w:pStyle w:val="4"/>
        <w:keepNext w:val="0"/>
        <w:pageBreakBefore/>
        <w:spacing w:line="360" w:lineRule="auto"/>
        <w:rPr>
          <w:rFonts w:ascii="仿宋" w:hAnsi="仿宋" w:eastAsia="仿宋" w:cs="仿宋"/>
          <w:sz w:val="32"/>
          <w:szCs w:val="32"/>
          <w:highlight w:val="none"/>
        </w:rPr>
      </w:pPr>
      <w:bookmarkStart w:id="475" w:name="_Toc25973"/>
      <w:r>
        <w:rPr>
          <w:rFonts w:hint="eastAsia" w:ascii="仿宋" w:hAnsi="仿宋" w:eastAsia="仿宋" w:cs="仿宋"/>
          <w:sz w:val="32"/>
          <w:szCs w:val="32"/>
          <w:highlight w:val="none"/>
        </w:rPr>
        <w:t>四、合同主要条款响应偏差表</w:t>
      </w:r>
      <w:bookmarkEnd w:id="475"/>
    </w:p>
    <w:p>
      <w:pPr>
        <w:adjustRightInd w:val="0"/>
        <w:snapToGrid w:val="0"/>
        <w:spacing w:line="360" w:lineRule="auto"/>
        <w:ind w:right="640"/>
        <w:rPr>
          <w:rFonts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 xml:space="preserve">              </w:t>
      </w:r>
    </w:p>
    <w:tbl>
      <w:tblPr>
        <w:tblStyle w:val="24"/>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113"/>
        <w:gridCol w:w="1125"/>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380"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文件</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条目号</w:t>
            </w:r>
          </w:p>
        </w:tc>
        <w:tc>
          <w:tcPr>
            <w:tcW w:w="2341"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磋商文件</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合同主要条款</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要求</w:t>
            </w:r>
          </w:p>
        </w:tc>
        <w:tc>
          <w:tcPr>
            <w:tcW w:w="2113"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磋商响应文件</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合同主要条款</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w:t>
            </w:r>
          </w:p>
        </w:tc>
        <w:tc>
          <w:tcPr>
            <w:tcW w:w="1125"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538" w:type="dxa"/>
            <w:vAlign w:val="center"/>
          </w:tcPr>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p>
            <w:pPr>
              <w:adjustRightInd w:val="0"/>
              <w:snapToGrid w:val="0"/>
              <w:spacing w:line="360" w:lineRule="auto"/>
              <w:ind w:right="23"/>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highlight w:val="none"/>
              </w:rPr>
            </w:pPr>
          </w:p>
        </w:tc>
        <w:tc>
          <w:tcPr>
            <w:tcW w:w="1380" w:type="dxa"/>
          </w:tcPr>
          <w:p>
            <w:pPr>
              <w:adjustRightInd w:val="0"/>
              <w:snapToGrid w:val="0"/>
              <w:spacing w:line="360" w:lineRule="auto"/>
              <w:ind w:right="24"/>
              <w:rPr>
                <w:rFonts w:ascii="仿宋" w:hAnsi="仿宋" w:eastAsia="仿宋" w:cs="仿宋"/>
                <w:bCs/>
                <w:sz w:val="24"/>
                <w:szCs w:val="24"/>
                <w:highlight w:val="none"/>
              </w:rPr>
            </w:pPr>
          </w:p>
        </w:tc>
        <w:tc>
          <w:tcPr>
            <w:tcW w:w="2341" w:type="dxa"/>
          </w:tcPr>
          <w:p>
            <w:pPr>
              <w:adjustRightInd w:val="0"/>
              <w:snapToGrid w:val="0"/>
              <w:spacing w:line="360" w:lineRule="auto"/>
              <w:ind w:right="24"/>
              <w:rPr>
                <w:rFonts w:ascii="仿宋" w:hAnsi="仿宋" w:eastAsia="仿宋" w:cs="仿宋"/>
                <w:bCs/>
                <w:sz w:val="24"/>
                <w:szCs w:val="24"/>
                <w:highlight w:val="none"/>
              </w:rPr>
            </w:pPr>
          </w:p>
        </w:tc>
        <w:tc>
          <w:tcPr>
            <w:tcW w:w="2113" w:type="dxa"/>
          </w:tcPr>
          <w:p>
            <w:pPr>
              <w:adjustRightInd w:val="0"/>
              <w:snapToGrid w:val="0"/>
              <w:spacing w:line="360" w:lineRule="auto"/>
              <w:ind w:right="24"/>
              <w:rPr>
                <w:rFonts w:ascii="仿宋" w:hAnsi="仿宋" w:eastAsia="仿宋" w:cs="仿宋"/>
                <w:bCs/>
                <w:sz w:val="24"/>
                <w:szCs w:val="24"/>
                <w:highlight w:val="none"/>
              </w:rPr>
            </w:pPr>
          </w:p>
        </w:tc>
        <w:tc>
          <w:tcPr>
            <w:tcW w:w="1125" w:type="dxa"/>
          </w:tcPr>
          <w:p>
            <w:pPr>
              <w:adjustRightInd w:val="0"/>
              <w:snapToGrid w:val="0"/>
              <w:spacing w:line="360" w:lineRule="auto"/>
              <w:ind w:right="24"/>
              <w:rPr>
                <w:rFonts w:ascii="仿宋" w:hAnsi="仿宋" w:eastAsia="仿宋" w:cs="仿宋"/>
                <w:bCs/>
                <w:sz w:val="24"/>
                <w:szCs w:val="24"/>
                <w:highlight w:val="none"/>
              </w:rPr>
            </w:pPr>
          </w:p>
        </w:tc>
        <w:tc>
          <w:tcPr>
            <w:tcW w:w="1538" w:type="dxa"/>
          </w:tcPr>
          <w:p>
            <w:pPr>
              <w:adjustRightInd w:val="0"/>
              <w:snapToGrid w:val="0"/>
              <w:spacing w:line="360" w:lineRule="auto"/>
              <w:ind w:right="24"/>
              <w:rPr>
                <w:rFonts w:ascii="仿宋" w:hAnsi="仿宋" w:eastAsia="仿宋" w:cs="仿宋"/>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highlight w:val="none"/>
              </w:rPr>
            </w:pPr>
          </w:p>
        </w:tc>
        <w:tc>
          <w:tcPr>
            <w:tcW w:w="1380" w:type="dxa"/>
          </w:tcPr>
          <w:p>
            <w:pPr>
              <w:adjustRightInd w:val="0"/>
              <w:snapToGrid w:val="0"/>
              <w:spacing w:line="360" w:lineRule="auto"/>
              <w:ind w:right="24"/>
              <w:rPr>
                <w:rFonts w:ascii="仿宋" w:hAnsi="仿宋" w:eastAsia="仿宋" w:cs="仿宋"/>
                <w:bCs/>
                <w:sz w:val="24"/>
                <w:szCs w:val="24"/>
                <w:highlight w:val="none"/>
              </w:rPr>
            </w:pPr>
          </w:p>
        </w:tc>
        <w:tc>
          <w:tcPr>
            <w:tcW w:w="2341" w:type="dxa"/>
          </w:tcPr>
          <w:p>
            <w:pPr>
              <w:adjustRightInd w:val="0"/>
              <w:snapToGrid w:val="0"/>
              <w:spacing w:line="360" w:lineRule="auto"/>
              <w:ind w:right="24"/>
              <w:rPr>
                <w:rFonts w:ascii="仿宋" w:hAnsi="仿宋" w:eastAsia="仿宋" w:cs="仿宋"/>
                <w:bCs/>
                <w:sz w:val="24"/>
                <w:szCs w:val="24"/>
                <w:highlight w:val="none"/>
              </w:rPr>
            </w:pPr>
          </w:p>
        </w:tc>
        <w:tc>
          <w:tcPr>
            <w:tcW w:w="2113" w:type="dxa"/>
          </w:tcPr>
          <w:p>
            <w:pPr>
              <w:adjustRightInd w:val="0"/>
              <w:snapToGrid w:val="0"/>
              <w:spacing w:line="360" w:lineRule="auto"/>
              <w:ind w:right="24"/>
              <w:rPr>
                <w:rFonts w:ascii="仿宋" w:hAnsi="仿宋" w:eastAsia="仿宋" w:cs="仿宋"/>
                <w:bCs/>
                <w:sz w:val="24"/>
                <w:szCs w:val="24"/>
                <w:highlight w:val="none"/>
              </w:rPr>
            </w:pPr>
          </w:p>
        </w:tc>
        <w:tc>
          <w:tcPr>
            <w:tcW w:w="1125" w:type="dxa"/>
          </w:tcPr>
          <w:p>
            <w:pPr>
              <w:adjustRightInd w:val="0"/>
              <w:snapToGrid w:val="0"/>
              <w:spacing w:line="360" w:lineRule="auto"/>
              <w:ind w:right="24"/>
              <w:rPr>
                <w:rFonts w:ascii="仿宋" w:hAnsi="仿宋" w:eastAsia="仿宋" w:cs="仿宋"/>
                <w:bCs/>
                <w:sz w:val="24"/>
                <w:szCs w:val="24"/>
                <w:highlight w:val="none"/>
              </w:rPr>
            </w:pPr>
          </w:p>
        </w:tc>
        <w:tc>
          <w:tcPr>
            <w:tcW w:w="1538" w:type="dxa"/>
          </w:tcPr>
          <w:p>
            <w:pPr>
              <w:adjustRightInd w:val="0"/>
              <w:snapToGrid w:val="0"/>
              <w:spacing w:line="360" w:lineRule="auto"/>
              <w:ind w:right="24"/>
              <w:rPr>
                <w:rFonts w:ascii="仿宋" w:hAnsi="仿宋" w:eastAsia="仿宋" w:cs="仿宋"/>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highlight w:val="none"/>
              </w:rPr>
            </w:pPr>
          </w:p>
        </w:tc>
        <w:tc>
          <w:tcPr>
            <w:tcW w:w="1380" w:type="dxa"/>
          </w:tcPr>
          <w:p>
            <w:pPr>
              <w:adjustRightInd w:val="0"/>
              <w:snapToGrid w:val="0"/>
              <w:spacing w:line="360" w:lineRule="auto"/>
              <w:ind w:right="24"/>
              <w:rPr>
                <w:rFonts w:ascii="仿宋" w:hAnsi="仿宋" w:eastAsia="仿宋" w:cs="仿宋"/>
                <w:bCs/>
                <w:sz w:val="24"/>
                <w:szCs w:val="24"/>
                <w:highlight w:val="none"/>
              </w:rPr>
            </w:pPr>
          </w:p>
        </w:tc>
        <w:tc>
          <w:tcPr>
            <w:tcW w:w="2341" w:type="dxa"/>
          </w:tcPr>
          <w:p>
            <w:pPr>
              <w:adjustRightInd w:val="0"/>
              <w:snapToGrid w:val="0"/>
              <w:spacing w:line="360" w:lineRule="auto"/>
              <w:ind w:right="24"/>
              <w:rPr>
                <w:rFonts w:ascii="仿宋" w:hAnsi="仿宋" w:eastAsia="仿宋" w:cs="仿宋"/>
                <w:bCs/>
                <w:sz w:val="24"/>
                <w:szCs w:val="24"/>
                <w:highlight w:val="none"/>
              </w:rPr>
            </w:pPr>
          </w:p>
        </w:tc>
        <w:tc>
          <w:tcPr>
            <w:tcW w:w="2113" w:type="dxa"/>
          </w:tcPr>
          <w:p>
            <w:pPr>
              <w:adjustRightInd w:val="0"/>
              <w:snapToGrid w:val="0"/>
              <w:spacing w:line="360" w:lineRule="auto"/>
              <w:ind w:right="24"/>
              <w:rPr>
                <w:rFonts w:ascii="仿宋" w:hAnsi="仿宋" w:eastAsia="仿宋" w:cs="仿宋"/>
                <w:bCs/>
                <w:sz w:val="24"/>
                <w:szCs w:val="24"/>
                <w:highlight w:val="none"/>
              </w:rPr>
            </w:pPr>
          </w:p>
        </w:tc>
        <w:tc>
          <w:tcPr>
            <w:tcW w:w="1125" w:type="dxa"/>
          </w:tcPr>
          <w:p>
            <w:pPr>
              <w:adjustRightInd w:val="0"/>
              <w:snapToGrid w:val="0"/>
              <w:spacing w:line="360" w:lineRule="auto"/>
              <w:ind w:right="24"/>
              <w:rPr>
                <w:rFonts w:ascii="仿宋" w:hAnsi="仿宋" w:eastAsia="仿宋" w:cs="仿宋"/>
                <w:bCs/>
                <w:sz w:val="24"/>
                <w:szCs w:val="24"/>
                <w:highlight w:val="none"/>
              </w:rPr>
            </w:pPr>
          </w:p>
        </w:tc>
        <w:tc>
          <w:tcPr>
            <w:tcW w:w="1538" w:type="dxa"/>
          </w:tcPr>
          <w:p>
            <w:pPr>
              <w:adjustRightInd w:val="0"/>
              <w:snapToGrid w:val="0"/>
              <w:spacing w:line="360" w:lineRule="auto"/>
              <w:ind w:right="24"/>
              <w:rPr>
                <w:rFonts w:ascii="仿宋" w:hAnsi="仿宋" w:eastAsia="仿宋" w:cs="仿宋"/>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highlight w:val="none"/>
              </w:rPr>
            </w:pPr>
          </w:p>
        </w:tc>
        <w:tc>
          <w:tcPr>
            <w:tcW w:w="1380" w:type="dxa"/>
          </w:tcPr>
          <w:p>
            <w:pPr>
              <w:adjustRightInd w:val="0"/>
              <w:snapToGrid w:val="0"/>
              <w:spacing w:line="360" w:lineRule="auto"/>
              <w:ind w:right="24"/>
              <w:rPr>
                <w:rFonts w:ascii="仿宋" w:hAnsi="仿宋" w:eastAsia="仿宋" w:cs="仿宋"/>
                <w:bCs/>
                <w:sz w:val="24"/>
                <w:szCs w:val="24"/>
                <w:highlight w:val="none"/>
              </w:rPr>
            </w:pPr>
          </w:p>
        </w:tc>
        <w:tc>
          <w:tcPr>
            <w:tcW w:w="2341" w:type="dxa"/>
          </w:tcPr>
          <w:p>
            <w:pPr>
              <w:adjustRightInd w:val="0"/>
              <w:snapToGrid w:val="0"/>
              <w:spacing w:line="360" w:lineRule="auto"/>
              <w:ind w:right="24"/>
              <w:rPr>
                <w:rFonts w:ascii="仿宋" w:hAnsi="仿宋" w:eastAsia="仿宋" w:cs="仿宋"/>
                <w:bCs/>
                <w:sz w:val="24"/>
                <w:szCs w:val="24"/>
                <w:highlight w:val="none"/>
              </w:rPr>
            </w:pPr>
          </w:p>
        </w:tc>
        <w:tc>
          <w:tcPr>
            <w:tcW w:w="2113" w:type="dxa"/>
          </w:tcPr>
          <w:p>
            <w:pPr>
              <w:adjustRightInd w:val="0"/>
              <w:snapToGrid w:val="0"/>
              <w:spacing w:line="360" w:lineRule="auto"/>
              <w:ind w:right="24"/>
              <w:rPr>
                <w:rFonts w:ascii="仿宋" w:hAnsi="仿宋" w:eastAsia="仿宋" w:cs="仿宋"/>
                <w:bCs/>
                <w:sz w:val="24"/>
                <w:szCs w:val="24"/>
                <w:highlight w:val="none"/>
              </w:rPr>
            </w:pPr>
          </w:p>
        </w:tc>
        <w:tc>
          <w:tcPr>
            <w:tcW w:w="1125" w:type="dxa"/>
          </w:tcPr>
          <w:p>
            <w:pPr>
              <w:adjustRightInd w:val="0"/>
              <w:snapToGrid w:val="0"/>
              <w:spacing w:line="360" w:lineRule="auto"/>
              <w:ind w:right="24"/>
              <w:rPr>
                <w:rFonts w:ascii="仿宋" w:hAnsi="仿宋" w:eastAsia="仿宋" w:cs="仿宋"/>
                <w:bCs/>
                <w:sz w:val="24"/>
                <w:szCs w:val="24"/>
                <w:highlight w:val="none"/>
              </w:rPr>
            </w:pPr>
          </w:p>
        </w:tc>
        <w:tc>
          <w:tcPr>
            <w:tcW w:w="1538" w:type="dxa"/>
          </w:tcPr>
          <w:p>
            <w:pPr>
              <w:adjustRightInd w:val="0"/>
              <w:snapToGrid w:val="0"/>
              <w:spacing w:line="360" w:lineRule="auto"/>
              <w:ind w:right="24"/>
              <w:rPr>
                <w:rFonts w:ascii="仿宋" w:hAnsi="仿宋" w:eastAsia="仿宋" w:cs="仿宋"/>
                <w:bCs/>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highlight w:val="none"/>
              </w:rPr>
            </w:pPr>
          </w:p>
        </w:tc>
        <w:tc>
          <w:tcPr>
            <w:tcW w:w="1380" w:type="dxa"/>
          </w:tcPr>
          <w:p>
            <w:pPr>
              <w:adjustRightInd w:val="0"/>
              <w:snapToGrid w:val="0"/>
              <w:spacing w:line="360" w:lineRule="auto"/>
              <w:ind w:right="24"/>
              <w:rPr>
                <w:rFonts w:ascii="仿宋" w:hAnsi="仿宋" w:eastAsia="仿宋" w:cs="仿宋"/>
                <w:bCs/>
                <w:sz w:val="24"/>
                <w:szCs w:val="24"/>
                <w:highlight w:val="none"/>
              </w:rPr>
            </w:pPr>
          </w:p>
        </w:tc>
        <w:tc>
          <w:tcPr>
            <w:tcW w:w="2341" w:type="dxa"/>
          </w:tcPr>
          <w:p>
            <w:pPr>
              <w:adjustRightInd w:val="0"/>
              <w:snapToGrid w:val="0"/>
              <w:spacing w:line="360" w:lineRule="auto"/>
              <w:ind w:right="24"/>
              <w:rPr>
                <w:rFonts w:ascii="仿宋" w:hAnsi="仿宋" w:eastAsia="仿宋" w:cs="仿宋"/>
                <w:bCs/>
                <w:sz w:val="24"/>
                <w:szCs w:val="24"/>
                <w:highlight w:val="none"/>
              </w:rPr>
            </w:pPr>
          </w:p>
        </w:tc>
        <w:tc>
          <w:tcPr>
            <w:tcW w:w="2113" w:type="dxa"/>
          </w:tcPr>
          <w:p>
            <w:pPr>
              <w:adjustRightInd w:val="0"/>
              <w:snapToGrid w:val="0"/>
              <w:spacing w:line="360" w:lineRule="auto"/>
              <w:ind w:right="24"/>
              <w:rPr>
                <w:rFonts w:ascii="仿宋" w:hAnsi="仿宋" w:eastAsia="仿宋" w:cs="仿宋"/>
                <w:bCs/>
                <w:sz w:val="24"/>
                <w:szCs w:val="24"/>
                <w:highlight w:val="none"/>
              </w:rPr>
            </w:pPr>
          </w:p>
        </w:tc>
        <w:tc>
          <w:tcPr>
            <w:tcW w:w="1125" w:type="dxa"/>
          </w:tcPr>
          <w:p>
            <w:pPr>
              <w:adjustRightInd w:val="0"/>
              <w:snapToGrid w:val="0"/>
              <w:spacing w:line="360" w:lineRule="auto"/>
              <w:ind w:right="24"/>
              <w:rPr>
                <w:rFonts w:ascii="仿宋" w:hAnsi="仿宋" w:eastAsia="仿宋" w:cs="仿宋"/>
                <w:bCs/>
                <w:sz w:val="24"/>
                <w:szCs w:val="24"/>
                <w:highlight w:val="none"/>
              </w:rPr>
            </w:pPr>
          </w:p>
        </w:tc>
        <w:tc>
          <w:tcPr>
            <w:tcW w:w="1538" w:type="dxa"/>
          </w:tcPr>
          <w:p>
            <w:pPr>
              <w:adjustRightInd w:val="0"/>
              <w:snapToGrid w:val="0"/>
              <w:spacing w:line="360" w:lineRule="auto"/>
              <w:ind w:right="24"/>
              <w:rPr>
                <w:rFonts w:ascii="仿宋" w:hAnsi="仿宋" w:eastAsia="仿宋" w:cs="仿宋"/>
                <w:bCs/>
                <w:sz w:val="24"/>
                <w:szCs w:val="24"/>
                <w:highlight w:val="none"/>
              </w:rPr>
            </w:pPr>
          </w:p>
        </w:tc>
      </w:tr>
    </w:tbl>
    <w:p>
      <w:pPr>
        <w:spacing w:line="540" w:lineRule="exact"/>
        <w:ind w:right="-197" w:rightChars="-94"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1、本表只填写磋商响应文件中与磋商文件有偏离（包括负偏离和正偏离）的内容，在磋商响应文件中须一一列出。</w:t>
      </w:r>
    </w:p>
    <w:p>
      <w:pPr>
        <w:spacing w:line="360" w:lineRule="auto"/>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t>2、供应商必须据实填写，不得虚假响应，否则将取消其投标或中标资格，并按有关规定进处罚。</w:t>
      </w:r>
    </w:p>
    <w:p>
      <w:pPr>
        <w:spacing w:line="360" w:lineRule="auto"/>
        <w:ind w:firstLine="470" w:firstLineChars="196"/>
        <w:rPr>
          <w:rFonts w:ascii="仿宋" w:hAnsi="仿宋" w:eastAsia="仿宋" w:cs="仿宋"/>
          <w:sz w:val="24"/>
          <w:szCs w:val="24"/>
          <w:highlight w:val="none"/>
        </w:rPr>
      </w:pPr>
    </w:p>
    <w:p>
      <w:pPr>
        <w:spacing w:line="360" w:lineRule="auto"/>
        <w:ind w:firstLine="3360" w:firstLineChars="1400"/>
        <w:rPr>
          <w:rFonts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pacing w:line="360" w:lineRule="auto"/>
        <w:ind w:firstLine="3360" w:firstLineChars="1400"/>
        <w:rPr>
          <w:rFonts w:ascii="仿宋" w:hAnsi="仿宋" w:eastAsia="仿宋" w:cs="仿宋"/>
          <w:highlight w:val="none"/>
        </w:rPr>
        <w:sectPr>
          <w:footerReference r:id="rId6" w:type="default"/>
          <w:pgSz w:w="11906" w:h="16838"/>
          <w:pgMar w:top="1134" w:right="1701" w:bottom="1134" w:left="1701" w:header="851" w:footer="992" w:gutter="0"/>
          <w:cols w:space="0" w:num="1"/>
          <w:docGrid w:linePitch="312" w:charSpace="0"/>
        </w:sect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pStyle w:val="4"/>
        <w:spacing w:line="360" w:lineRule="auto"/>
        <w:rPr>
          <w:rFonts w:ascii="宋体" w:hAnsi="宋体" w:eastAsia="宋体" w:cs="宋体"/>
          <w:sz w:val="32"/>
          <w:szCs w:val="21"/>
          <w:highlight w:val="none"/>
        </w:rPr>
      </w:pPr>
      <w:bookmarkStart w:id="476" w:name="_Toc13042"/>
      <w:bookmarkStart w:id="477" w:name="_Toc8297"/>
      <w:bookmarkStart w:id="478" w:name="_Toc7327"/>
      <w:bookmarkStart w:id="479" w:name="_Toc495681403"/>
      <w:bookmarkStart w:id="480" w:name="_Toc30274"/>
      <w:bookmarkStart w:id="481" w:name="_Toc20060"/>
      <w:bookmarkStart w:id="482" w:name="_Toc495681249"/>
      <w:bookmarkStart w:id="483" w:name="_Toc5380"/>
      <w:bookmarkStart w:id="484" w:name="_Toc5195"/>
      <w:bookmarkStart w:id="485" w:name="_Toc495908045"/>
      <w:bookmarkStart w:id="486" w:name="_Toc16396"/>
      <w:bookmarkStart w:id="487" w:name="_Toc20167"/>
      <w:bookmarkStart w:id="488" w:name="_Toc26262"/>
      <w:bookmarkStart w:id="489" w:name="_Toc5618"/>
      <w:bookmarkStart w:id="490" w:name="_Toc22388"/>
      <w:bookmarkStart w:id="491" w:name="_Toc6613"/>
      <w:bookmarkStart w:id="492" w:name="_Toc11576"/>
      <w:bookmarkStart w:id="493" w:name="_Toc495681530"/>
      <w:bookmarkStart w:id="494" w:name="_Toc20664"/>
      <w:r>
        <w:rPr>
          <w:rFonts w:hint="eastAsia" w:ascii="宋体" w:hAnsi="宋体" w:eastAsia="宋体" w:cs="宋体"/>
          <w:sz w:val="32"/>
          <w:szCs w:val="21"/>
          <w:highlight w:val="none"/>
          <w:lang w:val="zh-CN"/>
        </w:rPr>
        <w:t>五、</w:t>
      </w:r>
      <w:bookmarkEnd w:id="476"/>
      <w:bookmarkStart w:id="495" w:name="_Toc11833"/>
      <w:bookmarkStart w:id="496" w:name="_Toc13348"/>
      <w:bookmarkStart w:id="497" w:name="_Toc9136"/>
      <w:bookmarkStart w:id="498" w:name="_Toc24533"/>
      <w:bookmarkStart w:id="499" w:name="_Toc7263"/>
      <w:r>
        <w:rPr>
          <w:rFonts w:hint="eastAsia" w:ascii="宋体" w:hAnsi="宋体" w:eastAsia="宋体" w:cs="宋体"/>
          <w:sz w:val="32"/>
          <w:szCs w:val="21"/>
          <w:highlight w:val="none"/>
        </w:rPr>
        <w:t>拟投入本项目的主要负责人简历表</w:t>
      </w:r>
      <w:bookmarkEnd w:id="477"/>
      <w:bookmarkEnd w:id="478"/>
      <w:bookmarkEnd w:id="495"/>
      <w:bookmarkEnd w:id="496"/>
      <w:bookmarkEnd w:id="497"/>
      <w:bookmarkEnd w:id="498"/>
      <w:bookmarkEnd w:id="499"/>
    </w:p>
    <w:tbl>
      <w:tblPr>
        <w:tblStyle w:val="2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姓  名</w:t>
            </w:r>
          </w:p>
        </w:tc>
        <w:tc>
          <w:tcPr>
            <w:tcW w:w="1682" w:type="dxa"/>
            <w:vAlign w:val="center"/>
          </w:tcPr>
          <w:p>
            <w:pPr>
              <w:jc w:val="center"/>
              <w:rPr>
                <w:rFonts w:ascii="仿宋" w:hAnsi="仿宋" w:eastAsia="仿宋" w:cs="仿宋"/>
                <w:bCs/>
                <w:sz w:val="24"/>
                <w:szCs w:val="24"/>
                <w:highlight w:val="none"/>
              </w:rPr>
            </w:pPr>
          </w:p>
        </w:tc>
        <w:tc>
          <w:tcPr>
            <w:tcW w:w="1050"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性 别</w:t>
            </w:r>
          </w:p>
        </w:tc>
        <w:tc>
          <w:tcPr>
            <w:tcW w:w="945" w:type="dxa"/>
            <w:vAlign w:val="center"/>
          </w:tcPr>
          <w:p>
            <w:pPr>
              <w:rPr>
                <w:rFonts w:ascii="仿宋" w:hAnsi="仿宋" w:eastAsia="仿宋" w:cs="仿宋"/>
                <w:bCs/>
                <w:sz w:val="24"/>
                <w:szCs w:val="24"/>
                <w:highlight w:val="none"/>
              </w:rPr>
            </w:pPr>
          </w:p>
        </w:tc>
        <w:tc>
          <w:tcPr>
            <w:tcW w:w="945"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出生 日期</w:t>
            </w:r>
          </w:p>
        </w:tc>
        <w:tc>
          <w:tcPr>
            <w:tcW w:w="2727" w:type="dxa"/>
            <w:vAlign w:val="center"/>
          </w:tcPr>
          <w:p>
            <w:pPr>
              <w:ind w:firstLine="360" w:firstLineChars="150"/>
              <w:jc w:val="left"/>
              <w:rPr>
                <w:rFonts w:ascii="仿宋" w:hAnsi="仿宋" w:eastAsia="仿宋" w:cs="仿宋"/>
                <w:bCs/>
                <w:sz w:val="24"/>
                <w:szCs w:val="24"/>
                <w:highlight w:val="none"/>
              </w:rPr>
            </w:pPr>
            <w:r>
              <w:rPr>
                <w:rFonts w:hint="eastAsia" w:ascii="仿宋" w:hAnsi="仿宋" w:eastAsia="仿宋" w:cs="仿宋"/>
                <w:bCs/>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毕业院校及专业</w:t>
            </w:r>
          </w:p>
        </w:tc>
        <w:tc>
          <w:tcPr>
            <w:tcW w:w="3677" w:type="dxa"/>
            <w:gridSpan w:val="3"/>
            <w:vAlign w:val="center"/>
          </w:tcPr>
          <w:p>
            <w:pPr>
              <w:rPr>
                <w:rFonts w:ascii="仿宋" w:hAnsi="仿宋" w:eastAsia="仿宋" w:cs="仿宋"/>
                <w:bCs/>
                <w:sz w:val="24"/>
                <w:szCs w:val="24"/>
                <w:highlight w:val="none"/>
              </w:rPr>
            </w:pPr>
          </w:p>
        </w:tc>
        <w:tc>
          <w:tcPr>
            <w:tcW w:w="945" w:type="dxa"/>
            <w:vAlign w:val="center"/>
          </w:tcPr>
          <w:p>
            <w:pPr>
              <w:ind w:left="-18"/>
              <w:jc w:val="center"/>
              <w:rPr>
                <w:rFonts w:ascii="仿宋" w:hAnsi="仿宋" w:eastAsia="仿宋" w:cs="仿宋"/>
                <w:bCs/>
                <w:sz w:val="24"/>
                <w:szCs w:val="24"/>
                <w:highlight w:val="none"/>
              </w:rPr>
            </w:pPr>
            <w:r>
              <w:rPr>
                <w:rFonts w:hint="eastAsia" w:ascii="仿宋" w:hAnsi="仿宋" w:eastAsia="仿宋" w:cs="仿宋"/>
                <w:bCs/>
                <w:sz w:val="24"/>
                <w:szCs w:val="24"/>
                <w:highlight w:val="none"/>
              </w:rPr>
              <w:t>毕业 时间</w:t>
            </w:r>
          </w:p>
        </w:tc>
        <w:tc>
          <w:tcPr>
            <w:tcW w:w="2727" w:type="dxa"/>
            <w:vAlign w:val="center"/>
          </w:tcPr>
          <w:p>
            <w:pPr>
              <w:ind w:left="45"/>
              <w:jc w:val="lef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工作年限</w:t>
            </w:r>
          </w:p>
        </w:tc>
        <w:tc>
          <w:tcPr>
            <w:tcW w:w="7349" w:type="dxa"/>
            <w:gridSpan w:val="5"/>
            <w:vAlign w:val="center"/>
          </w:tcPr>
          <w:p>
            <w:pPr>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时   间</w:t>
            </w:r>
          </w:p>
        </w:tc>
        <w:tc>
          <w:tcPr>
            <w:tcW w:w="4622" w:type="dxa"/>
            <w:gridSpan w:val="4"/>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参加过的项目名称及规模</w:t>
            </w:r>
          </w:p>
        </w:tc>
        <w:tc>
          <w:tcPr>
            <w:tcW w:w="2727" w:type="dxa"/>
            <w:vAlign w:val="center"/>
          </w:tcPr>
          <w:p>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pPr>
              <w:rPr>
                <w:rFonts w:ascii="仿宋" w:hAnsi="仿宋" w:eastAsia="仿宋" w:cs="仿宋"/>
                <w:bCs/>
                <w:sz w:val="24"/>
                <w:szCs w:val="24"/>
                <w:highlight w:val="none"/>
              </w:rPr>
            </w:pPr>
          </w:p>
        </w:tc>
        <w:tc>
          <w:tcPr>
            <w:tcW w:w="4622" w:type="dxa"/>
            <w:gridSpan w:val="4"/>
          </w:tcPr>
          <w:p>
            <w:pPr>
              <w:rPr>
                <w:rFonts w:ascii="仿宋" w:hAnsi="仿宋" w:eastAsia="仿宋" w:cs="仿宋"/>
                <w:bCs/>
                <w:sz w:val="24"/>
                <w:szCs w:val="24"/>
                <w:highlight w:val="none"/>
              </w:rPr>
            </w:pPr>
            <w:r>
              <w:rPr>
                <w:rFonts w:hint="eastAsia" w:ascii="仿宋" w:hAnsi="仿宋" w:eastAsia="仿宋" w:cs="仿宋"/>
                <w:bCs/>
                <w:sz w:val="24"/>
                <w:szCs w:val="24"/>
                <w:highlight w:val="none"/>
              </w:rPr>
              <w:t>（列举两项以上同类项目业绩）</w:t>
            </w:r>
          </w:p>
          <w:p>
            <w:pPr>
              <w:rPr>
                <w:rFonts w:ascii="仿宋" w:hAnsi="仿宋" w:eastAsia="仿宋" w:cs="仿宋"/>
                <w:bCs/>
                <w:sz w:val="24"/>
                <w:szCs w:val="24"/>
                <w:highlight w:val="none"/>
              </w:rPr>
            </w:pPr>
            <w:r>
              <w:rPr>
                <w:rFonts w:hint="eastAsia" w:ascii="仿宋" w:hAnsi="仿宋" w:eastAsia="仿宋" w:cs="仿宋"/>
                <w:color w:val="000000"/>
                <w:sz w:val="24"/>
                <w:szCs w:val="24"/>
                <w:highlight w:val="none"/>
              </w:rPr>
              <w:t>后附证明材料</w:t>
            </w:r>
          </w:p>
          <w:p>
            <w:pPr>
              <w:rPr>
                <w:rFonts w:ascii="仿宋" w:hAnsi="仿宋" w:eastAsia="仿宋" w:cs="仿宋"/>
                <w:bCs/>
                <w:sz w:val="24"/>
                <w:szCs w:val="24"/>
                <w:highlight w:val="none"/>
              </w:rPr>
            </w:pPr>
          </w:p>
        </w:tc>
        <w:tc>
          <w:tcPr>
            <w:tcW w:w="2727" w:type="dxa"/>
          </w:tcPr>
          <w:p>
            <w:pPr>
              <w:rPr>
                <w:rFonts w:ascii="仿宋" w:hAnsi="仿宋" w:eastAsia="仿宋" w:cs="仿宋"/>
                <w:bCs/>
                <w:sz w:val="24"/>
                <w:szCs w:val="24"/>
                <w:highlight w:val="none"/>
              </w:rPr>
            </w:pPr>
          </w:p>
        </w:tc>
      </w:tr>
    </w:tbl>
    <w:p>
      <w:pPr>
        <w:adjustRightInd w:val="0"/>
        <w:snapToGrid w:val="0"/>
        <w:spacing w:line="360" w:lineRule="auto"/>
        <w:ind w:firstLine="480" w:firstLineChars="200"/>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注：供应商需随此表在磋商响应文件中附上相关人员学历证明及相关业绩的复印件加盖公章。</w:t>
      </w:r>
    </w:p>
    <w:p>
      <w:pPr>
        <w:adjustRightInd w:val="0"/>
        <w:snapToGrid w:val="0"/>
        <w:spacing w:line="360" w:lineRule="auto"/>
        <w:ind w:firstLine="480" w:firstLineChars="200"/>
        <w:rPr>
          <w:rFonts w:ascii="仿宋" w:hAnsi="仿宋" w:eastAsia="仿宋" w:cs="仿宋"/>
          <w:bCs/>
          <w:color w:val="000000"/>
          <w:sz w:val="24"/>
          <w:szCs w:val="24"/>
          <w:highlight w:val="none"/>
        </w:rPr>
      </w:pPr>
    </w:p>
    <w:p>
      <w:pPr>
        <w:spacing w:line="360" w:lineRule="auto"/>
        <w:ind w:firstLine="3360" w:firstLineChars="1400"/>
        <w:rPr>
          <w:rFonts w:ascii="仿宋" w:hAnsi="仿宋" w:eastAsia="仿宋" w:cs="仿宋"/>
          <w:sz w:val="24"/>
          <w:szCs w:val="24"/>
          <w:highlight w:val="none"/>
        </w:rPr>
      </w:pPr>
      <w:bookmarkStart w:id="500" w:name="_Toc31326"/>
      <w:bookmarkStart w:id="501" w:name="_Toc300"/>
      <w:bookmarkStart w:id="502" w:name="_Toc3451"/>
      <w:bookmarkStart w:id="503" w:name="_Toc13495"/>
      <w:bookmarkStart w:id="504" w:name="_Toc21194"/>
      <w:bookmarkStart w:id="505" w:name="_Toc3056"/>
      <w:bookmarkStart w:id="506" w:name="_Toc31471"/>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pStyle w:val="4"/>
        <w:keepNext w:val="0"/>
        <w:pageBreakBefore/>
        <w:spacing w:line="360" w:lineRule="auto"/>
        <w:rPr>
          <w:rFonts w:ascii="宋体" w:hAnsi="宋体" w:eastAsia="宋体" w:cs="宋体"/>
          <w:sz w:val="32"/>
          <w:szCs w:val="21"/>
          <w:highlight w:val="none"/>
        </w:rPr>
      </w:pPr>
      <w:bookmarkStart w:id="507" w:name="_Toc2231"/>
      <w:r>
        <w:rPr>
          <w:rFonts w:hint="eastAsia" w:ascii="宋体" w:hAnsi="宋体" w:eastAsia="宋体" w:cs="宋体"/>
          <w:sz w:val="32"/>
          <w:szCs w:val="21"/>
          <w:highlight w:val="none"/>
        </w:rPr>
        <w:t>六、参与本项目主要人员表</w:t>
      </w:r>
      <w:bookmarkEnd w:id="500"/>
      <w:bookmarkEnd w:id="501"/>
      <w:bookmarkEnd w:id="502"/>
      <w:bookmarkEnd w:id="503"/>
      <w:bookmarkEnd w:id="504"/>
      <w:bookmarkEnd w:id="505"/>
      <w:bookmarkEnd w:id="506"/>
      <w:bookmarkEnd w:id="507"/>
    </w:p>
    <w:tbl>
      <w:tblPr>
        <w:tblStyle w:val="2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79" w:rightChars="133"/>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姓名</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专业</w:t>
            </w:r>
          </w:p>
        </w:tc>
        <w:tc>
          <w:tcPr>
            <w:tcW w:w="1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工作年限</w:t>
            </w:r>
          </w:p>
        </w:tc>
        <w:tc>
          <w:tcPr>
            <w:tcW w:w="34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168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c>
          <w:tcPr>
            <w:tcW w:w="34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仿宋" w:hAnsi="仿宋" w:eastAsia="仿宋" w:cs="仿宋"/>
                <w:b/>
                <w:bCs/>
                <w:color w:val="000000"/>
                <w:sz w:val="24"/>
                <w:szCs w:val="24"/>
                <w:highlight w:val="none"/>
              </w:rPr>
            </w:pPr>
          </w:p>
        </w:tc>
      </w:tr>
    </w:tbl>
    <w:p>
      <w:pPr>
        <w:adjustRightInd w:val="0"/>
        <w:snapToGrid w:val="0"/>
        <w:spacing w:line="360" w:lineRule="auto"/>
        <w:ind w:firstLine="480" w:firstLineChars="200"/>
        <w:rPr>
          <w:rFonts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注：本表所列人员必须为实际人员，项目实施时必须本人到岗。</w:t>
      </w:r>
    </w:p>
    <w:p>
      <w:pPr>
        <w:adjustRightInd w:val="0"/>
        <w:snapToGrid w:val="0"/>
        <w:spacing w:line="360" w:lineRule="auto"/>
        <w:ind w:firstLine="480" w:firstLineChars="200"/>
        <w:rPr>
          <w:rFonts w:ascii="仿宋" w:hAnsi="仿宋" w:eastAsia="仿宋" w:cs="仿宋"/>
          <w:bCs/>
          <w:color w:val="000000"/>
          <w:sz w:val="24"/>
          <w:szCs w:val="24"/>
          <w:highlight w:val="none"/>
        </w:rPr>
      </w:pPr>
    </w:p>
    <w:p>
      <w:pPr>
        <w:spacing w:line="360" w:lineRule="auto"/>
        <w:ind w:firstLine="3360" w:firstLineChars="1400"/>
        <w:rPr>
          <w:rFonts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rPr>
          <w:rFonts w:ascii="仿宋" w:hAnsi="仿宋" w:eastAsia="仿宋" w:cs="仿宋"/>
          <w:highlight w:val="none"/>
        </w:rPr>
        <w:sectPr>
          <w:pgSz w:w="11906" w:h="16838"/>
          <w:pgMar w:top="1418" w:right="1474" w:bottom="1418" w:left="1474" w:header="851" w:footer="992" w:gutter="0"/>
          <w:cols w:space="720" w:num="1"/>
          <w:docGrid w:linePitch="312" w:charSpace="0"/>
        </w:sectPr>
      </w:pPr>
      <w:r>
        <w:rPr>
          <w:rFonts w:hint="eastAsia" w:ascii="仿宋" w:hAnsi="仿宋" w:eastAsia="仿宋" w:cs="仿宋"/>
          <w:sz w:val="32"/>
          <w:szCs w:val="21"/>
          <w:highlight w:val="none"/>
        </w:rPr>
        <w:br w:type="page"/>
      </w:r>
    </w:p>
    <w:p>
      <w:pPr>
        <w:pStyle w:val="4"/>
        <w:spacing w:line="360" w:lineRule="auto"/>
        <w:rPr>
          <w:rFonts w:ascii="宋体" w:hAnsi="宋体" w:eastAsia="宋体" w:cs="宋体"/>
          <w:sz w:val="32"/>
          <w:szCs w:val="21"/>
          <w:highlight w:val="none"/>
        </w:rPr>
      </w:pPr>
      <w:bookmarkStart w:id="508" w:name="_Toc23710"/>
      <w:bookmarkStart w:id="509" w:name="_Toc20815"/>
      <w:bookmarkStart w:id="510" w:name="_Toc12819"/>
      <w:bookmarkStart w:id="511" w:name="_Toc17529"/>
      <w:bookmarkStart w:id="512" w:name="_Toc15879"/>
      <w:bookmarkStart w:id="513" w:name="_Toc8518"/>
      <w:bookmarkStart w:id="514" w:name="_Toc32065"/>
      <w:bookmarkStart w:id="515" w:name="_Toc1756"/>
      <w:bookmarkStart w:id="516" w:name="_Toc24539"/>
      <w:r>
        <w:rPr>
          <w:rFonts w:hint="eastAsia" w:ascii="宋体" w:hAnsi="宋体" w:eastAsia="宋体" w:cs="宋体"/>
          <w:sz w:val="32"/>
          <w:szCs w:val="21"/>
          <w:highlight w:val="none"/>
          <w:lang w:val="zh-CN"/>
        </w:rPr>
        <w:t>七、</w:t>
      </w:r>
      <w:bookmarkEnd w:id="508"/>
      <w:bookmarkEnd w:id="509"/>
      <w:bookmarkEnd w:id="510"/>
      <w:bookmarkEnd w:id="511"/>
      <w:bookmarkEnd w:id="512"/>
      <w:bookmarkEnd w:id="513"/>
      <w:bookmarkEnd w:id="514"/>
      <w:r>
        <w:rPr>
          <w:rFonts w:hint="eastAsia" w:ascii="宋体" w:hAnsi="宋体" w:eastAsia="宋体" w:cs="宋体"/>
          <w:sz w:val="32"/>
          <w:szCs w:val="21"/>
          <w:highlight w:val="none"/>
          <w:lang w:val="zh-CN"/>
        </w:rPr>
        <w:t>施工组织方案</w:t>
      </w:r>
      <w:bookmarkEnd w:id="515"/>
      <w:bookmarkEnd w:id="516"/>
    </w:p>
    <w:p>
      <w:pPr>
        <w:adjustRightInd w:val="0"/>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包含但不限于以下几项：</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项目经理和项目部组成；</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rPr>
        <w:t>.施工方案和方法</w:t>
      </w:r>
      <w:r>
        <w:rPr>
          <w:rFonts w:hint="eastAsia" w:ascii="仿宋" w:hAnsi="仿宋" w:eastAsia="仿宋" w:cs="仿宋"/>
          <w:sz w:val="24"/>
          <w:szCs w:val="24"/>
          <w:highlight w:val="none"/>
          <w:lang w:eastAsia="zh-CN"/>
        </w:rPr>
        <w:t>，施工方案包括冬季施工方案及措施</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确保工期的技术组织措施；</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确保工程质量的技术措施；</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确保安全生产的技术组织措施；</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施工部署及临时设施临时用地表；</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确保文明施工的技术组织措施及环境保护、</w:t>
      </w:r>
      <w:r>
        <w:rPr>
          <w:rFonts w:hint="eastAsia" w:ascii="仿宋" w:hAnsi="仿宋" w:eastAsia="仿宋" w:cs="仿宋"/>
          <w:sz w:val="24"/>
          <w:szCs w:val="24"/>
          <w:highlight w:val="none"/>
        </w:rPr>
        <w:t>防尘治霾</w:t>
      </w:r>
      <w:r>
        <w:rPr>
          <w:rFonts w:hint="eastAsia" w:ascii="仿宋" w:hAnsi="仿宋" w:eastAsia="仿宋" w:cs="仿宋"/>
          <w:sz w:val="24"/>
          <w:szCs w:val="24"/>
          <w:highlight w:val="none"/>
          <w:lang w:val="zh-CN"/>
        </w:rPr>
        <w:t>措施；</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主要机具、设备、人员配备情况；</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进度计划和工期目标；</w:t>
      </w:r>
    </w:p>
    <w:p>
      <w:pPr>
        <w:adjustRightInd w:val="0"/>
        <w:snapToGri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采用新技术、新工艺对提供工程质量、缩短工期、降低造价的可行性。</w:t>
      </w:r>
    </w:p>
    <w:p>
      <w:pPr>
        <w:adjustRightInd w:val="0"/>
        <w:snapToGrid w:val="0"/>
        <w:spacing w:line="360" w:lineRule="auto"/>
        <w:jc w:val="center"/>
        <w:rPr>
          <w:rFonts w:ascii="仿宋" w:hAnsi="仿宋" w:eastAsia="仿宋" w:cs="仿宋"/>
          <w:sz w:val="24"/>
          <w:szCs w:val="24"/>
          <w:highlight w:val="none"/>
        </w:rPr>
      </w:pPr>
    </w:p>
    <w:p>
      <w:pPr>
        <w:adjustRightInd w:val="0"/>
        <w:snapToGrid w:val="0"/>
        <w:spacing w:line="360" w:lineRule="auto"/>
        <w:jc w:val="center"/>
        <w:rPr>
          <w:rFonts w:ascii="仿宋" w:hAnsi="仿宋" w:eastAsia="仿宋" w:cs="仿宋"/>
          <w:sz w:val="24"/>
          <w:szCs w:val="24"/>
          <w:highlight w:val="none"/>
        </w:rPr>
      </w:pPr>
    </w:p>
    <w:p>
      <w:pPr>
        <w:jc w:val="center"/>
        <w:outlineLvl w:val="1"/>
        <w:rPr>
          <w:rStyle w:val="37"/>
          <w:rFonts w:hint="eastAsia" w:ascii="仿宋" w:hAnsi="仿宋" w:eastAsia="仿宋" w:cs="仿宋"/>
          <w:sz w:val="32"/>
          <w:szCs w:val="21"/>
          <w:highlight w:val="none"/>
          <w:lang w:eastAsia="zh-CN"/>
        </w:rPr>
      </w:pPr>
      <w:bookmarkStart w:id="517" w:name="_Toc3076"/>
      <w:bookmarkStart w:id="518" w:name="_Toc205"/>
      <w:bookmarkStart w:id="519" w:name="_Toc27331"/>
      <w:r>
        <w:rPr>
          <w:rStyle w:val="37"/>
          <w:rFonts w:hint="eastAsia" w:ascii="仿宋" w:hAnsi="仿宋" w:eastAsia="仿宋" w:cs="仿宋"/>
          <w:sz w:val="32"/>
          <w:szCs w:val="21"/>
          <w:highlight w:val="none"/>
        </w:rPr>
        <w:br w:type="page"/>
      </w:r>
      <w:bookmarkStart w:id="520" w:name="_Toc22424"/>
      <w:r>
        <w:rPr>
          <w:rStyle w:val="37"/>
          <w:rFonts w:hint="eastAsia" w:ascii="仿宋" w:hAnsi="仿宋" w:eastAsia="仿宋" w:cs="仿宋"/>
          <w:sz w:val="32"/>
          <w:szCs w:val="21"/>
          <w:highlight w:val="none"/>
          <w:lang w:eastAsia="zh-CN"/>
        </w:rPr>
        <w:t>八、安全卡控</w:t>
      </w:r>
      <w:bookmarkEnd w:id="520"/>
    </w:p>
    <w:p>
      <w:pPr>
        <w:spacing w:line="360" w:lineRule="auto"/>
        <w:jc w:val="center"/>
        <w:rPr>
          <w:rFonts w:hint="eastAsia" w:ascii="仿宋" w:hAnsi="仿宋" w:eastAsia="仿宋" w:cs="仿宋"/>
          <w:sz w:val="24"/>
          <w:szCs w:val="24"/>
          <w:highlight w:val="none"/>
        </w:rPr>
      </w:pPr>
    </w:p>
    <w:p>
      <w:pPr>
        <w:spacing w:line="360" w:lineRule="auto"/>
        <w:jc w:val="center"/>
        <w:rPr>
          <w:rFonts w:hint="eastAsia" w:ascii="仿宋" w:hAnsi="仿宋" w:eastAsia="仿宋" w:cs="仿宋"/>
          <w:sz w:val="24"/>
          <w:szCs w:val="24"/>
          <w:highlight w:val="none"/>
        </w:rPr>
      </w:pP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格式自定</w:t>
      </w:r>
    </w:p>
    <w:p>
      <w:pPr>
        <w:pStyle w:val="6"/>
        <w:rPr>
          <w:rFonts w:hint="eastAsia"/>
          <w:highlight w:val="none"/>
          <w:lang w:eastAsia="zh-CN"/>
        </w:rPr>
      </w:pPr>
    </w:p>
    <w:bookmarkEnd w:id="517"/>
    <w:bookmarkEnd w:id="518"/>
    <w:bookmarkEnd w:id="519"/>
    <w:p>
      <w:pPr>
        <w:pStyle w:val="42"/>
        <w:pageBreakBefore/>
        <w:ind w:firstLine="0" w:firstLineChars="0"/>
        <w:jc w:val="center"/>
        <w:outlineLvl w:val="1"/>
        <w:rPr>
          <w:rStyle w:val="37"/>
          <w:rFonts w:ascii="仿宋" w:hAnsi="仿宋" w:eastAsia="仿宋" w:cs="仿宋"/>
          <w:highlight w:val="none"/>
        </w:rPr>
      </w:pPr>
      <w:bookmarkStart w:id="521" w:name="_Toc11750"/>
      <w:r>
        <w:rPr>
          <w:rStyle w:val="37"/>
          <w:rFonts w:hint="eastAsia" w:ascii="仿宋" w:hAnsi="仿宋" w:eastAsia="仿宋" w:cs="仿宋"/>
          <w:sz w:val="32"/>
          <w:szCs w:val="21"/>
          <w:highlight w:val="none"/>
          <w:lang w:eastAsia="zh-CN"/>
        </w:rPr>
        <w:t>九</w:t>
      </w:r>
      <w:r>
        <w:rPr>
          <w:rStyle w:val="37"/>
          <w:rFonts w:hint="eastAsia" w:ascii="仿宋" w:hAnsi="仿宋" w:eastAsia="仿宋" w:cs="仿宋"/>
          <w:sz w:val="32"/>
          <w:szCs w:val="21"/>
          <w:highlight w:val="none"/>
        </w:rPr>
        <w:t>、供应商资格证明文件</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521"/>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基本资格条件：符合《中华人民共和国政府采购法》第二十二条的规定</w:t>
      </w:r>
      <w:r>
        <w:rPr>
          <w:rFonts w:hint="eastAsia" w:ascii="仿宋" w:hAnsi="仿宋" w:eastAsia="仿宋" w:cs="仿宋"/>
          <w:sz w:val="24"/>
          <w:szCs w:val="24"/>
          <w:highlight w:val="none"/>
        </w:rPr>
        <w:t>；</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提供统一社会信用代码的营业执照或其他组织经营的合法凭证或自然人的提供身份证明文件； </w:t>
      </w:r>
    </w:p>
    <w:p>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财务状况报告：</w:t>
      </w:r>
      <w:r>
        <w:rPr>
          <w:rFonts w:hint="eastAsia" w:ascii="仿宋" w:hAnsi="仿宋" w:eastAsia="仿宋" w:cs="仿宋"/>
          <w:sz w:val="24"/>
          <w:szCs w:val="24"/>
          <w:highlight w:val="none"/>
          <w:lang w:eastAsia="zh-CN"/>
        </w:rPr>
        <w:t>提供具有财务审计资质单位出具的2020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）税收缴纳证明：提供已缴纳的 2021年1月1日以来至少一个月的纳税证明或完税证明（提供增值税、企业所得税至少一种），纳税证明或完税证明上应有代收机构或税务机关的公章或业务专用章。依法免税的供应商应提供相关文件证明；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）社会保障资金缴纳证明：提供已缴存的 2021年1月1日以来至少一个月的社会保障资金缴存单据或社保机构开具的社会保险参保缴费情况证明。成立时间至提交响应文件截止时间不足一个月或依法不需要缴纳社会保障资金的供应商应提供相关文件证明；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（2）特定资格条件： </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法定代表人授权书及被授权人身份证</w:t>
      </w:r>
      <w:r>
        <w:rPr>
          <w:rFonts w:hint="eastAsia" w:ascii="仿宋" w:hAnsi="仿宋" w:eastAsia="仿宋" w:cs="仿宋"/>
          <w:sz w:val="24"/>
          <w:szCs w:val="24"/>
          <w:highlight w:val="none"/>
          <w:lang w:eastAsia="zh-CN"/>
        </w:rPr>
        <w:t>，并且提供</w:t>
      </w:r>
      <w:r>
        <w:rPr>
          <w:rFonts w:hint="eastAsia" w:ascii="仿宋" w:hAnsi="仿宋" w:eastAsia="仿宋" w:cs="仿宋"/>
          <w:sz w:val="24"/>
          <w:szCs w:val="24"/>
          <w:highlight w:val="none"/>
          <w:lang w:val="en-US" w:eastAsia="zh-CN"/>
        </w:rPr>
        <w:t>有效的</w:t>
      </w:r>
      <w:r>
        <w:rPr>
          <w:rFonts w:hint="eastAsia" w:ascii="仿宋" w:hAnsi="仿宋" w:eastAsia="仿宋" w:cs="仿宋"/>
          <w:sz w:val="24"/>
          <w:szCs w:val="24"/>
          <w:highlight w:val="none"/>
        </w:rPr>
        <w:t>劳动合同</w:t>
      </w:r>
      <w:r>
        <w:rPr>
          <w:rFonts w:hint="eastAsia" w:ascii="仿宋" w:hAnsi="仿宋" w:eastAsia="仿宋" w:cs="仿宋"/>
          <w:sz w:val="24"/>
          <w:szCs w:val="24"/>
          <w:highlight w:val="none"/>
          <w:lang w:val="en-US" w:eastAsia="zh-CN"/>
        </w:rPr>
        <w:t>或近三个月</w:t>
      </w:r>
      <w:r>
        <w:rPr>
          <w:rFonts w:hint="eastAsia" w:ascii="仿宋" w:hAnsi="仿宋" w:eastAsia="仿宋" w:cs="仿宋"/>
          <w:sz w:val="24"/>
          <w:szCs w:val="24"/>
          <w:highlight w:val="none"/>
        </w:rPr>
        <w:t>养老保险缴纳证明（法人参加只需提供法定代表人身份证明）</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符合《财政部关于在政府采购活动中查询及使用信用记录有关问题的通知》（财库【2016】125号）文件中信用查询的要求；（此项由采购人与采购代理单位在开标时查询，</w:t>
      </w:r>
      <w:r>
        <w:rPr>
          <w:rFonts w:hint="eastAsia" w:ascii="仿宋" w:hAnsi="仿宋" w:eastAsia="仿宋" w:cs="仿宋"/>
          <w:sz w:val="24"/>
          <w:szCs w:val="24"/>
          <w:highlight w:val="none"/>
          <w:lang w:eastAsia="zh-CN"/>
        </w:rPr>
        <w:t>以现场查询为准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供应商具备建筑工程施工总承包贰级或以上资质，具有安全生产许可证；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（4）拟派项目经理须具有建筑工程专业二级或以上注册建造师证书及安全生产考核合格证（B证）, 在本单位注册且无在建工程（承诺说明）；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（5）外省企业需提供在陕西省建筑市场监管与诚信信息一体化平台入库证明</w:t>
      </w:r>
    </w:p>
    <w:p>
      <w:pPr>
        <w:pStyle w:val="7"/>
        <w:ind w:firstLine="482" w:firstLineChars="2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注：格式后附。</w:t>
      </w:r>
    </w:p>
    <w:p>
      <w:pPr>
        <w:pStyle w:val="22"/>
        <w:ind w:firstLine="480" w:firstLineChars="200"/>
        <w:rPr>
          <w:rFonts w:ascii="仿宋" w:hAnsi="仿宋" w:eastAsia="仿宋" w:cs="仿宋"/>
          <w:sz w:val="24"/>
          <w:highlight w:val="none"/>
        </w:rPr>
      </w:pPr>
    </w:p>
    <w:p>
      <w:pPr>
        <w:spacing w:line="360" w:lineRule="auto"/>
        <w:ind w:firstLine="420" w:firstLineChars="200"/>
        <w:rPr>
          <w:highlight w:val="none"/>
        </w:rPr>
      </w:pPr>
    </w:p>
    <w:p>
      <w:pPr>
        <w:spacing w:line="360" w:lineRule="auto"/>
        <w:ind w:firstLine="480" w:firstLineChars="200"/>
        <w:rPr>
          <w:rFonts w:ascii="仿宋" w:hAnsi="仿宋" w:eastAsia="仿宋" w:cs="仿宋"/>
          <w:sz w:val="24"/>
          <w:szCs w:val="24"/>
          <w:highlight w:val="none"/>
        </w:rPr>
      </w:pPr>
    </w:p>
    <w:p>
      <w:pPr>
        <w:pageBreakBefore/>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供应商基本情况表</w:t>
      </w:r>
    </w:p>
    <w:tbl>
      <w:tblPr>
        <w:tblStyle w:val="24"/>
        <w:tblW w:w="921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3630" w:type="dxa"/>
            <w:gridSpan w:val="3"/>
            <w:vAlign w:val="center"/>
          </w:tcPr>
          <w:p>
            <w:pPr>
              <w:topLinePunct/>
              <w:spacing w:line="360" w:lineRule="auto"/>
              <w:jc w:val="center"/>
              <w:rPr>
                <w:rFonts w:ascii="仿宋" w:hAnsi="仿宋" w:eastAsia="仿宋" w:cs="仿宋"/>
                <w:sz w:val="24"/>
                <w:szCs w:val="24"/>
                <w:highlight w:val="none"/>
              </w:rPr>
            </w:pPr>
          </w:p>
        </w:tc>
        <w:tc>
          <w:tcPr>
            <w:tcW w:w="1620" w:type="dxa"/>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657" w:type="dxa"/>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统一</w:t>
            </w:r>
          </w:p>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社会信用代码</w:t>
            </w:r>
          </w:p>
        </w:tc>
        <w:tc>
          <w:tcPr>
            <w:tcW w:w="3630" w:type="dxa"/>
            <w:gridSpan w:val="3"/>
            <w:vAlign w:val="center"/>
          </w:tcPr>
          <w:p>
            <w:pPr>
              <w:topLinePunct/>
              <w:spacing w:line="360" w:lineRule="auto"/>
              <w:jc w:val="center"/>
              <w:rPr>
                <w:rFonts w:ascii="仿宋" w:hAnsi="仿宋" w:eastAsia="仿宋" w:cs="仿宋"/>
                <w:sz w:val="24"/>
                <w:szCs w:val="24"/>
                <w:highlight w:val="none"/>
              </w:rPr>
            </w:pPr>
          </w:p>
        </w:tc>
        <w:tc>
          <w:tcPr>
            <w:tcW w:w="1620" w:type="dxa"/>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657" w:type="dxa"/>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上年营业收入</w:t>
            </w:r>
          </w:p>
        </w:tc>
        <w:tc>
          <w:tcPr>
            <w:tcW w:w="3630" w:type="dxa"/>
            <w:gridSpan w:val="3"/>
            <w:vAlign w:val="center"/>
          </w:tcPr>
          <w:p>
            <w:pPr>
              <w:topLinePunct/>
              <w:spacing w:line="360" w:lineRule="auto"/>
              <w:jc w:val="center"/>
              <w:rPr>
                <w:rFonts w:ascii="仿宋" w:hAnsi="仿宋" w:eastAsia="仿宋" w:cs="仿宋"/>
                <w:sz w:val="24"/>
                <w:szCs w:val="24"/>
                <w:highlight w:val="none"/>
              </w:rPr>
            </w:pPr>
          </w:p>
        </w:tc>
        <w:tc>
          <w:tcPr>
            <w:tcW w:w="1620" w:type="dxa"/>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657" w:type="dxa"/>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w:t>
            </w:r>
          </w:p>
        </w:tc>
        <w:tc>
          <w:tcPr>
            <w:tcW w:w="1592"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注册号码</w:t>
            </w:r>
          </w:p>
        </w:tc>
        <w:tc>
          <w:tcPr>
            <w:tcW w:w="2205" w:type="dxa"/>
            <w:vAlign w:val="center"/>
          </w:tcPr>
          <w:p>
            <w:pPr>
              <w:topLinePunct/>
              <w:spacing w:line="360" w:lineRule="auto"/>
              <w:jc w:val="center"/>
              <w:rPr>
                <w:rFonts w:ascii="仿宋" w:hAnsi="仿宋" w:eastAsia="仿宋" w:cs="仿宋"/>
                <w:sz w:val="24"/>
                <w:szCs w:val="24"/>
                <w:highlight w:val="none"/>
              </w:rPr>
            </w:pPr>
          </w:p>
        </w:tc>
        <w:tc>
          <w:tcPr>
            <w:tcW w:w="1425" w:type="dxa"/>
            <w:gridSpan w:val="2"/>
            <w:vAlign w:val="center"/>
          </w:tcPr>
          <w:p>
            <w:pPr>
              <w:topLinePunct/>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277" w:type="dxa"/>
            <w:gridSpan w:val="2"/>
            <w:vAlign w:val="center"/>
          </w:tcPr>
          <w:p>
            <w:pPr>
              <w:topLinePunct/>
              <w:spacing w:line="360" w:lineRule="auto"/>
              <w:ind w:firstLine="120" w:firstLineChars="50"/>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ascii="仿宋" w:hAnsi="仿宋" w:eastAsia="仿宋" w:cs="仿宋"/>
                <w:sz w:val="24"/>
                <w:szCs w:val="24"/>
                <w:highlight w:val="none"/>
              </w:rPr>
            </w:pPr>
          </w:p>
        </w:tc>
        <w:tc>
          <w:tcPr>
            <w:tcW w:w="1592"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2205" w:type="dxa"/>
            <w:vAlign w:val="center"/>
          </w:tcPr>
          <w:p>
            <w:pPr>
              <w:topLinePunct/>
              <w:spacing w:line="360" w:lineRule="auto"/>
              <w:jc w:val="center"/>
              <w:rPr>
                <w:rFonts w:ascii="仿宋" w:hAnsi="仿宋" w:eastAsia="仿宋" w:cs="仿宋"/>
                <w:sz w:val="24"/>
                <w:szCs w:val="24"/>
                <w:highlight w:val="none"/>
              </w:rPr>
            </w:pPr>
          </w:p>
        </w:tc>
        <w:tc>
          <w:tcPr>
            <w:tcW w:w="1425" w:type="dxa"/>
            <w:gridSpan w:val="2"/>
            <w:vAlign w:val="center"/>
          </w:tcPr>
          <w:p>
            <w:pPr>
              <w:topLinePunct/>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发证日期</w:t>
            </w:r>
          </w:p>
        </w:tc>
        <w:tc>
          <w:tcPr>
            <w:tcW w:w="3277" w:type="dxa"/>
            <w:gridSpan w:val="2"/>
            <w:vAlign w:val="center"/>
          </w:tcPr>
          <w:p>
            <w:pPr>
              <w:topLinePunct/>
              <w:spacing w:line="360" w:lineRule="auto"/>
              <w:ind w:firstLine="120" w:firstLineChars="50"/>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trPr>
        <w:tc>
          <w:tcPr>
            <w:tcW w:w="718" w:type="dxa"/>
            <w:vMerge w:val="continue"/>
            <w:vAlign w:val="center"/>
          </w:tcPr>
          <w:p>
            <w:pPr>
              <w:topLinePunct/>
              <w:spacing w:line="360" w:lineRule="auto"/>
              <w:jc w:val="center"/>
              <w:rPr>
                <w:rFonts w:ascii="仿宋" w:hAnsi="仿宋" w:eastAsia="仿宋" w:cs="仿宋"/>
                <w:sz w:val="24"/>
                <w:szCs w:val="24"/>
                <w:highlight w:val="none"/>
              </w:rPr>
            </w:pPr>
          </w:p>
        </w:tc>
        <w:tc>
          <w:tcPr>
            <w:tcW w:w="1592"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营业范围</w:t>
            </w:r>
          </w:p>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（主营）</w:t>
            </w:r>
          </w:p>
        </w:tc>
        <w:tc>
          <w:tcPr>
            <w:tcW w:w="6907" w:type="dxa"/>
            <w:gridSpan w:val="5"/>
            <w:vAlign w:val="center"/>
          </w:tcPr>
          <w:p>
            <w:pPr>
              <w:topLinePunct/>
              <w:spacing w:line="360" w:lineRule="auto"/>
              <w:ind w:firstLine="120" w:firstLineChars="50"/>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pPr>
              <w:topLinePunct/>
              <w:spacing w:line="360" w:lineRule="auto"/>
              <w:jc w:val="center"/>
              <w:rPr>
                <w:rFonts w:ascii="仿宋" w:hAnsi="仿宋" w:eastAsia="仿宋" w:cs="仿宋"/>
                <w:sz w:val="24"/>
                <w:szCs w:val="24"/>
                <w:highlight w:val="none"/>
              </w:rPr>
            </w:pPr>
          </w:p>
        </w:tc>
        <w:tc>
          <w:tcPr>
            <w:tcW w:w="1592"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营业范围</w:t>
            </w:r>
          </w:p>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（兼营）</w:t>
            </w:r>
          </w:p>
        </w:tc>
        <w:tc>
          <w:tcPr>
            <w:tcW w:w="6907" w:type="dxa"/>
            <w:gridSpan w:val="5"/>
            <w:vAlign w:val="center"/>
          </w:tcPr>
          <w:p>
            <w:pPr>
              <w:topLinePunct/>
              <w:spacing w:line="360" w:lineRule="auto"/>
              <w:ind w:firstLine="120" w:firstLineChars="50"/>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基本账户开户行及账号</w:t>
            </w:r>
          </w:p>
        </w:tc>
        <w:tc>
          <w:tcPr>
            <w:tcW w:w="6907" w:type="dxa"/>
            <w:gridSpan w:val="5"/>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资产总额（万元）</w:t>
            </w:r>
          </w:p>
        </w:tc>
        <w:tc>
          <w:tcPr>
            <w:tcW w:w="6907" w:type="dxa"/>
            <w:gridSpan w:val="5"/>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资质名称</w:t>
            </w:r>
          </w:p>
        </w:tc>
        <w:tc>
          <w:tcPr>
            <w:tcW w:w="2403"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等级</w:t>
            </w:r>
          </w:p>
        </w:tc>
        <w:tc>
          <w:tcPr>
            <w:tcW w:w="1227" w:type="dxa"/>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发证机关</w:t>
            </w:r>
          </w:p>
        </w:tc>
        <w:tc>
          <w:tcPr>
            <w:tcW w:w="3277"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p>
        </w:tc>
        <w:tc>
          <w:tcPr>
            <w:tcW w:w="2403" w:type="dxa"/>
            <w:gridSpan w:val="2"/>
            <w:vAlign w:val="center"/>
          </w:tcPr>
          <w:p>
            <w:pPr>
              <w:topLinePunct/>
              <w:spacing w:line="360" w:lineRule="auto"/>
              <w:jc w:val="center"/>
              <w:rPr>
                <w:rFonts w:ascii="仿宋" w:hAnsi="仿宋" w:eastAsia="仿宋" w:cs="仿宋"/>
                <w:sz w:val="24"/>
                <w:szCs w:val="24"/>
                <w:highlight w:val="none"/>
              </w:rPr>
            </w:pPr>
          </w:p>
        </w:tc>
        <w:tc>
          <w:tcPr>
            <w:tcW w:w="1227" w:type="dxa"/>
            <w:vAlign w:val="center"/>
          </w:tcPr>
          <w:p>
            <w:pPr>
              <w:topLinePunct/>
              <w:spacing w:line="360" w:lineRule="auto"/>
              <w:jc w:val="center"/>
              <w:rPr>
                <w:rFonts w:ascii="仿宋" w:hAnsi="仿宋" w:eastAsia="仿宋" w:cs="仿宋"/>
                <w:sz w:val="24"/>
                <w:szCs w:val="24"/>
                <w:highlight w:val="none"/>
              </w:rPr>
            </w:pPr>
          </w:p>
        </w:tc>
        <w:tc>
          <w:tcPr>
            <w:tcW w:w="3277" w:type="dxa"/>
            <w:gridSpan w:val="2"/>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pPr>
              <w:topLinePunct/>
              <w:spacing w:line="360" w:lineRule="auto"/>
              <w:jc w:val="center"/>
              <w:rPr>
                <w:rFonts w:ascii="仿宋" w:hAnsi="仿宋" w:eastAsia="仿宋" w:cs="仿宋"/>
                <w:sz w:val="24"/>
                <w:szCs w:val="24"/>
                <w:highlight w:val="none"/>
              </w:rPr>
            </w:pPr>
          </w:p>
        </w:tc>
        <w:tc>
          <w:tcPr>
            <w:tcW w:w="2403" w:type="dxa"/>
            <w:gridSpan w:val="2"/>
            <w:vAlign w:val="center"/>
          </w:tcPr>
          <w:p>
            <w:pPr>
              <w:topLinePunct/>
              <w:spacing w:line="360" w:lineRule="auto"/>
              <w:jc w:val="center"/>
              <w:rPr>
                <w:rFonts w:ascii="仿宋" w:hAnsi="仿宋" w:eastAsia="仿宋" w:cs="仿宋"/>
                <w:sz w:val="24"/>
                <w:szCs w:val="24"/>
                <w:highlight w:val="none"/>
              </w:rPr>
            </w:pPr>
          </w:p>
        </w:tc>
        <w:tc>
          <w:tcPr>
            <w:tcW w:w="1227" w:type="dxa"/>
            <w:vAlign w:val="center"/>
          </w:tcPr>
          <w:p>
            <w:pPr>
              <w:topLinePunct/>
              <w:spacing w:line="360" w:lineRule="auto"/>
              <w:jc w:val="center"/>
              <w:rPr>
                <w:rFonts w:ascii="仿宋" w:hAnsi="仿宋" w:eastAsia="仿宋" w:cs="仿宋"/>
                <w:sz w:val="24"/>
                <w:szCs w:val="24"/>
                <w:highlight w:val="none"/>
              </w:rPr>
            </w:pPr>
          </w:p>
        </w:tc>
        <w:tc>
          <w:tcPr>
            <w:tcW w:w="3277" w:type="dxa"/>
            <w:gridSpan w:val="2"/>
            <w:vAlign w:val="center"/>
          </w:tcPr>
          <w:p>
            <w:pPr>
              <w:topLinePunct/>
              <w:spacing w:line="360" w:lineRule="auto"/>
              <w:jc w:val="center"/>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pPr>
              <w:topLinePunct/>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7960" w:type="dxa"/>
            <w:gridSpan w:val="6"/>
            <w:vAlign w:val="center"/>
          </w:tcPr>
          <w:p>
            <w:pPr>
              <w:topLinePunct/>
              <w:spacing w:line="360" w:lineRule="auto"/>
              <w:rPr>
                <w:rFonts w:ascii="仿宋" w:hAnsi="仿宋" w:eastAsia="仿宋" w:cs="仿宋"/>
                <w:sz w:val="24"/>
                <w:szCs w:val="24"/>
                <w:highlight w:val="none"/>
              </w:rPr>
            </w:pPr>
          </w:p>
        </w:tc>
      </w:tr>
    </w:tbl>
    <w:p>
      <w:pPr>
        <w:autoSpaceDE w:val="0"/>
        <w:autoSpaceDN w:val="0"/>
        <w:adjustRightInd w:val="0"/>
        <w:snapToGrid w:val="0"/>
        <w:spacing w:before="120"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说明：企业类型指大型、中型、小型、微型；上年营业收入、资产总额要与财务报表中的数据一致；资质指特定条件要求提供的资质。</w:t>
      </w:r>
    </w:p>
    <w:p>
      <w:pPr>
        <w:spacing w:line="360" w:lineRule="auto"/>
        <w:ind w:firstLine="3840" w:firstLineChars="1600"/>
        <w:rPr>
          <w:rFonts w:ascii="仿宋" w:hAnsi="仿宋" w:eastAsia="仿宋" w:cs="仿宋"/>
          <w:sz w:val="24"/>
          <w:szCs w:val="24"/>
          <w:highlight w:val="none"/>
        </w:rPr>
      </w:pPr>
    </w:p>
    <w:p>
      <w:pPr>
        <w:spacing w:line="360" w:lineRule="auto"/>
        <w:ind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4080" w:firstLineChars="17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spacing w:line="360" w:lineRule="auto"/>
        <w:ind w:firstLine="4080" w:firstLineChars="1700"/>
        <w:rPr>
          <w:rFonts w:ascii="仿宋" w:hAnsi="仿宋" w:eastAsia="仿宋" w:cs="仿宋"/>
          <w:highlight w:val="none"/>
        </w:rPr>
        <w:sectPr>
          <w:pgSz w:w="11906" w:h="16838"/>
          <w:pgMar w:top="1418" w:right="1474" w:bottom="1418" w:left="1474" w:header="851" w:footer="992" w:gutter="0"/>
          <w:cols w:space="720" w:num="1"/>
          <w:docGrid w:linePitch="312" w:charSpace="0"/>
        </w:sect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pPr>
        <w:autoSpaceDE w:val="0"/>
        <w:autoSpaceDN w:val="0"/>
        <w:adjustRightInd w:val="0"/>
        <w:snapToGrid w:val="0"/>
        <w:spacing w:before="120" w:line="360" w:lineRule="auto"/>
        <w:jc w:val="center"/>
        <w:outlineLvl w:val="2"/>
        <w:rPr>
          <w:rFonts w:hint="eastAsia" w:ascii="仿宋" w:hAnsi="仿宋" w:eastAsia="仿宋" w:cs="仿宋"/>
          <w:b/>
          <w:bCs/>
          <w:color w:val="auto"/>
          <w:sz w:val="28"/>
          <w:szCs w:val="28"/>
          <w:highlight w:val="none"/>
        </w:rPr>
      </w:pPr>
      <w:bookmarkStart w:id="522" w:name="_Toc18949"/>
      <w:bookmarkStart w:id="523" w:name="_Toc11840"/>
      <w:bookmarkStart w:id="524" w:name="_Toc10169"/>
      <w:bookmarkStart w:id="525" w:name="_Toc495908047"/>
      <w:bookmarkStart w:id="526" w:name="_Toc495681251"/>
      <w:bookmarkStart w:id="527" w:name="_Toc495681532"/>
      <w:bookmarkStart w:id="528" w:name="_Toc495671262"/>
      <w:bookmarkStart w:id="529" w:name="_Toc27035"/>
      <w:bookmarkStart w:id="530" w:name="_Toc31488"/>
      <w:bookmarkStart w:id="531" w:name="_Toc495681405"/>
      <w:bookmarkStart w:id="532" w:name="_Toc495908056"/>
      <w:bookmarkStart w:id="533" w:name="_Toc495681414"/>
      <w:bookmarkStart w:id="534" w:name="_Toc495681541"/>
      <w:bookmarkStart w:id="535" w:name="_Toc495681260"/>
      <w:bookmarkStart w:id="536" w:name="_Toc495671271"/>
      <w:bookmarkStart w:id="537" w:name="_Toc473056008"/>
      <w:bookmarkStart w:id="538" w:name="_Toc27697"/>
      <w:bookmarkStart w:id="539" w:name="_Toc31162"/>
      <w:bookmarkStart w:id="540" w:name="_Toc495908057"/>
      <w:bookmarkStart w:id="541" w:name="_Toc476747606"/>
      <w:bookmarkStart w:id="542" w:name="_Toc12206"/>
      <w:bookmarkStart w:id="543" w:name="_Toc14115"/>
      <w:bookmarkStart w:id="544" w:name="_Toc21252"/>
      <w:bookmarkStart w:id="545" w:name="_Toc8978"/>
      <w:bookmarkStart w:id="546" w:name="_Toc495681415"/>
      <w:bookmarkStart w:id="547" w:name="_Toc4687"/>
      <w:bookmarkStart w:id="548" w:name="_Toc1083"/>
      <w:bookmarkStart w:id="549" w:name="_Toc495681261"/>
      <w:bookmarkStart w:id="550" w:name="_Toc495681542"/>
      <w:bookmarkStart w:id="551" w:name="_Toc27777"/>
      <w:bookmarkStart w:id="552" w:name="_Toc475451804"/>
      <w:bookmarkStart w:id="553" w:name="_Toc21908"/>
      <w:bookmarkStart w:id="554" w:name="_Toc25899"/>
      <w:bookmarkStart w:id="555" w:name="_Toc475451557"/>
      <w:bookmarkStart w:id="556" w:name="_Toc29583"/>
      <w:r>
        <w:rPr>
          <w:rFonts w:hint="eastAsia" w:ascii="仿宋" w:hAnsi="仿宋" w:eastAsia="仿宋" w:cs="仿宋"/>
          <w:b/>
          <w:bCs/>
          <w:color w:val="auto"/>
          <w:sz w:val="28"/>
          <w:szCs w:val="28"/>
          <w:highlight w:val="none"/>
        </w:rPr>
        <w:t>（一）</w:t>
      </w:r>
      <w:bookmarkEnd w:id="522"/>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523"/>
      <w:bookmarkEnd w:id="524"/>
    </w:p>
    <w:p>
      <w:pPr>
        <w:autoSpaceDE w:val="0"/>
        <w:autoSpaceDN w:val="0"/>
        <w:adjustRightInd w:val="0"/>
        <w:spacing w:line="360" w:lineRule="auto"/>
        <w:jc w:val="center"/>
        <w:rPr>
          <w:rFonts w:hint="eastAsia" w:ascii="仿宋" w:hAnsi="仿宋" w:eastAsia="仿宋" w:cs="仿宋"/>
          <w:color w:val="auto"/>
          <w:sz w:val="24"/>
          <w:szCs w:val="24"/>
          <w:highlight w:val="none"/>
          <w:lang w:val="en-US" w:eastAsia="zh-CN"/>
        </w:rPr>
      </w:pPr>
    </w:p>
    <w:p>
      <w:pPr>
        <w:autoSpaceDE w:val="0"/>
        <w:autoSpaceDN w:val="0"/>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提供相关资质证书复印件或扫描件</w:t>
      </w:r>
    </w:p>
    <w:p>
      <w:pPr>
        <w:bidi w:val="0"/>
        <w:rPr>
          <w:highlight w:val="none"/>
        </w:rPr>
      </w:pPr>
    </w:p>
    <w:bookmarkEnd w:id="525"/>
    <w:bookmarkEnd w:id="526"/>
    <w:bookmarkEnd w:id="527"/>
    <w:bookmarkEnd w:id="528"/>
    <w:bookmarkEnd w:id="529"/>
    <w:bookmarkEnd w:id="530"/>
    <w:bookmarkEnd w:id="531"/>
    <w:p>
      <w:pPr>
        <w:keepNext w:val="0"/>
        <w:keepLines w:val="0"/>
        <w:pageBreakBefore/>
        <w:widowControl w:val="0"/>
        <w:kinsoku/>
        <w:wordWrap/>
        <w:overflowPunct/>
        <w:topLinePunct w:val="0"/>
        <w:autoSpaceDE/>
        <w:autoSpaceDN/>
        <w:bidi w:val="0"/>
        <w:adjustRightInd/>
        <w:snapToGrid/>
        <w:spacing w:line="360" w:lineRule="auto"/>
        <w:ind w:firstLine="562" w:firstLineChars="200"/>
        <w:jc w:val="center"/>
        <w:textAlignment w:val="auto"/>
        <w:outlineLvl w:val="2"/>
        <w:rPr>
          <w:rFonts w:ascii="仿宋" w:hAnsi="仿宋" w:eastAsia="仿宋" w:cs="仿宋"/>
          <w:b/>
          <w:bCs/>
          <w:color w:val="auto"/>
          <w:sz w:val="28"/>
          <w:szCs w:val="28"/>
          <w:highlight w:val="none"/>
        </w:rPr>
      </w:pPr>
      <w:bookmarkStart w:id="557" w:name="_Toc4584"/>
      <w:bookmarkStart w:id="558" w:name="_Toc20689"/>
      <w:bookmarkStart w:id="559" w:name="_Toc894"/>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）财务状况报告</w:t>
      </w:r>
      <w:bookmarkEnd w:id="557"/>
      <w:bookmarkEnd w:id="558"/>
    </w:p>
    <w:p>
      <w:pPr>
        <w:pStyle w:val="15"/>
        <w:adjustRightInd w:val="0"/>
        <w:snapToGrid w:val="0"/>
        <w:spacing w:line="360" w:lineRule="auto"/>
        <w:jc w:val="left"/>
        <w:rPr>
          <w:rFonts w:ascii="仿宋" w:hAnsi="仿宋" w:eastAsia="仿宋" w:cs="仿宋"/>
          <w:b/>
          <w:color w:val="auto"/>
          <w:sz w:val="24"/>
          <w:szCs w:val="24"/>
          <w:highlight w:val="none"/>
        </w:rPr>
      </w:pPr>
    </w:p>
    <w:p>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说明：</w:t>
      </w:r>
    </w:p>
    <w:p>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提供具有财务审计资质单位出具的2020年度财务报告或磋商前六个月内其基本账户银行出具的资信证明（附基本户证明资料）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（2）供应商成立不到1年的，提供季度或月份有关财务报表原件（不需审计）。</w:t>
      </w:r>
    </w:p>
    <w:p>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（3）原件或复印件可直接装订，复印件加盖供应商公章。</w:t>
      </w:r>
    </w:p>
    <w:p>
      <w:pPr>
        <w:spacing w:line="360" w:lineRule="auto"/>
        <w:rPr>
          <w:rFonts w:ascii="仿宋" w:hAnsi="仿宋" w:eastAsia="仿宋" w:cs="仿宋"/>
          <w:b/>
          <w:bCs/>
          <w:color w:val="auto"/>
          <w:sz w:val="24"/>
          <w:szCs w:val="24"/>
          <w:highlight w:val="none"/>
        </w:rPr>
      </w:pPr>
    </w:p>
    <w:p>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ageBreakBefore/>
        <w:spacing w:line="360" w:lineRule="auto"/>
        <w:jc w:val="center"/>
        <w:outlineLvl w:val="2"/>
        <w:rPr>
          <w:rFonts w:hint="eastAsia" w:ascii="仿宋" w:hAnsi="仿宋" w:eastAsia="仿宋" w:cs="仿宋"/>
          <w:b/>
          <w:color w:val="auto"/>
          <w:sz w:val="28"/>
          <w:szCs w:val="28"/>
          <w:highlight w:val="none"/>
          <w:lang w:eastAsia="zh-CN"/>
        </w:rPr>
      </w:pPr>
      <w:bookmarkStart w:id="560" w:name="_Toc27653"/>
      <w:bookmarkStart w:id="561" w:name="_Toc2225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）税收缴纳证明</w:t>
      </w:r>
      <w:bookmarkEnd w:id="560"/>
      <w:bookmarkEnd w:id="561"/>
    </w:p>
    <w:p>
      <w:pPr>
        <w:pStyle w:val="16"/>
        <w:spacing w:line="360" w:lineRule="auto"/>
        <w:rPr>
          <w:rFonts w:hint="eastAsia"/>
          <w:highlight w:val="none"/>
          <w:lang w:eastAsia="zh-CN"/>
        </w:rPr>
      </w:pPr>
    </w:p>
    <w:p>
      <w:pPr>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提供已缴纳的 2021年1月1日以来至少一个月的纳税证明或完税证明（提供增值税、企业所得税至少一种），纳税证明或完税证明上应有代收机构或税务机关的公章或业务专用章。依法免税的供应商应提供相关文件证明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p>
    <w:p>
      <w:pPr>
        <w:spacing w:line="360" w:lineRule="auto"/>
        <w:ind w:firstLine="480"/>
        <w:rPr>
          <w:rFonts w:ascii="仿宋" w:hAnsi="仿宋" w:eastAsia="仿宋" w:cs="仿宋"/>
          <w:color w:val="auto"/>
          <w:kern w:val="0"/>
          <w:sz w:val="24"/>
          <w:highlight w:val="none"/>
        </w:rPr>
      </w:pPr>
    </w:p>
    <w:p>
      <w:pPr>
        <w:spacing w:line="360" w:lineRule="auto"/>
        <w:ind w:firstLine="480"/>
        <w:rPr>
          <w:rFonts w:hint="eastAsia" w:ascii="仿宋" w:hAnsi="仿宋" w:eastAsia="仿宋" w:cs="仿宋"/>
          <w:color w:val="auto"/>
          <w:kern w:val="0"/>
          <w:sz w:val="24"/>
          <w:szCs w:val="22"/>
          <w:highlight w:val="none"/>
        </w:rPr>
        <w:sectPr>
          <w:pgSz w:w="11905" w:h="16838"/>
          <w:pgMar w:top="1417" w:right="1417" w:bottom="1417" w:left="1417" w:header="851" w:footer="992" w:gutter="0"/>
          <w:pgNumType w:fmt="decimal"/>
          <w:cols w:space="0" w:num="1"/>
          <w:rtlGutter w:val="0"/>
          <w:docGrid w:linePitch="312" w:charSpace="0"/>
        </w:sectPr>
      </w:pPr>
    </w:p>
    <w:p>
      <w:pPr>
        <w:spacing w:line="360" w:lineRule="auto"/>
        <w:jc w:val="center"/>
        <w:outlineLvl w:val="2"/>
        <w:rPr>
          <w:rFonts w:hint="eastAsia" w:ascii="仿宋" w:hAnsi="仿宋" w:eastAsia="仿宋" w:cs="仿宋"/>
          <w:b/>
          <w:color w:val="auto"/>
          <w:sz w:val="28"/>
          <w:szCs w:val="28"/>
          <w:highlight w:val="none"/>
        </w:rPr>
      </w:pPr>
      <w:bookmarkStart w:id="562" w:name="_Toc17953"/>
      <w:bookmarkStart w:id="563" w:name="_Toc12547"/>
      <w:bookmarkStart w:id="564" w:name="_Toc1002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社会保障资金缴纳证明</w:t>
      </w:r>
      <w:bookmarkEnd w:id="562"/>
      <w:bookmarkEnd w:id="563"/>
    </w:p>
    <w:p>
      <w:pPr>
        <w:spacing w:line="360" w:lineRule="auto"/>
        <w:ind w:firstLine="480"/>
        <w:rPr>
          <w:rFonts w:hint="eastAsia" w:ascii="仿宋" w:hAnsi="仿宋" w:eastAsia="仿宋" w:cs="仿宋"/>
          <w:color w:val="auto"/>
          <w:kern w:val="0"/>
          <w:sz w:val="24"/>
          <w:szCs w:val="22"/>
          <w:highlight w:val="none"/>
        </w:rPr>
      </w:pPr>
    </w:p>
    <w:p>
      <w:pPr>
        <w:spacing w:line="360" w:lineRule="auto"/>
        <w:ind w:firstLine="48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说明：</w:t>
      </w:r>
    </w:p>
    <w:p>
      <w:pPr>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sz w:val="24"/>
          <w:szCs w:val="24"/>
          <w:highlight w:val="none"/>
          <w:lang w:eastAsia="zh-CN"/>
        </w:rPr>
        <w:t>提供已缴存的 2021年1月1日以来至少一个月的社会保障资金缴存单据或社保机构开具的社会保险参保缴费情况证明。成立时间至提交响应文件截止时间不足一个月或依法不需要缴纳社会保障资金的供应商应提供相关文件证明；</w:t>
      </w:r>
    </w:p>
    <w:p>
      <w:pPr>
        <w:spacing w:line="360" w:lineRule="auto"/>
        <w:rPr>
          <w:rFonts w:ascii="仿宋" w:hAnsi="仿宋" w:eastAsia="仿宋" w:cs="仿宋"/>
          <w:b/>
          <w:bCs/>
          <w:color w:val="auto"/>
          <w:sz w:val="24"/>
          <w:szCs w:val="24"/>
          <w:highlight w:val="none"/>
        </w:rPr>
      </w:pPr>
    </w:p>
    <w:p>
      <w:pPr>
        <w:pageBreakBefore/>
        <w:spacing w:line="360" w:lineRule="auto"/>
        <w:jc w:val="center"/>
        <w:outlineLvl w:val="2"/>
        <w:rPr>
          <w:rFonts w:hint="eastAsia" w:ascii="仿宋" w:hAnsi="仿宋" w:eastAsia="仿宋" w:cs="仿宋"/>
          <w:b/>
          <w:color w:val="auto"/>
          <w:sz w:val="28"/>
          <w:szCs w:val="28"/>
          <w:highlight w:val="none"/>
          <w:lang w:eastAsia="zh-CN"/>
        </w:rPr>
      </w:pPr>
      <w:bookmarkStart w:id="565" w:name="_Toc31656"/>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出具履行合同所必需的设备和专</w:t>
      </w:r>
      <w:bookmarkEnd w:id="564"/>
      <w:r>
        <w:rPr>
          <w:rFonts w:hint="eastAsia" w:ascii="仿宋" w:hAnsi="仿宋" w:eastAsia="仿宋" w:cs="仿宋"/>
          <w:b/>
          <w:bCs/>
          <w:color w:val="auto"/>
          <w:sz w:val="28"/>
          <w:szCs w:val="28"/>
          <w:highlight w:val="none"/>
          <w:lang w:eastAsia="zh-CN"/>
        </w:rPr>
        <w:t>业技术能力的书面声明</w:t>
      </w:r>
      <w:bookmarkEnd w:id="565"/>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）的供应商，在此郑重声明：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highlight w:val="none"/>
          <w:lang w:val="en-US" w:eastAsia="zh-CN" w:bidi="ar"/>
        </w:rPr>
      </w:pPr>
      <w:r>
        <w:rPr>
          <w:rFonts w:ascii="仿宋" w:hAnsi="仿宋" w:eastAsia="仿宋" w:cs="仿宋"/>
          <w:color w:val="000000"/>
          <w:kern w:val="0"/>
          <w:sz w:val="24"/>
          <w:szCs w:val="24"/>
          <w:highlight w:val="none"/>
          <w:lang w:val="en-US" w:eastAsia="zh-CN" w:bidi="ar"/>
        </w:rPr>
        <w:t>我方具备履行合同所必须的设备和专业技术能力。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pPr>
        <w:spacing w:before="240" w:beforeLines="100" w:after="120" w:afterLines="50" w:line="360" w:lineRule="auto"/>
        <w:ind w:firstLine="620" w:firstLineChars="250"/>
        <w:rPr>
          <w:rFonts w:ascii="仿宋" w:hAnsi="仿宋" w:eastAsia="仿宋" w:cs="仿宋"/>
          <w:color w:val="auto"/>
          <w:spacing w:val="4"/>
          <w:sz w:val="24"/>
          <w:szCs w:val="24"/>
          <w:highlight w:val="none"/>
        </w:rPr>
      </w:pPr>
    </w:p>
    <w:p>
      <w:pPr>
        <w:spacing w:before="240" w:beforeLines="100" w:after="120" w:afterLines="50" w:line="360" w:lineRule="auto"/>
        <w:ind w:firstLine="170"/>
        <w:rPr>
          <w:rFonts w:ascii="仿宋" w:hAnsi="仿宋" w:eastAsia="仿宋" w:cs="仿宋"/>
          <w:color w:val="auto"/>
          <w:spacing w:val="4"/>
          <w:sz w:val="24"/>
          <w:szCs w:val="24"/>
          <w:highlight w:val="none"/>
        </w:rPr>
      </w:pPr>
    </w:p>
    <w:p>
      <w:pPr>
        <w:spacing w:before="240" w:beforeLines="100" w:after="120" w:afterLines="50" w:line="360" w:lineRule="auto"/>
        <w:ind w:firstLine="170"/>
        <w:rPr>
          <w:rFonts w:ascii="仿宋" w:hAnsi="仿宋" w:eastAsia="仿宋" w:cs="仿宋"/>
          <w:color w:val="auto"/>
          <w:spacing w:val="4"/>
          <w:sz w:val="24"/>
          <w:szCs w:val="24"/>
          <w:highlight w:val="none"/>
        </w:rPr>
      </w:pPr>
    </w:p>
    <w:p>
      <w:pPr>
        <w:spacing w:line="360" w:lineRule="auto"/>
        <w:ind w:firstLine="4320" w:firstLineChars="18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pacing w:line="360" w:lineRule="auto"/>
        <w:ind w:firstLine="4320" w:firstLineChars="18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spacing w:line="360" w:lineRule="auto"/>
        <w:jc w:val="cente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bCs/>
          <w:color w:val="auto"/>
          <w:sz w:val="24"/>
          <w:szCs w:val="24"/>
          <w:highlight w:val="none"/>
        </w:rPr>
      </w:pPr>
    </w:p>
    <w:p>
      <w:pPr>
        <w:spacing w:line="360" w:lineRule="auto"/>
        <w:rPr>
          <w:rFonts w:ascii="仿宋" w:hAnsi="仿宋" w:eastAsia="仿宋" w:cs="仿宋"/>
          <w:bCs/>
          <w:color w:val="auto"/>
          <w:sz w:val="24"/>
          <w:szCs w:val="24"/>
          <w:highlight w:val="none"/>
        </w:rPr>
      </w:pPr>
    </w:p>
    <w:p>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line="360" w:lineRule="auto"/>
        <w:jc w:val="center"/>
        <w:outlineLvl w:val="2"/>
        <w:rPr>
          <w:rFonts w:ascii="仿宋" w:hAnsi="仿宋" w:eastAsia="仿宋" w:cs="仿宋"/>
          <w:b/>
          <w:color w:val="auto"/>
          <w:sz w:val="28"/>
          <w:szCs w:val="28"/>
          <w:highlight w:val="none"/>
        </w:rPr>
      </w:pPr>
      <w:bookmarkStart w:id="566" w:name="_Toc1093"/>
      <w:bookmarkStart w:id="567" w:name="_Toc30361"/>
      <w:bookmarkStart w:id="568" w:name="_Toc31742"/>
      <w:bookmarkStart w:id="569" w:name="_Toc2890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）参加政府采购活动的书面声明</w:t>
      </w:r>
      <w:bookmarkEnd w:id="566"/>
      <w:bookmarkEnd w:id="567"/>
      <w:bookmarkEnd w:id="568"/>
    </w:p>
    <w:p>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）的供应商，在此郑重声明：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1、在参加本次政府采购活动前 3 年内的经营活动中____（填“没有”或“有”）重大违法记录。</w:t>
      </w:r>
      <w:r>
        <w:rPr>
          <w:rFonts w:hint="eastAsia" w:ascii="仿宋" w:hAnsi="仿宋" w:eastAsia="仿宋" w:cs="仿宋"/>
          <w:b/>
          <w:bCs/>
          <w:color w:val="000000"/>
          <w:kern w:val="0"/>
          <w:sz w:val="24"/>
          <w:szCs w:val="24"/>
          <w:highlight w:val="none"/>
          <w:lang w:val="en-US" w:eastAsia="zh-CN" w:bidi="ar"/>
        </w:rPr>
        <w:t xml:space="preserve">供应商在参加政府采购活动前 3 年内因违法经营被禁止在一定期限内参加政府采购活动，期限届满的，可以参加政府采购活动，但应提供期限届满的证明材料。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2、我方______（填“未被列入”或“被列入”）失信被执行人名单。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3、我方______（填“未被列入”或“被列入”）重大税收违法案件当事人名单。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4、我方______（填“未被列入”或“被列入”）政府采购严重违法失信行为记录名单。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pPr>
        <w:autoSpaceDE w:val="0"/>
        <w:autoSpaceDN w:val="0"/>
        <w:adjustRightInd w:val="0"/>
        <w:spacing w:line="360" w:lineRule="auto"/>
        <w:ind w:firstLine="480" w:firstLineChars="200"/>
        <w:rPr>
          <w:rFonts w:ascii="仿宋" w:hAnsi="仿宋" w:eastAsia="仿宋" w:cs="仿宋"/>
          <w:color w:val="auto"/>
          <w:sz w:val="24"/>
          <w:szCs w:val="24"/>
          <w:highlight w:val="none"/>
        </w:rPr>
      </w:pPr>
    </w:p>
    <w:p>
      <w:pPr>
        <w:autoSpaceDE w:val="0"/>
        <w:autoSpaceDN w:val="0"/>
        <w:adjustRightInd w:val="0"/>
        <w:spacing w:line="360" w:lineRule="auto"/>
        <w:ind w:firstLine="480" w:firstLineChars="200"/>
        <w:rPr>
          <w:rFonts w:ascii="仿宋" w:hAnsi="仿宋" w:eastAsia="仿宋" w:cs="仿宋"/>
          <w:color w:val="auto"/>
          <w:sz w:val="24"/>
          <w:szCs w:val="24"/>
          <w:highlight w:val="none"/>
        </w:rPr>
      </w:pPr>
    </w:p>
    <w:p>
      <w:pPr>
        <w:spacing w:line="360" w:lineRule="auto"/>
        <w:ind w:firstLine="3840" w:firstLineChars="1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pacing w:line="360" w:lineRule="auto"/>
        <w:ind w:firstLine="3840" w:firstLineChars="16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ind w:firstLine="3840" w:firstLineChars="16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End w:id="532"/>
      <w:bookmarkEnd w:id="533"/>
      <w:bookmarkEnd w:id="534"/>
      <w:bookmarkEnd w:id="535"/>
      <w:bookmarkEnd w:id="536"/>
      <w:bookmarkEnd w:id="559"/>
      <w:bookmarkEnd w:id="569"/>
    </w:p>
    <w:p>
      <w:pPr>
        <w:keepNext w:val="0"/>
        <w:keepLines w:val="0"/>
        <w:pageBreakBefore/>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2"/>
        <w:rPr>
          <w:rFonts w:hint="eastAsia" w:ascii="仿宋" w:hAnsi="仿宋" w:eastAsia="仿宋" w:cs="仿宋"/>
          <w:b/>
          <w:bCs w:val="0"/>
          <w:kern w:val="2"/>
          <w:sz w:val="28"/>
          <w:szCs w:val="28"/>
          <w:highlight w:val="none"/>
          <w:u w:val="none"/>
          <w:lang w:val="zh-CN" w:eastAsia="zh-CN" w:bidi="ar-SA"/>
        </w:rPr>
        <w:sectPr>
          <w:pgSz w:w="11905" w:h="16838"/>
          <w:pgMar w:top="1417" w:right="1417" w:bottom="1417" w:left="1417" w:header="851" w:footer="992" w:gutter="0"/>
          <w:pgNumType w:fmt="decimal"/>
          <w:cols w:space="0" w:num="1"/>
          <w:rtlGutter w:val="0"/>
          <w:docGrid w:linePitch="312" w:charSpace="0"/>
        </w:sectPr>
      </w:pPr>
    </w:p>
    <w:p>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val="0"/>
          <w:kern w:val="2"/>
          <w:sz w:val="28"/>
          <w:szCs w:val="28"/>
          <w:highlight w:val="none"/>
          <w:u w:val="none"/>
          <w:lang w:val="zh-CN" w:eastAsia="zh-CN" w:bidi="ar-SA"/>
        </w:rPr>
      </w:pPr>
      <w:bookmarkStart w:id="570" w:name="_Toc1010"/>
      <w:bookmarkStart w:id="571" w:name="_Toc1237"/>
      <w:r>
        <w:rPr>
          <w:rFonts w:hint="eastAsia" w:ascii="仿宋" w:hAnsi="仿宋" w:eastAsia="仿宋" w:cs="仿宋"/>
          <w:b/>
          <w:bCs w:val="0"/>
          <w:kern w:val="2"/>
          <w:sz w:val="28"/>
          <w:szCs w:val="28"/>
          <w:highlight w:val="none"/>
          <w:u w:val="none"/>
          <w:lang w:val="zh-CN" w:eastAsia="zh-CN" w:bidi="ar-SA"/>
        </w:rPr>
        <w:t>（七）特定资格要求</w:t>
      </w:r>
      <w:bookmarkEnd w:id="570"/>
      <w:bookmarkEnd w:id="571"/>
    </w:p>
    <w:p>
      <w:pPr>
        <w:adjustRightInd w:val="0"/>
        <w:snapToGrid w:val="0"/>
        <w:spacing w:line="360" w:lineRule="auto"/>
        <w:jc w:val="center"/>
        <w:rPr>
          <w:rFonts w:ascii="仿宋" w:hAnsi="仿宋" w:eastAsia="仿宋" w:cs="仿宋"/>
          <w:b/>
          <w:color w:val="auto"/>
          <w:sz w:val="24"/>
          <w:szCs w:val="24"/>
          <w:highlight w:val="none"/>
        </w:rPr>
      </w:pPr>
      <w:bookmarkStart w:id="572" w:name="_Toc1610"/>
      <w:bookmarkStart w:id="573" w:name="_Toc495681252"/>
      <w:bookmarkStart w:id="574" w:name="_Toc495671263"/>
      <w:bookmarkStart w:id="575" w:name="_Toc495681406"/>
      <w:bookmarkStart w:id="576" w:name="_Toc495908048"/>
      <w:bookmarkStart w:id="577" w:name="_Toc495681533"/>
      <w:r>
        <w:rPr>
          <w:rFonts w:hint="eastAsia" w:ascii="仿宋" w:hAnsi="仿宋" w:eastAsia="仿宋" w:cs="仿宋"/>
          <w:b/>
          <w:color w:val="auto"/>
          <w:sz w:val="24"/>
          <w:szCs w:val="24"/>
          <w:highlight w:val="none"/>
        </w:rPr>
        <w:t>1、法定代表人身份证明</w:t>
      </w:r>
      <w:bookmarkEnd w:id="572"/>
      <w:bookmarkEnd w:id="573"/>
      <w:bookmarkEnd w:id="574"/>
      <w:bookmarkEnd w:id="575"/>
      <w:bookmarkEnd w:id="576"/>
      <w:bookmarkEnd w:id="577"/>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注册地址：</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年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日；经营期限：</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经营范围：主营：</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；兼营：</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供应商</w:t>
      </w:r>
      <w:r>
        <w:rPr>
          <w:rFonts w:hint="eastAsia" w:ascii="仿宋" w:hAnsi="仿宋" w:eastAsia="仿宋" w:cs="仿宋"/>
          <w:color w:val="auto"/>
          <w:kern w:val="0"/>
          <w:sz w:val="24"/>
          <w:szCs w:val="24"/>
          <w:highlight w:val="none"/>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autoSpaceDE w:val="0"/>
        <w:autoSpaceDN w:val="0"/>
        <w:adjustRightInd w:val="0"/>
        <w:snapToGrid w:val="0"/>
        <w:spacing w:before="12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tbl>
      <w:tblPr>
        <w:tblStyle w:val="24"/>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法定代表人身份证</w:t>
            </w:r>
          </w:p>
          <w:p>
            <w:pPr>
              <w:spacing w:line="360" w:lineRule="auto"/>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法定代表人身份证</w:t>
            </w:r>
          </w:p>
          <w:p>
            <w:pPr>
              <w:spacing w:line="360" w:lineRule="auto"/>
              <w:jc w:val="cente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复印件</w:t>
            </w:r>
          </w:p>
        </w:tc>
      </w:tr>
    </w:tbl>
    <w:p>
      <w:pPr>
        <w:spacing w:line="360" w:lineRule="auto"/>
        <w:ind w:firstLine="1920" w:firstLineChars="800"/>
        <w:rPr>
          <w:rFonts w:ascii="仿宋" w:hAnsi="仿宋" w:eastAsia="仿宋" w:cs="仿宋"/>
          <w:color w:val="auto"/>
          <w:sz w:val="24"/>
          <w:szCs w:val="24"/>
          <w:highlight w:val="none"/>
        </w:rPr>
      </w:pPr>
    </w:p>
    <w:p>
      <w:pPr>
        <w:spacing w:line="360" w:lineRule="auto"/>
        <w:ind w:firstLine="5280" w:firstLineChars="2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pacing w:line="360" w:lineRule="auto"/>
        <w:ind w:firstLine="5280" w:firstLineChars="2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5280" w:firstLineChars="2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adjustRightInd w:val="0"/>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bookmarkStart w:id="578" w:name="_Toc495671264"/>
      <w:bookmarkStart w:id="579" w:name="_Toc18921"/>
      <w:bookmarkStart w:id="580" w:name="_Toc495908049"/>
      <w:bookmarkStart w:id="581" w:name="_Toc495681407"/>
      <w:bookmarkStart w:id="582" w:name="_Toc495681534"/>
      <w:bookmarkStart w:id="583" w:name="_Toc495681253"/>
      <w:r>
        <w:rPr>
          <w:rFonts w:hint="eastAsia" w:ascii="仿宋" w:hAnsi="仿宋" w:eastAsia="仿宋" w:cs="仿宋"/>
          <w:b/>
          <w:color w:val="auto"/>
          <w:sz w:val="24"/>
          <w:szCs w:val="24"/>
          <w:highlight w:val="none"/>
        </w:rPr>
        <w:t>2、法定代表人授权书</w:t>
      </w:r>
      <w:bookmarkEnd w:id="578"/>
      <w:bookmarkEnd w:id="579"/>
      <w:bookmarkEnd w:id="580"/>
      <w:bookmarkEnd w:id="581"/>
      <w:bookmarkEnd w:id="582"/>
      <w:bookmarkEnd w:id="583"/>
    </w:p>
    <w:p>
      <w:pPr>
        <w:autoSpaceDE w:val="0"/>
        <w:autoSpaceDN w:val="0"/>
        <w:adjustRightIn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陕西笃信招标有限公司：</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注册于</w:t>
      </w:r>
      <w:r>
        <w:rPr>
          <w:rFonts w:hint="eastAsia" w:ascii="仿宋" w:hAnsi="仿宋" w:eastAsia="仿宋" w:cs="仿宋"/>
          <w:color w:val="auto"/>
          <w:sz w:val="24"/>
          <w:szCs w:val="24"/>
          <w:highlight w:val="none"/>
          <w:u w:val="single"/>
          <w:lang w:val="zh-CN"/>
        </w:rPr>
        <w:t xml:space="preserve">  （工商行政管理局名称）  </w:t>
      </w:r>
      <w:r>
        <w:rPr>
          <w:rFonts w:hint="eastAsia" w:ascii="仿宋" w:hAnsi="仿宋" w:eastAsia="仿宋" w:cs="仿宋"/>
          <w:color w:val="auto"/>
          <w:sz w:val="24"/>
          <w:szCs w:val="24"/>
          <w:highlight w:val="none"/>
          <w:lang w:val="zh-CN"/>
        </w:rPr>
        <w:t>之</w:t>
      </w:r>
      <w:r>
        <w:rPr>
          <w:rFonts w:hint="eastAsia" w:ascii="仿宋" w:hAnsi="仿宋" w:eastAsia="仿宋" w:cs="仿宋"/>
          <w:color w:val="auto"/>
          <w:sz w:val="24"/>
          <w:szCs w:val="24"/>
          <w:highlight w:val="none"/>
          <w:u w:val="single"/>
          <w:lang w:val="zh-CN"/>
        </w:rPr>
        <w:t xml:space="preserve">   （供应商全称）  </w:t>
      </w:r>
      <w:r>
        <w:rPr>
          <w:rFonts w:hint="eastAsia" w:ascii="仿宋" w:hAnsi="仿宋" w:eastAsia="仿宋" w:cs="仿宋"/>
          <w:color w:val="auto"/>
          <w:sz w:val="24"/>
          <w:szCs w:val="24"/>
          <w:highlight w:val="none"/>
          <w:lang w:val="zh-CN"/>
        </w:rPr>
        <w:t>的法定代表人</w:t>
      </w:r>
      <w:r>
        <w:rPr>
          <w:rFonts w:hint="eastAsia" w:ascii="仿宋" w:hAnsi="仿宋" w:eastAsia="仿宋" w:cs="仿宋"/>
          <w:color w:val="auto"/>
          <w:sz w:val="24"/>
          <w:szCs w:val="24"/>
          <w:highlight w:val="none"/>
          <w:u w:val="single"/>
          <w:lang w:val="zh-CN"/>
        </w:rPr>
        <w:t xml:space="preserve"> （姓名）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授权</w:t>
      </w:r>
      <w:r>
        <w:rPr>
          <w:rFonts w:hint="eastAsia" w:ascii="仿宋" w:hAnsi="仿宋" w:eastAsia="仿宋" w:cs="仿宋"/>
          <w:color w:val="auto"/>
          <w:sz w:val="24"/>
          <w:szCs w:val="24"/>
          <w:highlight w:val="none"/>
          <w:u w:val="single"/>
          <w:lang w:val="zh-CN"/>
        </w:rPr>
        <w:t xml:space="preserve"> （被授权人姓名）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为我方合法委托代理人。代理人根据授权，以我方名义签署、澄清、说明、递交、撤回、修改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磋商响应文件、签订合同和处理有关事宜，其法律后果由我方承担。</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pacing w:line="360" w:lineRule="auto"/>
        <w:ind w:firstLine="5520" w:firstLineChars="2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firstLine="480" w:firstLineChars="200"/>
        <w:rPr>
          <w:rFonts w:ascii="仿宋" w:hAnsi="仿宋" w:eastAsia="仿宋" w:cs="仿宋"/>
          <w:color w:val="auto"/>
          <w:sz w:val="24"/>
          <w:szCs w:val="24"/>
          <w:highlight w:val="none"/>
        </w:rPr>
      </w:pP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本授权有效期：自开标之日起90日历日。</w:t>
      </w:r>
    </w:p>
    <w:p>
      <w:pPr>
        <w:spacing w:line="360" w:lineRule="auto"/>
        <w:ind w:firstLine="420"/>
        <w:rPr>
          <w:rFonts w:ascii="仿宋" w:hAnsi="仿宋" w:eastAsia="仿宋" w:cs="仿宋"/>
          <w:bCs/>
          <w:color w:val="auto"/>
          <w:sz w:val="24"/>
          <w:szCs w:val="24"/>
          <w:highlight w:val="none"/>
        </w:rPr>
      </w:pPr>
    </w:p>
    <w:p>
      <w:pPr>
        <w:spacing w:line="360" w:lineRule="auto"/>
        <w:ind w:firstLine="420"/>
        <w:rPr>
          <w:rFonts w:ascii="仿宋" w:hAnsi="仿宋" w:eastAsia="仿宋" w:cs="仿宋"/>
          <w:bCs/>
          <w:color w:val="auto"/>
          <w:sz w:val="24"/>
          <w:szCs w:val="24"/>
          <w:highlight w:val="none"/>
        </w:rPr>
      </w:pPr>
    </w:p>
    <w:p>
      <w:pPr>
        <w:spacing w:line="360" w:lineRule="auto"/>
        <w:ind w:firstLine="480" w:firstLineChars="200"/>
        <w:rPr>
          <w:rFonts w:ascii="仿宋" w:hAnsi="仿宋" w:eastAsia="仿宋" w:cs="仿宋"/>
          <w:bCs/>
          <w:color w:val="auto"/>
          <w:sz w:val="24"/>
          <w:szCs w:val="24"/>
          <w:highlight w:val="none"/>
        </w:rPr>
      </w:pPr>
    </w:p>
    <w:p>
      <w:pPr>
        <w:spacing w:line="360" w:lineRule="auto"/>
        <w:ind w:firstLine="480" w:firstLineChars="200"/>
        <w:rPr>
          <w:rFonts w:ascii="仿宋" w:hAnsi="仿宋" w:eastAsia="仿宋" w:cs="仿宋"/>
          <w:bCs/>
          <w:color w:val="auto"/>
          <w:sz w:val="24"/>
          <w:szCs w:val="24"/>
          <w:highlight w:val="none"/>
        </w:rPr>
      </w:pPr>
    </w:p>
    <w:p>
      <w:pPr>
        <w:spacing w:line="360" w:lineRule="auto"/>
        <w:ind w:firstLine="480" w:firstLineChars="200"/>
        <w:rPr>
          <w:rFonts w:ascii="仿宋" w:hAnsi="仿宋" w:eastAsia="仿宋" w:cs="仿宋"/>
          <w:color w:val="auto"/>
          <w:sz w:val="24"/>
          <w:szCs w:val="24"/>
          <w:highlight w:val="none"/>
          <w:lang w:val="zh-CN"/>
        </w:rPr>
      </w:pPr>
    </w:p>
    <w:p>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附被授权代表本单位证明：有效的劳动合同或</w:t>
      </w:r>
      <w:r>
        <w:rPr>
          <w:rFonts w:hint="eastAsia" w:ascii="仿宋" w:hAnsi="仿宋" w:eastAsia="仿宋" w:cs="仿宋"/>
          <w:sz w:val="24"/>
          <w:szCs w:val="24"/>
          <w:highlight w:val="none"/>
          <w:lang w:val="en-US" w:eastAsia="zh-CN"/>
        </w:rPr>
        <w:t>近三个月</w:t>
      </w:r>
      <w:r>
        <w:rPr>
          <w:rFonts w:hint="eastAsia" w:ascii="仿宋" w:hAnsi="仿宋" w:eastAsia="仿宋" w:cs="仿宋"/>
          <w:sz w:val="24"/>
          <w:szCs w:val="24"/>
          <w:highlight w:val="none"/>
        </w:rPr>
        <w:t>养老保险缴纳证明</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2.附法定代表人和被授权委托代理人身份证复印件并加盖红色鲜章。</w:t>
      </w:r>
    </w:p>
    <w:p>
      <w:pPr>
        <w:spacing w:line="360" w:lineRule="auto"/>
        <w:ind w:firstLine="480" w:firstLineChars="200"/>
        <w:rPr>
          <w:rFonts w:ascii="仿宋" w:hAnsi="仿宋" w:eastAsia="仿宋" w:cs="仿宋"/>
          <w:b/>
          <w:bCs w:val="0"/>
          <w:szCs w:val="28"/>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本授权有效期为磋商之日起不少于90天，仅限授权代表参加磋商时提供。</w:t>
      </w:r>
    </w:p>
    <w:p>
      <w:pPr>
        <w:rPr>
          <w:highlight w:val="none"/>
          <w:lang w:val="zh-CN"/>
        </w:rPr>
      </w:pPr>
    </w:p>
    <w:p>
      <w:pPr>
        <w:keepNext w:val="0"/>
        <w:keepLines w:val="0"/>
        <w:pageBreakBefore/>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3、供应商具备建筑工程施工总承包贰级或以上资质，具有安全生产许可证；</w:t>
      </w:r>
    </w:p>
    <w:p>
      <w:pPr>
        <w:numPr>
          <w:ilvl w:val="0"/>
          <w:numId w:val="0"/>
        </w:numPr>
        <w:outlineLvl w:val="9"/>
        <w:rPr>
          <w:rFonts w:hint="eastAsia"/>
          <w:highlight w:val="none"/>
          <w:lang w:val="en-US" w:eastAsia="zh-CN"/>
        </w:rPr>
      </w:pPr>
    </w:p>
    <w:p>
      <w:pPr>
        <w:numPr>
          <w:ilvl w:val="0"/>
          <w:numId w:val="0"/>
        </w:numPr>
        <w:outlineLvl w:val="9"/>
        <w:rPr>
          <w:rFonts w:hint="eastAsia"/>
          <w:highlight w:val="none"/>
          <w:lang w:val="en-US" w:eastAsia="zh-CN"/>
        </w:rPr>
      </w:pPr>
    </w:p>
    <w:p>
      <w:pPr>
        <w:autoSpaceDE w:val="0"/>
        <w:autoSpaceDN w:val="0"/>
        <w:adjustRightIn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提供相关资质证书复印件或扫描件</w:t>
      </w:r>
    </w:p>
    <w:p>
      <w:pPr>
        <w:keepNext w:val="0"/>
        <w:keepLines w:val="0"/>
        <w:pageBreakBefore/>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4、拟派项目经理须具有建筑工程专业二级或以上注册建造师证书及安全生产考核合格证（B证）, 在本单位注册且无在建工程（承诺说明）；</w:t>
      </w:r>
    </w:p>
    <w:p>
      <w:pPr>
        <w:numPr>
          <w:ilvl w:val="0"/>
          <w:numId w:val="0"/>
        </w:numPr>
        <w:jc w:val="center"/>
        <w:outlineLvl w:val="9"/>
        <w:rPr>
          <w:rFonts w:hint="eastAsia"/>
          <w:highlight w:val="none"/>
          <w:lang w:val="en-US" w:eastAsia="zh-CN"/>
        </w:rPr>
      </w:pPr>
      <w:r>
        <w:rPr>
          <w:rFonts w:hint="eastAsia" w:ascii="仿宋" w:hAnsi="仿宋" w:eastAsia="仿宋" w:cs="仿宋"/>
          <w:color w:val="auto"/>
          <w:sz w:val="24"/>
          <w:szCs w:val="24"/>
          <w:highlight w:val="none"/>
          <w:lang w:val="en-US" w:eastAsia="zh-CN"/>
        </w:rPr>
        <w:t>提供相关资质证书复印件或扫描件</w:t>
      </w: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5、外省企业需提供在陕西省建筑市场监管与诚信信息一体化平台入库证明</w:t>
      </w:r>
    </w:p>
    <w:p>
      <w:pPr>
        <w:keepNext w:val="0"/>
        <w:keepLines w:val="0"/>
        <w:pageBreakBefore/>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2"/>
        <w:rPr>
          <w:rFonts w:hint="eastAsia" w:ascii="仿宋" w:hAnsi="仿宋" w:eastAsia="仿宋" w:cs="仿宋"/>
          <w:b/>
          <w:bCs w:val="0"/>
          <w:kern w:val="2"/>
          <w:sz w:val="28"/>
          <w:szCs w:val="28"/>
          <w:highlight w:val="none"/>
          <w:u w:val="none"/>
          <w:lang w:val="zh-CN" w:eastAsia="zh-CN" w:bidi="ar-SA"/>
        </w:rPr>
      </w:pPr>
      <w:bookmarkStart w:id="584" w:name="_Toc10643"/>
      <w:bookmarkStart w:id="585" w:name="_Toc28131"/>
      <w:r>
        <w:rPr>
          <w:rFonts w:hint="eastAsia" w:ascii="仿宋" w:hAnsi="仿宋" w:eastAsia="仿宋" w:cs="仿宋"/>
          <w:b/>
          <w:bCs w:val="0"/>
          <w:kern w:val="2"/>
          <w:sz w:val="28"/>
          <w:szCs w:val="28"/>
          <w:highlight w:val="none"/>
          <w:u w:val="none"/>
          <w:lang w:val="zh-CN" w:eastAsia="zh-CN" w:bidi="ar-SA"/>
        </w:rPr>
        <w:t>（八）提供政府采购政策等证明材料</w:t>
      </w:r>
      <w:bookmarkEnd w:id="584"/>
      <w:bookmarkEnd w:id="585"/>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）中小企业声明函（如适用，请提供，格式见附件</w:t>
      </w:r>
      <w:r>
        <w:rPr>
          <w:rFonts w:hint="eastAsia" w:ascii="仿宋" w:hAnsi="仿宋" w:eastAsia="仿宋" w:cs="仿宋"/>
          <w:color w:val="auto"/>
          <w:sz w:val="24"/>
          <w:szCs w:val="24"/>
          <w:highlight w:val="none"/>
          <w:lang w:val="en-US" w:eastAsia="zh-CN"/>
        </w:rPr>
        <w:t>1，注：本项目属于工程类</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）残疾人福利性单位声明函（如适用，请提供，格式见附件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）监狱企业、福利企业证明材料（如适用，请提供）；  </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）节能环保产品、环境标志产品明细表（如适用，请按磋商文件中采购项目需要落实的政府采购政策第2条相关规定提供相关证明材料）；</w:t>
      </w:r>
    </w:p>
    <w:p>
      <w:pPr>
        <w:keepNext w:val="0"/>
        <w:keepLines w:val="0"/>
        <w:pageBreakBefore/>
        <w:widowControl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4"/>
          <w:highlight w:val="none"/>
        </w:rPr>
        <w:t>中小企业声明函（工程、服务）</w:t>
      </w:r>
    </w:p>
    <w:p>
      <w:pPr>
        <w:pStyle w:val="10"/>
        <w:kinsoku w:val="0"/>
        <w:overflowPunct w:val="0"/>
        <w:spacing w:before="34" w:line="360" w:lineRule="auto"/>
        <w:ind w:firstLine="456" w:firstLineChars="200"/>
        <w:rPr>
          <w:rFonts w:hint="eastAsia" w:ascii="仿宋" w:hAnsi="仿宋" w:eastAsia="仿宋" w:cs="仿宋"/>
          <w:w w:val="95"/>
          <w:sz w:val="24"/>
          <w:szCs w:val="24"/>
          <w:highlight w:val="none"/>
        </w:rPr>
      </w:pPr>
      <w:r>
        <w:rPr>
          <w:rFonts w:hint="eastAsia" w:ascii="仿宋" w:hAnsi="仿宋" w:eastAsia="仿宋" w:cs="仿宋"/>
          <w:w w:val="95"/>
          <w:sz w:val="24"/>
          <w:szCs w:val="24"/>
          <w:highlight w:val="none"/>
        </w:rPr>
        <w:t>本公司（联合体）郑重声明，根据《政府采购促进中小企业发展管理办法》（财库﹝2020﹞46 号）的规定，本公司（联合体）参加</w:t>
      </w:r>
      <w:r>
        <w:rPr>
          <w:rFonts w:hint="eastAsia" w:ascii="仿宋" w:hAnsi="仿宋" w:eastAsia="仿宋" w:cs="仿宋"/>
          <w:w w:val="95"/>
          <w:sz w:val="24"/>
          <w:szCs w:val="24"/>
          <w:highlight w:val="none"/>
          <w:u w:val="single"/>
        </w:rPr>
        <w:t>（单位名称）</w:t>
      </w:r>
      <w:r>
        <w:rPr>
          <w:rFonts w:hint="eastAsia" w:ascii="仿宋" w:hAnsi="仿宋" w:eastAsia="仿宋" w:cs="仿宋"/>
          <w:w w:val="95"/>
          <w:sz w:val="24"/>
          <w:szCs w:val="24"/>
          <w:highlight w:val="none"/>
        </w:rPr>
        <w:t>的</w:t>
      </w:r>
      <w:r>
        <w:rPr>
          <w:rFonts w:hint="eastAsia" w:ascii="仿宋" w:hAnsi="仿宋" w:eastAsia="仿宋" w:cs="仿宋"/>
          <w:w w:val="95"/>
          <w:sz w:val="24"/>
          <w:szCs w:val="24"/>
          <w:highlight w:val="none"/>
          <w:u w:val="single"/>
        </w:rPr>
        <w:t>（项目名称）</w:t>
      </w:r>
      <w:r>
        <w:rPr>
          <w:rFonts w:hint="eastAsia" w:ascii="仿宋" w:hAnsi="仿宋" w:eastAsia="仿宋" w:cs="仿宋"/>
          <w:w w:val="95"/>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insoku w:val="0"/>
        <w:overflowPunct w:val="0"/>
        <w:spacing w:before="34" w:line="360" w:lineRule="auto"/>
        <w:ind w:firstLine="478" w:firstLineChars="200"/>
        <w:rPr>
          <w:rFonts w:hint="eastAsia" w:ascii="仿宋" w:hAnsi="仿宋" w:eastAsia="仿宋" w:cs="仿宋"/>
          <w:w w:val="95"/>
          <w:sz w:val="24"/>
          <w:szCs w:val="24"/>
          <w:highlight w:val="none"/>
        </w:rPr>
      </w:pPr>
      <w:r>
        <w:rPr>
          <w:rFonts w:hint="eastAsia" w:ascii="仿宋" w:hAnsi="仿宋" w:eastAsia="仿宋" w:cs="仿宋"/>
          <w:spacing w:val="1"/>
          <w:w w:val="99"/>
          <w:sz w:val="24"/>
          <w:szCs w:val="24"/>
          <w:highlight w:val="none"/>
        </w:rPr>
        <w:t>1</w:t>
      </w:r>
      <w:r>
        <w:rPr>
          <w:rFonts w:hint="eastAsia" w:ascii="仿宋" w:hAnsi="仿宋" w:eastAsia="仿宋" w:cs="仿宋"/>
          <w:w w:val="99"/>
          <w:sz w:val="24"/>
          <w:szCs w:val="24"/>
          <w:highlight w:val="none"/>
        </w:rPr>
        <w:t>.</w:t>
      </w:r>
      <w:r>
        <w:rPr>
          <w:rFonts w:hint="eastAsia" w:ascii="仿宋" w:hAnsi="仿宋" w:eastAsia="仿宋" w:cs="仿宋"/>
          <w:w w:val="95"/>
          <w:sz w:val="24"/>
          <w:szCs w:val="24"/>
          <w:highlight w:val="none"/>
          <w:u w:val="single"/>
        </w:rPr>
        <w:t>（标的名称）</w:t>
      </w:r>
      <w:r>
        <w:rPr>
          <w:rFonts w:hint="eastAsia" w:ascii="仿宋" w:hAnsi="仿宋" w:eastAsia="仿宋" w:cs="仿宋"/>
          <w:w w:val="95"/>
          <w:sz w:val="24"/>
          <w:szCs w:val="24"/>
          <w:highlight w:val="none"/>
        </w:rPr>
        <w:t>，属于</w:t>
      </w:r>
      <w:r>
        <w:rPr>
          <w:rFonts w:hint="eastAsia" w:ascii="仿宋" w:hAnsi="仿宋" w:eastAsia="仿宋" w:cs="仿宋"/>
          <w:w w:val="95"/>
          <w:sz w:val="24"/>
          <w:szCs w:val="24"/>
          <w:highlight w:val="none"/>
          <w:u w:val="single"/>
        </w:rPr>
        <w:t>（采购文件中明确的所属行业）</w:t>
      </w:r>
      <w:r>
        <w:rPr>
          <w:rFonts w:hint="eastAsia" w:ascii="仿宋" w:hAnsi="仿宋" w:eastAsia="仿宋" w:cs="仿宋"/>
          <w:w w:val="95"/>
          <w:sz w:val="24"/>
          <w:szCs w:val="24"/>
          <w:highlight w:val="none"/>
        </w:rPr>
        <w:t>；承建（承接）企业为</w:t>
      </w:r>
      <w:r>
        <w:rPr>
          <w:rFonts w:hint="eastAsia" w:ascii="仿宋" w:hAnsi="仿宋" w:eastAsia="仿宋" w:cs="仿宋"/>
          <w:w w:val="95"/>
          <w:sz w:val="24"/>
          <w:szCs w:val="24"/>
          <w:highlight w:val="none"/>
          <w:u w:val="single"/>
        </w:rPr>
        <w:t>（企业名称）</w:t>
      </w:r>
      <w:r>
        <w:rPr>
          <w:rFonts w:hint="eastAsia" w:ascii="仿宋" w:hAnsi="仿宋" w:eastAsia="仿宋" w:cs="仿宋"/>
          <w:w w:val="95"/>
          <w:sz w:val="24"/>
          <w:szCs w:val="24"/>
          <w:highlight w:val="none"/>
        </w:rPr>
        <w:t>，从业人员</w:t>
      </w:r>
      <w:r>
        <w:rPr>
          <w:rFonts w:hint="eastAsia" w:ascii="仿宋" w:hAnsi="仿宋" w:eastAsia="仿宋" w:cs="仿宋"/>
          <w:w w:val="95"/>
          <w:sz w:val="24"/>
          <w:szCs w:val="24"/>
          <w:highlight w:val="none"/>
          <w:u w:val="single"/>
        </w:rPr>
        <w:t xml:space="preserve"> </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 xml:space="preserve">人，营业收入为 </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万元，资产总额为</w:t>
      </w:r>
      <w:r>
        <w:rPr>
          <w:rFonts w:hint="eastAsia" w:ascii="仿宋" w:hAnsi="仿宋" w:eastAsia="仿宋" w:cs="仿宋"/>
          <w:w w:val="95"/>
          <w:sz w:val="24"/>
          <w:szCs w:val="24"/>
          <w:highlight w:val="none"/>
          <w:u w:val="single"/>
        </w:rPr>
        <w:t xml:space="preserve"> </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万</w:t>
      </w:r>
      <w:r>
        <w:rPr>
          <w:rFonts w:hint="eastAsia" w:ascii="仿宋" w:hAnsi="仿宋" w:eastAsia="仿宋" w:cs="仿宋"/>
          <w:spacing w:val="2"/>
          <w:w w:val="99"/>
          <w:sz w:val="24"/>
          <w:szCs w:val="24"/>
          <w:highlight w:val="none"/>
        </w:rPr>
        <w:t>元</w:t>
      </w:r>
      <w:r>
        <w:rPr>
          <w:rFonts w:hint="eastAsia" w:ascii="仿宋" w:hAnsi="仿宋" w:eastAsia="仿宋" w:cs="仿宋"/>
          <w:spacing w:val="2"/>
          <w:w w:val="99"/>
          <w:sz w:val="24"/>
          <w:szCs w:val="24"/>
          <w:highlight w:val="none"/>
          <w:vertAlign w:val="superscript"/>
        </w:rPr>
        <w:t>1</w:t>
      </w:r>
      <w:r>
        <w:rPr>
          <w:rFonts w:hint="eastAsia" w:ascii="仿宋" w:hAnsi="仿宋" w:eastAsia="仿宋" w:cs="仿宋"/>
          <w:w w:val="95"/>
          <w:sz w:val="24"/>
          <w:szCs w:val="24"/>
          <w:highlight w:val="none"/>
        </w:rPr>
        <w:t>，属于</w:t>
      </w:r>
      <w:r>
        <w:rPr>
          <w:rFonts w:hint="eastAsia" w:ascii="仿宋" w:hAnsi="仿宋" w:eastAsia="仿宋" w:cs="仿宋"/>
          <w:w w:val="95"/>
          <w:sz w:val="24"/>
          <w:szCs w:val="24"/>
          <w:highlight w:val="none"/>
          <w:u w:val="single"/>
        </w:rPr>
        <w:t>（中型企业、小型企业、微型企业）</w:t>
      </w:r>
      <w:r>
        <w:rPr>
          <w:rFonts w:hint="eastAsia" w:ascii="仿宋" w:hAnsi="仿宋" w:eastAsia="仿宋" w:cs="仿宋"/>
          <w:w w:val="95"/>
          <w:sz w:val="24"/>
          <w:szCs w:val="24"/>
          <w:highlight w:val="none"/>
        </w:rPr>
        <w:t>；</w:t>
      </w:r>
    </w:p>
    <w:p>
      <w:pPr>
        <w:pStyle w:val="10"/>
        <w:kinsoku w:val="0"/>
        <w:overflowPunct w:val="0"/>
        <w:spacing w:before="34" w:line="360" w:lineRule="auto"/>
        <w:ind w:firstLine="456" w:firstLineChars="200"/>
        <w:rPr>
          <w:rFonts w:hint="eastAsia" w:ascii="仿宋" w:hAnsi="仿宋" w:eastAsia="仿宋" w:cs="仿宋"/>
          <w:w w:val="95"/>
          <w:sz w:val="24"/>
          <w:szCs w:val="24"/>
          <w:highlight w:val="none"/>
        </w:rPr>
      </w:pPr>
      <w:r>
        <w:rPr>
          <w:rFonts w:hint="eastAsia" w:ascii="仿宋" w:hAnsi="仿宋" w:eastAsia="仿宋" w:cs="仿宋"/>
          <w:w w:val="95"/>
          <w:sz w:val="24"/>
          <w:szCs w:val="24"/>
          <w:highlight w:val="none"/>
        </w:rPr>
        <w:t>2.</w:t>
      </w:r>
      <w:r>
        <w:rPr>
          <w:rFonts w:hint="eastAsia" w:ascii="仿宋" w:hAnsi="仿宋" w:eastAsia="仿宋" w:cs="仿宋"/>
          <w:w w:val="95"/>
          <w:sz w:val="24"/>
          <w:szCs w:val="24"/>
          <w:highlight w:val="none"/>
          <w:u w:val="single"/>
        </w:rPr>
        <w:t>（标的名称）</w:t>
      </w:r>
      <w:r>
        <w:rPr>
          <w:rFonts w:hint="eastAsia" w:ascii="仿宋" w:hAnsi="仿宋" w:eastAsia="仿宋" w:cs="仿宋"/>
          <w:w w:val="95"/>
          <w:sz w:val="24"/>
          <w:szCs w:val="24"/>
          <w:highlight w:val="none"/>
        </w:rPr>
        <w:t>，属于</w:t>
      </w:r>
      <w:r>
        <w:rPr>
          <w:rFonts w:hint="eastAsia" w:ascii="仿宋" w:hAnsi="仿宋" w:eastAsia="仿宋" w:cs="仿宋"/>
          <w:w w:val="95"/>
          <w:sz w:val="24"/>
          <w:szCs w:val="24"/>
          <w:highlight w:val="none"/>
          <w:u w:val="single"/>
        </w:rPr>
        <w:t>（采购文件中明确的所属行业）</w:t>
      </w:r>
      <w:r>
        <w:rPr>
          <w:rFonts w:hint="eastAsia" w:ascii="仿宋" w:hAnsi="仿宋" w:eastAsia="仿宋" w:cs="仿宋"/>
          <w:w w:val="95"/>
          <w:sz w:val="24"/>
          <w:szCs w:val="24"/>
          <w:highlight w:val="none"/>
        </w:rPr>
        <w:t>；承建（承接）企业为</w:t>
      </w:r>
      <w:r>
        <w:rPr>
          <w:rFonts w:hint="eastAsia" w:ascii="仿宋" w:hAnsi="仿宋" w:eastAsia="仿宋" w:cs="仿宋"/>
          <w:w w:val="95"/>
          <w:sz w:val="24"/>
          <w:szCs w:val="24"/>
          <w:highlight w:val="none"/>
          <w:u w:val="single"/>
        </w:rPr>
        <w:t>（企业名称）</w:t>
      </w:r>
      <w:r>
        <w:rPr>
          <w:rFonts w:hint="eastAsia" w:ascii="仿宋" w:hAnsi="仿宋" w:eastAsia="仿宋" w:cs="仿宋"/>
          <w:w w:val="95"/>
          <w:sz w:val="24"/>
          <w:szCs w:val="24"/>
          <w:highlight w:val="none"/>
        </w:rPr>
        <w:t>，从业人员</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人，营业收入为</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万元，资产总额为</w:t>
      </w:r>
      <w:r>
        <w:rPr>
          <w:rFonts w:hint="eastAsia" w:ascii="仿宋" w:hAnsi="仿宋" w:eastAsia="仿宋" w:cs="仿宋"/>
          <w:w w:val="95"/>
          <w:sz w:val="24"/>
          <w:szCs w:val="24"/>
          <w:highlight w:val="none"/>
          <w:u w:val="single"/>
        </w:rPr>
        <w:tab/>
      </w:r>
      <w:r>
        <w:rPr>
          <w:rFonts w:hint="eastAsia" w:ascii="仿宋" w:hAnsi="仿宋" w:eastAsia="仿宋" w:cs="仿宋"/>
          <w:w w:val="95"/>
          <w:sz w:val="24"/>
          <w:szCs w:val="24"/>
          <w:highlight w:val="none"/>
        </w:rPr>
        <w:t>万元，属于</w:t>
      </w:r>
      <w:r>
        <w:rPr>
          <w:rFonts w:hint="eastAsia" w:ascii="仿宋" w:hAnsi="仿宋" w:eastAsia="仿宋" w:cs="仿宋"/>
          <w:w w:val="95"/>
          <w:sz w:val="24"/>
          <w:szCs w:val="24"/>
          <w:highlight w:val="none"/>
          <w:u w:val="single"/>
        </w:rPr>
        <w:t>（中型企业、小型企业、微型企业）</w:t>
      </w:r>
      <w:r>
        <w:rPr>
          <w:rFonts w:hint="eastAsia" w:ascii="仿宋" w:hAnsi="仿宋" w:eastAsia="仿宋" w:cs="仿宋"/>
          <w:w w:val="95"/>
          <w:sz w:val="24"/>
          <w:szCs w:val="24"/>
          <w:highlight w:val="none"/>
        </w:rPr>
        <w:t>；</w:t>
      </w:r>
    </w:p>
    <w:p>
      <w:pPr>
        <w:pStyle w:val="10"/>
        <w:kinsoku w:val="0"/>
        <w:overflowPunct w:val="0"/>
        <w:spacing w:before="34" w:line="360" w:lineRule="auto"/>
        <w:ind w:left="765" w:right="138" w:hanging="5"/>
        <w:rPr>
          <w:rFonts w:hint="eastAsia" w:ascii="仿宋" w:hAnsi="仿宋" w:eastAsia="仿宋" w:cs="仿宋"/>
          <w:w w:val="99"/>
          <w:sz w:val="24"/>
          <w:szCs w:val="24"/>
          <w:highlight w:val="none"/>
        </w:rPr>
      </w:pPr>
      <w:r>
        <w:rPr>
          <w:rFonts w:hint="eastAsia" w:ascii="仿宋" w:hAnsi="仿宋" w:eastAsia="仿宋" w:cs="仿宋"/>
          <w:sz w:val="24"/>
          <w:szCs w:val="24"/>
          <w:highlight w:val="none"/>
        </w:rPr>
        <w:t>……</w:t>
      </w:r>
      <w:r>
        <w:rPr>
          <w:rFonts w:hint="eastAsia" w:ascii="仿宋" w:hAnsi="仿宋" w:eastAsia="仿宋" w:cs="仿宋"/>
          <w:w w:val="99"/>
          <w:sz w:val="24"/>
          <w:szCs w:val="24"/>
          <w:highlight w:val="none"/>
        </w:rPr>
        <w:t xml:space="preserve"> </w:t>
      </w:r>
    </w:p>
    <w:p>
      <w:pPr>
        <w:pStyle w:val="10"/>
        <w:kinsoku w:val="0"/>
        <w:overflowPunct w:val="0"/>
        <w:spacing w:before="34" w:line="360" w:lineRule="auto"/>
        <w:ind w:firstLine="456" w:firstLineChars="200"/>
        <w:rPr>
          <w:rFonts w:hint="eastAsia" w:ascii="仿宋" w:hAnsi="仿宋" w:eastAsia="仿宋" w:cs="仿宋"/>
          <w:w w:val="95"/>
          <w:sz w:val="24"/>
          <w:szCs w:val="24"/>
          <w:highlight w:val="none"/>
        </w:rPr>
      </w:pPr>
      <w:r>
        <w:rPr>
          <w:rFonts w:hint="eastAsia" w:ascii="仿宋" w:hAnsi="仿宋" w:eastAsia="仿宋" w:cs="仿宋"/>
          <w:w w:val="95"/>
          <w:sz w:val="24"/>
          <w:szCs w:val="24"/>
          <w:highlight w:val="none"/>
        </w:rPr>
        <w:t>以上企业，不属于大企业的分支机构，不存在控股股东为大企业的情形，也不存在与大企业的负责人为同一人的情形。</w:t>
      </w:r>
    </w:p>
    <w:p>
      <w:pPr>
        <w:pStyle w:val="10"/>
        <w:kinsoku w:val="0"/>
        <w:overflowPunct w:val="0"/>
        <w:spacing w:before="34" w:line="360" w:lineRule="auto"/>
        <w:ind w:firstLine="456" w:firstLineChars="200"/>
        <w:rPr>
          <w:rFonts w:hint="eastAsia" w:ascii="仿宋" w:hAnsi="仿宋" w:eastAsia="仿宋" w:cs="仿宋"/>
          <w:w w:val="95"/>
          <w:sz w:val="24"/>
          <w:szCs w:val="24"/>
          <w:highlight w:val="none"/>
        </w:rPr>
      </w:pPr>
      <w:r>
        <w:rPr>
          <w:rFonts w:hint="eastAsia" w:ascii="仿宋" w:hAnsi="仿宋" w:eastAsia="仿宋" w:cs="仿宋"/>
          <w:w w:val="95"/>
          <w:sz w:val="24"/>
          <w:szCs w:val="24"/>
          <w:highlight w:val="none"/>
        </w:rPr>
        <w:t>本企业对上述声明内容的真实性负责。如有虚假，将依法承担相应责任。</w:t>
      </w:r>
    </w:p>
    <w:p>
      <w:pPr>
        <w:pStyle w:val="10"/>
        <w:kinsoku w:val="0"/>
        <w:overflowPunct w:val="0"/>
        <w:spacing w:before="56" w:line="360" w:lineRule="auto"/>
        <w:ind w:left="3960" w:right="1748"/>
        <w:rPr>
          <w:rFonts w:hint="eastAsia" w:ascii="仿宋" w:hAnsi="仿宋" w:eastAsia="仿宋" w:cs="仿宋"/>
          <w:spacing w:val="-18"/>
          <w:sz w:val="24"/>
          <w:szCs w:val="24"/>
          <w:highlight w:val="none"/>
        </w:rPr>
      </w:pPr>
    </w:p>
    <w:p>
      <w:pPr>
        <w:keepLines w:val="0"/>
        <w:kinsoku/>
        <w:wordWrap/>
        <w:overflowPunct/>
        <w:bidi w:val="0"/>
        <w:spacing w:line="360" w:lineRule="auto"/>
        <w:ind w:firstLine="3024" w:firstLineChars="1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企业名称（盖章）：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 </w:t>
      </w:r>
    </w:p>
    <w:p>
      <w:pPr>
        <w:keepLines w:val="0"/>
        <w:kinsoku/>
        <w:wordWrap/>
        <w:overflowPunct/>
        <w:bidi w:val="0"/>
        <w:spacing w:line="360" w:lineRule="auto"/>
        <w:ind w:firstLine="3024" w:firstLineChars="1200"/>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 xml:space="preserve">日 </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rPr>
        <w:t>期：</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 xml:space="preserve">          </w:t>
      </w:r>
    </w:p>
    <w:p>
      <w:pPr>
        <w:keepLines w:val="0"/>
        <w:kinsoku/>
        <w:wordWrap/>
        <w:overflowPunct/>
        <w:bidi w:val="0"/>
        <w:spacing w:line="360" w:lineRule="auto"/>
        <w:rPr>
          <w:rFonts w:hint="eastAsia" w:ascii="仿宋" w:hAnsi="仿宋" w:eastAsia="仿宋" w:cs="仿宋"/>
          <w:color w:val="auto"/>
          <w:spacing w:val="6"/>
          <w:sz w:val="24"/>
          <w:szCs w:val="24"/>
          <w:highlight w:val="none"/>
        </w:rPr>
      </w:pPr>
    </w:p>
    <w:p>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从业人员、营业收入、资产总额填报上一年度数据，无上一年度数据的新成立企业可不填报。</w:t>
      </w:r>
    </w:p>
    <w:p>
      <w:pPr>
        <w:keepNext w:val="0"/>
        <w:keepLines w:val="0"/>
        <w:pageBreakBefore/>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w:t>
      </w:r>
    </w:p>
    <w:p>
      <w:pPr>
        <w:keepLines w:val="0"/>
        <w:kinsoku/>
        <w:wordWrap/>
        <w:overflowPunct/>
        <w:bidi w:val="0"/>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pPr>
        <w:keepLines w:val="0"/>
        <w:kinsoku/>
        <w:wordWrap/>
        <w:overflowPunct/>
        <w:bidi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keepLines w:val="0"/>
        <w:kinsoku/>
        <w:wordWrap/>
        <w:overflowPunct/>
        <w:bidi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keepLines w:val="0"/>
        <w:kinsoku/>
        <w:wordWrap/>
        <w:overflowPunct/>
        <w:bidi w:val="0"/>
        <w:spacing w:line="360" w:lineRule="auto"/>
        <w:ind w:firstLine="504" w:firstLineChars="200"/>
        <w:rPr>
          <w:rFonts w:hint="eastAsia" w:ascii="仿宋" w:hAnsi="仿宋" w:eastAsia="仿宋" w:cs="仿宋"/>
          <w:color w:val="auto"/>
          <w:spacing w:val="6"/>
          <w:sz w:val="24"/>
          <w:szCs w:val="24"/>
          <w:highlight w:val="none"/>
        </w:rPr>
      </w:pP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bidi w:val="0"/>
        <w:spacing w:line="360" w:lineRule="auto"/>
        <w:ind w:left="0" w:leftChars="0" w:firstLine="3360" w:firstLineChars="1400"/>
        <w:textAlignment w:val="auto"/>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或</w:t>
      </w:r>
      <w:r>
        <w:rPr>
          <w:rFonts w:hint="eastAsia" w:ascii="仿宋" w:hAnsi="仿宋" w:eastAsia="仿宋" w:cs="仿宋"/>
          <w:sz w:val="24"/>
          <w:szCs w:val="24"/>
          <w:highlight w:val="none"/>
        </w:rPr>
        <w:t>授权代表（签字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keepNext w:val="0"/>
        <w:keepLines w:val="0"/>
        <w:kinsoku/>
        <w:wordWrap/>
        <w:overflowPunct/>
        <w:topLinePunct w:val="0"/>
        <w:autoSpaceDE w:val="0"/>
        <w:autoSpaceDN w:val="0"/>
        <w:bidi w:val="0"/>
        <w:adjustRightInd w:val="0"/>
        <w:snapToGrid w:val="0"/>
        <w:spacing w:line="360" w:lineRule="auto"/>
        <w:ind w:left="0" w:leftChars="0" w:firstLine="3360" w:firstLineChars="1400"/>
        <w:textAlignment w:val="auto"/>
        <w:outlineLvl w:val="9"/>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p>
    <w:p>
      <w:pPr>
        <w:keepLines w:val="0"/>
        <w:kinsoku/>
        <w:wordWrap/>
        <w:overflowPunct/>
        <w:bidi w:val="0"/>
        <w:adjustRightInd w:val="0"/>
        <w:snapToGrid w:val="0"/>
        <w:spacing w:line="360" w:lineRule="auto"/>
        <w:rPr>
          <w:rFonts w:hint="eastAsia" w:ascii="仿宋" w:hAnsi="仿宋" w:eastAsia="仿宋" w:cs="仿宋"/>
          <w:color w:val="auto"/>
          <w:sz w:val="24"/>
          <w:szCs w:val="24"/>
          <w:highlight w:val="none"/>
        </w:rPr>
      </w:pPr>
    </w:p>
    <w:p>
      <w:pPr>
        <w:pStyle w:val="10"/>
        <w:rPr>
          <w:highlight w:val="none"/>
          <w:lang w:val="zh-CN"/>
        </w:rPr>
        <w:sectPr>
          <w:headerReference r:id="rId7" w:type="default"/>
          <w:footerReference r:id="rId8" w:type="default"/>
          <w:pgSz w:w="11906" w:h="16838"/>
          <w:pgMar w:top="1418" w:right="1474" w:bottom="1418" w:left="1474" w:header="851" w:footer="992" w:gutter="0"/>
          <w:cols w:space="720" w:num="1"/>
          <w:docGrid w:linePitch="312" w:charSpace="0"/>
        </w:sectPr>
      </w:pPr>
    </w:p>
    <w:p>
      <w:pPr>
        <w:pStyle w:val="4"/>
        <w:keepNext w:val="0"/>
        <w:pageBreakBefore/>
        <w:spacing w:line="360" w:lineRule="auto"/>
        <w:rPr>
          <w:rFonts w:ascii="仿宋" w:hAnsi="仿宋" w:eastAsia="仿宋" w:cs="仿宋"/>
          <w:sz w:val="28"/>
          <w:szCs w:val="28"/>
          <w:highlight w:val="none"/>
          <w:lang w:val="zh-CN"/>
        </w:rPr>
      </w:pPr>
      <w:bookmarkStart w:id="586" w:name="_Toc1190"/>
      <w:r>
        <w:rPr>
          <w:rFonts w:hint="eastAsia" w:ascii="仿宋" w:hAnsi="仿宋" w:eastAsia="仿宋" w:cs="仿宋"/>
          <w:sz w:val="28"/>
          <w:szCs w:val="28"/>
          <w:highlight w:val="none"/>
          <w:lang w:val="zh-CN"/>
        </w:rPr>
        <w:t>十、近年业绩的有关证明材料</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86"/>
    </w:p>
    <w:tbl>
      <w:tblPr>
        <w:tblStyle w:val="24"/>
        <w:tblW w:w="913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109"/>
        <w:gridCol w:w="2025"/>
        <w:gridCol w:w="2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620"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用户名称</w:t>
            </w:r>
          </w:p>
        </w:tc>
        <w:tc>
          <w:tcPr>
            <w:tcW w:w="2109"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2025"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合同金额</w:t>
            </w:r>
          </w:p>
        </w:tc>
        <w:tc>
          <w:tcPr>
            <w:tcW w:w="2481" w:type="dxa"/>
            <w:vAlign w:val="center"/>
          </w:tcPr>
          <w:p>
            <w:pPr>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pPr>
              <w:spacing w:line="360" w:lineRule="auto"/>
              <w:rPr>
                <w:rFonts w:ascii="仿宋" w:hAnsi="仿宋" w:eastAsia="仿宋" w:cs="仿宋"/>
                <w:sz w:val="24"/>
                <w:szCs w:val="24"/>
                <w:highlight w:val="none"/>
              </w:rPr>
            </w:pPr>
          </w:p>
        </w:tc>
        <w:tc>
          <w:tcPr>
            <w:tcW w:w="1620" w:type="dxa"/>
          </w:tcPr>
          <w:p>
            <w:pPr>
              <w:spacing w:line="360" w:lineRule="auto"/>
              <w:rPr>
                <w:rFonts w:ascii="仿宋" w:hAnsi="仿宋" w:eastAsia="仿宋" w:cs="仿宋"/>
                <w:sz w:val="24"/>
                <w:szCs w:val="24"/>
                <w:highlight w:val="none"/>
              </w:rPr>
            </w:pPr>
          </w:p>
        </w:tc>
        <w:tc>
          <w:tcPr>
            <w:tcW w:w="2109" w:type="dxa"/>
          </w:tcPr>
          <w:p>
            <w:pPr>
              <w:spacing w:line="360" w:lineRule="auto"/>
              <w:rPr>
                <w:rFonts w:ascii="仿宋" w:hAnsi="仿宋" w:eastAsia="仿宋" w:cs="仿宋"/>
                <w:sz w:val="24"/>
                <w:szCs w:val="24"/>
                <w:highlight w:val="none"/>
              </w:rPr>
            </w:pPr>
          </w:p>
        </w:tc>
        <w:tc>
          <w:tcPr>
            <w:tcW w:w="2025" w:type="dxa"/>
          </w:tcPr>
          <w:p>
            <w:pPr>
              <w:spacing w:line="360" w:lineRule="auto"/>
              <w:rPr>
                <w:rFonts w:ascii="仿宋" w:hAnsi="仿宋" w:eastAsia="仿宋" w:cs="仿宋"/>
                <w:sz w:val="24"/>
                <w:szCs w:val="24"/>
                <w:highlight w:val="none"/>
              </w:rPr>
            </w:pPr>
          </w:p>
        </w:tc>
        <w:tc>
          <w:tcPr>
            <w:tcW w:w="2481" w:type="dxa"/>
          </w:tcPr>
          <w:p>
            <w:pPr>
              <w:spacing w:line="360" w:lineRule="auto"/>
              <w:rPr>
                <w:rFonts w:ascii="仿宋" w:hAnsi="仿宋" w:eastAsia="仿宋" w:cs="仿宋"/>
                <w:sz w:val="24"/>
                <w:szCs w:val="24"/>
                <w:highlight w:val="none"/>
              </w:rPr>
            </w:pPr>
          </w:p>
        </w:tc>
      </w:tr>
    </w:tbl>
    <w:p>
      <w:pPr>
        <w:spacing w:line="360" w:lineRule="auto"/>
        <w:rPr>
          <w:rFonts w:ascii="仿宋" w:hAnsi="仿宋" w:eastAsia="仿宋" w:cs="仿宋"/>
          <w:highlight w:val="none"/>
        </w:rPr>
      </w:pP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说明：</w:t>
      </w: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1.本表后附合同</w:t>
      </w:r>
      <w:r>
        <w:rPr>
          <w:rFonts w:hint="eastAsia" w:ascii="仿宋" w:hAnsi="仿宋" w:eastAsia="仿宋" w:cs="仿宋"/>
          <w:sz w:val="24"/>
          <w:szCs w:val="24"/>
          <w:highlight w:val="none"/>
          <w:lang w:val="en-US" w:eastAsia="zh-CN"/>
        </w:rPr>
        <w:t>及中标通知书</w:t>
      </w:r>
      <w:r>
        <w:rPr>
          <w:rFonts w:hint="eastAsia" w:ascii="仿宋" w:hAnsi="仿宋" w:eastAsia="仿宋" w:cs="仿宋"/>
          <w:sz w:val="24"/>
          <w:szCs w:val="24"/>
          <w:highlight w:val="none"/>
          <w:lang w:val="zh-CN"/>
        </w:rPr>
        <w:t>复印件，</w:t>
      </w:r>
      <w:r>
        <w:rPr>
          <w:rFonts w:hint="eastAsia" w:ascii="仿宋" w:hAnsi="仿宋" w:eastAsia="仿宋" w:cs="仿宋"/>
          <w:sz w:val="24"/>
          <w:szCs w:val="24"/>
          <w:highlight w:val="none"/>
          <w:lang w:val="en-US" w:eastAsia="zh-CN"/>
        </w:rPr>
        <w:t>以</w:t>
      </w:r>
      <w:r>
        <w:rPr>
          <w:rFonts w:hint="eastAsia" w:ascii="仿宋" w:hAnsi="仿宋" w:eastAsia="仿宋" w:cs="仿宋"/>
          <w:sz w:val="24"/>
          <w:szCs w:val="24"/>
          <w:highlight w:val="none"/>
          <w:lang w:val="zh-CN"/>
        </w:rPr>
        <w:t xml:space="preserve">合同签订时间及金额为准； </w:t>
      </w: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2.供应商应如实列出以上情况，如有隐瞒，一经查实将导致其磋商响应文件被拒绝。</w:t>
      </w:r>
    </w:p>
    <w:p>
      <w:pPr>
        <w:autoSpaceDE w:val="0"/>
        <w:autoSpaceDN w:val="0"/>
        <w:adjustRightInd w:val="0"/>
        <w:spacing w:line="360" w:lineRule="auto"/>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3.未按上述要求提供、填写的，评审时不予以考虑。</w:t>
      </w:r>
    </w:p>
    <w:p>
      <w:pPr>
        <w:spacing w:line="360" w:lineRule="auto"/>
        <w:ind w:firstLine="1920" w:firstLineChars="800"/>
        <w:rPr>
          <w:rFonts w:ascii="仿宋" w:hAnsi="仿宋" w:eastAsia="仿宋" w:cs="仿宋"/>
          <w:sz w:val="24"/>
          <w:szCs w:val="24"/>
          <w:highlight w:val="none"/>
        </w:rPr>
      </w:pPr>
    </w:p>
    <w:p>
      <w:pPr>
        <w:spacing w:line="360" w:lineRule="auto"/>
        <w:ind w:firstLine="3360" w:firstLineChars="1400"/>
        <w:rPr>
          <w:rFonts w:ascii="仿宋" w:hAnsi="仿宋" w:eastAsia="仿宋" w:cs="仿宋"/>
          <w:sz w:val="24"/>
          <w:szCs w:val="24"/>
          <w:highlight w:val="none"/>
        </w:rPr>
      </w:pPr>
      <w:bookmarkStart w:id="587" w:name="_Toc511298216"/>
      <w:bookmarkStart w:id="588" w:name="_Toc495908059"/>
      <w:bookmarkStart w:id="589" w:name="_Toc16033"/>
      <w:bookmarkStart w:id="590" w:name="_Toc495681544"/>
      <w:bookmarkStart w:id="591" w:name="_Toc495681417"/>
      <w:bookmarkStart w:id="592" w:name="_Toc495681263"/>
      <w:r>
        <w:rPr>
          <w:rFonts w:hint="eastAsia" w:ascii="仿宋" w:hAnsi="仿宋" w:eastAsia="仿宋" w:cs="仿宋"/>
          <w:sz w:val="24"/>
          <w:szCs w:val="24"/>
          <w:highlight w:val="none"/>
        </w:rPr>
        <w:t>供应商（公章）：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pStyle w:val="4"/>
        <w:spacing w:line="360" w:lineRule="auto"/>
        <w:rPr>
          <w:rFonts w:ascii="仿宋" w:hAnsi="仿宋" w:eastAsia="仿宋" w:cs="仿宋"/>
          <w:color w:val="auto"/>
          <w:szCs w:val="22"/>
          <w:highlight w:val="none"/>
          <w:lang w:val="zh-CN"/>
        </w:rPr>
      </w:pPr>
      <w:r>
        <w:rPr>
          <w:rFonts w:hint="eastAsia" w:ascii="仿宋" w:hAnsi="仿宋" w:eastAsia="仿宋" w:cs="仿宋"/>
          <w:highlight w:val="none"/>
        </w:rPr>
        <w:br w:type="page"/>
      </w:r>
      <w:bookmarkEnd w:id="587"/>
      <w:bookmarkEnd w:id="588"/>
      <w:bookmarkEnd w:id="589"/>
      <w:bookmarkEnd w:id="590"/>
      <w:bookmarkEnd w:id="591"/>
      <w:bookmarkEnd w:id="592"/>
      <w:bookmarkStart w:id="593" w:name="_Toc19979"/>
      <w:bookmarkStart w:id="594" w:name="_Toc25355"/>
      <w:bookmarkStart w:id="595" w:name="_Toc27306"/>
      <w:bookmarkStart w:id="596" w:name="_Toc22060"/>
      <w:bookmarkStart w:id="597" w:name="_Toc24029"/>
      <w:bookmarkStart w:id="598" w:name="_Toc23630"/>
      <w:bookmarkStart w:id="599" w:name="_Toc26608"/>
      <w:bookmarkStart w:id="600" w:name="_Toc6195"/>
      <w:bookmarkStart w:id="601" w:name="_Toc14494"/>
      <w:bookmarkStart w:id="602" w:name="_Toc14896"/>
      <w:bookmarkStart w:id="603" w:name="_Toc14636"/>
      <w:bookmarkStart w:id="604" w:name="_Toc9207"/>
      <w:bookmarkStart w:id="605" w:name="_Toc3166"/>
      <w:r>
        <w:rPr>
          <w:rFonts w:hint="eastAsia" w:ascii="仿宋" w:hAnsi="仿宋" w:eastAsia="仿宋" w:cs="仿宋"/>
          <w:color w:val="auto"/>
          <w:sz w:val="32"/>
          <w:szCs w:val="24"/>
          <w:highlight w:val="none"/>
          <w:lang w:val="zh-CN"/>
        </w:rPr>
        <w:t>十</w:t>
      </w:r>
      <w:r>
        <w:rPr>
          <w:rFonts w:hint="eastAsia" w:ascii="仿宋" w:hAnsi="仿宋" w:eastAsia="仿宋" w:cs="仿宋"/>
          <w:color w:val="auto"/>
          <w:sz w:val="32"/>
          <w:szCs w:val="24"/>
          <w:highlight w:val="none"/>
          <w:lang w:eastAsia="zh-CN"/>
        </w:rPr>
        <w:t>一</w:t>
      </w:r>
      <w:r>
        <w:rPr>
          <w:rFonts w:hint="eastAsia" w:ascii="仿宋" w:hAnsi="仿宋" w:eastAsia="仿宋" w:cs="仿宋"/>
          <w:color w:val="auto"/>
          <w:sz w:val="32"/>
          <w:szCs w:val="24"/>
          <w:highlight w:val="none"/>
          <w:lang w:val="zh-CN"/>
        </w:rPr>
        <w:t>、供应商企业关系关联承诺书</w:t>
      </w:r>
      <w:bookmarkEnd w:id="593"/>
      <w:bookmarkEnd w:id="594"/>
      <w:bookmarkEnd w:id="595"/>
      <w:bookmarkEnd w:id="596"/>
      <w:bookmarkEnd w:id="597"/>
      <w:bookmarkEnd w:id="598"/>
      <w:bookmarkEnd w:id="599"/>
      <w:bookmarkEnd w:id="600"/>
      <w:bookmarkEnd w:id="601"/>
      <w:bookmarkEnd w:id="602"/>
      <w:bookmarkEnd w:id="603"/>
      <w:bookmarkEnd w:id="604"/>
      <w:bookmarkEnd w:id="605"/>
    </w:p>
    <w:p>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）的供应商，在此郑重声明：</w:t>
      </w:r>
    </w:p>
    <w:p>
      <w:pPr>
        <w:autoSpaceDE w:val="0"/>
        <w:autoSpaceDN w:val="0"/>
        <w:adjustRightIn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供应商在本项目中，不存在与其它供应商负责人为同一人，有控股、管理等关联关系承诺。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2、我方未为本项目提供整体设计、规范编制或者项目管理、监理、检测等服务。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pPr>
        <w:autoSpaceDE w:val="0"/>
        <w:autoSpaceDN w:val="0"/>
        <w:adjustRightInd w:val="0"/>
        <w:spacing w:line="360" w:lineRule="auto"/>
        <w:ind w:firstLine="480" w:firstLineChars="200"/>
        <w:rPr>
          <w:rFonts w:ascii="仿宋" w:hAnsi="仿宋" w:eastAsia="仿宋" w:cs="仿宋"/>
          <w:color w:val="auto"/>
          <w:sz w:val="24"/>
          <w:szCs w:val="24"/>
          <w:highlight w:val="none"/>
        </w:rPr>
      </w:pPr>
    </w:p>
    <w:p>
      <w:pPr>
        <w:autoSpaceDE w:val="0"/>
        <w:autoSpaceDN w:val="0"/>
        <w:adjustRightInd w:val="0"/>
        <w:spacing w:line="360" w:lineRule="auto"/>
        <w:rPr>
          <w:rFonts w:ascii="仿宋" w:hAnsi="仿宋" w:eastAsia="仿宋" w:cs="仿宋"/>
          <w:color w:val="auto"/>
          <w:sz w:val="24"/>
          <w:szCs w:val="24"/>
          <w:highlight w:val="none"/>
        </w:rPr>
      </w:pPr>
    </w:p>
    <w:p>
      <w:pPr>
        <w:autoSpaceDE w:val="0"/>
        <w:autoSpaceDN w:val="0"/>
        <w:adjustRightInd w:val="0"/>
        <w:spacing w:line="360" w:lineRule="auto"/>
        <w:jc w:val="center"/>
        <w:rPr>
          <w:rFonts w:ascii="仿宋" w:hAnsi="仿宋" w:eastAsia="仿宋" w:cs="仿宋"/>
          <w:b/>
          <w:color w:val="auto"/>
          <w:sz w:val="24"/>
          <w:szCs w:val="24"/>
          <w:highlight w:val="none"/>
        </w:rPr>
      </w:pPr>
    </w:p>
    <w:p>
      <w:pPr>
        <w:spacing w:line="360" w:lineRule="auto"/>
        <w:ind w:firstLine="3360" w:firstLineChars="1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pacing w:line="360" w:lineRule="auto"/>
        <w:ind w:firstLine="3360" w:firstLineChars="1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pPr>
        <w:spacing w:line="360" w:lineRule="auto"/>
        <w:ind w:firstLine="5280" w:firstLineChars="2200"/>
        <w:rPr>
          <w:rFonts w:ascii="仿宋" w:hAnsi="仿宋" w:eastAsia="仿宋" w:cs="仿宋"/>
          <w:color w:val="auto"/>
          <w:sz w:val="24"/>
          <w:szCs w:val="24"/>
          <w:highlight w:val="none"/>
          <w:u w:val="single"/>
        </w:rPr>
      </w:pPr>
    </w:p>
    <w:p>
      <w:pPr>
        <w:adjustRightInd w:val="0"/>
        <w:snapToGrid w:val="0"/>
        <w:spacing w:line="360" w:lineRule="auto"/>
        <w:ind w:firstLine="240" w:firstLineChars="1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br w:type="page"/>
      </w:r>
      <w:bookmarkStart w:id="606" w:name="_Toc12844"/>
      <w:bookmarkStart w:id="607" w:name="_Toc475451559"/>
      <w:bookmarkStart w:id="608" w:name="_Toc473056009"/>
      <w:bookmarkStart w:id="609" w:name="_Toc4848"/>
      <w:bookmarkStart w:id="610" w:name="_Toc4915"/>
      <w:bookmarkStart w:id="611" w:name="_Toc495671276"/>
      <w:bookmarkStart w:id="612" w:name="_Toc16511"/>
      <w:bookmarkStart w:id="613" w:name="_Toc475451806"/>
    </w:p>
    <w:p>
      <w:pPr>
        <w:pageBreakBefore/>
        <w:autoSpaceDE w:val="0"/>
        <w:autoSpaceDN w:val="0"/>
        <w:adjustRightInd w:val="0"/>
        <w:snapToGrid w:val="0"/>
        <w:spacing w:line="360" w:lineRule="auto"/>
        <w:jc w:val="center"/>
        <w:outlineLvl w:val="1"/>
        <w:rPr>
          <w:rFonts w:ascii="仿宋" w:hAnsi="仿宋" w:eastAsia="仿宋" w:cs="仿宋"/>
          <w:b/>
          <w:color w:val="auto"/>
          <w:sz w:val="32"/>
          <w:szCs w:val="15"/>
          <w:highlight w:val="none"/>
          <w:lang w:val="zh-CN"/>
        </w:rPr>
      </w:pPr>
      <w:bookmarkStart w:id="614" w:name="_Toc22147"/>
      <w:bookmarkStart w:id="615" w:name="_Toc27133"/>
      <w:r>
        <w:rPr>
          <w:rFonts w:hint="eastAsia" w:ascii="仿宋" w:hAnsi="仿宋" w:eastAsia="仿宋" w:cs="仿宋"/>
          <w:b/>
          <w:color w:val="auto"/>
          <w:sz w:val="32"/>
          <w:szCs w:val="15"/>
          <w:highlight w:val="none"/>
          <w:lang w:val="zh-CN"/>
        </w:rPr>
        <w:t>十</w:t>
      </w:r>
      <w:r>
        <w:rPr>
          <w:rFonts w:hint="eastAsia" w:ascii="仿宋" w:hAnsi="仿宋" w:eastAsia="仿宋" w:cs="仿宋"/>
          <w:b/>
          <w:color w:val="auto"/>
          <w:sz w:val="32"/>
          <w:szCs w:val="15"/>
          <w:highlight w:val="none"/>
          <w:lang w:eastAsia="zh-CN"/>
        </w:rPr>
        <w:t>二</w:t>
      </w:r>
      <w:r>
        <w:rPr>
          <w:rFonts w:hint="eastAsia" w:ascii="仿宋" w:hAnsi="仿宋" w:eastAsia="仿宋" w:cs="仿宋"/>
          <w:b/>
          <w:color w:val="auto"/>
          <w:sz w:val="32"/>
          <w:szCs w:val="15"/>
          <w:highlight w:val="none"/>
          <w:lang w:val="zh-CN"/>
        </w:rPr>
        <w:t>、供应商廉洁自律承诺书</w:t>
      </w:r>
      <w:bookmarkEnd w:id="606"/>
      <w:bookmarkEnd w:id="614"/>
      <w:bookmarkEnd w:id="615"/>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为</w:t>
      </w:r>
      <w:r>
        <w:rPr>
          <w:rFonts w:hint="eastAsia" w:ascii="仿宋" w:hAnsi="仿宋" w:eastAsia="仿宋" w:cs="仿宋"/>
          <w:snapToGrid w:val="0"/>
          <w:color w:val="auto"/>
          <w:sz w:val="24"/>
          <w:szCs w:val="24"/>
          <w:highlight w:val="none"/>
          <w:lang w:val="en-US" w:eastAsia="zh-CN"/>
        </w:rPr>
        <w:t>响应党中央、国务院关于治理政府采购领域商业贿赂行为的号召，</w:t>
      </w:r>
      <w:r>
        <w:rPr>
          <w:rFonts w:hint="eastAsia" w:ascii="仿宋" w:hAnsi="仿宋" w:eastAsia="仿宋" w:cs="仿宋"/>
          <w:snapToGrid w:val="0"/>
          <w:color w:val="auto"/>
          <w:sz w:val="24"/>
          <w:szCs w:val="24"/>
          <w:highlight w:val="none"/>
        </w:rPr>
        <w:t>我们特向贵司郑重承诺，在政府采购过程中严格遵守下列行为准则：</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1、严格遵守国家有关法律法规及相关政策，以及廉洁从业的各项规定。</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2、不以围标、串标、陪标、挂靠、提供虚假信息、恶意干扰采购人、磋商小组评审等违规手段实现成交目的；</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7、不以贿赂之外的其他方式拉拢采购方相关工作人员，使其违背公平、公开、公正竞争原则，帮助实现成交目的。</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8、如果采购人相关工作人员以帮助实现成交目的为对价向供应商索取贿赂或谋求其他个人利益，供应商应拒绝采购人相关工作人员的要求，并向采购人监督部门举报。</w:t>
      </w:r>
    </w:p>
    <w:p>
      <w:pPr>
        <w:spacing w:line="360" w:lineRule="auto"/>
        <w:ind w:firstLine="480" w:firstLineChars="200"/>
        <w:rPr>
          <w:rFonts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如果承诺人违背上述承诺并成交，承诺人自愿承担与贵司签订的合同无效、贵司有权拒绝支付合同款、承诺人自身损失自己承担并赔偿贵司因此产生的一切损失的民事法律责任及因此产生的刑事责任。</w:t>
      </w:r>
    </w:p>
    <w:p>
      <w:pPr>
        <w:spacing w:line="360" w:lineRule="auto"/>
        <w:ind w:firstLine="3360" w:firstLineChars="1400"/>
        <w:rPr>
          <w:rFonts w:ascii="仿宋" w:hAnsi="仿宋" w:eastAsia="仿宋" w:cs="仿宋"/>
          <w:color w:val="auto"/>
          <w:sz w:val="24"/>
          <w:szCs w:val="24"/>
          <w:highlight w:val="none"/>
        </w:rPr>
      </w:pPr>
    </w:p>
    <w:p>
      <w:pPr>
        <w:spacing w:line="360" w:lineRule="auto"/>
        <w:ind w:firstLine="3360" w:firstLineChars="1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pPr>
        <w:spacing w:line="360" w:lineRule="auto"/>
        <w:ind w:firstLine="3360" w:firstLineChars="1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pPr>
        <w:spacing w:line="360" w:lineRule="auto"/>
        <w:ind w:firstLine="4216" w:firstLineChars="1750"/>
        <w:rPr>
          <w:rFonts w:ascii="仿宋" w:hAnsi="仿宋" w:eastAsia="仿宋" w:cs="仿宋"/>
          <w:b/>
          <w:color w:val="auto"/>
          <w:sz w:val="24"/>
          <w:szCs w:val="24"/>
          <w:highlight w:val="none"/>
        </w:rPr>
      </w:pPr>
    </w:p>
    <w:p>
      <w:pPr>
        <w:spacing w:line="360" w:lineRule="auto"/>
        <w:rPr>
          <w:color w:val="auto"/>
          <w:highlight w:val="none"/>
        </w:rPr>
      </w:pPr>
    </w:p>
    <w:p>
      <w:pPr>
        <w:keepNext w:val="0"/>
        <w:keepLines w:val="0"/>
        <w:pageBreakBefore/>
        <w:widowControl w:val="0"/>
        <w:kinsoku/>
        <w:wordWrap/>
        <w:overflowPunct/>
        <w:topLinePunct w:val="0"/>
        <w:autoSpaceDE/>
        <w:autoSpaceDN/>
        <w:bidi w:val="0"/>
        <w:adjustRightInd/>
        <w:snapToGrid/>
        <w:spacing w:line="360" w:lineRule="auto"/>
        <w:ind w:firstLine="1285" w:firstLineChars="400"/>
        <w:textAlignment w:val="auto"/>
        <w:rPr>
          <w:rFonts w:ascii="仿宋_GB2312" w:hAnsi="仿宋_GB2312" w:eastAsia="仿宋_GB2312" w:cs="仿宋_GB2312"/>
          <w:b/>
          <w:bCs/>
          <w:sz w:val="32"/>
          <w:szCs w:val="32"/>
          <w:highlight w:val="none"/>
        </w:rPr>
      </w:pPr>
      <w:bookmarkStart w:id="616" w:name="_Toc6812"/>
      <w:bookmarkStart w:id="617" w:name="_Toc8772"/>
      <w:bookmarkStart w:id="618" w:name="_Toc2715"/>
      <w:bookmarkStart w:id="619" w:name="_Toc29125"/>
      <w:bookmarkStart w:id="620" w:name="_Toc9051"/>
      <w:bookmarkStart w:id="621" w:name="_Toc17375"/>
      <w:bookmarkStart w:id="622" w:name="_Toc17145"/>
      <w:bookmarkStart w:id="623" w:name="_Toc15882"/>
      <w:bookmarkStart w:id="624" w:name="_Toc4453"/>
      <w:bookmarkStart w:id="625" w:name="_Toc18685"/>
      <w:bookmarkStart w:id="626" w:name="_Toc21167"/>
      <w:r>
        <w:rPr>
          <w:rFonts w:hint="eastAsia" w:ascii="仿宋" w:hAnsi="仿宋" w:eastAsia="仿宋" w:cs="仿宋"/>
          <w:b/>
          <w:color w:val="auto"/>
          <w:sz w:val="32"/>
          <w:szCs w:val="15"/>
          <w:highlight w:val="none"/>
          <w:lang w:val="zh-CN"/>
        </w:rPr>
        <w:t>十三、供应商认为有必要补充说明的事项</w:t>
      </w:r>
      <w:bookmarkEnd w:id="607"/>
      <w:bookmarkEnd w:id="608"/>
      <w:bookmarkEnd w:id="609"/>
      <w:bookmarkEnd w:id="610"/>
      <w:bookmarkEnd w:id="611"/>
      <w:bookmarkEnd w:id="612"/>
      <w:bookmarkEnd w:id="613"/>
      <w:bookmarkEnd w:id="616"/>
      <w:bookmarkEnd w:id="617"/>
      <w:bookmarkEnd w:id="618"/>
      <w:bookmarkEnd w:id="619"/>
      <w:bookmarkEnd w:id="620"/>
      <w:bookmarkEnd w:id="621"/>
      <w:bookmarkEnd w:id="622"/>
      <w:bookmarkEnd w:id="623"/>
      <w:bookmarkEnd w:id="624"/>
      <w:bookmarkEnd w:id="625"/>
      <w:bookmarkEnd w:id="626"/>
    </w:p>
    <w:sectPr>
      <w:pgSz w:w="11906" w:h="16838"/>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4098"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6"/>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182</w:t>
                </w:r>
                <w:r>
                  <w:rPr>
                    <w:rFonts w:ascii="仿宋" w:hAnsi="仿宋" w:eastAsia="仿宋" w:cs="仿宋"/>
                  </w:rPr>
                  <w:fldChar w:fldCharType="end"/>
                </w:r>
                <w:r>
                  <w:rPr>
                    <w:rFonts w:hint="eastAsia" w:ascii="仿宋" w:hAnsi="仿宋" w:eastAsia="仿宋" w:cs="仿宋"/>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18</w: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ind w:right="40"/>
    </w:pPr>
    <w:r>
      <w:pict>
        <v:shape id="4099"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164</w:t>
                </w:r>
                <w:r>
                  <w:fldChar w:fldCharType="end"/>
                </w:r>
                <w:r>
                  <w:rPr>
                    <w:rFonts w:hint="eastAsia"/>
                  </w:rPr>
                  <w:t xml:space="preserve"> 页 共 </w:t>
                </w:r>
                <w:r>
                  <w:fldChar w:fldCharType="begin"/>
                </w:r>
                <w:r>
                  <w:instrText xml:space="preserve"> NUMPAGES  \* MERGEFORMAT </w:instrText>
                </w:r>
                <w:r>
                  <w:fldChar w:fldCharType="separate"/>
                </w:r>
                <w:r>
                  <w:t>182</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ind w:right="40"/>
    </w:pPr>
    <w:r>
      <w:pict>
        <v:shape id="4100"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6"/>
                </w:pPr>
                <w:r>
                  <w:rPr>
                    <w:rFonts w:hint="eastAsia"/>
                  </w:rPr>
                  <w:t xml:space="preserve">第 </w:t>
                </w:r>
                <w:r>
                  <w:fldChar w:fldCharType="begin"/>
                </w:r>
                <w:r>
                  <w:instrText xml:space="preserve"> PAGE  \* MERGEFORMAT </w:instrText>
                </w:r>
                <w:r>
                  <w:fldChar w:fldCharType="separate"/>
                </w:r>
                <w:r>
                  <w:t>173</w:t>
                </w:r>
                <w:r>
                  <w:fldChar w:fldCharType="end"/>
                </w:r>
                <w:r>
                  <w:rPr>
                    <w:rFonts w:hint="eastAsia"/>
                  </w:rPr>
                  <w:t xml:space="preserve"> 页 共 </w:t>
                </w:r>
                <w:r>
                  <w:fldChar w:fldCharType="begin"/>
                </w:r>
                <w:r>
                  <w:instrText xml:space="preserve"> NUMPAGES  \* MERGEFORMAT </w:instrText>
                </w:r>
                <w:r>
                  <w:fldChar w:fldCharType="separate"/>
                </w:r>
                <w:r>
                  <w:t>182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single" w:color="000000" w:sz="6" w:space="1"/>
        <w:right w:val="none" w:color="auto" w:sz="0" w:space="4"/>
      </w:pBdr>
      <w:jc w:val="right"/>
    </w:pPr>
    <w:r>
      <w:rPr>
        <w:rFonts w:hint="eastAsia" w:ascii="宋体" w:hAnsi="宋体" w:cs="宋体"/>
        <w:b/>
        <w:bCs/>
        <w:i/>
        <w:sz w:val="21"/>
        <w:szCs w:val="21"/>
        <w:lang w:eastAsia="zh-CN"/>
      </w:rPr>
      <w:t>西安市第二保育院全院楼宇外立面改造（二期）工程项目</w:t>
    </w:r>
    <w:r>
      <w:rPr>
        <w:rFonts w:hint="eastAsia" w:ascii="宋体" w:hAnsi="宋体" w:cs="宋体"/>
        <w:b/>
        <w:bCs/>
        <w:i/>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single" w:color="000000" w:sz="6" w:space="1"/>
        <w:right w:val="none" w:color="auto" w:sz="0" w:space="4"/>
      </w:pBdr>
      <w:jc w:val="right"/>
    </w:pPr>
    <w:r>
      <w:rPr>
        <w:rFonts w:hint="eastAsia" w:ascii="宋体" w:hAnsi="宋体" w:cs="宋体"/>
        <w:b/>
        <w:bCs/>
        <w:i/>
        <w:sz w:val="21"/>
        <w:szCs w:val="21"/>
        <w:lang w:eastAsia="zh-CN"/>
      </w:rPr>
      <w:t>西安市第二保育院全院楼宇外立面改造（二期）工程项目</w:t>
    </w:r>
    <w:r>
      <w:rPr>
        <w:rFonts w:hint="eastAsia" w:ascii="宋体" w:hAnsi="宋体" w:cs="宋体"/>
        <w:b/>
        <w:bCs/>
        <w:i/>
        <w:sz w:val="21"/>
        <w:szCs w:val="21"/>
      </w:rPr>
      <w:t>竞争性磋商文件</w:t>
    </w:r>
  </w:p>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A334F3"/>
    <w:rsid w:val="00B50729"/>
    <w:rsid w:val="019F6CF9"/>
    <w:rsid w:val="05CF4225"/>
    <w:rsid w:val="05F62851"/>
    <w:rsid w:val="061C0F45"/>
    <w:rsid w:val="06613752"/>
    <w:rsid w:val="07DB0EAC"/>
    <w:rsid w:val="07F32889"/>
    <w:rsid w:val="09AF21AB"/>
    <w:rsid w:val="0A1866FE"/>
    <w:rsid w:val="0AD3401F"/>
    <w:rsid w:val="0B7852E1"/>
    <w:rsid w:val="0B8E7D66"/>
    <w:rsid w:val="0C370182"/>
    <w:rsid w:val="0D873FD3"/>
    <w:rsid w:val="105B114E"/>
    <w:rsid w:val="108718DD"/>
    <w:rsid w:val="12B17CA6"/>
    <w:rsid w:val="14631169"/>
    <w:rsid w:val="15B7591A"/>
    <w:rsid w:val="17610CDA"/>
    <w:rsid w:val="18170D85"/>
    <w:rsid w:val="18CE0646"/>
    <w:rsid w:val="1A155CBC"/>
    <w:rsid w:val="1AFD7122"/>
    <w:rsid w:val="1D237034"/>
    <w:rsid w:val="1F2829D1"/>
    <w:rsid w:val="1FAF79D7"/>
    <w:rsid w:val="203A1F8A"/>
    <w:rsid w:val="227E5313"/>
    <w:rsid w:val="22EA1A7E"/>
    <w:rsid w:val="26D829E9"/>
    <w:rsid w:val="275469F7"/>
    <w:rsid w:val="2814367F"/>
    <w:rsid w:val="28A55D0A"/>
    <w:rsid w:val="28B11647"/>
    <w:rsid w:val="2A372137"/>
    <w:rsid w:val="2A3D4467"/>
    <w:rsid w:val="2C0568CE"/>
    <w:rsid w:val="2E97574F"/>
    <w:rsid w:val="2EE50F46"/>
    <w:rsid w:val="303D65B7"/>
    <w:rsid w:val="30BF0019"/>
    <w:rsid w:val="31985F16"/>
    <w:rsid w:val="33C57F19"/>
    <w:rsid w:val="35941010"/>
    <w:rsid w:val="362E54AE"/>
    <w:rsid w:val="36A92528"/>
    <w:rsid w:val="36C00E6C"/>
    <w:rsid w:val="39175E99"/>
    <w:rsid w:val="396B4443"/>
    <w:rsid w:val="3D420F9A"/>
    <w:rsid w:val="3D600CB3"/>
    <w:rsid w:val="3DE3180B"/>
    <w:rsid w:val="427357DE"/>
    <w:rsid w:val="42CE342A"/>
    <w:rsid w:val="433C725A"/>
    <w:rsid w:val="44957494"/>
    <w:rsid w:val="461F5244"/>
    <w:rsid w:val="468F5634"/>
    <w:rsid w:val="49E658AC"/>
    <w:rsid w:val="4B906C07"/>
    <w:rsid w:val="4CB8381A"/>
    <w:rsid w:val="4D556606"/>
    <w:rsid w:val="4E577258"/>
    <w:rsid w:val="4F576FE5"/>
    <w:rsid w:val="52A85C29"/>
    <w:rsid w:val="52D07809"/>
    <w:rsid w:val="541128AF"/>
    <w:rsid w:val="55B82D0A"/>
    <w:rsid w:val="563E4B76"/>
    <w:rsid w:val="5967505D"/>
    <w:rsid w:val="5CC54CA2"/>
    <w:rsid w:val="5CD35979"/>
    <w:rsid w:val="5D046F81"/>
    <w:rsid w:val="608B75C0"/>
    <w:rsid w:val="60B90C1E"/>
    <w:rsid w:val="64C179D9"/>
    <w:rsid w:val="676773D9"/>
    <w:rsid w:val="67D95C1B"/>
    <w:rsid w:val="6C716B31"/>
    <w:rsid w:val="6EEA28A8"/>
    <w:rsid w:val="6F0A08FB"/>
    <w:rsid w:val="6FD60FB9"/>
    <w:rsid w:val="709B7CE7"/>
    <w:rsid w:val="70EF7FE1"/>
    <w:rsid w:val="75791A6D"/>
    <w:rsid w:val="758B31EB"/>
    <w:rsid w:val="77DA1086"/>
    <w:rsid w:val="798707F8"/>
    <w:rsid w:val="79F826B2"/>
    <w:rsid w:val="7C3106B9"/>
    <w:rsid w:val="7D4B74C7"/>
    <w:rsid w:val="7D7F29D2"/>
    <w:rsid w:val="7E014C1B"/>
    <w:rsid w:val="7E2A12EB"/>
    <w:rsid w:val="7FB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4">
    <w:name w:val="heading 2"/>
    <w:basedOn w:val="1"/>
    <w:next w:val="1"/>
    <w:link w:val="37"/>
    <w:qFormat/>
    <w:uiPriority w:val="0"/>
    <w:pPr>
      <w:keepNext/>
      <w:spacing w:line="720" w:lineRule="exact"/>
      <w:jc w:val="center"/>
      <w:outlineLvl w:val="1"/>
    </w:pPr>
    <w:rPr>
      <w:rFonts w:ascii="黑体" w:hAnsi="黑体" w:eastAsia="仿宋_GB2312"/>
      <w:b/>
      <w:sz w:val="30"/>
    </w:rPr>
  </w:style>
  <w:style w:type="paragraph" w:styleId="5">
    <w:name w:val="heading 3"/>
    <w:basedOn w:val="1"/>
    <w:next w:val="1"/>
    <w:qFormat/>
    <w:uiPriority w:val="0"/>
    <w:pPr>
      <w:keepNext/>
      <w:keepLines/>
      <w:spacing w:line="360" w:lineRule="auto"/>
      <w:jc w:val="left"/>
      <w:outlineLvl w:val="2"/>
    </w:pPr>
    <w:rPr>
      <w:rFonts w:ascii="Calibri Light" w:hAnsi="Calibri Light" w:eastAsia="仿宋_GB2312"/>
      <w:bCs/>
      <w:sz w:val="28"/>
      <w:szCs w:val="32"/>
    </w:rPr>
  </w:style>
  <w:style w:type="paragraph" w:styleId="2">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1"/>
    </w:rPr>
  </w:style>
  <w:style w:type="paragraph" w:styleId="7">
    <w:name w:val="toa heading"/>
    <w:basedOn w:val="1"/>
    <w:next w:val="1"/>
    <w:unhideWhenUsed/>
    <w:qFormat/>
    <w:uiPriority w:val="99"/>
    <w:rPr>
      <w:rFonts w:ascii="Arial" w:hAnsi="Arial"/>
      <w:sz w:val="24"/>
    </w:rPr>
  </w:style>
  <w:style w:type="paragraph" w:styleId="8">
    <w:name w:val="annotation text"/>
    <w:basedOn w:val="1"/>
    <w:qFormat/>
    <w:uiPriority w:val="0"/>
    <w:pPr>
      <w:jc w:val="left"/>
    </w:pPr>
  </w:style>
  <w:style w:type="paragraph" w:styleId="9">
    <w:name w:val="Body Text 3"/>
    <w:basedOn w:val="1"/>
    <w:qFormat/>
    <w:uiPriority w:val="0"/>
    <w:pPr>
      <w:jc w:val="center"/>
    </w:pPr>
    <w:rPr>
      <w:b/>
      <w:spacing w:val="-20"/>
      <w:w w:val="110"/>
      <w:sz w:val="52"/>
    </w:rPr>
  </w:style>
  <w:style w:type="paragraph" w:styleId="10">
    <w:name w:val="Body Text"/>
    <w:basedOn w:val="1"/>
    <w:next w:val="11"/>
    <w:qFormat/>
    <w:uiPriority w:val="0"/>
  </w:style>
  <w:style w:type="paragraph" w:styleId="11">
    <w:name w:val="Body Text 2"/>
    <w:basedOn w:val="1"/>
    <w:qFormat/>
    <w:uiPriority w:val="0"/>
    <w:pPr>
      <w:adjustRightInd w:val="0"/>
      <w:snapToGrid w:val="0"/>
      <w:spacing w:line="480" w:lineRule="atLeast"/>
    </w:pPr>
    <w:rPr>
      <w:rFonts w:ascii="宋体" w:hAnsi="宋体"/>
      <w:sz w:val="28"/>
    </w:rPr>
  </w:style>
  <w:style w:type="paragraph" w:styleId="12">
    <w:name w:val="Body Text Indent"/>
    <w:basedOn w:val="1"/>
    <w:next w:val="13"/>
    <w:qFormat/>
    <w:uiPriority w:val="99"/>
    <w:pPr>
      <w:ind w:left="420" w:leftChars="200"/>
    </w:pPr>
  </w:style>
  <w:style w:type="paragraph" w:customStyle="1" w:styleId="13">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qFormat/>
    <w:uiPriority w:val="1"/>
    <w:pPr>
      <w:spacing w:before="26"/>
      <w:jc w:val="center"/>
    </w:pPr>
    <w:rPr>
      <w:rFonts w:ascii="宋体" w:hAnsi="宋体" w:eastAsia="宋体" w:cs="宋体"/>
      <w:sz w:val="44"/>
      <w:szCs w:val="44"/>
      <w:lang w:val="en-US" w:eastAsia="zh-CN" w:bidi="ar-SA"/>
    </w:rPr>
  </w:style>
  <w:style w:type="paragraph" w:styleId="22">
    <w:name w:val="Body Text First Indent"/>
    <w:basedOn w:val="10"/>
    <w:next w:val="1"/>
    <w:qFormat/>
    <w:uiPriority w:val="99"/>
    <w:pPr>
      <w:ind w:firstLine="420" w:firstLineChars="100"/>
    </w:pPr>
    <w:rPr>
      <w:szCs w:val="24"/>
    </w:rPr>
  </w:style>
  <w:style w:type="paragraph" w:styleId="23">
    <w:name w:val="Body Text First Indent 2"/>
    <w:basedOn w:val="12"/>
    <w:next w:val="22"/>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basedOn w:val="26"/>
    <w:qFormat/>
    <w:uiPriority w:val="0"/>
    <w:rPr>
      <w:color w:val="296FBE"/>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HTML Keyboard"/>
    <w:basedOn w:val="26"/>
    <w:qFormat/>
    <w:uiPriority w:val="0"/>
    <w:rPr>
      <w:rFonts w:ascii="Consolas" w:hAnsi="Consolas" w:eastAsia="Consolas" w:cs="Consolas"/>
      <w:color w:val="FFFFFF"/>
      <w:sz w:val="21"/>
      <w:szCs w:val="21"/>
      <w:shd w:val="clear" w:color="auto" w:fill="333333"/>
    </w:rPr>
  </w:style>
  <w:style w:type="character" w:styleId="35">
    <w:name w:val="HTML Sample"/>
    <w:basedOn w:val="26"/>
    <w:qFormat/>
    <w:uiPriority w:val="0"/>
    <w:rPr>
      <w:rFonts w:hint="default" w:ascii="Consolas" w:hAnsi="Consolas" w:eastAsia="Consolas" w:cs="Consolas"/>
      <w:sz w:val="21"/>
      <w:szCs w:val="21"/>
    </w:rPr>
  </w:style>
  <w:style w:type="paragraph" w:customStyle="1" w:styleId="36">
    <w:name w:val="默认段落字体 Para Char Char Char Char"/>
    <w:basedOn w:val="1"/>
    <w:qFormat/>
    <w:uiPriority w:val="0"/>
    <w:rPr>
      <w:szCs w:val="24"/>
    </w:rPr>
  </w:style>
  <w:style w:type="character" w:customStyle="1" w:styleId="37">
    <w:name w:val="标题 2 Char"/>
    <w:link w:val="4"/>
    <w:qFormat/>
    <w:uiPriority w:val="0"/>
    <w:rPr>
      <w:rFonts w:ascii="黑体" w:hAnsi="黑体" w:eastAsia="仿宋_GB2312"/>
      <w:b/>
      <w:sz w:val="30"/>
    </w:rPr>
  </w:style>
  <w:style w:type="paragraph" w:customStyle="1" w:styleId="38">
    <w:name w:val="一级条标题"/>
    <w:basedOn w:val="1"/>
    <w:next w:val="39"/>
    <w:qFormat/>
    <w:uiPriority w:val="99"/>
    <w:pPr>
      <w:widowControl/>
      <w:ind w:left="420"/>
      <w:outlineLvl w:val="2"/>
    </w:pPr>
    <w:rPr>
      <w:rFonts w:ascii="黑体" w:hAnsi="Times New Roman" w:eastAsia="黑体" w:cs="黑体"/>
      <w:kern w:val="0"/>
      <w:szCs w:val="21"/>
    </w:rPr>
  </w:style>
  <w:style w:type="paragraph" w:customStyle="1" w:styleId="39">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40">
    <w:name w:val="List Paragraph"/>
    <w:basedOn w:val="1"/>
    <w:qFormat/>
    <w:uiPriority w:val="0"/>
    <w:pPr>
      <w:ind w:firstLine="420" w:firstLineChars="200"/>
    </w:pPr>
  </w:style>
  <w:style w:type="paragraph" w:customStyle="1" w:styleId="41">
    <w:name w:val="列出段落1"/>
    <w:basedOn w:val="1"/>
    <w:qFormat/>
    <w:uiPriority w:val="34"/>
    <w:pPr>
      <w:ind w:firstLine="420" w:firstLineChars="200"/>
    </w:pPr>
    <w:rPr>
      <w:rFonts w:ascii="Calibri" w:hAnsi="Calibri" w:cs="黑体"/>
      <w:szCs w:val="22"/>
    </w:rPr>
  </w:style>
  <w:style w:type="paragraph" w:customStyle="1" w:styleId="42">
    <w:name w:val="正文自定"/>
    <w:basedOn w:val="1"/>
    <w:qFormat/>
    <w:uiPriority w:val="0"/>
    <w:pPr>
      <w:tabs>
        <w:tab w:val="left" w:pos="7665"/>
      </w:tabs>
      <w:spacing w:line="360" w:lineRule="auto"/>
      <w:ind w:firstLine="480" w:firstLineChars="200"/>
    </w:pPr>
    <w:rPr>
      <w:rFonts w:ascii="宋体" w:hAnsi="宋体"/>
      <w:sz w:val="24"/>
      <w:szCs w:val="24"/>
    </w:rPr>
  </w:style>
  <w:style w:type="character" w:customStyle="1" w:styleId="43">
    <w:name w:val="font11"/>
    <w:basedOn w:val="26"/>
    <w:qFormat/>
    <w:uiPriority w:val="0"/>
    <w:rPr>
      <w:rFonts w:hint="eastAsia" w:ascii="宋体" w:hAnsi="宋体" w:eastAsia="宋体" w:cs="宋体"/>
      <w:color w:val="000000"/>
      <w:sz w:val="18"/>
      <w:szCs w:val="18"/>
      <w:u w:val="none"/>
    </w:rPr>
  </w:style>
  <w:style w:type="character" w:customStyle="1" w:styleId="44">
    <w:name w:val="font41"/>
    <w:basedOn w:val="26"/>
    <w:qFormat/>
    <w:uiPriority w:val="0"/>
    <w:rPr>
      <w:rFonts w:hint="eastAsia" w:ascii="宋体" w:hAnsi="宋体" w:eastAsia="宋体" w:cs="宋体"/>
      <w:color w:val="000000"/>
      <w:sz w:val="24"/>
      <w:szCs w:val="24"/>
      <w:u w:val="none"/>
    </w:rPr>
  </w:style>
  <w:style w:type="character" w:customStyle="1" w:styleId="45">
    <w:name w:val="font81"/>
    <w:basedOn w:val="26"/>
    <w:qFormat/>
    <w:uiPriority w:val="0"/>
    <w:rPr>
      <w:rFonts w:ascii="BatangChe" w:hAnsi="BatangChe" w:eastAsia="BatangChe" w:cs="BatangChe"/>
      <w:color w:val="000000"/>
      <w:sz w:val="18"/>
      <w:szCs w:val="18"/>
      <w:u w:val="none"/>
    </w:rPr>
  </w:style>
  <w:style w:type="character" w:customStyle="1" w:styleId="46">
    <w:name w:val="font01"/>
    <w:basedOn w:val="26"/>
    <w:qFormat/>
    <w:uiPriority w:val="0"/>
    <w:rPr>
      <w:rFonts w:hint="eastAsia" w:ascii="仿宋_GB2312" w:eastAsia="仿宋_GB2312" w:cs="仿宋_GB2312"/>
      <w:color w:val="000000"/>
      <w:sz w:val="18"/>
      <w:szCs w:val="18"/>
      <w:u w:val="none"/>
    </w:rPr>
  </w:style>
  <w:style w:type="character" w:customStyle="1" w:styleId="47">
    <w:name w:val="font31"/>
    <w:basedOn w:val="26"/>
    <w:qFormat/>
    <w:uiPriority w:val="0"/>
    <w:rPr>
      <w:rFonts w:hint="default" w:ascii="Times New Roman" w:hAnsi="Times New Roman" w:cs="Times New Roman"/>
      <w:color w:val="000000"/>
      <w:sz w:val="18"/>
      <w:szCs w:val="18"/>
      <w:u w:val="none"/>
    </w:rPr>
  </w:style>
  <w:style w:type="character" w:customStyle="1" w:styleId="48">
    <w:name w:val="font21"/>
    <w:basedOn w:val="26"/>
    <w:qFormat/>
    <w:uiPriority w:val="0"/>
    <w:rPr>
      <w:rFonts w:hint="eastAsia" w:ascii="仿宋_GB2312" w:eastAsia="仿宋_GB2312" w:cs="仿宋_GB2312"/>
      <w:color w:val="000000"/>
      <w:sz w:val="20"/>
      <w:szCs w:val="20"/>
      <w:u w:val="none"/>
    </w:rPr>
  </w:style>
  <w:style w:type="character" w:customStyle="1" w:styleId="49">
    <w:name w:val="font51"/>
    <w:basedOn w:val="26"/>
    <w:qFormat/>
    <w:uiPriority w:val="0"/>
    <w:rPr>
      <w:rFonts w:hint="eastAsia" w:ascii="仿宋_GB2312" w:eastAsia="仿宋_GB2312" w:cs="仿宋_GB2312"/>
      <w:color w:val="000000"/>
      <w:sz w:val="24"/>
      <w:szCs w:val="24"/>
      <w:u w:val="none"/>
    </w:rPr>
  </w:style>
  <w:style w:type="character" w:customStyle="1" w:styleId="50">
    <w:name w:val="font61"/>
    <w:basedOn w:val="26"/>
    <w:qFormat/>
    <w:uiPriority w:val="0"/>
    <w:rPr>
      <w:rFonts w:hint="default" w:ascii="Times New Roman" w:hAnsi="Times New Roman" w:cs="Times New Roman"/>
      <w:color w:val="000000"/>
      <w:sz w:val="24"/>
      <w:szCs w:val="24"/>
      <w:u w:val="none"/>
    </w:rPr>
  </w:style>
  <w:style w:type="character" w:customStyle="1" w:styleId="51">
    <w:name w:val="hour_pm"/>
    <w:basedOn w:val="26"/>
    <w:qFormat/>
    <w:uiPriority w:val="0"/>
  </w:style>
  <w:style w:type="character" w:customStyle="1" w:styleId="52">
    <w:name w:val="hover3"/>
    <w:basedOn w:val="26"/>
    <w:qFormat/>
    <w:uiPriority w:val="0"/>
    <w:rPr>
      <w:shd w:val="clear" w:color="auto" w:fill="EEEEEE"/>
    </w:rPr>
  </w:style>
  <w:style w:type="character" w:customStyle="1" w:styleId="53">
    <w:name w:val="old"/>
    <w:basedOn w:val="26"/>
    <w:qFormat/>
    <w:uiPriority w:val="0"/>
    <w:rPr>
      <w:color w:val="999999"/>
    </w:rPr>
  </w:style>
  <w:style w:type="character" w:customStyle="1" w:styleId="54">
    <w:name w:val="glyphicon4"/>
    <w:basedOn w:val="26"/>
    <w:qFormat/>
    <w:uiPriority w:val="0"/>
  </w:style>
  <w:style w:type="character" w:customStyle="1" w:styleId="55">
    <w:name w:val="hour_am"/>
    <w:basedOn w:val="26"/>
    <w:qFormat/>
    <w:uiPriority w:val="0"/>
  </w:style>
  <w:style w:type="character" w:customStyle="1" w:styleId="56">
    <w:name w:val="indent"/>
    <w:basedOn w:val="26"/>
    <w:qFormat/>
    <w:uiPriority w:val="0"/>
  </w:style>
  <w:style w:type="character" w:customStyle="1" w:styleId="57">
    <w:name w:val="button"/>
    <w:basedOn w:val="26"/>
    <w:qFormat/>
    <w:uiPriority w:val="0"/>
  </w:style>
  <w:style w:type="character" w:customStyle="1" w:styleId="58">
    <w:name w:val="tmpztreemove_arrow"/>
    <w:basedOn w:val="26"/>
    <w:qFormat/>
    <w:uiPriority w:val="0"/>
    <w:rPr>
      <w:shd w:val="clear" w:color="auto" w:fill="FFFFFF"/>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0">
    <w:name w:val="hilite6"/>
    <w:basedOn w:val="26"/>
    <w:qFormat/>
    <w:uiPriority w:val="0"/>
    <w:rPr>
      <w:color w:val="FFFFFF"/>
      <w:shd w:val="clear" w:fill="666677"/>
    </w:rPr>
  </w:style>
  <w:style w:type="character" w:customStyle="1" w:styleId="61">
    <w:name w:val="active6"/>
    <w:basedOn w:val="26"/>
    <w:qFormat/>
    <w:uiPriority w:val="0"/>
    <w:rPr>
      <w:color w:val="00FF00"/>
      <w:shd w:val="clear" w:fill="000000"/>
    </w:rPr>
  </w:style>
  <w:style w:type="character" w:customStyle="1" w:styleId="62">
    <w:name w:val="stclosebtn"/>
    <w:basedOn w:val="26"/>
    <w:uiPriority w:val="0"/>
  </w:style>
  <w:style w:type="character" w:customStyle="1" w:styleId="63">
    <w:name w:val="proollist"/>
    <w:basedOn w:val="26"/>
    <w:qFormat/>
    <w:uiPriority w:val="0"/>
  </w:style>
  <w:style w:type="character" w:customStyle="1" w:styleId="64">
    <w:name w:val="input-direction"/>
    <w:basedOn w:val="26"/>
    <w:uiPriority w:val="0"/>
    <w:rPr>
      <w:color w:val="FF6600"/>
    </w:rPr>
  </w:style>
  <w:style w:type="character" w:customStyle="1" w:styleId="65">
    <w:name w:val="span-long"/>
    <w:basedOn w:val="26"/>
    <w:qFormat/>
    <w:uiPriority w:val="0"/>
  </w:style>
  <w:style w:type="character" w:customStyle="1" w:styleId="66">
    <w:name w:val="beforeinfotext"/>
    <w:basedOn w:val="26"/>
    <w:uiPriority w:val="0"/>
    <w:rPr>
      <w:color w:val="666666"/>
    </w:rPr>
  </w:style>
  <w:style w:type="character" w:customStyle="1" w:styleId="67">
    <w:name w:val="phone"/>
    <w:basedOn w:val="26"/>
    <w:qFormat/>
    <w:uiPriority w:val="0"/>
    <w:rPr>
      <w:color w:val="FF8833"/>
      <w:sz w:val="18"/>
      <w:szCs w:val="18"/>
    </w:rPr>
  </w:style>
  <w:style w:type="character" w:customStyle="1" w:styleId="68">
    <w:name w:val="button2"/>
    <w:basedOn w:val="26"/>
    <w:qFormat/>
    <w:uiPriority w:val="0"/>
  </w:style>
  <w:style w:type="character" w:customStyle="1" w:styleId="69">
    <w:name w:val="number"/>
    <w:basedOn w:val="26"/>
    <w:uiPriority w:val="0"/>
    <w:rPr>
      <w:color w:val="FF8833"/>
      <w:sz w:val="18"/>
      <w:szCs w:val="18"/>
    </w:rPr>
  </w:style>
  <w:style w:type="character" w:customStyle="1" w:styleId="70">
    <w:name w:val="hilite"/>
    <w:basedOn w:val="26"/>
    <w:qFormat/>
    <w:uiPriority w:val="0"/>
    <w:rPr>
      <w:color w:val="FFFFFF"/>
      <w:shd w:val="clear" w:fill="666677"/>
    </w:rPr>
  </w:style>
  <w:style w:type="character" w:customStyle="1" w:styleId="71">
    <w:name w:val="active4"/>
    <w:basedOn w:val="26"/>
    <w:uiPriority w:val="0"/>
    <w:rPr>
      <w:color w:val="00FF00"/>
      <w:shd w:val="clear" w:fil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1491;&#20449;2021&#24180;&#26410;&#25307;&#26631;&#39033;&#30446;\117&#35199;&#23433;&#24066;&#31532;&#20108;&#20445;&#32946;&#38498;&#20840;&#38498;&#27004;&#23431;&#22806;&#31435;&#38754;&#25913;&#36896;&#65288;&#20108;&#26399;&#65289;&#24037;&#31243;&#39033;&#30446;\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3074"/>
    <customShpInfo spid="_x0000_s3075"/>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23981</Words>
  <Characters>24909</Characters>
  <Paragraphs>1301</Paragraphs>
  <TotalTime>2</TotalTime>
  <ScaleCrop>false</ScaleCrop>
  <LinksUpToDate>false</LinksUpToDate>
  <CharactersWithSpaces>27472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2018-11-19T10:02:00Z</dcterms:created>
  <dc:creator>李纪旋</dc:creator>
  <cp:lastModifiedBy>张亚娜</cp:lastModifiedBy>
  <cp:lastPrinted>2021-08-26T10:27:00Z</cp:lastPrinted>
  <dcterms:modified xsi:type="dcterms:W3CDTF">2021-11-19T12:17:01Z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0F2B8ADA1DD145F486B84A9DA066460E</vt:lpwstr>
  </property>
</Properties>
</file>