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附件1</w:t>
      </w:r>
    </w:p>
    <w:p>
      <w:pPr>
        <w:overflowPunct w:val="0"/>
        <w:snapToGrid w:val="0"/>
        <w:spacing w:line="590" w:lineRule="exact"/>
        <w:ind w:firstLine="64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创新型中小企业评价标准</w:t>
      </w:r>
    </w:p>
    <w:p>
      <w:pPr>
        <w:overflowPunct w:val="0"/>
        <w:snapToGrid w:val="0"/>
        <w:spacing w:before="156" w:beforeLines="50" w:line="59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一、公告条件</w:t>
      </w:r>
    </w:p>
    <w:p>
      <w:pPr>
        <w:overflowPunct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评价得分达到 60 分以上（其中创新能力指标得分不低于 20 分、成长性指标及专业化指标得分均不低于 15 分），或满足下列条件之一：</w:t>
      </w:r>
    </w:p>
    <w:p>
      <w:pPr>
        <w:overflowPunct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（一）近三年内获得过国家级、省级科技奖励。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（二）获得高新技术企业、国家级技术创新示范企业、知识产权优势企业和知识产权示范企业等荣誉（均为有效期内）。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（三）拥有经认定的省部级以上研发机构。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（四）近三年内新增股权融资总额（合格机构投资者的实缴额）500万元以上。</w:t>
      </w:r>
    </w:p>
    <w:p>
      <w:pPr>
        <w:overflowPunct w:val="0"/>
        <w:snapToGrid w:val="0"/>
        <w:spacing w:line="59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二、评价指标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包括创新能力、成长性、专业化三类六个指标，评价结果依分值计算，满分为 100 分。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（一）创新能力指标（满分40分）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1． 与企业主导产品相关的有效知识产权数量（满分20分）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A．</w:t>
      </w:r>
      <w:r>
        <w:rPr>
          <w:rFonts w:hint="eastAsia" w:ascii="Times New Roman" w:hAnsi="Times New Roman" w:eastAsia="方正仿宋_GBK"/>
          <w:sz w:val="32"/>
          <w:szCs w:val="32"/>
        </w:rPr>
        <w:t>Ⅰ</w:t>
      </w:r>
      <w:r>
        <w:rPr>
          <w:rFonts w:ascii="Times New Roman" w:hAnsi="Times New Roman" w:eastAsia="方正仿宋_GBK"/>
          <w:sz w:val="32"/>
          <w:szCs w:val="32"/>
        </w:rPr>
        <w:t>类高价值知识产权1项以上（20分）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B．自主研发的</w:t>
      </w:r>
      <w:r>
        <w:rPr>
          <w:rFonts w:hint="eastAsia" w:ascii="Times New Roman" w:hAnsi="Times New Roman" w:eastAsia="方正仿宋_GBK"/>
          <w:sz w:val="32"/>
          <w:szCs w:val="32"/>
        </w:rPr>
        <w:t>Ⅰ</w:t>
      </w:r>
      <w:r>
        <w:rPr>
          <w:rFonts w:ascii="Times New Roman" w:hAnsi="Times New Roman" w:eastAsia="方正仿宋_GBK"/>
          <w:sz w:val="32"/>
          <w:szCs w:val="32"/>
        </w:rPr>
        <w:t>类知识产权1项以上（15分）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C．</w:t>
      </w:r>
      <w:r>
        <w:rPr>
          <w:rFonts w:hint="eastAsia" w:ascii="Times New Roman" w:hAnsi="Times New Roman" w:eastAsia="方正仿宋_GBK"/>
          <w:sz w:val="32"/>
          <w:szCs w:val="32"/>
        </w:rPr>
        <w:t>Ⅰ</w:t>
      </w:r>
      <w:r>
        <w:rPr>
          <w:rFonts w:ascii="Times New Roman" w:hAnsi="Times New Roman" w:eastAsia="方正仿宋_GBK"/>
          <w:sz w:val="32"/>
          <w:szCs w:val="32"/>
        </w:rPr>
        <w:t>类知识产权1项以上（10分）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D．</w:t>
      </w:r>
      <w:r>
        <w:rPr>
          <w:rFonts w:hint="eastAsia" w:ascii="Times New Roman" w:hAnsi="Times New Roman" w:eastAsia="方正仿宋_GBK"/>
          <w:sz w:val="32"/>
          <w:szCs w:val="32"/>
        </w:rPr>
        <w:t>Ⅱ</w:t>
      </w:r>
      <w:r>
        <w:rPr>
          <w:rFonts w:ascii="Times New Roman" w:hAnsi="Times New Roman" w:eastAsia="方正仿宋_GBK"/>
          <w:sz w:val="32"/>
          <w:szCs w:val="32"/>
        </w:rPr>
        <w:t>类知识产权1项以上（5分）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E．无（0分）</w:t>
      </w:r>
    </w:p>
    <w:p>
      <w:pPr>
        <w:overflowPunct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2．上年度研发费用总额占营业收入总额比重（满分20分）</w:t>
      </w:r>
    </w:p>
    <w:p>
      <w:pPr>
        <w:overflowPunct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A．5%以上（20分）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B．3%-5%（15分）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C．2%-3%（10分）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D．1%-2%（5分）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E．1%以下（0分）</w:t>
      </w:r>
    </w:p>
    <w:p>
      <w:pPr>
        <w:overflowPunct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（二）成长性指标（满分30分）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3．上年度主营业务收入增长率（满分20分）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A．15%以上（20分）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B．10%-15%（15分）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C．5%-10%（10分）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D．0%-5%（5分）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E．0%以下（0分）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4．上年度资产负债率（满分10分）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A．55%以下（10分）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B．55%-75%（5分）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D．75%以上（0分）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（三）专业化指标（满分30分）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5．主导产品所属领域情况（满分10分）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A．属于《战略性新兴产业分类》（10分）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B．属于其他领域（5分）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6．上年度主营业务收入总额占营业收入总额比重（满分</w:t>
      </w:r>
    </w:p>
    <w:p>
      <w:pPr>
        <w:overflowPunct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A．70%以上（20分）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B．60%-70%（15分）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C．55%-60%（10分）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D．50%-55%（5分）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E．50%以下（0分）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　</w:t>
      </w: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overflowPunct w:val="0"/>
        <w:snapToGrid w:val="0"/>
        <w:spacing w:line="59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sectPr>
      <w:footerReference r:id="rId3" w:type="default"/>
      <w:pgSz w:w="11906" w:h="16838"/>
      <w:pgMar w:top="1814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1989773456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F4"/>
    <w:rsid w:val="00006360"/>
    <w:rsid w:val="00010ED4"/>
    <w:rsid w:val="000444B6"/>
    <w:rsid w:val="000632A3"/>
    <w:rsid w:val="00076A99"/>
    <w:rsid w:val="0014358D"/>
    <w:rsid w:val="00180831"/>
    <w:rsid w:val="001D51B5"/>
    <w:rsid w:val="00245859"/>
    <w:rsid w:val="002A2BAE"/>
    <w:rsid w:val="002B5028"/>
    <w:rsid w:val="003659D2"/>
    <w:rsid w:val="0037486A"/>
    <w:rsid w:val="00386B0B"/>
    <w:rsid w:val="003B3EBB"/>
    <w:rsid w:val="00444913"/>
    <w:rsid w:val="004878DB"/>
    <w:rsid w:val="004B391D"/>
    <w:rsid w:val="00511186"/>
    <w:rsid w:val="005B57F4"/>
    <w:rsid w:val="005E5A12"/>
    <w:rsid w:val="005F1330"/>
    <w:rsid w:val="00677458"/>
    <w:rsid w:val="006B662F"/>
    <w:rsid w:val="006D342D"/>
    <w:rsid w:val="007254B8"/>
    <w:rsid w:val="007448C6"/>
    <w:rsid w:val="007A6F9E"/>
    <w:rsid w:val="007C195E"/>
    <w:rsid w:val="00810F81"/>
    <w:rsid w:val="008A1BA4"/>
    <w:rsid w:val="008E2227"/>
    <w:rsid w:val="00911687"/>
    <w:rsid w:val="00926078"/>
    <w:rsid w:val="00931D45"/>
    <w:rsid w:val="00977920"/>
    <w:rsid w:val="009B43B7"/>
    <w:rsid w:val="009C2179"/>
    <w:rsid w:val="00AD3F90"/>
    <w:rsid w:val="00AE6345"/>
    <w:rsid w:val="00B11408"/>
    <w:rsid w:val="00B81F06"/>
    <w:rsid w:val="00BF52C7"/>
    <w:rsid w:val="00C114D0"/>
    <w:rsid w:val="00C50F6D"/>
    <w:rsid w:val="00C55170"/>
    <w:rsid w:val="00C66F5E"/>
    <w:rsid w:val="00CA2E72"/>
    <w:rsid w:val="00D4799F"/>
    <w:rsid w:val="00D84419"/>
    <w:rsid w:val="00E01A08"/>
    <w:rsid w:val="00E80699"/>
    <w:rsid w:val="00E834D8"/>
    <w:rsid w:val="00EB2E03"/>
    <w:rsid w:val="00EB4B7D"/>
    <w:rsid w:val="00F31197"/>
    <w:rsid w:val="00F33ACE"/>
    <w:rsid w:val="00F72939"/>
    <w:rsid w:val="00FC01C9"/>
    <w:rsid w:val="00FD789B"/>
    <w:rsid w:val="1FDF3BE7"/>
    <w:rsid w:val="5EFF2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372</Words>
  <Characters>2123</Characters>
  <Lines>17</Lines>
  <Paragraphs>4</Paragraphs>
  <TotalTime>25</TotalTime>
  <ScaleCrop>false</ScaleCrop>
  <LinksUpToDate>false</LinksUpToDate>
  <CharactersWithSpaces>2491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2022-07-22T05:48:00Z</dcterms:created>
  <dc:creator>lenovo</dc:creator>
  <cp:lastModifiedBy>uos</cp:lastModifiedBy>
  <dcterms:modified xsi:type="dcterms:W3CDTF">2022-07-26T16:36:09Z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