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pPr w:leftFromText="180" w:rightFromText="180" w:vertAnchor="page" w:horzAnchor="page" w:tblpX="1510" w:tblpY="2403"/>
        <w:tblOverlap w:val="never"/>
        <w:tblW w:w="8595"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905"/>
        <w:gridCol w:w="2617"/>
        <w:gridCol w:w="158"/>
        <w:gridCol w:w="240"/>
        <w:gridCol w:w="1387"/>
        <w:gridCol w:w="202"/>
        <w:gridCol w:w="286"/>
        <w:gridCol w:w="180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8" w:hRule="atLeast"/>
        </w:trPr>
        <w:tc>
          <w:tcPr>
            <w:tcW w:w="1905" w:type="dxa"/>
            <w:tcBorders>
              <w:tl2br w:val="nil"/>
              <w:tr2bl w:val="nil"/>
            </w:tcBorders>
            <w:vAlign w:val="center"/>
          </w:tcPr>
          <w:p>
            <w:pPr>
              <w:spacing w:line="240" w:lineRule="auto"/>
              <w:ind w:firstLine="632" w:firstLineChars="300"/>
              <w:jc w:val="both"/>
              <w:rPr>
                <w:rFonts w:hint="eastAsia" w:eastAsiaTheme="minorEastAsia"/>
                <w:sz w:val="21"/>
                <w:szCs w:val="21"/>
                <w:vertAlign w:val="baseline"/>
                <w:lang w:eastAsia="zh-CN"/>
              </w:rPr>
            </w:pPr>
            <w:r>
              <w:rPr>
                <w:rFonts w:hint="eastAsia"/>
                <w:b/>
                <w:bCs/>
                <w:sz w:val="21"/>
                <w:szCs w:val="21"/>
                <w:vertAlign w:val="baseline"/>
                <w:lang w:eastAsia="zh-CN"/>
              </w:rPr>
              <w:t>项目规模</w:t>
            </w:r>
          </w:p>
        </w:tc>
        <w:tc>
          <w:tcPr>
            <w:tcW w:w="2775" w:type="dxa"/>
            <w:gridSpan w:val="2"/>
            <w:tcBorders>
              <w:tl2br w:val="nil"/>
              <w:tr2bl w:val="nil"/>
            </w:tcBorders>
            <w:vAlign w:val="center"/>
          </w:tcPr>
          <w:p>
            <w:pPr>
              <w:spacing w:line="240" w:lineRule="auto"/>
              <w:ind w:firstLine="840" w:firstLineChars="400"/>
              <w:jc w:val="both"/>
              <w:rPr>
                <w:rFonts w:hint="default" w:eastAsiaTheme="minorEastAsia"/>
                <w:sz w:val="21"/>
                <w:szCs w:val="21"/>
                <w:vertAlign w:val="baseline"/>
                <w:lang w:val="en-US" w:eastAsia="zh-CN"/>
              </w:rPr>
            </w:pPr>
            <w:r>
              <w:rPr>
                <w:rFonts w:hint="eastAsia" w:ascii="宋体" w:hAnsi="宋体"/>
                <w:sz w:val="21"/>
                <w:szCs w:val="21"/>
                <w:lang w:val="en-US" w:eastAsia="zh-CN"/>
              </w:rPr>
              <w:t>20万t/a</w:t>
            </w:r>
          </w:p>
        </w:tc>
        <w:tc>
          <w:tcPr>
            <w:tcW w:w="1829"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eastAsia="zh-CN"/>
              </w:rPr>
              <w:t>企业性质</w:t>
            </w:r>
          </w:p>
        </w:tc>
        <w:tc>
          <w:tcPr>
            <w:tcW w:w="2086" w:type="dxa"/>
            <w:gridSpan w:val="2"/>
            <w:tcBorders>
              <w:tl2br w:val="nil"/>
              <w:tr2bl w:val="nil"/>
            </w:tcBorders>
            <w:vAlign w:val="center"/>
          </w:tcPr>
          <w:p>
            <w:pPr>
              <w:spacing w:line="240" w:lineRule="auto"/>
              <w:jc w:val="center"/>
              <w:rPr>
                <w:sz w:val="21"/>
                <w:szCs w:val="21"/>
                <w:vertAlign w:val="baseline"/>
              </w:rPr>
            </w:pPr>
            <w:r>
              <w:rPr>
                <w:rFonts w:hint="eastAsia"/>
                <w:sz w:val="21"/>
                <w:szCs w:val="21"/>
                <w:lang w:eastAsia="zh-CN"/>
              </w:rPr>
              <w:t>有限责任</w:t>
            </w:r>
            <w:r>
              <w:rPr>
                <w:sz w:val="21"/>
                <w:szCs w:val="21"/>
              </w:rPr>
              <w:t>公司</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3" w:hRule="atLeast"/>
        </w:trPr>
        <w:tc>
          <w:tcPr>
            <w:tcW w:w="1905" w:type="dxa"/>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val="en-US" w:eastAsia="zh-CN"/>
              </w:rPr>
              <w:t xml:space="preserve"> </w:t>
            </w:r>
            <w:r>
              <w:rPr>
                <w:rFonts w:hint="eastAsia"/>
                <w:b/>
                <w:bCs/>
                <w:sz w:val="21"/>
                <w:szCs w:val="21"/>
                <w:vertAlign w:val="baseline"/>
                <w:lang w:eastAsia="zh-CN"/>
              </w:rPr>
              <w:t>评价类别</w:t>
            </w:r>
          </w:p>
        </w:tc>
        <w:tc>
          <w:tcPr>
            <w:tcW w:w="2775" w:type="dxa"/>
            <w:gridSpan w:val="2"/>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安全现状评价</w:t>
            </w:r>
          </w:p>
        </w:tc>
        <w:tc>
          <w:tcPr>
            <w:tcW w:w="1829"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eastAsia="zh-CN"/>
              </w:rPr>
              <w:t>所属业务类别</w:t>
            </w:r>
          </w:p>
        </w:tc>
        <w:tc>
          <w:tcPr>
            <w:tcW w:w="2086" w:type="dxa"/>
            <w:gridSpan w:val="2"/>
            <w:tcBorders>
              <w:tl2br w:val="nil"/>
              <w:tr2bl w:val="nil"/>
            </w:tcBorders>
            <w:vAlign w:val="center"/>
          </w:tcPr>
          <w:p>
            <w:pPr>
              <w:spacing w:line="240" w:lineRule="auto"/>
              <w:jc w:val="center"/>
              <w:rPr>
                <w:rFonts w:hint="eastAsia" w:eastAsiaTheme="minorEastAsia"/>
                <w:sz w:val="21"/>
                <w:szCs w:val="21"/>
                <w:vertAlign w:val="baseline"/>
                <w:lang w:val="en-US" w:eastAsia="zh-CN"/>
              </w:rPr>
            </w:pPr>
            <w:r>
              <w:rPr>
                <w:rFonts w:hint="eastAsia"/>
                <w:sz w:val="21"/>
                <w:szCs w:val="21"/>
                <w:vertAlign w:val="baseline"/>
                <w:lang w:val="en-US" w:eastAsia="zh-CN"/>
              </w:rPr>
              <w:t>2.b非金属矿采选业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220" w:hRule="atLeast"/>
        </w:trPr>
        <w:tc>
          <w:tcPr>
            <w:tcW w:w="1905" w:type="dxa"/>
            <w:tcBorders>
              <w:tl2br w:val="nil"/>
              <w:tr2bl w:val="nil"/>
            </w:tcBorders>
            <w:textDirection w:val="tbLrV"/>
            <w:vAlign w:val="center"/>
          </w:tcPr>
          <w:p>
            <w:pPr>
              <w:keepNext w:val="0"/>
              <w:keepLines w:val="0"/>
              <w:pageBreakBefore w:val="0"/>
              <w:widowControl w:val="0"/>
              <w:kinsoku/>
              <w:wordWrap/>
              <w:overflowPunct/>
              <w:topLinePunct w:val="0"/>
              <w:autoSpaceDE/>
              <w:autoSpaceDN/>
              <w:bidi w:val="0"/>
              <w:adjustRightInd/>
              <w:snapToGrid/>
              <w:spacing w:after="469" w:afterLines="150" w:line="480" w:lineRule="auto"/>
              <w:ind w:right="113"/>
              <w:jc w:val="center"/>
              <w:textAlignment w:val="auto"/>
              <w:outlineLvl w:val="9"/>
              <w:rPr>
                <w:rFonts w:hint="eastAsia"/>
                <w:b/>
                <w:bCs/>
                <w:sz w:val="21"/>
                <w:szCs w:val="21"/>
                <w:vertAlign w:val="baseline"/>
                <w:lang w:eastAsia="zh-CN"/>
              </w:rPr>
            </w:pPr>
          </w:p>
          <w:p>
            <w:pPr>
              <w:keepNext w:val="0"/>
              <w:keepLines w:val="0"/>
              <w:pageBreakBefore w:val="0"/>
              <w:widowControl w:val="0"/>
              <w:kinsoku/>
              <w:wordWrap/>
              <w:overflowPunct/>
              <w:topLinePunct w:val="0"/>
              <w:autoSpaceDE/>
              <w:autoSpaceDN/>
              <w:bidi w:val="0"/>
              <w:adjustRightInd/>
              <w:snapToGrid/>
              <w:spacing w:after="469" w:afterLines="150" w:line="480" w:lineRule="auto"/>
              <w:ind w:left="0" w:leftChars="0" w:right="113" w:firstLine="0" w:firstLineChars="0"/>
              <w:jc w:val="center"/>
              <w:textAlignment w:val="auto"/>
              <w:outlineLvl w:val="9"/>
              <w:rPr>
                <w:rFonts w:hint="eastAsia"/>
                <w:sz w:val="21"/>
                <w:szCs w:val="21"/>
                <w:vertAlign w:val="baseline"/>
                <w:lang w:eastAsia="zh-CN"/>
              </w:rPr>
            </w:pPr>
            <w:r>
              <w:rPr>
                <w:rFonts w:hint="eastAsia"/>
                <w:b/>
                <w:bCs/>
                <w:sz w:val="21"/>
                <w:szCs w:val="21"/>
                <w:vertAlign w:val="baseline"/>
                <w:lang w:eastAsia="zh-CN"/>
              </w:rPr>
              <w:t>项</w:t>
            </w:r>
            <w:r>
              <w:rPr>
                <w:rFonts w:hint="eastAsia"/>
                <w:b/>
                <w:bCs/>
                <w:sz w:val="21"/>
                <w:szCs w:val="21"/>
                <w:vertAlign w:val="baseline"/>
                <w:lang w:val="en-US" w:eastAsia="zh-CN"/>
              </w:rPr>
              <w:t xml:space="preserve">    </w:t>
            </w:r>
            <w:r>
              <w:rPr>
                <w:rFonts w:hint="eastAsia"/>
                <w:b/>
                <w:bCs/>
                <w:sz w:val="21"/>
                <w:szCs w:val="21"/>
                <w:vertAlign w:val="baseline"/>
                <w:lang w:eastAsia="zh-CN"/>
              </w:rPr>
              <w:t>目</w:t>
            </w:r>
            <w:r>
              <w:rPr>
                <w:rFonts w:hint="eastAsia"/>
                <w:b/>
                <w:bCs/>
                <w:sz w:val="21"/>
                <w:szCs w:val="21"/>
                <w:vertAlign w:val="baseline"/>
                <w:lang w:val="en-US" w:eastAsia="zh-CN"/>
              </w:rPr>
              <w:t xml:space="preserve">    </w:t>
            </w:r>
            <w:r>
              <w:rPr>
                <w:rFonts w:hint="eastAsia"/>
                <w:b/>
                <w:bCs/>
                <w:sz w:val="21"/>
                <w:szCs w:val="21"/>
                <w:vertAlign w:val="baseline"/>
                <w:lang w:eastAsia="zh-CN"/>
              </w:rPr>
              <w:t>简</w:t>
            </w:r>
            <w:r>
              <w:rPr>
                <w:rFonts w:hint="eastAsia"/>
                <w:b/>
                <w:bCs/>
                <w:sz w:val="21"/>
                <w:szCs w:val="21"/>
                <w:vertAlign w:val="baseline"/>
                <w:lang w:val="en-US" w:eastAsia="zh-CN"/>
              </w:rPr>
              <w:t xml:space="preserve">    </w:t>
            </w:r>
            <w:r>
              <w:rPr>
                <w:rFonts w:hint="eastAsia"/>
                <w:b/>
                <w:bCs/>
                <w:sz w:val="21"/>
                <w:szCs w:val="21"/>
                <w:vertAlign w:val="baseline"/>
                <w:lang w:eastAsia="zh-CN"/>
              </w:rPr>
              <w:t>介</w:t>
            </w:r>
          </w:p>
        </w:tc>
        <w:tc>
          <w:tcPr>
            <w:tcW w:w="6690" w:type="dxa"/>
            <w:gridSpan w:val="7"/>
            <w:tcBorders>
              <w:tl2br w:val="nil"/>
              <w:tr2bl w:val="nil"/>
            </w:tcBorders>
            <w:vAlign w:val="center"/>
          </w:tcPr>
          <w:p>
            <w:pPr>
              <w:spacing w:line="240" w:lineRule="auto"/>
              <w:ind w:firstLine="420" w:firstLineChars="200"/>
              <w:jc w:val="left"/>
              <w:rPr>
                <w:rFonts w:hint="eastAsia"/>
                <w:color w:val="auto"/>
                <w:sz w:val="21"/>
                <w:szCs w:val="21"/>
                <w:vertAlign w:val="baseline"/>
                <w:lang w:eastAsia="zh-CN"/>
              </w:rPr>
            </w:pPr>
            <w:r>
              <w:rPr>
                <w:rFonts w:hint="eastAsia"/>
                <w:color w:val="auto"/>
                <w:sz w:val="21"/>
                <w:szCs w:val="21"/>
                <w:vertAlign w:val="baseline"/>
                <w:lang w:eastAsia="zh-CN"/>
              </w:rPr>
              <w:t>安徽省池州市芦冲矿业有限公司为有限公司是个开采多年的老矿山，矿山主要生产熔剂用石灰岩。矿山为了规范合理开采，2010年2月矿山委托安徽省冶金设计院对该矿山矿区范围内+200m至+70m标高间矿体进行了露天开采方案设计，编制了初步设计及初步设计安全专篇。2011年5月通过了安全监管部门组织的安全设施竣工验收，并领取了安全生产许可证。2014年5月安全生产许可证正常延续。2014年3月矿山取得新的采矿许可证，有效期2014年3月25日至2017年 11月25日，而后又延期到</w:t>
            </w:r>
            <w:r>
              <w:rPr>
                <w:rFonts w:hint="eastAsia"/>
                <w:color w:val="auto"/>
                <w:sz w:val="21"/>
                <w:szCs w:val="21"/>
                <w:vertAlign w:val="baseline"/>
                <w:lang w:val="en-US" w:eastAsia="zh-CN"/>
              </w:rPr>
              <w:t>2020年11月25日</w:t>
            </w:r>
            <w:r>
              <w:rPr>
                <w:rFonts w:hint="eastAsia"/>
                <w:color w:val="auto"/>
                <w:sz w:val="21"/>
                <w:szCs w:val="21"/>
                <w:vertAlign w:val="baseline"/>
                <w:lang w:eastAsia="zh-CN"/>
              </w:rPr>
              <w:t>。</w:t>
            </w:r>
          </w:p>
          <w:p>
            <w:pPr>
              <w:spacing w:line="240" w:lineRule="auto"/>
              <w:ind w:firstLine="420" w:firstLineChars="200"/>
              <w:jc w:val="left"/>
              <w:rPr>
                <w:rFonts w:hint="eastAsia"/>
                <w:color w:val="auto"/>
                <w:sz w:val="21"/>
                <w:szCs w:val="21"/>
                <w:vertAlign w:val="baseline"/>
                <w:lang w:eastAsia="zh-CN"/>
              </w:rPr>
            </w:pPr>
            <w:r>
              <w:rPr>
                <w:rFonts w:hint="eastAsia"/>
                <w:color w:val="auto"/>
                <w:sz w:val="21"/>
                <w:szCs w:val="21"/>
                <w:vertAlign w:val="baseline"/>
                <w:lang w:eastAsia="zh-CN"/>
              </w:rPr>
              <w:t xml:space="preserve">由于矿山周边环境较复杂，根据有关法律法规和监管部门要求，2014年6月矿山委托安徽省昌昊矿山设计研究有限公司编制了《安徽省池州市芦冲矿业有限公司石灰石矿开采方案变更设计》，调整了开采境界范围。  </w:t>
            </w:r>
          </w:p>
          <w:p>
            <w:pPr>
              <w:spacing w:line="240" w:lineRule="auto"/>
              <w:ind w:firstLine="420" w:firstLineChars="200"/>
              <w:jc w:val="left"/>
              <w:rPr>
                <w:rFonts w:hint="eastAsia"/>
                <w:color w:val="auto"/>
                <w:sz w:val="21"/>
                <w:szCs w:val="21"/>
                <w:vertAlign w:val="baseline"/>
                <w:lang w:eastAsia="zh-CN"/>
              </w:rPr>
            </w:pPr>
            <w:r>
              <w:rPr>
                <w:rFonts w:hint="eastAsia"/>
                <w:color w:val="auto"/>
                <w:sz w:val="21"/>
                <w:szCs w:val="21"/>
                <w:vertAlign w:val="baseline"/>
                <w:lang w:eastAsia="zh-CN"/>
              </w:rPr>
              <w:t>矿山现有职工</w:t>
            </w:r>
            <w:r>
              <w:rPr>
                <w:rFonts w:hint="eastAsia"/>
                <w:color w:val="auto"/>
                <w:sz w:val="21"/>
                <w:szCs w:val="21"/>
                <w:vertAlign w:val="baseline"/>
                <w:lang w:val="en-US" w:eastAsia="zh-CN"/>
              </w:rPr>
              <w:t>11</w:t>
            </w:r>
            <w:r>
              <w:rPr>
                <w:rFonts w:hint="eastAsia"/>
                <w:color w:val="auto"/>
                <w:sz w:val="21"/>
                <w:szCs w:val="21"/>
                <w:vertAlign w:val="baseline"/>
                <w:lang w:eastAsia="zh-CN"/>
              </w:rPr>
              <w:t>人，其中：管理人员</w:t>
            </w:r>
            <w:r>
              <w:rPr>
                <w:rFonts w:hint="eastAsia"/>
                <w:color w:val="auto"/>
                <w:sz w:val="21"/>
                <w:szCs w:val="21"/>
                <w:vertAlign w:val="baseline"/>
                <w:lang w:val="en-US" w:eastAsia="zh-CN"/>
              </w:rPr>
              <w:t>3</w:t>
            </w:r>
            <w:r>
              <w:rPr>
                <w:rFonts w:hint="eastAsia"/>
                <w:color w:val="auto"/>
                <w:sz w:val="21"/>
                <w:szCs w:val="21"/>
                <w:vertAlign w:val="baseline"/>
                <w:lang w:eastAsia="zh-CN"/>
              </w:rPr>
              <w:t>人（含专职安全管理人员2人），工程技术人员</w:t>
            </w:r>
            <w:r>
              <w:rPr>
                <w:rFonts w:hint="eastAsia"/>
                <w:color w:val="auto"/>
                <w:sz w:val="21"/>
                <w:szCs w:val="21"/>
                <w:vertAlign w:val="baseline"/>
                <w:lang w:val="en-US" w:eastAsia="zh-CN"/>
              </w:rPr>
              <w:t>1</w:t>
            </w:r>
            <w:r>
              <w:rPr>
                <w:rFonts w:hint="eastAsia"/>
                <w:color w:val="auto"/>
                <w:sz w:val="21"/>
                <w:szCs w:val="21"/>
                <w:vertAlign w:val="baseline"/>
                <w:lang w:eastAsia="zh-CN"/>
              </w:rPr>
              <w:t>人，特种作业人员</w:t>
            </w:r>
            <w:r>
              <w:rPr>
                <w:rFonts w:hint="eastAsia"/>
                <w:color w:val="auto"/>
                <w:sz w:val="21"/>
                <w:szCs w:val="21"/>
                <w:vertAlign w:val="baseline"/>
                <w:lang w:val="en-US" w:eastAsia="zh-CN"/>
              </w:rPr>
              <w:t>2</w:t>
            </w:r>
            <w:r>
              <w:rPr>
                <w:rFonts w:hint="eastAsia"/>
                <w:color w:val="auto"/>
                <w:sz w:val="21"/>
                <w:szCs w:val="21"/>
                <w:vertAlign w:val="baseline"/>
                <w:lang w:eastAsia="zh-CN"/>
              </w:rPr>
              <w:t>人。矿山采用间隔工作制，年工作280天，每天1班，每班8小时，爆破作业安排在白天进行。</w:t>
            </w:r>
          </w:p>
          <w:p>
            <w:pPr>
              <w:spacing w:line="240" w:lineRule="auto"/>
              <w:ind w:firstLine="420" w:firstLineChars="200"/>
              <w:jc w:val="left"/>
              <w:rPr>
                <w:rFonts w:hint="eastAsia"/>
                <w:color w:val="auto"/>
                <w:sz w:val="21"/>
                <w:szCs w:val="21"/>
                <w:vertAlign w:val="baseline"/>
                <w:lang w:eastAsia="zh-CN"/>
              </w:rPr>
            </w:pPr>
            <w:r>
              <w:rPr>
                <w:rFonts w:hint="eastAsia"/>
                <w:color w:val="auto"/>
                <w:sz w:val="21"/>
                <w:szCs w:val="21"/>
                <w:vertAlign w:val="baseline"/>
                <w:lang w:eastAsia="zh-CN"/>
              </w:rPr>
              <w:t>目前矿山《采矿许可证》、《营业执照》、《安全生产许可证》等相关证照齐全、有效。目前正办理《安全生产许可证》的延续工作。</w:t>
            </w:r>
          </w:p>
          <w:p>
            <w:pPr>
              <w:spacing w:line="240" w:lineRule="auto"/>
              <w:ind w:firstLine="420" w:firstLineChars="200"/>
              <w:jc w:val="left"/>
              <w:rPr>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5" w:hRule="atLeast"/>
        </w:trPr>
        <w:tc>
          <w:tcPr>
            <w:tcW w:w="1905"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项目负责人</w:t>
            </w:r>
          </w:p>
        </w:tc>
        <w:tc>
          <w:tcPr>
            <w:tcW w:w="2617" w:type="dxa"/>
            <w:tcBorders>
              <w:right w:val="single" w:color="auto" w:sz="4" w:space="0"/>
              <w:tl2br w:val="nil"/>
              <w:tr2bl w:val="nil"/>
            </w:tcBorders>
            <w:vAlign w:val="center"/>
          </w:tcPr>
          <w:p>
            <w:pPr>
              <w:spacing w:line="240" w:lineRule="auto"/>
              <w:jc w:val="center"/>
              <w:rPr>
                <w:rFonts w:hint="eastAsia" w:eastAsiaTheme="minorEastAsia"/>
                <w:color w:val="auto"/>
                <w:sz w:val="21"/>
                <w:szCs w:val="21"/>
                <w:vertAlign w:val="baseline"/>
                <w:lang w:eastAsia="zh-CN"/>
              </w:rPr>
            </w:pPr>
            <w:r>
              <w:rPr>
                <w:rFonts w:hint="eastAsia"/>
                <w:color w:val="auto"/>
                <w:sz w:val="21"/>
                <w:szCs w:val="21"/>
                <w:vertAlign w:val="baseline"/>
                <w:lang w:eastAsia="zh-CN"/>
              </w:rPr>
              <w:t>吴鹏程</w:t>
            </w:r>
          </w:p>
        </w:tc>
        <w:tc>
          <w:tcPr>
            <w:tcW w:w="1785" w:type="dxa"/>
            <w:gridSpan w:val="3"/>
            <w:tcBorders>
              <w:left w:val="single" w:color="auto" w:sz="4" w:space="0"/>
              <w:right w:val="single" w:color="auto" w:sz="4" w:space="0"/>
              <w:tl2br w:val="nil"/>
              <w:tr2bl w:val="nil"/>
            </w:tcBorders>
            <w:vAlign w:val="center"/>
          </w:tcPr>
          <w:p>
            <w:pPr>
              <w:spacing w:line="240" w:lineRule="auto"/>
              <w:jc w:val="center"/>
              <w:rPr>
                <w:rFonts w:hint="eastAsia" w:eastAsiaTheme="minorEastAsia"/>
                <w:color w:val="auto"/>
                <w:sz w:val="21"/>
                <w:szCs w:val="21"/>
                <w:vertAlign w:val="baseline"/>
                <w:lang w:eastAsia="zh-CN"/>
              </w:rPr>
            </w:pPr>
            <w:r>
              <w:rPr>
                <w:rFonts w:hint="eastAsia"/>
                <w:color w:val="auto"/>
                <w:sz w:val="21"/>
                <w:szCs w:val="21"/>
                <w:vertAlign w:val="baseline"/>
                <w:lang w:eastAsia="zh-CN"/>
              </w:rPr>
              <w:t>项目编号</w:t>
            </w:r>
          </w:p>
        </w:tc>
        <w:tc>
          <w:tcPr>
            <w:tcW w:w="2288" w:type="dxa"/>
            <w:gridSpan w:val="3"/>
            <w:tcBorders>
              <w:left w:val="single" w:color="auto" w:sz="4" w:space="0"/>
              <w:tl2br w:val="nil"/>
              <w:tr2bl w:val="nil"/>
            </w:tcBorders>
            <w:vAlign w:val="center"/>
          </w:tcPr>
          <w:p>
            <w:pPr>
              <w:spacing w:line="240" w:lineRule="auto"/>
              <w:jc w:val="center"/>
              <w:rPr>
                <w:rFonts w:hint="default" w:eastAsia="宋体"/>
                <w:color w:val="auto"/>
                <w:sz w:val="21"/>
                <w:szCs w:val="21"/>
                <w:vertAlign w:val="baseline"/>
                <w:lang w:val="en-US" w:eastAsia="zh-CN"/>
              </w:rPr>
            </w:pPr>
            <w:r>
              <w:rPr>
                <w:rFonts w:ascii="Helvetica" w:hAnsi="Helvetica" w:eastAsia="Helvetica" w:cs="Helvetica"/>
                <w:i w:val="0"/>
                <w:caps w:val="0"/>
                <w:color w:val="auto"/>
                <w:spacing w:val="0"/>
                <w:sz w:val="19"/>
                <w:szCs w:val="19"/>
                <w:shd w:val="clear" w:fill="FFFFFF"/>
              </w:rPr>
              <w:t>皖安评</w:t>
            </w:r>
            <w:r>
              <w:rPr>
                <w:rFonts w:hint="eastAsia" w:ascii="Helvetica" w:hAnsi="Helvetica" w:eastAsia="Helvetica" w:cs="Helvetica"/>
                <w:i w:val="0"/>
                <w:caps w:val="0"/>
                <w:color w:val="auto"/>
                <w:spacing w:val="0"/>
                <w:sz w:val="19"/>
                <w:szCs w:val="19"/>
                <w:shd w:val="clear" w:fill="FFFFFF"/>
              </w:rPr>
              <w:t>20200</w:t>
            </w:r>
            <w:r>
              <w:rPr>
                <w:rFonts w:hint="eastAsia" w:ascii="Helvetica" w:hAnsi="Helvetica" w:eastAsia="宋体" w:cs="Helvetica"/>
                <w:i w:val="0"/>
                <w:caps w:val="0"/>
                <w:color w:val="auto"/>
                <w:spacing w:val="0"/>
                <w:sz w:val="19"/>
                <w:szCs w:val="19"/>
                <w:shd w:val="clear" w:fill="FFFFFF"/>
                <w:lang w:val="en-US" w:eastAsia="zh-CN"/>
              </w:rPr>
              <w:t>7</w:t>
            </w:r>
            <w:r>
              <w:rPr>
                <w:rFonts w:hint="eastAsia" w:ascii="Helvetica" w:hAnsi="Helvetica" w:eastAsia="Helvetica" w:cs="Helvetica"/>
                <w:i w:val="0"/>
                <w:caps w:val="0"/>
                <w:color w:val="auto"/>
                <w:spacing w:val="0"/>
                <w:sz w:val="19"/>
                <w:szCs w:val="19"/>
                <w:shd w:val="clear" w:fill="FFFFFF"/>
              </w:rPr>
              <w:t>0</w:t>
            </w:r>
            <w:r>
              <w:rPr>
                <w:rFonts w:hint="eastAsia" w:ascii="Helvetica" w:hAnsi="Helvetica" w:eastAsia="宋体" w:cs="Helvetica"/>
                <w:i w:val="0"/>
                <w:caps w:val="0"/>
                <w:color w:val="auto"/>
                <w:spacing w:val="0"/>
                <w:sz w:val="19"/>
                <w:szCs w:val="19"/>
                <w:shd w:val="clear" w:fill="FFFFFF"/>
                <w:lang w:val="en-US" w:eastAsia="zh-CN"/>
              </w:rPr>
              <w:t>138</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27" w:hRule="atLeast"/>
        </w:trPr>
        <w:tc>
          <w:tcPr>
            <w:tcW w:w="1905"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技术负责人</w:t>
            </w:r>
          </w:p>
        </w:tc>
        <w:tc>
          <w:tcPr>
            <w:tcW w:w="3015"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董书满</w:t>
            </w:r>
          </w:p>
        </w:tc>
        <w:tc>
          <w:tcPr>
            <w:tcW w:w="1875" w:type="dxa"/>
            <w:gridSpan w:val="3"/>
            <w:tcBorders>
              <w:tl2br w:val="nil"/>
              <w:tr2bl w:val="nil"/>
            </w:tcBorders>
            <w:vAlign w:val="center"/>
          </w:tcPr>
          <w:p>
            <w:pPr>
              <w:spacing w:line="240" w:lineRule="auto"/>
              <w:jc w:val="center"/>
              <w:rPr>
                <w:rFonts w:hint="eastAsia" w:eastAsiaTheme="minorEastAsia"/>
                <w:b/>
                <w:bCs/>
                <w:sz w:val="21"/>
                <w:szCs w:val="21"/>
                <w:vertAlign w:val="baseline"/>
                <w:lang w:eastAsia="zh-CN"/>
              </w:rPr>
            </w:pPr>
            <w:r>
              <w:rPr>
                <w:rFonts w:hint="eastAsia"/>
                <w:b/>
                <w:bCs/>
                <w:sz w:val="21"/>
                <w:szCs w:val="21"/>
                <w:vertAlign w:val="baseline"/>
                <w:lang w:eastAsia="zh-CN"/>
              </w:rPr>
              <w:t>过程控制负责人</w:t>
            </w:r>
          </w:p>
        </w:tc>
        <w:tc>
          <w:tcPr>
            <w:tcW w:w="1800" w:type="dxa"/>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吴鹏程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0" w:hRule="atLeast"/>
        </w:trPr>
        <w:tc>
          <w:tcPr>
            <w:tcW w:w="1905"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评价报告编制人</w:t>
            </w:r>
          </w:p>
        </w:tc>
        <w:tc>
          <w:tcPr>
            <w:tcW w:w="3015"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吴鹏程</w:t>
            </w:r>
          </w:p>
        </w:tc>
        <w:tc>
          <w:tcPr>
            <w:tcW w:w="1875" w:type="dxa"/>
            <w:gridSpan w:val="3"/>
            <w:tcBorders>
              <w:tl2br w:val="nil"/>
              <w:tr2bl w:val="nil"/>
            </w:tcBorders>
            <w:vAlign w:val="center"/>
          </w:tcPr>
          <w:p>
            <w:pPr>
              <w:spacing w:line="240" w:lineRule="auto"/>
              <w:jc w:val="center"/>
              <w:rPr>
                <w:rFonts w:hint="eastAsia" w:eastAsiaTheme="minorEastAsia"/>
                <w:b/>
                <w:bCs/>
                <w:sz w:val="21"/>
                <w:szCs w:val="21"/>
                <w:vertAlign w:val="baseline"/>
                <w:lang w:eastAsia="zh-CN"/>
              </w:rPr>
            </w:pPr>
            <w:r>
              <w:rPr>
                <w:rFonts w:hint="eastAsia"/>
                <w:b/>
                <w:bCs/>
                <w:sz w:val="21"/>
                <w:szCs w:val="21"/>
                <w:vertAlign w:val="baseline"/>
                <w:lang w:eastAsia="zh-CN"/>
              </w:rPr>
              <w:t>报告审核人</w:t>
            </w:r>
          </w:p>
        </w:tc>
        <w:tc>
          <w:tcPr>
            <w:tcW w:w="1800" w:type="dxa"/>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ascii="宋体" w:hAnsi="宋体"/>
                <w:color w:val="auto"/>
                <w:sz w:val="21"/>
                <w:szCs w:val="21"/>
                <w:lang w:eastAsia="zh-CN"/>
              </w:rPr>
              <w:t>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9" w:hRule="atLeast"/>
        </w:trPr>
        <w:tc>
          <w:tcPr>
            <w:tcW w:w="1905"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参与评价的安全评价师</w:t>
            </w:r>
          </w:p>
        </w:tc>
        <w:tc>
          <w:tcPr>
            <w:tcW w:w="6690" w:type="dxa"/>
            <w:gridSpan w:val="7"/>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方敏、王安民、袁成龙、吴鹏程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35" w:hRule="atLeast"/>
        </w:trPr>
        <w:tc>
          <w:tcPr>
            <w:tcW w:w="1905"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参与评价的注册安全工程师</w:t>
            </w:r>
          </w:p>
        </w:tc>
        <w:tc>
          <w:tcPr>
            <w:tcW w:w="6690" w:type="dxa"/>
            <w:gridSpan w:val="7"/>
            <w:tcBorders>
              <w:tl2br w:val="nil"/>
              <w:tr2bl w:val="nil"/>
            </w:tcBorders>
            <w:vAlign w:val="center"/>
          </w:tcPr>
          <w:p>
            <w:pPr>
              <w:spacing w:line="240" w:lineRule="auto"/>
              <w:jc w:val="center"/>
              <w:rPr>
                <w:sz w:val="21"/>
                <w:szCs w:val="21"/>
                <w:vertAlign w:val="baseline"/>
              </w:rPr>
            </w:pPr>
            <w:r>
              <w:rPr>
                <w:rFonts w:hint="eastAsia"/>
                <w:sz w:val="21"/>
                <w:szCs w:val="21"/>
                <w:vertAlign w:val="baseline"/>
                <w:lang w:eastAsia="zh-CN"/>
              </w:rPr>
              <w:t>王陈红、王安民</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19" w:hRule="atLeast"/>
        </w:trPr>
        <w:tc>
          <w:tcPr>
            <w:tcW w:w="1905"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现场安全评价工作人员</w:t>
            </w:r>
          </w:p>
        </w:tc>
        <w:tc>
          <w:tcPr>
            <w:tcW w:w="6690" w:type="dxa"/>
            <w:gridSpan w:val="7"/>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王安民、袁成龙、方敏、吴鹏程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53" w:hRule="atLeast"/>
        </w:trPr>
        <w:tc>
          <w:tcPr>
            <w:tcW w:w="1905" w:type="dxa"/>
            <w:tcBorders>
              <w:tl2br w:val="nil"/>
              <w:tr2bl w:val="nil"/>
            </w:tcBorders>
            <w:textDirection w:val="tbLrV"/>
            <w:vAlign w:val="center"/>
          </w:tcPr>
          <w:p>
            <w:pPr>
              <w:spacing w:line="240" w:lineRule="auto"/>
              <w:jc w:val="center"/>
              <w:rPr>
                <w:rFonts w:hint="eastAsia"/>
                <w:sz w:val="21"/>
                <w:szCs w:val="21"/>
                <w:vertAlign w:val="baseline"/>
                <w:lang w:val="en-US" w:eastAsia="zh-CN"/>
              </w:rPr>
            </w:pPr>
            <w:r>
              <w:rPr>
                <w:rFonts w:hint="eastAsia"/>
                <w:b/>
                <w:bCs/>
                <w:sz w:val="21"/>
                <w:szCs w:val="21"/>
                <w:vertAlign w:val="baseline"/>
                <w:lang w:val="en-US" w:eastAsia="zh-CN"/>
              </w:rPr>
              <w:t xml:space="preserve"> </w:t>
            </w:r>
            <w:r>
              <w:rPr>
                <w:rFonts w:hint="eastAsia"/>
                <w:b/>
                <w:bCs/>
                <w:sz w:val="21"/>
                <w:szCs w:val="21"/>
                <w:vertAlign w:val="baseline"/>
                <w:lang w:eastAsia="zh-CN"/>
              </w:rPr>
              <w:t>现</w:t>
            </w:r>
            <w:r>
              <w:rPr>
                <w:rFonts w:hint="eastAsia"/>
                <w:b/>
                <w:bCs/>
                <w:sz w:val="21"/>
                <w:szCs w:val="21"/>
                <w:vertAlign w:val="baseline"/>
                <w:lang w:val="en-US" w:eastAsia="zh-CN"/>
              </w:rPr>
              <w:t xml:space="preserve"> </w:t>
            </w:r>
            <w:r>
              <w:rPr>
                <w:rFonts w:hint="eastAsia"/>
                <w:b/>
                <w:bCs/>
                <w:sz w:val="21"/>
                <w:szCs w:val="21"/>
                <w:vertAlign w:val="baseline"/>
                <w:lang w:eastAsia="zh-CN"/>
              </w:rPr>
              <w:t>场</w:t>
            </w:r>
            <w:r>
              <w:rPr>
                <w:rFonts w:hint="eastAsia"/>
                <w:b/>
                <w:bCs/>
                <w:sz w:val="21"/>
                <w:szCs w:val="21"/>
                <w:vertAlign w:val="baseline"/>
                <w:lang w:val="en-US" w:eastAsia="zh-CN"/>
              </w:rPr>
              <w:t xml:space="preserve"> </w:t>
            </w:r>
            <w:r>
              <w:rPr>
                <w:rFonts w:hint="eastAsia"/>
                <w:b/>
                <w:bCs/>
                <w:sz w:val="21"/>
                <w:szCs w:val="21"/>
                <w:vertAlign w:val="baseline"/>
                <w:lang w:eastAsia="zh-CN"/>
              </w:rPr>
              <w:t>评</w:t>
            </w:r>
            <w:r>
              <w:rPr>
                <w:rFonts w:hint="eastAsia"/>
                <w:b/>
                <w:bCs/>
                <w:sz w:val="21"/>
                <w:szCs w:val="21"/>
                <w:vertAlign w:val="baseline"/>
                <w:lang w:val="en-US" w:eastAsia="zh-CN"/>
              </w:rPr>
              <w:t xml:space="preserve"> </w:t>
            </w:r>
            <w:r>
              <w:rPr>
                <w:rFonts w:hint="eastAsia"/>
                <w:b/>
                <w:bCs/>
                <w:sz w:val="21"/>
                <w:szCs w:val="21"/>
                <w:vertAlign w:val="baseline"/>
                <w:lang w:eastAsia="zh-CN"/>
              </w:rPr>
              <w:t>价</w:t>
            </w:r>
            <w:r>
              <w:rPr>
                <w:rFonts w:hint="eastAsia"/>
                <w:b/>
                <w:bCs/>
                <w:sz w:val="21"/>
                <w:szCs w:val="21"/>
                <w:vertAlign w:val="baseline"/>
                <w:lang w:val="en-US" w:eastAsia="zh-CN"/>
              </w:rPr>
              <w:t xml:space="preserve"> </w:t>
            </w:r>
            <w:r>
              <w:rPr>
                <w:rFonts w:hint="eastAsia"/>
                <w:b/>
                <w:bCs/>
                <w:sz w:val="21"/>
                <w:szCs w:val="21"/>
                <w:vertAlign w:val="baseline"/>
                <w:lang w:eastAsia="zh-CN"/>
              </w:rPr>
              <w:t>主</w:t>
            </w:r>
            <w:r>
              <w:rPr>
                <w:rFonts w:hint="eastAsia"/>
                <w:b/>
                <w:bCs/>
                <w:sz w:val="21"/>
                <w:szCs w:val="21"/>
                <w:vertAlign w:val="baseline"/>
                <w:lang w:val="en-US" w:eastAsia="zh-CN"/>
              </w:rPr>
              <w:t xml:space="preserve"> </w:t>
            </w:r>
            <w:r>
              <w:rPr>
                <w:rFonts w:hint="eastAsia"/>
                <w:b/>
                <w:bCs/>
                <w:sz w:val="21"/>
                <w:szCs w:val="21"/>
                <w:vertAlign w:val="baseline"/>
                <w:lang w:eastAsia="zh-CN"/>
              </w:rPr>
              <w:t>要</w:t>
            </w:r>
            <w:r>
              <w:rPr>
                <w:rFonts w:hint="eastAsia"/>
                <w:b/>
                <w:bCs/>
                <w:sz w:val="21"/>
                <w:szCs w:val="21"/>
                <w:vertAlign w:val="baseline"/>
                <w:lang w:val="en-US" w:eastAsia="zh-CN"/>
              </w:rPr>
              <w:t xml:space="preserve"> </w:t>
            </w:r>
            <w:r>
              <w:rPr>
                <w:rFonts w:hint="eastAsia"/>
                <w:b/>
                <w:bCs/>
                <w:sz w:val="21"/>
                <w:szCs w:val="21"/>
                <w:vertAlign w:val="baseline"/>
                <w:lang w:eastAsia="zh-CN"/>
              </w:rPr>
              <w:t>任</w:t>
            </w:r>
            <w:r>
              <w:rPr>
                <w:rFonts w:hint="eastAsia"/>
                <w:b/>
                <w:bCs/>
                <w:sz w:val="21"/>
                <w:szCs w:val="21"/>
                <w:vertAlign w:val="baseline"/>
                <w:lang w:val="en-US" w:eastAsia="zh-CN"/>
              </w:rPr>
              <w:t xml:space="preserve">  </w:t>
            </w:r>
            <w:r>
              <w:rPr>
                <w:rFonts w:hint="eastAsia"/>
                <w:b/>
                <w:bCs/>
                <w:sz w:val="21"/>
                <w:szCs w:val="21"/>
                <w:vertAlign w:val="baseline"/>
                <w:lang w:eastAsia="zh-CN"/>
              </w:rPr>
              <w:t>务</w:t>
            </w:r>
          </w:p>
        </w:tc>
        <w:tc>
          <w:tcPr>
            <w:tcW w:w="6690" w:type="dxa"/>
            <w:gridSpan w:val="7"/>
            <w:tcBorders>
              <w:tl2br w:val="nil"/>
              <w:tr2bl w:val="nil"/>
            </w:tcBorders>
            <w:vAlign w:val="center"/>
          </w:tcPr>
          <w:p>
            <w:pPr>
              <w:spacing w:line="240" w:lineRule="auto"/>
              <w:ind w:firstLine="420" w:firstLineChars="200"/>
              <w:jc w:val="left"/>
              <w:rPr>
                <w:rFonts w:hint="eastAsia"/>
                <w:color w:val="auto"/>
                <w:sz w:val="21"/>
                <w:szCs w:val="21"/>
                <w:vertAlign w:val="baseline"/>
                <w:lang w:eastAsia="zh-CN"/>
              </w:rPr>
            </w:pPr>
            <w:r>
              <w:rPr>
                <w:rFonts w:hint="eastAsia"/>
                <w:color w:val="auto"/>
                <w:sz w:val="21"/>
                <w:szCs w:val="21"/>
                <w:vertAlign w:val="baseline"/>
                <w:lang w:eastAsia="zh-CN"/>
              </w:rPr>
              <w:t>受安徽省池州市芦冲矿业有限公司的委托，我公司对其矿山进行安全现状评价工作，成立了本项目安全评价组。评价组收集了国家有关法律、法规、技术标准和规范，编制了安全现状评价现场调查表，确定了评价程序和方法，该项目评价组于20</w:t>
            </w:r>
            <w:r>
              <w:rPr>
                <w:rFonts w:hint="eastAsia"/>
                <w:color w:val="auto"/>
                <w:sz w:val="21"/>
                <w:szCs w:val="21"/>
                <w:vertAlign w:val="baseline"/>
                <w:lang w:val="en-US" w:eastAsia="zh-CN"/>
              </w:rPr>
              <w:t>20</w:t>
            </w:r>
            <w:r>
              <w:rPr>
                <w:rFonts w:hint="eastAsia"/>
                <w:color w:val="auto"/>
                <w:sz w:val="21"/>
                <w:szCs w:val="21"/>
                <w:vertAlign w:val="baseline"/>
                <w:lang w:eastAsia="zh-CN"/>
              </w:rPr>
              <w:t>年</w:t>
            </w:r>
            <w:r>
              <w:rPr>
                <w:rFonts w:hint="eastAsia"/>
                <w:color w:val="auto"/>
                <w:sz w:val="21"/>
                <w:szCs w:val="21"/>
                <w:vertAlign w:val="baseline"/>
                <w:lang w:val="en-US" w:eastAsia="zh-CN"/>
              </w:rPr>
              <w:t>7月16日</w:t>
            </w:r>
            <w:r>
              <w:rPr>
                <w:rFonts w:hint="eastAsia"/>
                <w:color w:val="auto"/>
                <w:sz w:val="21"/>
                <w:szCs w:val="21"/>
                <w:vertAlign w:val="baseline"/>
                <w:lang w:eastAsia="zh-CN"/>
              </w:rPr>
              <w:t>进入该矿现场，进行现场调查和资料收集，对调查中发现的主要问题书面反馈到矿，并要求对其整改。</w:t>
            </w:r>
          </w:p>
          <w:p>
            <w:pPr>
              <w:spacing w:line="240" w:lineRule="auto"/>
              <w:ind w:firstLine="420" w:firstLineChars="200"/>
              <w:jc w:val="left"/>
              <w:rPr>
                <w:rFonts w:hint="eastAsia"/>
                <w:sz w:val="21"/>
                <w:szCs w:val="21"/>
                <w:vertAlign w:val="baseline"/>
                <w:lang w:eastAsia="zh-CN"/>
              </w:rPr>
            </w:pPr>
            <w:r>
              <w:rPr>
                <w:rFonts w:hint="eastAsia"/>
                <w:color w:val="auto"/>
                <w:sz w:val="21"/>
                <w:szCs w:val="21"/>
                <w:vertAlign w:val="baseline"/>
                <w:lang w:eastAsia="zh-CN"/>
              </w:rPr>
              <w:t>评价组在调查、收集资料的基础上，对该矿露天开采的安全管理、采矿、供电、破碎、采场运输、职业卫生等系统的主要危险、有害因素进行辨识与分析，在此基础上采用定性定量的评价方法进行安全评价，查找出存在的问题与隐患，并提出安全对策措施及建议，形成评价结论，同时对照非煤矿山企业安全生产许可证必须具备的安全生产条件得出专项评价结论，为其申领安全生产许可证延续工作提供依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5" w:hRule="atLeast"/>
        </w:trPr>
        <w:tc>
          <w:tcPr>
            <w:tcW w:w="1905" w:type="dxa"/>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现场调查时间</w:t>
            </w:r>
          </w:p>
        </w:tc>
        <w:tc>
          <w:tcPr>
            <w:tcW w:w="3015" w:type="dxa"/>
            <w:gridSpan w:val="3"/>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20</w:t>
            </w:r>
            <w:r>
              <w:rPr>
                <w:rFonts w:hint="eastAsia"/>
                <w:sz w:val="21"/>
                <w:szCs w:val="21"/>
                <w:vertAlign w:val="baseline"/>
                <w:lang w:val="en-US" w:eastAsia="zh-CN"/>
              </w:rPr>
              <w:t>20年7</w:t>
            </w:r>
            <w:r>
              <w:rPr>
                <w:rFonts w:hint="eastAsia"/>
                <w:sz w:val="21"/>
                <w:szCs w:val="21"/>
                <w:vertAlign w:val="baseline"/>
                <w:lang w:eastAsia="zh-CN"/>
              </w:rPr>
              <w:t>月</w:t>
            </w:r>
            <w:r>
              <w:rPr>
                <w:rFonts w:hint="eastAsia"/>
                <w:sz w:val="21"/>
                <w:szCs w:val="21"/>
                <w:vertAlign w:val="baseline"/>
                <w:lang w:val="en-US" w:eastAsia="zh-CN"/>
              </w:rPr>
              <w:t>16日</w:t>
            </w:r>
          </w:p>
        </w:tc>
        <w:tc>
          <w:tcPr>
            <w:tcW w:w="1875" w:type="dxa"/>
            <w:gridSpan w:val="3"/>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提交报告时间</w:t>
            </w:r>
          </w:p>
        </w:tc>
        <w:tc>
          <w:tcPr>
            <w:tcW w:w="1800" w:type="dxa"/>
            <w:tcBorders>
              <w:tl2br w:val="nil"/>
              <w:tr2bl w:val="nil"/>
            </w:tcBorders>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2020年7月30日</w:t>
            </w:r>
          </w:p>
        </w:tc>
      </w:tr>
    </w:tbl>
    <w:p>
      <w:pPr>
        <w:spacing w:line="240" w:lineRule="auto"/>
        <w:jc w:val="center"/>
        <w:rPr>
          <w:rFonts w:hint="eastAsia"/>
          <w:b/>
          <w:bCs/>
          <w:sz w:val="32"/>
          <w:szCs w:val="32"/>
          <w:lang w:val="en-US" w:eastAsia="zh-CN"/>
        </w:rPr>
      </w:pPr>
      <w:r>
        <w:rPr>
          <w:rFonts w:hint="eastAsia"/>
          <w:b/>
          <w:bCs/>
          <w:sz w:val="32"/>
          <w:szCs w:val="32"/>
          <w:lang w:val="en-US" w:eastAsia="zh-CN"/>
        </w:rPr>
        <w:t>安徽省池州市芦冲矿业有限公司安全现状评价</w:t>
      </w:r>
    </w:p>
    <w:p>
      <w:pPr>
        <w:spacing w:line="240" w:lineRule="auto"/>
        <w:jc w:val="both"/>
        <w:rPr>
          <w:rFonts w:hint="eastAsia"/>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240" w:lineRule="auto"/>
        <w:jc w:val="both"/>
        <w:rPr>
          <w:rFonts w:hint="eastAsia"/>
          <w:b/>
          <w:bCs/>
          <w:sz w:val="32"/>
          <w:szCs w:val="32"/>
          <w:lang w:val="en-US" w:eastAsia="zh-CN"/>
        </w:rPr>
      </w:pPr>
      <w:r>
        <w:rPr>
          <w:rFonts w:hint="eastAsia"/>
          <w:b/>
          <w:bCs/>
          <w:sz w:val="32"/>
          <w:szCs w:val="32"/>
          <w:lang w:val="en-US" w:eastAsia="zh-CN"/>
        </w:rPr>
        <w:drawing>
          <wp:inline distT="0" distB="0" distL="114300" distR="114300">
            <wp:extent cx="5266690" cy="3950335"/>
            <wp:effectExtent l="0" t="0" r="10160" b="12065"/>
            <wp:docPr id="4" name="图片 4" descr="3712b3c988b4ab5a61a4b031f48f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12b3c988b4ab5a61a4b031f48f20c"/>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bookmarkStart w:id="0" w:name="_GoBack"/>
      <w:r>
        <w:rPr>
          <w:rFonts w:hint="eastAsia"/>
          <w:b/>
          <w:bCs/>
          <w:sz w:val="32"/>
          <w:szCs w:val="32"/>
          <w:lang w:val="en-US" w:eastAsia="zh-CN"/>
        </w:rPr>
        <w:drawing>
          <wp:inline distT="0" distB="0" distL="114300" distR="114300">
            <wp:extent cx="5267325" cy="3600450"/>
            <wp:effectExtent l="0" t="0" r="9525" b="0"/>
            <wp:docPr id="3" name="图片 3"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1"/>
                    <pic:cNvPicPr>
                      <a:picLocks noChangeAspect="1"/>
                    </pic:cNvPicPr>
                  </pic:nvPicPr>
                  <pic:blipFill>
                    <a:blip r:embed="rId5"/>
                    <a:stretch>
                      <a:fillRect/>
                    </a:stretch>
                  </pic:blipFill>
                  <pic:spPr>
                    <a:xfrm>
                      <a:off x="0" y="0"/>
                      <a:ext cx="5267325" cy="3600450"/>
                    </a:xfrm>
                    <a:prstGeom prst="rect">
                      <a:avLst/>
                    </a:prstGeom>
                  </pic:spPr>
                </pic:pic>
              </a:graphicData>
            </a:graphic>
          </wp:inline>
        </w:drawing>
      </w:r>
      <w:bookmarkEnd w:id="0"/>
      <w:r>
        <w:rPr>
          <w:rFonts w:hint="eastAsia"/>
          <w:b/>
          <w:bCs/>
          <w:sz w:val="32"/>
          <w:szCs w:val="32"/>
          <w:lang w:val="en-US" w:eastAsia="zh-CN"/>
        </w:rPr>
        <w:drawing>
          <wp:inline distT="0" distB="0" distL="114300" distR="114300">
            <wp:extent cx="5257165" cy="3942715"/>
            <wp:effectExtent l="0" t="0" r="635" b="635"/>
            <wp:docPr id="2" name="图片 2" descr="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20"/>
                    <pic:cNvPicPr>
                      <a:picLocks noChangeAspect="1"/>
                    </pic:cNvPicPr>
                  </pic:nvPicPr>
                  <pic:blipFill>
                    <a:blip r:embed="rId6"/>
                    <a:stretch>
                      <a:fillRect/>
                    </a:stretch>
                  </pic:blipFill>
                  <pic:spPr>
                    <a:xfrm>
                      <a:off x="0" y="0"/>
                      <a:ext cx="5257165" cy="3942715"/>
                    </a:xfrm>
                    <a:prstGeom prst="rect">
                      <a:avLst/>
                    </a:prstGeom>
                  </pic:spPr>
                </pic:pic>
              </a:graphicData>
            </a:graphic>
          </wp:inline>
        </w:drawing>
      </w:r>
      <w:r>
        <w:rPr>
          <w:rFonts w:hint="eastAsia"/>
          <w:b/>
          <w:bCs/>
          <w:sz w:val="32"/>
          <w:szCs w:val="32"/>
          <w:lang w:val="en-US" w:eastAsia="zh-CN"/>
        </w:rPr>
        <w:drawing>
          <wp:inline distT="0" distB="0" distL="114300" distR="114300">
            <wp:extent cx="5294630" cy="4257040"/>
            <wp:effectExtent l="0" t="0" r="1270" b="10160"/>
            <wp:docPr id="1" name="图片 1" descr="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404"/>
                    <pic:cNvPicPr>
                      <a:picLocks noChangeAspect="1"/>
                    </pic:cNvPicPr>
                  </pic:nvPicPr>
                  <pic:blipFill>
                    <a:blip r:embed="rId7"/>
                    <a:stretch>
                      <a:fillRect/>
                    </a:stretch>
                  </pic:blipFill>
                  <pic:spPr>
                    <a:xfrm>
                      <a:off x="0" y="0"/>
                      <a:ext cx="5294630" cy="425704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panose1 w:val="020B06040202020202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A02AEE"/>
    <w:rsid w:val="030306AE"/>
    <w:rsid w:val="03046DCD"/>
    <w:rsid w:val="04671A3D"/>
    <w:rsid w:val="0559244F"/>
    <w:rsid w:val="0B476034"/>
    <w:rsid w:val="0D307C9B"/>
    <w:rsid w:val="0E3A1443"/>
    <w:rsid w:val="14197379"/>
    <w:rsid w:val="145A0295"/>
    <w:rsid w:val="156E2A24"/>
    <w:rsid w:val="16041BF2"/>
    <w:rsid w:val="1B596200"/>
    <w:rsid w:val="2415179A"/>
    <w:rsid w:val="2DA02AEE"/>
    <w:rsid w:val="2EF5444F"/>
    <w:rsid w:val="2FA51B8C"/>
    <w:rsid w:val="2FCC66E7"/>
    <w:rsid w:val="33EC312A"/>
    <w:rsid w:val="34487C85"/>
    <w:rsid w:val="3507345E"/>
    <w:rsid w:val="3EEE3F1B"/>
    <w:rsid w:val="41395972"/>
    <w:rsid w:val="571F6BC4"/>
    <w:rsid w:val="5A542876"/>
    <w:rsid w:val="654372B4"/>
    <w:rsid w:val="6C8A1827"/>
    <w:rsid w:val="6CAB378E"/>
    <w:rsid w:val="6D535020"/>
    <w:rsid w:val="6E5C6961"/>
    <w:rsid w:val="75AD4065"/>
    <w:rsid w:val="774B432A"/>
    <w:rsid w:val="78713F2A"/>
    <w:rsid w:val="7A6B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2018-06-11T08:23:00Z</dcterms:created>
  <dc:creator>Administrator</dc:creator>
  <cp:lastModifiedBy>九日</cp:lastModifiedBy>
  <cp:lastPrinted>2020-06-23T07:56:00Z</cp:lastPrinted>
  <dcterms:modified xsi:type="dcterms:W3CDTF">2021-10-27T10:49:19Z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D9E869FBC4F543F79F030885D9647440</vt:lpwstr>
  </property>
</Properties>
</file>