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510" w:tblpY="2403"/>
        <w:tblOverlap w:val="never"/>
        <w:tblW w:w="859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5"/>
        <w:gridCol w:w="2617"/>
        <w:gridCol w:w="158"/>
        <w:gridCol w:w="240"/>
        <w:gridCol w:w="1387"/>
        <w:gridCol w:w="202"/>
        <w:gridCol w:w="286"/>
        <w:gridCol w:w="18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firstLine="632" w:firstLineChars="300"/>
              <w:jc w:val="both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项目规模</w:t>
            </w:r>
          </w:p>
        </w:tc>
        <w:tc>
          <w:tcPr>
            <w:tcW w:w="27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both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13.87</w:t>
            </w:r>
            <w:r>
              <w:rPr>
                <w:rFonts w:hint="eastAsia" w:ascii="宋体" w:hAnsi="宋体"/>
                <w:sz w:val="21"/>
                <w:szCs w:val="21"/>
              </w:rPr>
              <w:t>×10</w:t>
            </w:r>
            <w:r>
              <w:rPr>
                <w:rFonts w:hint="eastAsia" w:ascii="宋体" w:hAnsi="宋体"/>
                <w:sz w:val="21"/>
                <w:szCs w:val="21"/>
                <w:vertAlign w:val="superscript"/>
              </w:rPr>
              <w:t>4</w:t>
            </w:r>
            <w:r>
              <w:rPr>
                <w:rFonts w:hint="eastAsia" w:ascii="宋体" w:hAnsi="宋体"/>
                <w:sz w:val="21"/>
                <w:szCs w:val="21"/>
              </w:rPr>
              <w:t>m</w:t>
            </w:r>
            <w:r>
              <w:rPr>
                <w:rFonts w:hint="eastAsia" w:ascii="宋体" w:hAnsi="宋体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（库容）</w:t>
            </w:r>
          </w:p>
        </w:tc>
        <w:tc>
          <w:tcPr>
            <w:tcW w:w="1829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企业性质</w:t>
            </w:r>
          </w:p>
        </w:tc>
        <w:tc>
          <w:tcPr>
            <w:tcW w:w="20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1"/>
                <w:szCs w:val="21"/>
                <w:vertAlign w:val="baseline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有限责任</w:t>
            </w:r>
            <w:r>
              <w:rPr>
                <w:sz w:val="21"/>
                <w:szCs w:val="21"/>
              </w:rPr>
              <w:t>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评价类别</w:t>
            </w:r>
          </w:p>
        </w:tc>
        <w:tc>
          <w:tcPr>
            <w:tcW w:w="27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安全现状评价</w:t>
            </w:r>
          </w:p>
        </w:tc>
        <w:tc>
          <w:tcPr>
            <w:tcW w:w="1829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所属业务类别</w:t>
            </w:r>
          </w:p>
        </w:tc>
        <w:tc>
          <w:tcPr>
            <w:tcW w:w="20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2.b非金属矿采选业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1905" w:type="dxa"/>
            <w:tcBorders>
              <w:tl2br w:val="nil"/>
              <w:tr2bl w:val="nil"/>
            </w:tcBorders>
            <w:textDirection w:val="tbLr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469" w:afterLines="150" w:line="480" w:lineRule="auto"/>
              <w:ind w:right="113"/>
              <w:jc w:val="both"/>
              <w:textAlignment w:val="auto"/>
              <w:outlineLvl w:val="9"/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469" w:afterLines="150" w:line="480" w:lineRule="auto"/>
              <w:ind w:left="0" w:leftChars="0" w:right="113" w:firstLine="0" w:firstLineChars="0"/>
              <w:jc w:val="both"/>
              <w:textAlignment w:val="auto"/>
              <w:outlineLvl w:val="9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项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目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简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介</w:t>
            </w:r>
          </w:p>
        </w:tc>
        <w:tc>
          <w:tcPr>
            <w:tcW w:w="6690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安徽省祁门县三宝选矿厂尾矿库位于祁门县柏溪乡新光村境内，该尾矿库设计总库容为13.87×10</w:t>
            </w:r>
            <w:r>
              <w:rPr>
                <w:rFonts w:hint="eastAsia"/>
                <w:sz w:val="21"/>
                <w:szCs w:val="21"/>
                <w:vertAlign w:val="superscript"/>
                <w:lang w:eastAsia="zh-CN"/>
              </w:rPr>
              <w:t>4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m</w:t>
            </w:r>
            <w:r>
              <w:rPr>
                <w:rFonts w:hint="eastAsia"/>
                <w:sz w:val="21"/>
                <w:szCs w:val="21"/>
                <w:vertAlign w:val="superscript"/>
                <w:lang w:eastAsia="zh-CN"/>
              </w:rPr>
              <w:t>3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，有效库容11.2×10</w:t>
            </w:r>
            <w:r>
              <w:rPr>
                <w:rFonts w:hint="eastAsia"/>
                <w:sz w:val="21"/>
                <w:szCs w:val="21"/>
                <w:vertAlign w:val="superscript"/>
                <w:lang w:eastAsia="zh-CN"/>
              </w:rPr>
              <w:t>4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m</w:t>
            </w:r>
            <w:r>
              <w:rPr>
                <w:rFonts w:hint="eastAsia"/>
                <w:sz w:val="21"/>
                <w:szCs w:val="21"/>
                <w:vertAlign w:val="superscript"/>
                <w:lang w:eastAsia="zh-CN"/>
              </w:rPr>
              <w:t>3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，最大坝高10m，属五等别尾矿库，其主要构筑物已按5级建设。现状最大坝高10m（+43.0m～+53.0m），滩顶高程约+52.0m，已存尾约9.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×10</w:t>
            </w:r>
            <w:r>
              <w:rPr>
                <w:rFonts w:hint="eastAsia"/>
                <w:sz w:val="21"/>
                <w:szCs w:val="21"/>
                <w:vertAlign w:val="superscript"/>
                <w:lang w:eastAsia="zh-CN"/>
              </w:rPr>
              <w:t>4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m</w:t>
            </w:r>
            <w:r>
              <w:rPr>
                <w:rFonts w:hint="eastAsia"/>
                <w:sz w:val="21"/>
                <w:szCs w:val="21"/>
                <w:vertAlign w:val="superscript"/>
                <w:lang w:eastAsia="zh-CN"/>
              </w:rPr>
              <w:t>3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。</w:t>
            </w:r>
          </w:p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设计4#主坝坝高10m（+43.0m～+53.0m），其最终坝顶标高为+53.0m，顶宽3m，外坡比1︰2.0，内坡比1︰1.75。现状4#主坝坝高3～10m，顶宽3～4m，外坡比约为1︰2.0，但局部坝体偏陡，基基本符合设计要求。目前主坝体由于连续强暴雨的原因在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+48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m标高附近出现了渗漏，局部出现沼泽化现象。</w:t>
            </w:r>
          </w:p>
          <w:p>
            <w:pPr>
              <w:spacing w:line="240" w:lineRule="auto"/>
              <w:ind w:firstLine="420" w:firstLineChars="200"/>
              <w:jc w:val="left"/>
              <w:rPr>
                <w:sz w:val="21"/>
                <w:szCs w:val="21"/>
                <w:vertAlign w:val="baseline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该尾矿库虽将退役，但企业仍按法律、法规要求，安排一名副厂长专门负责退役尾矿库的安全管理工作，还专门配备了一名安全管理员，坚持持证上岗。按原制定的安全检查、巡逻护坝等制度行事，开展常规性工作。根据该尾矿库的特点，该库特制定了洪水漫坝事故的应急救援预案，且每半底进行一次演练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项目负责人</w:t>
            </w:r>
          </w:p>
        </w:tc>
        <w:tc>
          <w:tcPr>
            <w:tcW w:w="2617" w:type="dxa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袁成龙</w:t>
            </w:r>
          </w:p>
        </w:tc>
        <w:tc>
          <w:tcPr>
            <w:tcW w:w="1785" w:type="dxa"/>
            <w:gridSpan w:val="3"/>
            <w:tcBorders>
              <w:left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项目编号</w:t>
            </w:r>
          </w:p>
        </w:tc>
        <w:tc>
          <w:tcPr>
            <w:tcW w:w="2288" w:type="dxa"/>
            <w:gridSpan w:val="3"/>
            <w:tcBorders>
              <w:left w:val="single" w:color="auto" w:sz="4" w:space="0"/>
              <w:tl2br w:val="nil"/>
              <w:tr2bl w:val="nil"/>
            </w:tcBorders>
            <w:vAlign w:val="top"/>
          </w:tcPr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皖安评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2020070120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技术负责人</w:t>
            </w:r>
          </w:p>
        </w:tc>
        <w:tc>
          <w:tcPr>
            <w:tcW w:w="30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董书满</w:t>
            </w:r>
          </w:p>
        </w:tc>
        <w:tc>
          <w:tcPr>
            <w:tcW w:w="187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过程控制负责人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吴鹏程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评价报告编制人</w:t>
            </w:r>
          </w:p>
        </w:tc>
        <w:tc>
          <w:tcPr>
            <w:tcW w:w="30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袁成龙</w:t>
            </w:r>
          </w:p>
        </w:tc>
        <w:tc>
          <w:tcPr>
            <w:tcW w:w="187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报告审核人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吴光辉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参与评价的安全评价师</w:t>
            </w:r>
          </w:p>
        </w:tc>
        <w:tc>
          <w:tcPr>
            <w:tcW w:w="6690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方敏、董书满、袁成龙、吴鹏程、郭世文、吴光辉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参与评价的注册安全工程师</w:t>
            </w:r>
          </w:p>
        </w:tc>
        <w:tc>
          <w:tcPr>
            <w:tcW w:w="6690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sz w:val="21"/>
                <w:szCs w:val="21"/>
                <w:vertAlign w:val="baseline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董书满、吴光辉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  <w:t>现场安全评价工作人员</w:t>
            </w:r>
          </w:p>
        </w:tc>
        <w:tc>
          <w:tcPr>
            <w:tcW w:w="6690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方敏、袁成龙、吴鹏程、郭世文、吴光辉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3" w:hRule="atLeast"/>
        </w:trPr>
        <w:tc>
          <w:tcPr>
            <w:tcW w:w="1905" w:type="dxa"/>
            <w:tcBorders>
              <w:tl2br w:val="nil"/>
              <w:tr2bl w:val="nil"/>
            </w:tcBorders>
            <w:textDirection w:val="tbLrV"/>
            <w:vAlign w:val="center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现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场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评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价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主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要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任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务</w:t>
            </w:r>
          </w:p>
        </w:tc>
        <w:tc>
          <w:tcPr>
            <w:tcW w:w="6690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受安徽省祁门县三宝选矿厂的委托，我公司接受对其尾矿库进行安全现状评价工作，并成立了该尾矿库安全现状评价组。评价组收集了国家有关法律、法规、技术标准和规范，编制了安全现状评价现场调查表，确定评价程序和方法，本评价组于20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月先后多次进入该尾矿库现场，进行了现场调查和收集资料，对调查中发现的主要问题书面反馈到库方，并对其整改情况进行复核。</w:t>
            </w:r>
          </w:p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评价组在调查、收集资料的基础上，对该尾矿库库区、尾矿坝体、排洪、安全管理等系统的主要危险、有害因素进行辨识与分析，对其安全设施，采用定性、定量的评价方法进行安全评价，查找出安全设施存在的隐患，提出安全对策措施及建议，同时还对该尾矿库现状的危险危害程度及安全度分别进行评价，形成该尾矿库闭库前安全现状评价结论，为闭库工程安全设施设计提供参考依据，同时也为政府监管部门对将退役的尾矿库安全监管提供基础资料。</w:t>
            </w:r>
          </w:p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现场调查时间</w:t>
            </w:r>
          </w:p>
        </w:tc>
        <w:tc>
          <w:tcPr>
            <w:tcW w:w="30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20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年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24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日、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月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29日</w:t>
            </w:r>
          </w:p>
        </w:tc>
        <w:tc>
          <w:tcPr>
            <w:tcW w:w="187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eastAsia="zh-CN"/>
              </w:rPr>
              <w:t>提交报告时间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2020年9月12日</w:t>
            </w:r>
          </w:p>
        </w:tc>
      </w:tr>
    </w:tbl>
    <w:p>
      <w:pPr>
        <w:spacing w:line="240" w:lineRule="auto"/>
        <w:ind w:firstLine="562" w:firstLineChars="200"/>
        <w:jc w:val="left"/>
        <w:rPr>
          <w:rFonts w:hint="eastAsia"/>
          <w:b/>
          <w:bCs/>
          <w:sz w:val="28"/>
          <w:szCs w:val="28"/>
          <w:vertAlign w:val="baselin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安徽省祁门县三宝金属选矿厂尾矿库闭库前安全现状评价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779a54c4acf8060e65a17f83ceaf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9a54c4acf8060e65a17f83ceaf5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fdf5f0e945e6ddd0aeb176755cbb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f5f0e945e6ddd0aeb176755cbb3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00015" cy="3600450"/>
            <wp:effectExtent l="0" t="0" r="635" b="0"/>
            <wp:docPr id="4" name="图片 4" descr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10175" cy="3705225"/>
            <wp:effectExtent l="0" t="0" r="9525" b="9525"/>
            <wp:docPr id="3" name="图片 3" descr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189855" cy="3600450"/>
            <wp:effectExtent l="0" t="0" r="10795" b="0"/>
            <wp:docPr id="2" name="图片 2" descr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28590" cy="3600450"/>
            <wp:effectExtent l="0" t="0" r="10160" b="0"/>
            <wp:docPr id="1" name="图片 1" descr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A02AEE"/>
    <w:rsid w:val="0559244F"/>
    <w:rsid w:val="0B476034"/>
    <w:rsid w:val="0D307C9B"/>
    <w:rsid w:val="10BB58CE"/>
    <w:rsid w:val="12D63982"/>
    <w:rsid w:val="143438B1"/>
    <w:rsid w:val="156E2A24"/>
    <w:rsid w:val="1B596200"/>
    <w:rsid w:val="2415179A"/>
    <w:rsid w:val="2894139B"/>
    <w:rsid w:val="2DA02AEE"/>
    <w:rsid w:val="2E8E415F"/>
    <w:rsid w:val="2FCC66E7"/>
    <w:rsid w:val="327D4640"/>
    <w:rsid w:val="33EC312A"/>
    <w:rsid w:val="3C737463"/>
    <w:rsid w:val="3EEE3F1B"/>
    <w:rsid w:val="41395972"/>
    <w:rsid w:val="52EF1FC5"/>
    <w:rsid w:val="571F6BC4"/>
    <w:rsid w:val="5A542876"/>
    <w:rsid w:val="6B3A03F7"/>
    <w:rsid w:val="6C8A1827"/>
    <w:rsid w:val="6CAB378E"/>
    <w:rsid w:val="6D055D06"/>
    <w:rsid w:val="6D535020"/>
    <w:rsid w:val="6E5C6961"/>
    <w:rsid w:val="732737D9"/>
    <w:rsid w:val="75AD4065"/>
    <w:rsid w:val="75FB045E"/>
    <w:rsid w:val="774B432A"/>
    <w:rsid w:val="78713F2A"/>
    <w:rsid w:val="7A6B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2018-06-11T08:23:00Z</dcterms:created>
  <dc:creator>Administrator</dc:creator>
  <cp:lastModifiedBy>九日</cp:lastModifiedBy>
  <dcterms:modified xsi:type="dcterms:W3CDTF">2021-11-07T01:29:13Z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87DC0F4710D94ED58C48DF195CB67CA4</vt:lpwstr>
  </property>
</Properties>
</file>