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南陵县铜铁矿业有限责任公司戴腰山铜矿安全现状评价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379"/>
        <w:gridCol w:w="31"/>
        <w:gridCol w:w="2348"/>
        <w:gridCol w:w="24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center"/>
              <w:rPr>
                <w:b/>
              </w:rPr>
            </w:pPr>
            <w:r>
              <w:rPr>
                <w:rFonts w:hint="eastAsia"/>
                <w:b/>
              </w:rPr>
              <w:t>项目规模</w:t>
            </w:r>
          </w:p>
        </w:tc>
        <w:tc>
          <w:tcPr>
            <w:tcW w:w="2410" w:type="dxa"/>
            <w:gridSpan w:val="2"/>
          </w:tcPr>
          <w:p>
            <w:pPr>
              <w:jc w:val="center"/>
            </w:pPr>
            <w:r>
              <w:rPr>
                <w:rFonts w:hint="eastAsia"/>
              </w:rPr>
              <w:t>5 万t/a</w:t>
            </w:r>
          </w:p>
        </w:tc>
        <w:tc>
          <w:tcPr>
            <w:tcW w:w="2597" w:type="dxa"/>
            <w:gridSpan w:val="2"/>
          </w:tcPr>
          <w:p>
            <w:pPr>
              <w:jc w:val="center"/>
              <w:rPr>
                <w:b/>
              </w:rPr>
            </w:pPr>
            <w:r>
              <w:rPr>
                <w:rFonts w:hint="eastAsia"/>
                <w:b/>
              </w:rPr>
              <w:t>企业性质</w:t>
            </w:r>
          </w:p>
        </w:tc>
        <w:tc>
          <w:tcPr>
            <w:tcW w:w="2131" w:type="dxa"/>
          </w:tcPr>
          <w:p>
            <w:pPr>
              <w:jc w:val="center"/>
            </w:pPr>
            <w:r>
              <w:rPr>
                <w:rFonts w:hint="eastAsia"/>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center"/>
              <w:rPr>
                <w:b/>
              </w:rPr>
            </w:pPr>
            <w:r>
              <w:rPr>
                <w:rFonts w:hint="eastAsia"/>
                <w:b/>
              </w:rPr>
              <w:t>评价类别</w:t>
            </w:r>
          </w:p>
        </w:tc>
        <w:tc>
          <w:tcPr>
            <w:tcW w:w="2410" w:type="dxa"/>
            <w:gridSpan w:val="2"/>
          </w:tcPr>
          <w:p>
            <w:pPr>
              <w:jc w:val="center"/>
            </w:pPr>
            <w:r>
              <w:rPr>
                <w:rFonts w:hint="eastAsia"/>
              </w:rPr>
              <w:t>安全现状评价</w:t>
            </w:r>
          </w:p>
        </w:tc>
        <w:tc>
          <w:tcPr>
            <w:tcW w:w="2597" w:type="dxa"/>
            <w:gridSpan w:val="2"/>
          </w:tcPr>
          <w:p>
            <w:pPr>
              <w:jc w:val="center"/>
              <w:rPr>
                <w:b/>
              </w:rPr>
            </w:pPr>
            <w:r>
              <w:rPr>
                <w:rFonts w:hint="eastAsia"/>
                <w:b/>
              </w:rPr>
              <w:t>所属业务类别</w:t>
            </w:r>
          </w:p>
        </w:tc>
        <w:tc>
          <w:tcPr>
            <w:tcW w:w="2131" w:type="dxa"/>
          </w:tcPr>
          <w:p>
            <w:pPr>
              <w:jc w:val="center"/>
            </w:pPr>
            <w:r>
              <w:rPr>
                <w:rFonts w:hint="eastAsia"/>
              </w:rPr>
              <w:t>2.a金属矿采选业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b/>
              </w:rPr>
            </w:pPr>
            <w:r>
              <w:rPr>
                <w:rFonts w:hint="eastAsia"/>
                <w:b/>
              </w:rPr>
              <w:t>项目简介</w:t>
            </w:r>
          </w:p>
        </w:tc>
        <w:tc>
          <w:tcPr>
            <w:tcW w:w="7138" w:type="dxa"/>
            <w:gridSpan w:val="5"/>
          </w:tcPr>
          <w:p>
            <w:pPr>
              <w:ind w:firstLine="420" w:firstLineChars="200"/>
            </w:pPr>
            <w:r>
              <w:rPr>
                <w:rFonts w:hint="eastAsia"/>
              </w:rPr>
              <w:t>南陵县铜铁矿业有限责任公司戴腰山铜矿位于芜湖市南陵县工山镇境内，该矿山为地下矿山，设计规模5万t/a，圈定矿体三个，Ⅰ号矿体赋存标高+237～+106米，水平宽度平均7米；Ⅱ号矿体为本区主矿体，赋存标高+226～-99米，平均厚度9.49米；Ⅲ号矿体分为Ⅲ1、Ⅲ2，赋存标高分别为+88～+19米和+85～+46米。本区矿石主要有含铜矽卡岩矿石、含铜磁铁矿矿石和磁铁矿矿石三种类型。矿区属低山丘陵地貌，地形简单。矿区水文地质、工程地质及环境地质条件均为中等，矿床开采技术条件综合归类为Ⅱ-4类型。目前矿山生产水平为+64m、0m、-50m、-100m水平，回风水平为+113m水平。</w:t>
            </w:r>
          </w:p>
          <w:p>
            <w:pPr>
              <w:ind w:firstLine="420" w:firstLineChars="200"/>
            </w:pPr>
            <w:r>
              <w:rPr>
                <w:rFonts w:hint="eastAsia"/>
              </w:rPr>
              <w:t>戴腰山铜矿采用竖井-平硐开拓；采用浅孔留矿法采矿，留设顶柱、间柱、底柱，矿柱不回采，嗣后废石充填；采用对角式通风方法，主、副井进风，回风平硐回风，主扇工作方式为抽出式，通风不良地点采用局扇通风；采用直接式排水，主泵房安装3台同型号水泵，水仓总容积满足6-8小时涌水量要求；矿井具有主井、副井和回风平硐三个安全出口；各中段、采场均具有二个或二个以上的与通往地面通道相通的安全出口；主井提升机φ3.5m，副井提升机φ2.25m，均为变频调速，副井提人、下放材料、提升废石，主井提矿；井下3t柴油机机车运输矿石和废石；主电源10</w:t>
            </w:r>
            <w:r>
              <w:rPr>
                <w:rFonts w:hint="eastAsia" w:ascii="楷体" w:hAnsi="楷体" w:eastAsia="楷体"/>
              </w:rPr>
              <w:t>kv</w:t>
            </w:r>
            <w:r>
              <w:rPr>
                <w:rFonts w:hint="eastAsia"/>
              </w:rPr>
              <w:t>，备用电源为520</w:t>
            </w:r>
            <w:r>
              <w:rPr>
                <w:rFonts w:hint="eastAsia" w:ascii="楷体" w:hAnsi="楷体" w:eastAsia="楷体"/>
              </w:rPr>
              <w:t>kw</w:t>
            </w:r>
            <w:r>
              <w:rPr>
                <w:rFonts w:hint="eastAsia"/>
              </w:rPr>
              <w:t>柴油发电机2台，地面安装630</w:t>
            </w:r>
            <w:r>
              <w:rPr>
                <w:rFonts w:hint="eastAsia" w:asciiTheme="minorEastAsia" w:hAnsiTheme="minorEastAsia"/>
              </w:rPr>
              <w:t>KVA</w:t>
            </w:r>
            <w:r>
              <w:rPr>
                <w:rFonts w:hint="eastAsia"/>
              </w:rPr>
              <w:t>变压器3台，其中1台向井下供电。备用电满足井上、下一级负荷要求；矿山采用集中供风方式；安全避险“六大系统”已建设完成。</w:t>
            </w:r>
          </w:p>
          <w:p>
            <w:pPr>
              <w:ind w:firstLine="420" w:firstLineChars="200"/>
            </w:pPr>
            <w:r>
              <w:rPr>
                <w:rFonts w:hint="eastAsia"/>
              </w:rPr>
              <w:t>南陵县铜铁矿业有限责任公司成立了安全生产委员会，下设安全科，配备了3名专职管理人员，安全管理人员及特种作业人员持证上岗。根据戴腰山铜矿特点制定了各级各类人员安全生产责任制，分岗位制定了作业规程和安全操作规程，制定了安全目标、安全例会、安全检查、安全教育培训、危险源管理、事故隐患排与整改、事故管理、应急管理、安全奖惩、档案管理等20项制度。编制了应急预案，每年进行演练，签订了救护协议。创建并保持了“安全生产标准化三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项目负责人</w:t>
            </w:r>
          </w:p>
        </w:tc>
        <w:tc>
          <w:tcPr>
            <w:tcW w:w="2410"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吴光辉</w:t>
            </w:r>
          </w:p>
        </w:tc>
        <w:tc>
          <w:tcPr>
            <w:tcW w:w="2597" w:type="dxa"/>
            <w:gridSpan w:val="2"/>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项目编号</w:t>
            </w:r>
          </w:p>
        </w:tc>
        <w:tc>
          <w:tcPr>
            <w:tcW w:w="2131" w:type="dxa"/>
            <w:vAlign w:val="center"/>
          </w:tcPr>
          <w:p>
            <w:pPr>
              <w:jc w:val="center"/>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皖安评2020080089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技术负责人</w:t>
            </w:r>
          </w:p>
        </w:tc>
        <w:tc>
          <w:tcPr>
            <w:tcW w:w="2410"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董书满</w:t>
            </w:r>
          </w:p>
        </w:tc>
        <w:tc>
          <w:tcPr>
            <w:tcW w:w="2597" w:type="dxa"/>
            <w:gridSpan w:val="2"/>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过程控制负责人</w:t>
            </w:r>
          </w:p>
        </w:tc>
        <w:tc>
          <w:tcPr>
            <w:tcW w:w="2131"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吴鹏程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评价报告编制人</w:t>
            </w:r>
          </w:p>
        </w:tc>
        <w:tc>
          <w:tcPr>
            <w:tcW w:w="2410"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吴光辉</w:t>
            </w:r>
          </w:p>
        </w:tc>
        <w:tc>
          <w:tcPr>
            <w:tcW w:w="2597" w:type="dxa"/>
            <w:gridSpan w:val="2"/>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报告审核人</w:t>
            </w:r>
          </w:p>
        </w:tc>
        <w:tc>
          <w:tcPr>
            <w:tcW w:w="2131" w:type="dxa"/>
            <w:vAlign w:val="center"/>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王安民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参与评价的安全评价师</w:t>
            </w:r>
          </w:p>
        </w:tc>
        <w:tc>
          <w:tcPr>
            <w:tcW w:w="7138" w:type="dxa"/>
            <w:gridSpan w:val="5"/>
            <w:vAlign w:val="center"/>
          </w:tcPr>
          <w:p>
            <w:r>
              <w:rPr>
                <w:rFonts w:hint="eastAsia"/>
                <w:color w:val="000000" w:themeColor="text1"/>
                <w:szCs w:val="21"/>
                <w14:textFill>
                  <w14:solidFill>
                    <w14:schemeClr w14:val="tx1"/>
                  </w14:solidFill>
                </w14:textFill>
              </w:rPr>
              <w:t>方敏、袁成龙、王陈红、郭世文、吴光辉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参与评价的注册安全工程师</w:t>
            </w:r>
          </w:p>
        </w:tc>
        <w:tc>
          <w:tcPr>
            <w:tcW w:w="7138" w:type="dxa"/>
            <w:gridSpan w:val="5"/>
            <w:vAlign w:val="center"/>
          </w:tcPr>
          <w:p>
            <w:r>
              <w:rPr>
                <w:rFonts w:hint="eastAsia"/>
                <w:color w:val="000000" w:themeColor="text1"/>
                <w:szCs w:val="21"/>
                <w14:textFill>
                  <w14:solidFill>
                    <w14:schemeClr w14:val="tx1"/>
                  </w14:solidFill>
                </w14:textFill>
              </w:rPr>
              <w:t>王陈红、吴光辉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现场安全评价工作人员</w:t>
            </w:r>
          </w:p>
        </w:tc>
        <w:tc>
          <w:tcPr>
            <w:tcW w:w="7138" w:type="dxa"/>
            <w:gridSpan w:val="5"/>
            <w:vAlign w:val="center"/>
          </w:tcPr>
          <w:p>
            <w:r>
              <w:rPr>
                <w:rFonts w:hint="eastAsia"/>
                <w:color w:val="000000" w:themeColor="text1"/>
                <w:szCs w:val="21"/>
                <w14:textFill>
                  <w14:solidFill>
                    <w14:schemeClr w14:val="tx1"/>
                  </w14:solidFill>
                </w14:textFill>
              </w:rPr>
              <w:t>方敏、袁成龙、王陈红、郭世文、吴光辉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b/>
                <w:bCs/>
                <w:color w:val="000000" w:themeColor="text1"/>
                <w:szCs w:val="21"/>
                <w14:textFill>
                  <w14:solidFill>
                    <w14:schemeClr w14:val="tx1"/>
                  </w14:solidFill>
                </w14:textFill>
              </w:rPr>
            </w:pPr>
            <w:r>
              <w:rPr>
                <w:rFonts w:hint="eastAsia"/>
                <w:b/>
              </w:rPr>
              <w:t>现场评价主要任务</w:t>
            </w:r>
          </w:p>
        </w:tc>
        <w:tc>
          <w:tcPr>
            <w:tcW w:w="7138" w:type="dxa"/>
            <w:gridSpan w:val="5"/>
            <w:vAlign w:val="center"/>
          </w:tcPr>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受南陵县铜铁矿业有限责任公司的委托，正信公司接受对其戴腰山铜矿进行安全现状评价工作，并成立了该矿山安全现状评价组。评价组收集了国家有关法律、法规、技术标准和规范，编制了安全现状评价现场调查表，确定评价程序和方法，本评价组于2020年7月先后多次进入该矿山现场，进行了现场调查和收集资料，对调查中发现的主要问题书面反馈到委托方，并对其整改情况进行复核。</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组通过对矿山地质条件、开采移动带、安全出口、采矿方法、通风、排水、供电、提升运输、安全避险系统、生产运行中的设施、设备、装置的实际运行状况及管理状况进行检查，查找该矿山在生产过程中可能存在的危险、有害因素，并确定其程度，提出合理可行的安全对策措施，清除或抑制未来生产活动中存在的危险性，以达到持久的安全生产目的，保护矿山从业人员生命安全和企业财产安全。本评价报告将作为矿山向政府安全生产监督管理部门申领《安全生产许可证》延续提供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现场调查时间</w:t>
            </w:r>
          </w:p>
        </w:tc>
        <w:tc>
          <w:tcPr>
            <w:tcW w:w="2379"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2020年7月12日</w:t>
            </w:r>
          </w:p>
        </w:tc>
        <w:tc>
          <w:tcPr>
            <w:tcW w:w="2379" w:type="dxa"/>
            <w:gridSpan w:val="2"/>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提交报告时间</w:t>
            </w:r>
          </w:p>
        </w:tc>
        <w:tc>
          <w:tcPr>
            <w:tcW w:w="2380" w:type="dxa"/>
            <w:gridSpan w:val="2"/>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2020.8.21</w:t>
            </w:r>
          </w:p>
        </w:tc>
      </w:tr>
    </w:tbl>
    <w:p>
      <w:pPr>
        <w:sectPr>
          <w:pgSz w:w="11906" w:h="16838"/>
          <w:pgMar w:top="1440" w:right="1800" w:bottom="1440" w:left="1800" w:header="851" w:footer="992" w:gutter="0"/>
          <w:cols w:space="425" w:num="1"/>
          <w:docGrid w:type="lines" w:linePitch="312" w:charSpace="0"/>
        </w:sectPr>
      </w:pP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380355" cy="4070985"/>
            <wp:effectExtent l="0" t="0" r="10795" b="5715"/>
            <wp:docPr id="4" name="图片 4" descr="e040c0ab51fd27788c85cb646967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040c0ab51fd27788c85cb646967eda"/>
                    <pic:cNvPicPr>
                      <a:picLocks noChangeAspect="1"/>
                    </pic:cNvPicPr>
                  </pic:nvPicPr>
                  <pic:blipFill>
                    <a:blip r:embed="rId4"/>
                    <a:stretch>
                      <a:fillRect/>
                    </a:stretch>
                  </pic:blipFill>
                  <pic:spPr>
                    <a:xfrm>
                      <a:off x="0" y="0"/>
                      <a:ext cx="5380355" cy="4070985"/>
                    </a:xfrm>
                    <a:prstGeom prst="rect">
                      <a:avLst/>
                    </a:prstGeom>
                  </pic:spPr>
                </pic:pic>
              </a:graphicData>
            </a:graphic>
          </wp:inline>
        </w:drawing>
      </w:r>
      <w:bookmarkEnd w:id="0"/>
      <w:r>
        <w:rPr>
          <w:rFonts w:hint="eastAsia" w:eastAsiaTheme="minorEastAsia"/>
          <w:lang w:eastAsia="zh-CN"/>
        </w:rPr>
        <w:drawing>
          <wp:inline distT="0" distB="0" distL="114300" distR="114300">
            <wp:extent cx="5266690" cy="4556760"/>
            <wp:effectExtent l="0" t="0" r="10160" b="15240"/>
            <wp:docPr id="3" name="图片 3" descr="fffd980d2f0448d2ab4174363d3c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fd980d2f0448d2ab4174363d3c489"/>
                    <pic:cNvPicPr>
                      <a:picLocks noChangeAspect="1"/>
                    </pic:cNvPicPr>
                  </pic:nvPicPr>
                  <pic:blipFill>
                    <a:blip r:embed="rId5"/>
                    <a:stretch>
                      <a:fillRect/>
                    </a:stretch>
                  </pic:blipFill>
                  <pic:spPr>
                    <a:xfrm>
                      <a:off x="0" y="0"/>
                      <a:ext cx="5266690" cy="4556760"/>
                    </a:xfrm>
                    <a:prstGeom prst="rect">
                      <a:avLst/>
                    </a:prstGeom>
                  </pic:spPr>
                </pic:pic>
              </a:graphicData>
            </a:graphic>
          </wp:inline>
        </w:drawing>
      </w:r>
      <w:r>
        <w:rPr>
          <w:rFonts w:hint="eastAsia" w:eastAsiaTheme="minorEastAsia"/>
          <w:lang w:eastAsia="zh-CN"/>
        </w:rPr>
        <w:drawing>
          <wp:inline distT="0" distB="0" distL="114300" distR="114300">
            <wp:extent cx="5162550" cy="3600450"/>
            <wp:effectExtent l="0" t="0" r="0" b="0"/>
            <wp:docPr id="2" name="图片 2"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2"/>
                    <pic:cNvPicPr>
                      <a:picLocks noChangeAspect="1"/>
                    </pic:cNvPicPr>
                  </pic:nvPicPr>
                  <pic:blipFill>
                    <a:blip r:embed="rId6"/>
                    <a:stretch>
                      <a:fillRect/>
                    </a:stretch>
                  </pic:blipFill>
                  <pic:spPr>
                    <a:xfrm>
                      <a:off x="0" y="0"/>
                      <a:ext cx="5162550" cy="3600450"/>
                    </a:xfrm>
                    <a:prstGeom prst="rect">
                      <a:avLst/>
                    </a:prstGeom>
                  </pic:spPr>
                </pic:pic>
              </a:graphicData>
            </a:graphic>
          </wp:inline>
        </w:drawing>
      </w:r>
      <w:r>
        <w:rPr>
          <w:rFonts w:hint="eastAsia" w:eastAsiaTheme="minorEastAsia"/>
          <w:lang w:eastAsia="zh-CN"/>
        </w:rPr>
        <w:drawing>
          <wp:inline distT="0" distB="0" distL="114300" distR="114300">
            <wp:extent cx="5200650" cy="3600450"/>
            <wp:effectExtent l="0" t="0" r="0" b="0"/>
            <wp:docPr id="1" name="图片 1" descr="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5"/>
                    <pic:cNvPicPr>
                      <a:picLocks noChangeAspect="1"/>
                    </pic:cNvPicPr>
                  </pic:nvPicPr>
                  <pic:blipFill>
                    <a:blip r:embed="rId7"/>
                    <a:stretch>
                      <a:fillRect/>
                    </a:stretch>
                  </pic:blipFill>
                  <pic:spPr>
                    <a:xfrm>
                      <a:off x="0" y="0"/>
                      <a:ext cx="5200650" cy="36004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33"/>
    <w:rsid w:val="000C68F7"/>
    <w:rsid w:val="000F5DFD"/>
    <w:rsid w:val="002044AC"/>
    <w:rsid w:val="00364732"/>
    <w:rsid w:val="00386383"/>
    <w:rsid w:val="003D1DD3"/>
    <w:rsid w:val="003E7F3D"/>
    <w:rsid w:val="00487755"/>
    <w:rsid w:val="004F5A33"/>
    <w:rsid w:val="00567040"/>
    <w:rsid w:val="0078740D"/>
    <w:rsid w:val="00853A1E"/>
    <w:rsid w:val="00856453"/>
    <w:rsid w:val="00861005"/>
    <w:rsid w:val="00895EB0"/>
    <w:rsid w:val="008D6548"/>
    <w:rsid w:val="008D66C4"/>
    <w:rsid w:val="009E64B5"/>
    <w:rsid w:val="00AB1F29"/>
    <w:rsid w:val="00AD2AC7"/>
    <w:rsid w:val="00EB1DED"/>
    <w:rsid w:val="00EC04A4"/>
    <w:rsid w:val="00F2415E"/>
    <w:rsid w:val="34A5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1318</Characters>
  <Lines>10</Lines>
  <Paragraphs>3</Paragraphs>
  <TotalTime>1</TotalTime>
  <ScaleCrop>false</ScaleCrop>
  <LinksUpToDate>false</LinksUpToDate>
  <CharactersWithSpaces>1546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2020-06-24T01:29:00Z</dcterms:created>
  <dc:creator>xb21cn</dc:creator>
  <cp:lastModifiedBy>九日</cp:lastModifiedBy>
  <dcterms:modified xsi:type="dcterms:W3CDTF">2021-11-07T01:35:36Z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F5933C27E443485A98830A45E39A793C</vt:lpwstr>
  </property>
</Properties>
</file>