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pPr w:leftFromText="180" w:rightFromText="180" w:vertAnchor="page" w:horzAnchor="page" w:tblpX="1390" w:tblpY="2223"/>
        <w:tblOverlap w:val="never"/>
        <w:tblW w:w="9030"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040"/>
        <w:gridCol w:w="2617"/>
        <w:gridCol w:w="158"/>
        <w:gridCol w:w="240"/>
        <w:gridCol w:w="1387"/>
        <w:gridCol w:w="202"/>
        <w:gridCol w:w="286"/>
        <w:gridCol w:w="210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8" w:hRule="atLeast"/>
        </w:trPr>
        <w:tc>
          <w:tcPr>
            <w:tcW w:w="2040" w:type="dxa"/>
            <w:tcBorders>
              <w:tl2br w:val="nil"/>
              <w:tr2bl w:val="nil"/>
            </w:tcBorders>
            <w:vAlign w:val="center"/>
          </w:tcPr>
          <w:p>
            <w:pPr>
              <w:spacing w:line="240" w:lineRule="auto"/>
              <w:ind w:firstLine="632" w:firstLineChars="300"/>
              <w:jc w:val="both"/>
              <w:rPr>
                <w:rFonts w:hint="eastAsia" w:eastAsiaTheme="minorEastAsia"/>
                <w:sz w:val="21"/>
                <w:szCs w:val="21"/>
                <w:vertAlign w:val="baseline"/>
                <w:lang w:eastAsia="zh-CN"/>
              </w:rPr>
            </w:pPr>
            <w:r>
              <w:rPr>
                <w:rFonts w:hint="eastAsia"/>
                <w:b/>
                <w:bCs/>
                <w:sz w:val="21"/>
                <w:szCs w:val="21"/>
                <w:vertAlign w:val="baseline"/>
                <w:lang w:eastAsia="zh-CN"/>
              </w:rPr>
              <w:t>项目规模</w:t>
            </w:r>
          </w:p>
        </w:tc>
        <w:tc>
          <w:tcPr>
            <w:tcW w:w="2775" w:type="dxa"/>
            <w:gridSpan w:val="2"/>
            <w:tcBorders>
              <w:tl2br w:val="nil"/>
              <w:tr2bl w:val="nil"/>
            </w:tcBorders>
            <w:vAlign w:val="center"/>
          </w:tcPr>
          <w:p>
            <w:pPr>
              <w:spacing w:line="240" w:lineRule="auto"/>
              <w:jc w:val="both"/>
              <w:rPr>
                <w:rFonts w:hint="eastAsia" w:eastAsiaTheme="minorEastAsia"/>
                <w:sz w:val="21"/>
                <w:szCs w:val="21"/>
                <w:vertAlign w:val="baseline"/>
                <w:lang w:eastAsia="zh-CN"/>
              </w:rPr>
            </w:pPr>
            <w:r>
              <w:rPr>
                <w:rFonts w:hint="eastAsia" w:ascii="宋体" w:hAnsi="宋体"/>
                <w:sz w:val="21"/>
                <w:szCs w:val="21"/>
                <w:lang w:val="en-US" w:eastAsia="zh-CN"/>
              </w:rPr>
              <w:t>61.49</w:t>
            </w:r>
            <w:r>
              <w:rPr>
                <w:rFonts w:hint="eastAsia" w:ascii="宋体" w:hAnsi="宋体"/>
                <w:sz w:val="21"/>
                <w:szCs w:val="21"/>
              </w:rPr>
              <w:t>×10</w:t>
            </w:r>
            <w:r>
              <w:rPr>
                <w:rFonts w:hint="eastAsia" w:ascii="宋体" w:hAnsi="宋体"/>
                <w:sz w:val="21"/>
                <w:szCs w:val="21"/>
                <w:vertAlign w:val="superscript"/>
              </w:rPr>
              <w:t>4</w:t>
            </w:r>
            <w:r>
              <w:rPr>
                <w:rFonts w:hint="eastAsia" w:ascii="宋体" w:hAnsi="宋体"/>
                <w:sz w:val="21"/>
                <w:szCs w:val="21"/>
              </w:rPr>
              <w:t>m</w:t>
            </w:r>
            <w:r>
              <w:rPr>
                <w:rFonts w:hint="eastAsia" w:ascii="宋体" w:hAnsi="宋体"/>
                <w:sz w:val="21"/>
                <w:szCs w:val="21"/>
                <w:vertAlign w:val="superscript"/>
                <w:lang w:val="en-US" w:eastAsia="zh-CN"/>
              </w:rPr>
              <w:t>3</w:t>
            </w:r>
            <w:r>
              <w:rPr>
                <w:rFonts w:hint="eastAsia" w:ascii="宋体" w:hAnsi="宋体"/>
                <w:sz w:val="21"/>
                <w:szCs w:val="21"/>
                <w:lang w:eastAsia="zh-CN"/>
              </w:rPr>
              <w:t>（容量）</w:t>
            </w:r>
          </w:p>
        </w:tc>
        <w:tc>
          <w:tcPr>
            <w:tcW w:w="1829"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eastAsia="zh-CN"/>
              </w:rPr>
              <w:t>企业性质</w:t>
            </w:r>
          </w:p>
        </w:tc>
        <w:tc>
          <w:tcPr>
            <w:tcW w:w="2386" w:type="dxa"/>
            <w:gridSpan w:val="2"/>
            <w:tcBorders>
              <w:tl2br w:val="nil"/>
              <w:tr2bl w:val="nil"/>
            </w:tcBorders>
            <w:vAlign w:val="center"/>
          </w:tcPr>
          <w:p>
            <w:pPr>
              <w:spacing w:line="240" w:lineRule="auto"/>
              <w:jc w:val="center"/>
              <w:rPr>
                <w:sz w:val="21"/>
                <w:szCs w:val="21"/>
                <w:vertAlign w:val="baseline"/>
              </w:rPr>
            </w:pPr>
            <w:r>
              <w:rPr>
                <w:rFonts w:hint="eastAsia"/>
                <w:sz w:val="21"/>
                <w:szCs w:val="21"/>
                <w:lang w:eastAsia="zh-CN"/>
              </w:rPr>
              <w:t>有限责任</w:t>
            </w:r>
            <w:r>
              <w:rPr>
                <w:sz w:val="21"/>
                <w:szCs w:val="21"/>
              </w:rPr>
              <w:t>公司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3" w:hRule="atLeast"/>
        </w:trPr>
        <w:tc>
          <w:tcPr>
            <w:tcW w:w="2040"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val="en-US" w:eastAsia="zh-CN"/>
              </w:rPr>
              <w:t xml:space="preserve"> </w:t>
            </w:r>
            <w:r>
              <w:rPr>
                <w:rFonts w:hint="eastAsia"/>
                <w:b/>
                <w:bCs/>
                <w:sz w:val="21"/>
                <w:szCs w:val="21"/>
                <w:vertAlign w:val="baseline"/>
                <w:lang w:eastAsia="zh-CN"/>
              </w:rPr>
              <w:t>评价类别</w:t>
            </w:r>
          </w:p>
        </w:tc>
        <w:tc>
          <w:tcPr>
            <w:tcW w:w="2775" w:type="dxa"/>
            <w:gridSpan w:val="2"/>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安全现状评价</w:t>
            </w:r>
          </w:p>
        </w:tc>
        <w:tc>
          <w:tcPr>
            <w:tcW w:w="1829"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eastAsia="zh-CN"/>
              </w:rPr>
              <w:t>所属业务类别</w:t>
            </w:r>
          </w:p>
        </w:tc>
        <w:tc>
          <w:tcPr>
            <w:tcW w:w="2386" w:type="dxa"/>
            <w:gridSpan w:val="2"/>
            <w:tcBorders>
              <w:tl2br w:val="nil"/>
              <w:tr2bl w:val="nil"/>
            </w:tcBorders>
            <w:vAlign w:val="center"/>
          </w:tcPr>
          <w:p>
            <w:pPr>
              <w:spacing w:line="240" w:lineRule="auto"/>
              <w:jc w:val="center"/>
              <w:rPr>
                <w:rFonts w:hint="eastAsia" w:eastAsiaTheme="minorEastAsia"/>
                <w:sz w:val="21"/>
                <w:szCs w:val="21"/>
                <w:vertAlign w:val="baseline"/>
                <w:lang w:val="en-US" w:eastAsia="zh-CN"/>
              </w:rPr>
            </w:pPr>
            <w:r>
              <w:rPr>
                <w:rFonts w:hint="eastAsia"/>
                <w:sz w:val="21"/>
                <w:szCs w:val="21"/>
                <w:vertAlign w:val="baseline"/>
                <w:lang w:val="en-US" w:eastAsia="zh-CN"/>
              </w:rPr>
              <w:t>2.b非金属矿采选业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220" w:hRule="atLeast"/>
        </w:trPr>
        <w:tc>
          <w:tcPr>
            <w:tcW w:w="2040" w:type="dxa"/>
            <w:tcBorders>
              <w:tl2br w:val="nil"/>
              <w:tr2bl w:val="nil"/>
            </w:tcBorders>
            <w:textDirection w:val="tbLrV"/>
            <w:vAlign w:val="center"/>
          </w:tcPr>
          <w:p>
            <w:pPr>
              <w:keepNext w:val="0"/>
              <w:keepLines w:val="0"/>
              <w:pageBreakBefore w:val="0"/>
              <w:widowControl w:val="0"/>
              <w:kinsoku/>
              <w:wordWrap/>
              <w:overflowPunct/>
              <w:topLinePunct w:val="0"/>
              <w:autoSpaceDE/>
              <w:autoSpaceDN/>
              <w:bidi w:val="0"/>
              <w:adjustRightInd/>
              <w:snapToGrid/>
              <w:spacing w:after="469" w:afterLines="150" w:line="480" w:lineRule="auto"/>
              <w:ind w:right="113"/>
              <w:jc w:val="both"/>
              <w:textAlignment w:val="auto"/>
              <w:outlineLvl w:val="9"/>
              <w:rPr>
                <w:rFonts w:hint="eastAsia"/>
                <w:b/>
                <w:bCs/>
                <w:sz w:val="21"/>
                <w:szCs w:val="21"/>
                <w:vertAlign w:val="baseline"/>
                <w:lang w:eastAsia="zh-CN"/>
              </w:rPr>
            </w:pPr>
          </w:p>
          <w:p>
            <w:pPr>
              <w:keepNext w:val="0"/>
              <w:keepLines w:val="0"/>
              <w:pageBreakBefore w:val="0"/>
              <w:widowControl w:val="0"/>
              <w:kinsoku/>
              <w:wordWrap/>
              <w:overflowPunct/>
              <w:topLinePunct w:val="0"/>
              <w:autoSpaceDE/>
              <w:autoSpaceDN/>
              <w:bidi w:val="0"/>
              <w:adjustRightInd/>
              <w:snapToGrid/>
              <w:spacing w:after="469" w:afterLines="150" w:line="480" w:lineRule="auto"/>
              <w:ind w:left="0" w:leftChars="0" w:right="113" w:firstLine="0" w:firstLineChars="0"/>
              <w:jc w:val="both"/>
              <w:textAlignment w:val="auto"/>
              <w:outlineLvl w:val="9"/>
              <w:rPr>
                <w:rFonts w:hint="eastAsia"/>
                <w:sz w:val="21"/>
                <w:szCs w:val="21"/>
                <w:vertAlign w:val="baseline"/>
                <w:lang w:eastAsia="zh-CN"/>
              </w:rPr>
            </w:pPr>
            <w:r>
              <w:rPr>
                <w:rFonts w:hint="eastAsia"/>
                <w:b/>
                <w:bCs/>
                <w:sz w:val="21"/>
                <w:szCs w:val="21"/>
                <w:vertAlign w:val="baseline"/>
                <w:lang w:eastAsia="zh-CN"/>
              </w:rPr>
              <w:t>项</w:t>
            </w:r>
            <w:r>
              <w:rPr>
                <w:rFonts w:hint="eastAsia"/>
                <w:b/>
                <w:bCs/>
                <w:sz w:val="21"/>
                <w:szCs w:val="21"/>
                <w:vertAlign w:val="baseline"/>
                <w:lang w:val="en-US" w:eastAsia="zh-CN"/>
              </w:rPr>
              <w:t xml:space="preserve">    </w:t>
            </w:r>
            <w:r>
              <w:rPr>
                <w:rFonts w:hint="eastAsia"/>
                <w:b/>
                <w:bCs/>
                <w:sz w:val="21"/>
                <w:szCs w:val="21"/>
                <w:vertAlign w:val="baseline"/>
                <w:lang w:eastAsia="zh-CN"/>
              </w:rPr>
              <w:t>目</w:t>
            </w:r>
            <w:r>
              <w:rPr>
                <w:rFonts w:hint="eastAsia"/>
                <w:b/>
                <w:bCs/>
                <w:sz w:val="21"/>
                <w:szCs w:val="21"/>
                <w:vertAlign w:val="baseline"/>
                <w:lang w:val="en-US" w:eastAsia="zh-CN"/>
              </w:rPr>
              <w:t xml:space="preserve">    </w:t>
            </w:r>
            <w:r>
              <w:rPr>
                <w:rFonts w:hint="eastAsia"/>
                <w:b/>
                <w:bCs/>
                <w:sz w:val="21"/>
                <w:szCs w:val="21"/>
                <w:vertAlign w:val="baseline"/>
                <w:lang w:eastAsia="zh-CN"/>
              </w:rPr>
              <w:t>简</w:t>
            </w:r>
            <w:r>
              <w:rPr>
                <w:rFonts w:hint="eastAsia"/>
                <w:b/>
                <w:bCs/>
                <w:sz w:val="21"/>
                <w:szCs w:val="21"/>
                <w:vertAlign w:val="baseline"/>
                <w:lang w:val="en-US" w:eastAsia="zh-CN"/>
              </w:rPr>
              <w:t xml:space="preserve">    </w:t>
            </w:r>
            <w:r>
              <w:rPr>
                <w:rFonts w:hint="eastAsia"/>
                <w:b/>
                <w:bCs/>
                <w:sz w:val="21"/>
                <w:szCs w:val="21"/>
                <w:vertAlign w:val="baseline"/>
                <w:lang w:eastAsia="zh-CN"/>
              </w:rPr>
              <w:t>介</w:t>
            </w:r>
          </w:p>
        </w:tc>
        <w:tc>
          <w:tcPr>
            <w:tcW w:w="6990" w:type="dxa"/>
            <w:gridSpan w:val="7"/>
            <w:tcBorders>
              <w:tl2br w:val="nil"/>
              <w:tr2bl w:val="nil"/>
            </w:tcBorders>
            <w:vAlign w:val="center"/>
          </w:tcPr>
          <w:p>
            <w:pPr>
              <w:spacing w:line="240" w:lineRule="auto"/>
              <w:ind w:firstLine="420" w:firstLineChars="200"/>
              <w:jc w:val="left"/>
              <w:rPr>
                <w:rFonts w:hint="eastAsia"/>
                <w:lang w:val="en-US" w:eastAsia="zh-CN"/>
              </w:rPr>
            </w:pPr>
            <w:r>
              <w:rPr>
                <w:rFonts w:hint="eastAsia"/>
                <w:lang w:eastAsia="zh-CN"/>
              </w:rPr>
              <w:t>设计从标高+83.0m堆置至标高+165.0m总堆高为82m，分5个平台，第一个平台段高10m，中间3个平台段高都为20m，最后一个平台段高为12m，平台宽度均为15m，台阶坡度30°，总边坡角22.1°；排土场总容积约61.49万m</w:t>
            </w:r>
            <w:r>
              <w:rPr>
                <w:rFonts w:hint="eastAsia"/>
                <w:vertAlign w:val="superscript"/>
                <w:lang w:eastAsia="zh-CN"/>
              </w:rPr>
              <w:t>3</w:t>
            </w:r>
            <w:r>
              <w:rPr>
                <w:rFonts w:hint="eastAsia"/>
                <w:lang w:eastAsia="zh-CN"/>
              </w:rPr>
              <w:t>。</w:t>
            </w:r>
            <w:r>
              <w:rPr>
                <w:rFonts w:hint="eastAsia"/>
                <w:lang w:val="en-US" w:eastAsia="zh-CN"/>
              </w:rPr>
              <w:t>排土场的等别为三等。</w:t>
            </w:r>
          </w:p>
          <w:p>
            <w:pPr>
              <w:spacing w:line="240" w:lineRule="auto"/>
              <w:ind w:firstLine="420" w:firstLineChars="200"/>
              <w:jc w:val="left"/>
              <w:rPr>
                <w:rFonts w:hint="eastAsia"/>
                <w:lang w:val="en-US" w:eastAsia="zh-CN"/>
              </w:rPr>
            </w:pPr>
            <w:r>
              <w:rPr>
                <w:rFonts w:hint="eastAsia"/>
                <w:lang w:val="en-US" w:eastAsia="zh-CN"/>
              </w:rPr>
              <w:t>主要构筑物按3级建筑标准设置，次要构筑物、临时构筑物按4级设置。</w:t>
            </w:r>
          </w:p>
          <w:p>
            <w:pPr>
              <w:spacing w:line="240" w:lineRule="auto"/>
              <w:ind w:firstLine="420" w:firstLineChars="200"/>
              <w:jc w:val="left"/>
              <w:rPr>
                <w:rFonts w:hint="eastAsia"/>
                <w:lang w:val="en-US" w:eastAsia="zh-CN"/>
              </w:rPr>
            </w:pPr>
            <w:r>
              <w:rPr>
                <w:rFonts w:hint="eastAsia"/>
                <w:lang w:val="en-US" w:eastAsia="zh-CN"/>
              </w:rPr>
              <w:t>设计在排土场各平台坡脚处布置台阶排水沟，在距排土堆场最终边界线外约2.0m处顺山势修筑截水沟，将水引出场外。</w:t>
            </w:r>
          </w:p>
          <w:p>
            <w:pPr>
              <w:spacing w:line="240" w:lineRule="auto"/>
              <w:ind w:firstLine="420" w:firstLineChars="200"/>
              <w:jc w:val="left"/>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设计设置排渗盲沟将现有排渗盲沟的水排入下游。</w:t>
            </w:r>
          </w:p>
          <w:p>
            <w:pPr>
              <w:spacing w:line="240" w:lineRule="auto"/>
              <w:ind w:firstLine="420" w:firstLineChars="200"/>
              <w:jc w:val="left"/>
              <w:rPr>
                <w:rFonts w:hint="eastAsia"/>
                <w:lang w:val="en-US" w:eastAsia="zh-CN"/>
              </w:rPr>
            </w:pPr>
            <w:r>
              <w:rPr>
                <w:rFonts w:hint="eastAsia"/>
                <w:lang w:val="en-US" w:eastAsia="zh-CN"/>
              </w:rPr>
              <w:t>拦挡坝位于现有排土场坡脚下游约95.0m处，+80.0m～+85.0m标高间。坝体采用干砌块石透水坝结构，坝高5.0m，坝顶宽度5.0m；坝体内坡比为1:1.75，外坡比为1:2.0。</w:t>
            </w:r>
          </w:p>
          <w:p>
            <w:pPr>
              <w:pStyle w:val="2"/>
              <w:jc w:val="both"/>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92" w:hRule="atLeast"/>
        </w:trPr>
        <w:tc>
          <w:tcPr>
            <w:tcW w:w="2040"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项目负责人</w:t>
            </w:r>
          </w:p>
        </w:tc>
        <w:tc>
          <w:tcPr>
            <w:tcW w:w="2617" w:type="dxa"/>
            <w:tcBorders>
              <w:right w:val="single" w:color="auto" w:sz="4" w:space="0"/>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袁成龙</w:t>
            </w:r>
          </w:p>
        </w:tc>
        <w:tc>
          <w:tcPr>
            <w:tcW w:w="1785" w:type="dxa"/>
            <w:gridSpan w:val="3"/>
            <w:tcBorders>
              <w:left w:val="single" w:color="auto" w:sz="4" w:space="0"/>
              <w:right w:val="single" w:color="auto" w:sz="4" w:space="0"/>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项目编号</w:t>
            </w:r>
          </w:p>
        </w:tc>
        <w:tc>
          <w:tcPr>
            <w:tcW w:w="2588" w:type="dxa"/>
            <w:gridSpan w:val="3"/>
            <w:tcBorders>
              <w:left w:val="single" w:color="auto" w:sz="4" w:space="0"/>
              <w:tl2br w:val="nil"/>
              <w:tr2bl w:val="nil"/>
            </w:tcBorders>
            <w:vAlign w:val="center"/>
          </w:tcPr>
          <w:p>
            <w:pPr>
              <w:spacing w:line="560" w:lineRule="exact"/>
              <w:rPr>
                <w:rFonts w:hint="default" w:eastAsia="宋体"/>
                <w:sz w:val="21"/>
                <w:szCs w:val="21"/>
                <w:vertAlign w:val="baseline"/>
                <w:lang w:val="en-US" w:eastAsia="zh-CN"/>
              </w:rPr>
            </w:pPr>
            <w:r>
              <w:rPr>
                <w:rFonts w:ascii="Helvetica" w:hAnsi="Helvetica" w:eastAsia="Helvetica" w:cs="Helvetica"/>
                <w:i w:val="0"/>
                <w:caps w:val="0"/>
                <w:color w:val="000000"/>
                <w:spacing w:val="0"/>
                <w:sz w:val="19"/>
                <w:szCs w:val="19"/>
                <w:shd w:val="clear" w:fill="EAF2FF"/>
              </w:rPr>
              <w:t>皖安评2020090084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0" w:hRule="atLeast"/>
        </w:trPr>
        <w:tc>
          <w:tcPr>
            <w:tcW w:w="2040"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技术负责人</w:t>
            </w:r>
          </w:p>
        </w:tc>
        <w:tc>
          <w:tcPr>
            <w:tcW w:w="3015"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董书满</w:t>
            </w:r>
          </w:p>
        </w:tc>
        <w:tc>
          <w:tcPr>
            <w:tcW w:w="1875" w:type="dxa"/>
            <w:gridSpan w:val="3"/>
            <w:tcBorders>
              <w:tl2br w:val="nil"/>
              <w:tr2bl w:val="nil"/>
            </w:tcBorders>
            <w:vAlign w:val="center"/>
          </w:tcPr>
          <w:p>
            <w:pPr>
              <w:spacing w:line="240" w:lineRule="auto"/>
              <w:jc w:val="center"/>
              <w:rPr>
                <w:rFonts w:hint="eastAsia" w:eastAsiaTheme="minorEastAsia"/>
                <w:b/>
                <w:bCs/>
                <w:sz w:val="21"/>
                <w:szCs w:val="21"/>
                <w:vertAlign w:val="baseline"/>
                <w:lang w:eastAsia="zh-CN"/>
              </w:rPr>
            </w:pPr>
            <w:r>
              <w:rPr>
                <w:rFonts w:hint="eastAsia"/>
                <w:b/>
                <w:bCs/>
                <w:sz w:val="21"/>
                <w:szCs w:val="21"/>
                <w:vertAlign w:val="baseline"/>
                <w:lang w:eastAsia="zh-CN"/>
              </w:rPr>
              <w:t>过程控制负责人</w:t>
            </w:r>
          </w:p>
        </w:tc>
        <w:tc>
          <w:tcPr>
            <w:tcW w:w="2100"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0" w:hRule="atLeast"/>
        </w:trPr>
        <w:tc>
          <w:tcPr>
            <w:tcW w:w="2040"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评价报告编制人</w:t>
            </w:r>
          </w:p>
        </w:tc>
        <w:tc>
          <w:tcPr>
            <w:tcW w:w="3015"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袁成龙</w:t>
            </w:r>
          </w:p>
        </w:tc>
        <w:tc>
          <w:tcPr>
            <w:tcW w:w="1875" w:type="dxa"/>
            <w:gridSpan w:val="3"/>
            <w:tcBorders>
              <w:tl2br w:val="nil"/>
              <w:tr2bl w:val="nil"/>
            </w:tcBorders>
            <w:vAlign w:val="center"/>
          </w:tcPr>
          <w:p>
            <w:pPr>
              <w:spacing w:line="240" w:lineRule="auto"/>
              <w:jc w:val="center"/>
              <w:rPr>
                <w:rFonts w:hint="eastAsia" w:eastAsiaTheme="minorEastAsia"/>
                <w:b/>
                <w:bCs/>
                <w:sz w:val="21"/>
                <w:szCs w:val="21"/>
                <w:vertAlign w:val="baseline"/>
                <w:lang w:eastAsia="zh-CN"/>
              </w:rPr>
            </w:pPr>
            <w:r>
              <w:rPr>
                <w:rFonts w:hint="eastAsia"/>
                <w:b/>
                <w:bCs/>
                <w:sz w:val="21"/>
                <w:szCs w:val="21"/>
                <w:vertAlign w:val="baseline"/>
                <w:lang w:eastAsia="zh-CN"/>
              </w:rPr>
              <w:t>报告审核人</w:t>
            </w:r>
          </w:p>
        </w:tc>
        <w:tc>
          <w:tcPr>
            <w:tcW w:w="2100"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方敏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9" w:hRule="atLeast"/>
        </w:trPr>
        <w:tc>
          <w:tcPr>
            <w:tcW w:w="2040"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参与评价的安全评价师</w:t>
            </w:r>
          </w:p>
        </w:tc>
        <w:tc>
          <w:tcPr>
            <w:tcW w:w="6990" w:type="dxa"/>
            <w:gridSpan w:val="7"/>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方敏、董书满、袁成龙、王陈红、郭世文、吴光辉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35" w:hRule="atLeast"/>
        </w:trPr>
        <w:tc>
          <w:tcPr>
            <w:tcW w:w="2040"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参与评价的注册安全工程师</w:t>
            </w:r>
          </w:p>
        </w:tc>
        <w:tc>
          <w:tcPr>
            <w:tcW w:w="6990" w:type="dxa"/>
            <w:gridSpan w:val="7"/>
            <w:tcBorders>
              <w:tl2br w:val="nil"/>
              <w:tr2bl w:val="nil"/>
            </w:tcBorders>
            <w:vAlign w:val="center"/>
          </w:tcPr>
          <w:p>
            <w:pPr>
              <w:spacing w:line="240" w:lineRule="auto"/>
              <w:jc w:val="center"/>
              <w:rPr>
                <w:sz w:val="21"/>
                <w:szCs w:val="21"/>
                <w:vertAlign w:val="baseline"/>
              </w:rPr>
            </w:pPr>
            <w:r>
              <w:rPr>
                <w:rFonts w:hint="eastAsia"/>
                <w:sz w:val="21"/>
                <w:szCs w:val="21"/>
                <w:vertAlign w:val="baseline"/>
                <w:lang w:eastAsia="zh-CN"/>
              </w:rPr>
              <w:t>董书满、吴光辉、王陈红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rPr>
        <w:tc>
          <w:tcPr>
            <w:tcW w:w="2040"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现场安全评价工作人员</w:t>
            </w:r>
          </w:p>
        </w:tc>
        <w:tc>
          <w:tcPr>
            <w:tcW w:w="6990" w:type="dxa"/>
            <w:gridSpan w:val="7"/>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袁成龙、王陈红、郭世文、吴光辉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068" w:hRule="atLeast"/>
        </w:trPr>
        <w:tc>
          <w:tcPr>
            <w:tcW w:w="2040" w:type="dxa"/>
            <w:tcBorders>
              <w:tl2br w:val="nil"/>
              <w:tr2bl w:val="nil"/>
            </w:tcBorders>
            <w:textDirection w:val="tbLrV"/>
            <w:vAlign w:val="center"/>
          </w:tcPr>
          <w:p>
            <w:pPr>
              <w:spacing w:line="240" w:lineRule="auto"/>
              <w:ind w:firstLine="420" w:firstLineChars="200"/>
              <w:jc w:val="left"/>
              <w:rPr>
                <w:rFonts w:hint="eastAsia"/>
                <w:lang w:val="en-US" w:eastAsia="zh-CN"/>
              </w:rPr>
            </w:pPr>
            <w:r>
              <w:rPr>
                <w:rFonts w:hint="eastAsia"/>
                <w:lang w:val="en-US" w:eastAsia="zh-CN"/>
              </w:rPr>
              <w:t>现 场 评 价 主 要 任  务</w:t>
            </w:r>
          </w:p>
        </w:tc>
        <w:tc>
          <w:tcPr>
            <w:tcW w:w="6990" w:type="dxa"/>
            <w:gridSpan w:val="7"/>
            <w:tcBorders>
              <w:tl2br w:val="nil"/>
              <w:tr2bl w:val="nil"/>
            </w:tcBorders>
            <w:vAlign w:val="center"/>
          </w:tcPr>
          <w:p>
            <w:pPr>
              <w:spacing w:line="240" w:lineRule="auto"/>
              <w:ind w:firstLine="420" w:firstLineChars="200"/>
              <w:jc w:val="left"/>
              <w:rPr>
                <w:rFonts w:hint="eastAsia"/>
                <w:lang w:val="en-US" w:eastAsia="zh-CN"/>
              </w:rPr>
            </w:pPr>
            <w:r>
              <w:rPr>
                <w:rFonts w:hint="eastAsia"/>
                <w:lang w:val="en-US" w:eastAsia="zh-CN"/>
              </w:rPr>
              <w:t>目前排土场堆置高程已达到设计标高+165.0m，排土场已经接近排土场设计堆置高程。为了使排土场满足矿山生产和东南侧靠帮边坡滑坡地质灾害治理工程排土需要，中钢集团马鞍山矿院工程勘察设计有限公司编制了《池州润达矿业有限公司牛栏冲石灰岩矿排土场扩容改造工程初步设计》(代“可行性研究报告”，以下均称为“可研报告”）。根据建设项目安全设施“三同时”有关规定，委托我公司编制该排土场扩容改造工程安全预评价，并提交安全预评价报告。</w:t>
            </w:r>
          </w:p>
          <w:p>
            <w:pPr>
              <w:spacing w:line="240" w:lineRule="auto"/>
              <w:ind w:firstLine="420" w:firstLineChars="200"/>
              <w:jc w:val="left"/>
              <w:rPr>
                <w:rFonts w:hint="eastAsia"/>
                <w:lang w:val="en-US" w:eastAsia="zh-CN"/>
              </w:rPr>
            </w:pPr>
            <w:r>
              <w:rPr>
                <w:rFonts w:hint="eastAsia"/>
                <w:lang w:val="en-US" w:eastAsia="zh-CN"/>
              </w:rPr>
              <w:t>根据原国家安全生产监督管理总局关于开展金属非金属矿山安全评价工作的相关规定，为切实履行安全设施“三同时”，池州润达矿业有限公司于2020年9月委托安徽正信科技有限公司对其牛栏冲石灰岩矿排土场扩容改造工程进行安全预评价，为牛栏冲石灰岩矿排土场扩容改造工程安全设施设计提供基础依据。</w:t>
            </w:r>
          </w:p>
          <w:p>
            <w:pPr>
              <w:spacing w:line="240" w:lineRule="auto"/>
              <w:ind w:firstLine="420" w:firstLineChars="200"/>
              <w:jc w:val="left"/>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5" w:hRule="atLeast"/>
        </w:trPr>
        <w:tc>
          <w:tcPr>
            <w:tcW w:w="2040" w:type="dxa"/>
            <w:tcBorders>
              <w:tl2br w:val="nil"/>
              <w:tr2bl w:val="nil"/>
            </w:tcBorders>
            <w:vAlign w:val="center"/>
          </w:tcPr>
          <w:p>
            <w:pPr>
              <w:spacing w:line="240" w:lineRule="auto"/>
              <w:ind w:firstLine="420" w:firstLineChars="200"/>
              <w:jc w:val="left"/>
              <w:rPr>
                <w:rFonts w:hint="eastAsia"/>
                <w:lang w:val="en-US" w:eastAsia="zh-CN"/>
              </w:rPr>
            </w:pPr>
            <w:r>
              <w:rPr>
                <w:rFonts w:hint="eastAsia"/>
                <w:lang w:val="en-US" w:eastAsia="zh-CN"/>
              </w:rPr>
              <w:t>现场调查时间</w:t>
            </w:r>
          </w:p>
        </w:tc>
        <w:tc>
          <w:tcPr>
            <w:tcW w:w="3015" w:type="dxa"/>
            <w:gridSpan w:val="3"/>
            <w:tcBorders>
              <w:tl2br w:val="nil"/>
              <w:tr2bl w:val="nil"/>
            </w:tcBorders>
            <w:vAlign w:val="center"/>
          </w:tcPr>
          <w:p>
            <w:pPr>
              <w:spacing w:line="240" w:lineRule="auto"/>
              <w:ind w:firstLine="420" w:firstLineChars="200"/>
              <w:jc w:val="left"/>
              <w:rPr>
                <w:rFonts w:hint="eastAsia"/>
                <w:lang w:val="en-US" w:eastAsia="zh-CN"/>
              </w:rPr>
            </w:pPr>
            <w:r>
              <w:rPr>
                <w:rFonts w:hint="eastAsia"/>
                <w:lang w:val="en-US" w:eastAsia="zh-CN"/>
              </w:rPr>
              <w:t>2020年9月16日</w:t>
            </w:r>
          </w:p>
        </w:tc>
        <w:tc>
          <w:tcPr>
            <w:tcW w:w="1875" w:type="dxa"/>
            <w:gridSpan w:val="3"/>
            <w:tcBorders>
              <w:tl2br w:val="nil"/>
              <w:tr2bl w:val="nil"/>
            </w:tcBorders>
            <w:vAlign w:val="center"/>
          </w:tcPr>
          <w:p>
            <w:pPr>
              <w:spacing w:line="240" w:lineRule="auto"/>
              <w:ind w:firstLine="420" w:firstLineChars="200"/>
              <w:jc w:val="left"/>
              <w:rPr>
                <w:rFonts w:hint="eastAsia"/>
                <w:lang w:val="en-US" w:eastAsia="zh-CN"/>
              </w:rPr>
            </w:pPr>
            <w:r>
              <w:rPr>
                <w:rFonts w:hint="eastAsia"/>
                <w:lang w:val="en-US" w:eastAsia="zh-CN"/>
              </w:rPr>
              <w:t>提交报告时间</w:t>
            </w:r>
          </w:p>
        </w:tc>
        <w:tc>
          <w:tcPr>
            <w:tcW w:w="2100" w:type="dxa"/>
            <w:tcBorders>
              <w:tl2br w:val="nil"/>
              <w:tr2bl w:val="nil"/>
            </w:tcBorders>
            <w:vAlign w:val="center"/>
          </w:tcPr>
          <w:p>
            <w:pPr>
              <w:spacing w:line="240" w:lineRule="auto"/>
              <w:ind w:firstLine="420" w:firstLineChars="200"/>
              <w:jc w:val="left"/>
              <w:rPr>
                <w:rFonts w:hint="default"/>
                <w:lang w:val="en-US" w:eastAsia="zh-CN"/>
              </w:rPr>
            </w:pPr>
            <w:r>
              <w:rPr>
                <w:rFonts w:hint="eastAsia"/>
                <w:lang w:val="en-US" w:eastAsia="zh-CN"/>
              </w:rPr>
              <w:t>2020年9月28日</w:t>
            </w:r>
          </w:p>
        </w:tc>
      </w:tr>
    </w:tbl>
    <w:p>
      <w:pPr>
        <w:spacing w:line="240" w:lineRule="auto"/>
        <w:ind w:firstLine="422" w:firstLineChars="200"/>
        <w:jc w:val="center"/>
        <w:rPr>
          <w:rFonts w:hint="eastAsia"/>
          <w:b/>
          <w:bCs/>
          <w:sz w:val="21"/>
          <w:szCs w:val="21"/>
          <w:vertAlign w:val="baseline"/>
          <w:lang w:val="en-US" w:eastAsia="zh-CN"/>
        </w:rPr>
      </w:pPr>
      <w:r>
        <w:rPr>
          <w:rFonts w:hint="eastAsia"/>
          <w:b/>
          <w:bCs/>
          <w:lang w:val="en-US" w:eastAsia="zh-CN"/>
        </w:rPr>
        <w:t>池州润达矿业有限公司牛栏冲石灰岩矿排土场扩容改</w:t>
      </w:r>
      <w:r>
        <w:rPr>
          <w:rFonts w:hint="eastAsia"/>
          <w:b/>
          <w:bCs/>
          <w:sz w:val="21"/>
          <w:szCs w:val="21"/>
          <w:vertAlign w:val="baseline"/>
          <w:lang w:val="en-US" w:eastAsia="zh-CN"/>
        </w:rPr>
        <w:t>造工程安全预评价</w:t>
      </w:r>
    </w:p>
    <w:p>
      <w:pPr>
        <w:spacing w:line="240" w:lineRule="auto"/>
        <w:ind w:firstLine="562" w:firstLineChars="200"/>
        <w:jc w:val="left"/>
        <w:rPr>
          <w:rFonts w:hint="eastAsia"/>
          <w:b/>
          <w:bCs/>
          <w:sz w:val="28"/>
          <w:szCs w:val="28"/>
          <w:lang w:val="en-US" w:eastAsia="zh-CN"/>
        </w:rPr>
      </w:pPr>
      <w:r>
        <w:rPr>
          <w:rFonts w:hint="eastAsia"/>
          <w:b/>
          <w:bCs/>
          <w:sz w:val="28"/>
          <w:szCs w:val="28"/>
          <w:lang w:val="en-US"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4415155</wp:posOffset>
            </wp:positionV>
            <wp:extent cx="5742940" cy="3973195"/>
            <wp:effectExtent l="0" t="0" r="10160" b="8255"/>
            <wp:wrapTopAndBottom/>
            <wp:docPr id="1" name="图片 1" descr="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26"/>
                    <pic:cNvPicPr>
                      <a:picLocks noChangeAspect="1"/>
                    </pic:cNvPicPr>
                  </pic:nvPicPr>
                  <pic:blipFill>
                    <a:blip r:embed="rId4"/>
                    <a:stretch>
                      <a:fillRect/>
                    </a:stretch>
                  </pic:blipFill>
                  <pic:spPr>
                    <a:xfrm>
                      <a:off x="0" y="0"/>
                      <a:ext cx="5742940" cy="3973195"/>
                    </a:xfrm>
                    <a:prstGeom prst="rect">
                      <a:avLst/>
                    </a:prstGeom>
                  </pic:spPr>
                </pic:pic>
              </a:graphicData>
            </a:graphic>
          </wp:anchor>
        </w:drawing>
      </w:r>
      <w:r>
        <w:rPr>
          <w:rFonts w:hint="eastAsia"/>
          <w:b/>
          <w:bCs/>
          <w:sz w:val="28"/>
          <w:szCs w:val="28"/>
          <w:lang w:val="en-US" w:eastAsia="zh-CN"/>
        </w:rPr>
        <w:drawing>
          <wp:anchor distT="0" distB="0" distL="114300" distR="114300" simplePos="0" relativeHeight="251660288" behindDoc="0" locked="0" layoutInCell="1" allowOverlap="1">
            <wp:simplePos x="0" y="0"/>
            <wp:positionH relativeFrom="column">
              <wp:posOffset>-215265</wp:posOffset>
            </wp:positionH>
            <wp:positionV relativeFrom="paragraph">
              <wp:posOffset>24130</wp:posOffset>
            </wp:positionV>
            <wp:extent cx="5732780" cy="4226560"/>
            <wp:effectExtent l="0" t="0" r="1270" b="2540"/>
            <wp:wrapTopAndBottom/>
            <wp:docPr id="4" name="图片 4" descr="9fa5719d40d7589959cb90a73192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a5719d40d7589959cb90a73192c6b"/>
                    <pic:cNvPicPr>
                      <a:picLocks noChangeAspect="1"/>
                    </pic:cNvPicPr>
                  </pic:nvPicPr>
                  <pic:blipFill>
                    <a:blip r:embed="rId5"/>
                    <a:stretch>
                      <a:fillRect/>
                    </a:stretch>
                  </pic:blipFill>
                  <pic:spPr>
                    <a:xfrm>
                      <a:off x="0" y="0"/>
                      <a:ext cx="5732780" cy="4226560"/>
                    </a:xfrm>
                    <a:prstGeom prst="rect">
                      <a:avLst/>
                    </a:prstGeom>
                  </pic:spPr>
                </pic:pic>
              </a:graphicData>
            </a:graphic>
          </wp:anchor>
        </w:drawing>
      </w:r>
    </w:p>
    <w:p>
      <w:pPr>
        <w:rPr>
          <w:rFonts w:hint="eastAsia"/>
          <w:lang w:val="en-US" w:eastAsia="zh-CN"/>
        </w:rPr>
      </w:pPr>
      <w:r>
        <w:rPr>
          <w:rFonts w:hint="eastAsia"/>
          <w:lang w:val="en-US" w:eastAsia="zh-CN"/>
        </w:rPr>
        <w:br w:type="page"/>
      </w:r>
    </w:p>
    <w:p>
      <w:pPr>
        <w:rPr>
          <w:rFonts w:hint="eastAsia"/>
          <w:lang w:val="en-US" w:eastAsia="zh-CN"/>
        </w:rPr>
      </w:pPr>
      <w:r>
        <w:rPr>
          <w:rFonts w:hint="eastAsia"/>
          <w:b/>
          <w:bCs/>
          <w:sz w:val="28"/>
          <w:szCs w:val="28"/>
          <w:lang w:val="en-US" w:eastAsia="zh-CN"/>
        </w:rPr>
        <w:drawing>
          <wp:anchor distT="0" distB="0" distL="114300" distR="114300" simplePos="0" relativeHeight="251661312" behindDoc="0" locked="0" layoutInCell="1" allowOverlap="1">
            <wp:simplePos x="0" y="0"/>
            <wp:positionH relativeFrom="column">
              <wp:posOffset>-215900</wp:posOffset>
            </wp:positionH>
            <wp:positionV relativeFrom="paragraph">
              <wp:posOffset>55880</wp:posOffset>
            </wp:positionV>
            <wp:extent cx="5752465" cy="4054475"/>
            <wp:effectExtent l="0" t="0" r="635" b="3175"/>
            <wp:wrapTopAndBottom/>
            <wp:docPr id="3" name="图片 3" descr="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17"/>
                    <pic:cNvPicPr>
                      <a:picLocks noChangeAspect="1"/>
                    </pic:cNvPicPr>
                  </pic:nvPicPr>
                  <pic:blipFill>
                    <a:blip r:embed="rId6"/>
                    <a:stretch>
                      <a:fillRect/>
                    </a:stretch>
                  </pic:blipFill>
                  <pic:spPr>
                    <a:xfrm>
                      <a:off x="0" y="0"/>
                      <a:ext cx="5752465" cy="4054475"/>
                    </a:xfrm>
                    <a:prstGeom prst="rect">
                      <a:avLst/>
                    </a:prstGeom>
                  </pic:spPr>
                </pic:pic>
              </a:graphicData>
            </a:graphic>
          </wp:anchor>
        </w:drawing>
      </w:r>
    </w:p>
    <w:p>
      <w:pPr>
        <w:rPr>
          <w:rFonts w:hint="eastAsia"/>
          <w:lang w:val="en-US" w:eastAsia="zh-CN"/>
        </w:rPr>
      </w:pPr>
      <w:bookmarkStart w:id="0" w:name="_GoBack"/>
      <w:r>
        <w:rPr>
          <w:rFonts w:hint="eastAsia"/>
          <w:b/>
          <w:bCs/>
          <w:sz w:val="28"/>
          <w:szCs w:val="28"/>
          <w:lang w:val="en-US" w:eastAsia="zh-CN"/>
        </w:rPr>
        <w:drawing>
          <wp:anchor distT="0" distB="0" distL="114300" distR="114300" simplePos="0" relativeHeight="251662336" behindDoc="0" locked="0" layoutInCell="1" allowOverlap="1">
            <wp:simplePos x="0" y="0"/>
            <wp:positionH relativeFrom="column">
              <wp:posOffset>-234315</wp:posOffset>
            </wp:positionH>
            <wp:positionV relativeFrom="paragraph">
              <wp:posOffset>76835</wp:posOffset>
            </wp:positionV>
            <wp:extent cx="5523230" cy="3771900"/>
            <wp:effectExtent l="0" t="0" r="1270" b="0"/>
            <wp:wrapTopAndBottom/>
            <wp:docPr id="2" name="图片 2" descr="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25"/>
                    <pic:cNvPicPr>
                      <a:picLocks noChangeAspect="1"/>
                    </pic:cNvPicPr>
                  </pic:nvPicPr>
                  <pic:blipFill>
                    <a:blip r:embed="rId7"/>
                    <a:stretch>
                      <a:fillRect/>
                    </a:stretch>
                  </pic:blipFill>
                  <pic:spPr>
                    <a:xfrm>
                      <a:off x="0" y="0"/>
                      <a:ext cx="5523230" cy="3771900"/>
                    </a:xfrm>
                    <a:prstGeom prst="rect">
                      <a:avLst/>
                    </a:prstGeom>
                  </pic:spPr>
                </pic:pic>
              </a:graphicData>
            </a:graphic>
          </wp:anchor>
        </w:drawing>
      </w:r>
      <w:bookmarkEnd w:id="0"/>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panose1 w:val="020B0604020202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02AEE"/>
    <w:rsid w:val="05473646"/>
    <w:rsid w:val="0559244F"/>
    <w:rsid w:val="0B476034"/>
    <w:rsid w:val="0D307C9B"/>
    <w:rsid w:val="10BB58CE"/>
    <w:rsid w:val="122210C3"/>
    <w:rsid w:val="12D63982"/>
    <w:rsid w:val="143438B1"/>
    <w:rsid w:val="156E2A24"/>
    <w:rsid w:val="1AA96F68"/>
    <w:rsid w:val="1B596200"/>
    <w:rsid w:val="2415179A"/>
    <w:rsid w:val="2894139B"/>
    <w:rsid w:val="2DA02AEE"/>
    <w:rsid w:val="2E8E415F"/>
    <w:rsid w:val="2FCC66E7"/>
    <w:rsid w:val="327D4640"/>
    <w:rsid w:val="33EC312A"/>
    <w:rsid w:val="353554FE"/>
    <w:rsid w:val="367E660E"/>
    <w:rsid w:val="3C737463"/>
    <w:rsid w:val="3CC212EA"/>
    <w:rsid w:val="3EEE3F1B"/>
    <w:rsid w:val="41395972"/>
    <w:rsid w:val="44234F0D"/>
    <w:rsid w:val="507E1B9C"/>
    <w:rsid w:val="52EF1FC5"/>
    <w:rsid w:val="5563369D"/>
    <w:rsid w:val="571F6BC4"/>
    <w:rsid w:val="5A542876"/>
    <w:rsid w:val="5DD74E84"/>
    <w:rsid w:val="6C8A1827"/>
    <w:rsid w:val="6CAB378E"/>
    <w:rsid w:val="6D055D06"/>
    <w:rsid w:val="6D535020"/>
    <w:rsid w:val="6E5C6961"/>
    <w:rsid w:val="732737D9"/>
    <w:rsid w:val="748D1D59"/>
    <w:rsid w:val="75AD4065"/>
    <w:rsid w:val="774B432A"/>
    <w:rsid w:val="78713F2A"/>
    <w:rsid w:val="7A6B5AA0"/>
    <w:rsid w:val="7B6D424C"/>
    <w:rsid w:val="7D254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2018-06-11T08:23:00Z</dcterms:created>
  <dc:creator>Administrator</dc:creator>
  <cp:lastModifiedBy>九日</cp:lastModifiedBy>
  <dcterms:modified xsi:type="dcterms:W3CDTF">2021-11-07T02:03:30Z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85BCCD2D9FBA4765A479A0438FC3963B</vt:lpwstr>
  </property>
</Properties>
</file>