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eastAsiaTheme="minorEastAsia"/>
          <w:b/>
          <w:bCs/>
          <w:spacing w:val="0"/>
          <w:sz w:val="28"/>
          <w:szCs w:val="28"/>
          <w:lang w:val="en-US" w:eastAsia="zh-CN"/>
        </w:rPr>
      </w:pPr>
      <w:r>
        <w:rPr>
          <w:rFonts w:hint="eastAsia" w:eastAsiaTheme="minorEastAsia"/>
          <w:b/>
          <w:bCs/>
          <w:spacing w:val="0"/>
          <w:sz w:val="28"/>
          <w:szCs w:val="28"/>
          <w:lang w:val="en-US" w:eastAsia="zh-CN"/>
        </w:rPr>
        <w:t>安徽磐石矿业有限公司青阳县毛家垅饰面花岗岩矿</w:t>
      </w:r>
    </w:p>
    <w:p>
      <w:pPr>
        <w:spacing w:line="240" w:lineRule="auto"/>
        <w:jc w:val="center"/>
        <w:rPr>
          <w:rFonts w:hint="eastAsia" w:eastAsiaTheme="minorEastAsia"/>
          <w:b/>
          <w:bCs/>
          <w:spacing w:val="0"/>
          <w:sz w:val="28"/>
          <w:szCs w:val="28"/>
          <w:lang w:val="en-US" w:eastAsia="zh-CN"/>
        </w:rPr>
      </w:pPr>
      <w:r>
        <w:rPr>
          <w:rFonts w:hint="eastAsia" w:eastAsiaTheme="minorEastAsia"/>
          <w:b/>
          <w:bCs/>
          <w:spacing w:val="0"/>
          <w:sz w:val="28"/>
          <w:szCs w:val="28"/>
          <w:lang w:val="en-US" w:eastAsia="zh-CN"/>
        </w:rPr>
        <w:t>2万m</w:t>
      </w:r>
      <w:r>
        <w:rPr>
          <w:rFonts w:hint="eastAsia" w:eastAsiaTheme="minorEastAsia"/>
          <w:b/>
          <w:bCs/>
          <w:spacing w:val="0"/>
          <w:sz w:val="28"/>
          <w:szCs w:val="28"/>
          <w:vertAlign w:val="superscript"/>
          <w:lang w:val="en-US" w:eastAsia="zh-CN"/>
        </w:rPr>
        <w:t>3</w:t>
      </w:r>
      <w:r>
        <w:rPr>
          <w:rFonts w:hint="eastAsia" w:eastAsiaTheme="minorEastAsia"/>
          <w:b/>
          <w:bCs/>
          <w:spacing w:val="0"/>
          <w:sz w:val="28"/>
          <w:szCs w:val="28"/>
          <w:lang w:val="en-US" w:eastAsia="zh-CN"/>
        </w:rPr>
        <w:t>/a露天采矿工程</w:t>
      </w:r>
      <w:r>
        <w:rPr>
          <w:rFonts w:hint="eastAsia"/>
          <w:b/>
          <w:bCs/>
          <w:spacing w:val="0"/>
          <w:sz w:val="28"/>
          <w:szCs w:val="28"/>
          <w:lang w:val="en-US" w:eastAsia="zh-CN"/>
        </w:rPr>
        <w:t>改建</w:t>
      </w:r>
      <w:r>
        <w:rPr>
          <w:rFonts w:hint="eastAsia" w:eastAsiaTheme="minorEastAsia"/>
          <w:b/>
          <w:bCs/>
          <w:spacing w:val="0"/>
          <w:sz w:val="28"/>
          <w:szCs w:val="28"/>
          <w:lang w:val="en-US" w:eastAsia="zh-CN"/>
        </w:rPr>
        <w:t>项目安全</w:t>
      </w:r>
      <w:r>
        <w:rPr>
          <w:rFonts w:hint="eastAsia"/>
          <w:b/>
          <w:bCs/>
          <w:spacing w:val="0"/>
          <w:sz w:val="28"/>
          <w:szCs w:val="28"/>
          <w:lang w:val="en-US" w:eastAsia="zh-CN"/>
        </w:rPr>
        <w:t>预</w:t>
      </w:r>
      <w:r>
        <w:rPr>
          <w:rFonts w:hint="eastAsia" w:eastAsiaTheme="minorEastAsia"/>
          <w:b/>
          <w:bCs/>
          <w:spacing w:val="0"/>
          <w:sz w:val="28"/>
          <w:szCs w:val="28"/>
          <w:lang w:val="en-US" w:eastAsia="zh-CN"/>
        </w:rPr>
        <w:t>评价</w:t>
      </w:r>
    </w:p>
    <w:tbl>
      <w:tblPr>
        <w:tblStyle w:val="8"/>
        <w:tblpPr w:leftFromText="180" w:rightFromText="180" w:vertAnchor="page" w:horzAnchor="page" w:tblpX="1735" w:tblpY="2898"/>
        <w:tblOverlap w:val="never"/>
        <w:tblW w:w="8595"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905"/>
        <w:gridCol w:w="2617"/>
        <w:gridCol w:w="158"/>
        <w:gridCol w:w="240"/>
        <w:gridCol w:w="1387"/>
        <w:gridCol w:w="202"/>
        <w:gridCol w:w="286"/>
        <w:gridCol w:w="180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8" w:hRule="atLeast"/>
        </w:trPr>
        <w:tc>
          <w:tcPr>
            <w:tcW w:w="1905" w:type="dxa"/>
            <w:tcBorders>
              <w:tl2br w:val="nil"/>
              <w:tr2bl w:val="nil"/>
            </w:tcBorders>
            <w:vAlign w:val="center"/>
          </w:tcPr>
          <w:p>
            <w:pPr>
              <w:spacing w:line="240" w:lineRule="auto"/>
              <w:ind w:firstLine="632" w:firstLineChars="300"/>
              <w:jc w:val="both"/>
              <w:rPr>
                <w:rFonts w:hint="eastAsia" w:eastAsiaTheme="minorEastAsia"/>
                <w:sz w:val="21"/>
                <w:szCs w:val="21"/>
                <w:vertAlign w:val="baseline"/>
                <w:lang w:eastAsia="zh-CN"/>
              </w:rPr>
            </w:pPr>
            <w:r>
              <w:rPr>
                <w:rFonts w:hint="eastAsia"/>
                <w:b/>
                <w:bCs/>
                <w:sz w:val="21"/>
                <w:szCs w:val="21"/>
                <w:vertAlign w:val="baseline"/>
                <w:lang w:eastAsia="zh-CN"/>
              </w:rPr>
              <w:t>项目规模</w:t>
            </w:r>
          </w:p>
        </w:tc>
        <w:tc>
          <w:tcPr>
            <w:tcW w:w="2775" w:type="dxa"/>
            <w:gridSpan w:val="2"/>
            <w:tcBorders>
              <w:tl2br w:val="nil"/>
              <w:tr2bl w:val="nil"/>
            </w:tcBorders>
            <w:vAlign w:val="center"/>
          </w:tcPr>
          <w:p>
            <w:pPr>
              <w:spacing w:line="240" w:lineRule="auto"/>
              <w:ind w:firstLine="840" w:firstLineChars="400"/>
              <w:jc w:val="both"/>
              <w:rPr>
                <w:rFonts w:hint="default" w:eastAsiaTheme="minorEastAsia"/>
                <w:sz w:val="21"/>
                <w:szCs w:val="21"/>
                <w:vertAlign w:val="baseline"/>
                <w:lang w:val="en-US" w:eastAsia="zh-CN"/>
              </w:rPr>
            </w:pPr>
            <w:r>
              <w:rPr>
                <w:rFonts w:hint="eastAsia" w:ascii="宋体" w:hAnsi="宋体"/>
                <w:sz w:val="21"/>
                <w:szCs w:val="21"/>
                <w:lang w:val="en-US" w:eastAsia="zh-CN"/>
              </w:rPr>
              <w:t>2万m</w:t>
            </w:r>
            <w:r>
              <w:rPr>
                <w:rFonts w:hint="eastAsia" w:ascii="宋体" w:hAnsi="宋体"/>
                <w:sz w:val="21"/>
                <w:szCs w:val="21"/>
                <w:vertAlign w:val="superscript"/>
                <w:lang w:val="en-US" w:eastAsia="zh-CN"/>
              </w:rPr>
              <w:t>3</w:t>
            </w:r>
            <w:r>
              <w:rPr>
                <w:rFonts w:hint="eastAsia" w:ascii="宋体" w:hAnsi="宋体"/>
                <w:sz w:val="21"/>
                <w:szCs w:val="21"/>
                <w:lang w:val="en-US" w:eastAsia="zh-CN"/>
              </w:rPr>
              <w:t>/a</w:t>
            </w:r>
          </w:p>
        </w:tc>
        <w:tc>
          <w:tcPr>
            <w:tcW w:w="1829" w:type="dxa"/>
            <w:gridSpan w:val="3"/>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b/>
                <w:bCs/>
                <w:sz w:val="21"/>
                <w:szCs w:val="21"/>
                <w:vertAlign w:val="baseline"/>
                <w:lang w:eastAsia="zh-CN"/>
              </w:rPr>
              <w:t>企业性质</w:t>
            </w:r>
          </w:p>
        </w:tc>
        <w:tc>
          <w:tcPr>
            <w:tcW w:w="2086" w:type="dxa"/>
            <w:gridSpan w:val="2"/>
            <w:tcBorders>
              <w:tl2br w:val="nil"/>
              <w:tr2bl w:val="nil"/>
            </w:tcBorders>
            <w:vAlign w:val="center"/>
          </w:tcPr>
          <w:p>
            <w:pPr>
              <w:spacing w:line="240" w:lineRule="auto"/>
              <w:jc w:val="center"/>
              <w:rPr>
                <w:sz w:val="21"/>
                <w:szCs w:val="21"/>
                <w:vertAlign w:val="baseline"/>
              </w:rPr>
            </w:pPr>
            <w:r>
              <w:rPr>
                <w:rFonts w:hint="eastAsia"/>
                <w:sz w:val="21"/>
                <w:szCs w:val="21"/>
                <w:lang w:eastAsia="zh-CN"/>
              </w:rPr>
              <w:t>有限责任</w:t>
            </w:r>
            <w:r>
              <w:rPr>
                <w:sz w:val="21"/>
                <w:szCs w:val="21"/>
              </w:rPr>
              <w:t>公司</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3" w:hRule="atLeast"/>
        </w:trPr>
        <w:tc>
          <w:tcPr>
            <w:tcW w:w="1905" w:type="dxa"/>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b/>
                <w:bCs/>
                <w:sz w:val="21"/>
                <w:szCs w:val="21"/>
                <w:vertAlign w:val="baseline"/>
                <w:lang w:val="en-US" w:eastAsia="zh-CN"/>
              </w:rPr>
              <w:t xml:space="preserve"> </w:t>
            </w:r>
            <w:r>
              <w:rPr>
                <w:rFonts w:hint="eastAsia"/>
                <w:b/>
                <w:bCs/>
                <w:sz w:val="21"/>
                <w:szCs w:val="21"/>
                <w:vertAlign w:val="baseline"/>
                <w:lang w:eastAsia="zh-CN"/>
              </w:rPr>
              <w:t>评价类别</w:t>
            </w:r>
          </w:p>
        </w:tc>
        <w:tc>
          <w:tcPr>
            <w:tcW w:w="2775" w:type="dxa"/>
            <w:gridSpan w:val="2"/>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安全预评价</w:t>
            </w:r>
          </w:p>
        </w:tc>
        <w:tc>
          <w:tcPr>
            <w:tcW w:w="1829" w:type="dxa"/>
            <w:gridSpan w:val="3"/>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b/>
                <w:bCs/>
                <w:sz w:val="21"/>
                <w:szCs w:val="21"/>
                <w:vertAlign w:val="baseline"/>
                <w:lang w:eastAsia="zh-CN"/>
              </w:rPr>
              <w:t>所属业务类别</w:t>
            </w:r>
          </w:p>
        </w:tc>
        <w:tc>
          <w:tcPr>
            <w:tcW w:w="2086" w:type="dxa"/>
            <w:gridSpan w:val="2"/>
            <w:tcBorders>
              <w:tl2br w:val="nil"/>
              <w:tr2bl w:val="nil"/>
            </w:tcBorders>
            <w:vAlign w:val="center"/>
          </w:tcPr>
          <w:p>
            <w:pPr>
              <w:spacing w:line="240" w:lineRule="auto"/>
              <w:jc w:val="center"/>
              <w:rPr>
                <w:rFonts w:hint="eastAsia" w:eastAsiaTheme="minorEastAsia"/>
                <w:sz w:val="21"/>
                <w:szCs w:val="21"/>
                <w:vertAlign w:val="baseline"/>
                <w:lang w:val="en-US" w:eastAsia="zh-CN"/>
              </w:rPr>
            </w:pPr>
            <w:r>
              <w:rPr>
                <w:rFonts w:hint="eastAsia"/>
                <w:sz w:val="21"/>
                <w:szCs w:val="21"/>
                <w:vertAlign w:val="baseline"/>
                <w:lang w:val="en-US" w:eastAsia="zh-CN"/>
              </w:rPr>
              <w:t>2.b非金属矿采选业</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0" w:hRule="atLeast"/>
        </w:trPr>
        <w:tc>
          <w:tcPr>
            <w:tcW w:w="1905" w:type="dxa"/>
            <w:tcBorders>
              <w:tl2br w:val="nil"/>
              <w:tr2bl w:val="nil"/>
            </w:tcBorders>
            <w:textDirection w:val="tbLrV"/>
            <w:vAlign w:val="center"/>
          </w:tcPr>
          <w:p>
            <w:pPr>
              <w:spacing w:line="240" w:lineRule="auto"/>
              <w:jc w:val="center"/>
              <w:rPr>
                <w:rFonts w:hint="eastAsia"/>
                <w:b/>
                <w:bCs/>
                <w:sz w:val="21"/>
                <w:szCs w:val="21"/>
                <w:vertAlign w:val="baseline"/>
                <w:lang w:eastAsia="zh-CN"/>
              </w:rPr>
            </w:pPr>
            <w:r>
              <w:rPr>
                <w:rFonts w:hint="eastAsia"/>
                <w:b/>
                <w:bCs/>
                <w:sz w:val="21"/>
                <w:szCs w:val="21"/>
                <w:vertAlign w:val="baseline"/>
                <w:lang w:eastAsia="zh-CN"/>
              </w:rPr>
              <w:t>项</w:t>
            </w:r>
            <w:r>
              <w:rPr>
                <w:rFonts w:hint="eastAsia"/>
                <w:b/>
                <w:bCs/>
                <w:sz w:val="21"/>
                <w:szCs w:val="21"/>
                <w:vertAlign w:val="baseline"/>
                <w:lang w:val="en-US" w:eastAsia="zh-CN"/>
              </w:rPr>
              <w:t xml:space="preserve">    </w:t>
            </w:r>
            <w:r>
              <w:rPr>
                <w:rFonts w:hint="eastAsia"/>
                <w:b/>
                <w:bCs/>
                <w:sz w:val="21"/>
                <w:szCs w:val="21"/>
                <w:vertAlign w:val="baseline"/>
                <w:lang w:eastAsia="zh-CN"/>
              </w:rPr>
              <w:t>目</w:t>
            </w:r>
            <w:r>
              <w:rPr>
                <w:rFonts w:hint="eastAsia"/>
                <w:b/>
                <w:bCs/>
                <w:sz w:val="21"/>
                <w:szCs w:val="21"/>
                <w:vertAlign w:val="baseline"/>
                <w:lang w:val="en-US" w:eastAsia="zh-CN"/>
              </w:rPr>
              <w:t xml:space="preserve">    </w:t>
            </w:r>
            <w:r>
              <w:rPr>
                <w:rFonts w:hint="eastAsia"/>
                <w:b/>
                <w:bCs/>
                <w:sz w:val="21"/>
                <w:szCs w:val="21"/>
                <w:vertAlign w:val="baseline"/>
                <w:lang w:eastAsia="zh-CN"/>
              </w:rPr>
              <w:t>简</w:t>
            </w:r>
            <w:r>
              <w:rPr>
                <w:rFonts w:hint="eastAsia"/>
                <w:b/>
                <w:bCs/>
                <w:sz w:val="21"/>
                <w:szCs w:val="21"/>
                <w:vertAlign w:val="baseline"/>
                <w:lang w:val="en-US" w:eastAsia="zh-CN"/>
              </w:rPr>
              <w:t xml:space="preserve">    </w:t>
            </w:r>
            <w:r>
              <w:rPr>
                <w:rFonts w:hint="eastAsia"/>
                <w:b/>
                <w:bCs/>
                <w:sz w:val="21"/>
                <w:szCs w:val="21"/>
                <w:vertAlign w:val="baseline"/>
                <w:lang w:eastAsia="zh-CN"/>
              </w:rPr>
              <w:t>介</w:t>
            </w:r>
          </w:p>
        </w:tc>
        <w:tc>
          <w:tcPr>
            <w:tcW w:w="6690"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91"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安徽磐石矿业有限公司为个人独资企业，前身为青阳县闽青花岗岩矿，公司主要进行饰面用花岗岩开采、加工销售等。</w:t>
            </w:r>
          </w:p>
          <w:p>
            <w:pPr>
              <w:keepNext w:val="0"/>
              <w:keepLines w:val="0"/>
              <w:pageBreakBefore w:val="0"/>
              <w:widowControl w:val="0"/>
              <w:kinsoku/>
              <w:wordWrap/>
              <w:overflowPunct/>
              <w:topLinePunct w:val="0"/>
              <w:autoSpaceDE/>
              <w:autoSpaceDN/>
              <w:bidi w:val="0"/>
              <w:adjustRightInd/>
              <w:snapToGrid/>
              <w:spacing w:line="491"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青阳县毛家垅饰面花岗岩矿为该公司附属矿山，是已开采多年的老矿山，开采矿种为饰面用花岗石矿。矿山实行分二期开采，设计一期开采矿区范围内+134m至+90m标高内矿体。2005年4月矿山委托铜陵有色设计研究院编制了《安徽省青阳县毛家垅花岗石矿露天开采方案设计》，矿山设计开采方式为山坡露天、自上而下分台阶开采，开采矿种为饰面用花岗岩。矿山于2005年8月开始组织施工建设，2010年3月底一期建设工程基本结束，后经原池州市安全生产监督管理局组织专家验收通过。 </w:t>
            </w:r>
          </w:p>
          <w:p>
            <w:pPr>
              <w:keepNext w:val="0"/>
              <w:keepLines w:val="0"/>
              <w:pageBreakBefore w:val="0"/>
              <w:widowControl w:val="0"/>
              <w:kinsoku/>
              <w:wordWrap/>
              <w:overflowPunct/>
              <w:topLinePunct w:val="0"/>
              <w:autoSpaceDE/>
              <w:autoSpaceDN/>
              <w:bidi w:val="0"/>
              <w:adjustRightInd/>
              <w:snapToGrid/>
              <w:spacing w:line="491"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矿山一期工程开采结束后，经相关部门批准，该公司实施了二期工程建设工作。为了有序地开发利用矿区范围内的矿产资源，该公司于2014年11月委托安徽省昌昊矿山设计研究有限公司编制了《青阳县闽青花岗岩矿二期采矿工程初步设计》及《安全专篇》，设计年生产规模为2万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lang w:val="en-US" w:eastAsia="zh-CN"/>
              </w:rPr>
              <w:t>。2015年4月该矿山二期基建工程基本结束，2015年7月该建设项目露天开采建设工程安全设施竣工验收合格，于2015年8月26日领取了安全生产许可证，并于2018年8月办理了《安全生产许可证》延续工作。</w:t>
            </w:r>
          </w:p>
          <w:p>
            <w:pPr>
              <w:keepNext w:val="0"/>
              <w:keepLines w:val="0"/>
              <w:pageBreakBefore w:val="0"/>
              <w:widowControl w:val="0"/>
              <w:kinsoku/>
              <w:wordWrap/>
              <w:overflowPunct/>
              <w:topLinePunct w:val="0"/>
              <w:autoSpaceDE/>
              <w:autoSpaceDN/>
              <w:bidi w:val="0"/>
              <w:adjustRightInd/>
              <w:snapToGrid/>
              <w:spacing w:line="491"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青阳县毛家垅饰面花岗岩矿自2005年开采以来，原批准的矿产资源已开采殆尽，但矿区范围内仍有部分资源因剥离物未采剥而被压覆未征用，且剥离物作为建筑石料综合利用，在当前是经济的，又能释放被边坡压覆的饰面用花岗岩矿体资源。鉴于此，2020年4月，该公司特委托铜陵市博益矿业工程技术咨询有限公司对全矿区范围剩余矿体进行核实，增加了饰面用花岗岩矿保有资源量，同时查明了作为建筑用花岗岩矿体。</w:t>
            </w:r>
          </w:p>
          <w:p>
            <w:pPr>
              <w:keepNext w:val="0"/>
              <w:keepLines w:val="0"/>
              <w:pageBreakBefore w:val="0"/>
              <w:widowControl w:val="0"/>
              <w:kinsoku/>
              <w:wordWrap/>
              <w:overflowPunct/>
              <w:topLinePunct w:val="0"/>
              <w:autoSpaceDE/>
              <w:autoSpaceDN/>
              <w:bidi w:val="0"/>
              <w:adjustRightInd/>
              <w:snapToGrid/>
              <w:spacing w:line="491"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为矿山合法开发利用已探明矿产资源，延长矿山服务年限，该公司于2020年10月委托安徽志达工程设计有限公司编制了矿山矿产资源开发利用方案，通过了评审并公告。</w:t>
            </w:r>
          </w:p>
          <w:p>
            <w:pPr>
              <w:keepNext w:val="0"/>
              <w:keepLines w:val="0"/>
              <w:pageBreakBefore w:val="0"/>
              <w:widowControl w:val="0"/>
              <w:kinsoku/>
              <w:wordWrap/>
              <w:overflowPunct/>
              <w:topLinePunct w:val="0"/>
              <w:autoSpaceDE/>
              <w:autoSpaceDN/>
              <w:bidi w:val="0"/>
              <w:adjustRightInd/>
              <w:snapToGrid/>
              <w:spacing w:line="491" w:lineRule="exact"/>
              <w:ind w:firstLine="420" w:firstLineChars="200"/>
              <w:textAlignment w:val="auto"/>
            </w:pPr>
            <w:r>
              <w:rPr>
                <w:rFonts w:hint="eastAsia" w:ascii="宋体" w:hAnsi="宋体" w:eastAsia="宋体" w:cs="宋体"/>
                <w:sz w:val="21"/>
                <w:szCs w:val="21"/>
                <w:lang w:val="en-US" w:eastAsia="zh-CN"/>
              </w:rPr>
              <w:t>2020年12月，安徽磐石矿业有限公司为合理、合法开采矿区内已探明矿产资源，在前期收集资料的基础上，组织工程技术人员开展了安徽磐石矿业有限公司青阳县毛家垅饰面花岗岩矿2万m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lang w:val="en-US" w:eastAsia="zh-CN"/>
              </w:rPr>
              <w:t>/a露天采矿工程改建项目可行性研究工作，并编制了《可行性研究报告》，并据此开展安全预评价工作。</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85" w:hRule="atLeast"/>
        </w:trPr>
        <w:tc>
          <w:tcPr>
            <w:tcW w:w="1905" w:type="dxa"/>
            <w:tcBorders>
              <w:tl2br w:val="nil"/>
              <w:tr2bl w:val="nil"/>
            </w:tcBorders>
            <w:vAlign w:val="center"/>
          </w:tcPr>
          <w:p>
            <w:pPr>
              <w:spacing w:line="240" w:lineRule="auto"/>
              <w:jc w:val="center"/>
              <w:rPr>
                <w:rFonts w:hint="eastAsia"/>
                <w:sz w:val="21"/>
                <w:szCs w:val="21"/>
                <w:vertAlign w:val="baseline"/>
                <w:lang w:eastAsia="zh-CN"/>
              </w:rPr>
            </w:pPr>
            <w:r>
              <w:rPr>
                <w:rFonts w:hint="eastAsia"/>
                <w:b/>
                <w:bCs/>
                <w:sz w:val="21"/>
                <w:szCs w:val="21"/>
                <w:vertAlign w:val="baseline"/>
                <w:lang w:eastAsia="zh-CN"/>
              </w:rPr>
              <w:t>项目负责人</w:t>
            </w:r>
          </w:p>
        </w:tc>
        <w:tc>
          <w:tcPr>
            <w:tcW w:w="2617" w:type="dxa"/>
            <w:tcBorders>
              <w:right w:val="single" w:color="auto" w:sz="4" w:space="0"/>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方敏</w:t>
            </w:r>
          </w:p>
        </w:tc>
        <w:tc>
          <w:tcPr>
            <w:tcW w:w="1785" w:type="dxa"/>
            <w:gridSpan w:val="3"/>
            <w:tcBorders>
              <w:left w:val="single" w:color="auto" w:sz="4" w:space="0"/>
              <w:right w:val="single" w:color="auto" w:sz="4" w:space="0"/>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项目编号</w:t>
            </w:r>
          </w:p>
        </w:tc>
        <w:tc>
          <w:tcPr>
            <w:tcW w:w="2288" w:type="dxa"/>
            <w:gridSpan w:val="3"/>
            <w:tcBorders>
              <w:left w:val="single" w:color="auto" w:sz="4" w:space="0"/>
              <w:tl2br w:val="nil"/>
              <w:tr2bl w:val="nil"/>
            </w:tcBorders>
            <w:vAlign w:val="center"/>
          </w:tcPr>
          <w:p>
            <w:pPr>
              <w:spacing w:line="240" w:lineRule="auto"/>
              <w:jc w:val="center"/>
              <w:rPr>
                <w:rFonts w:hint="default" w:ascii="Helvetica" w:hAnsi="Helvetica" w:eastAsia="Helvetica" w:cs="Helvetica"/>
                <w:i w:val="0"/>
                <w:caps w:val="0"/>
                <w:color w:val="000000"/>
                <w:spacing w:val="0"/>
                <w:sz w:val="19"/>
                <w:szCs w:val="19"/>
                <w:shd w:val="clear" w:fill="FFFFFF"/>
                <w:lang w:val="en-US" w:eastAsia="zh-CN"/>
              </w:rPr>
            </w:pPr>
            <w:r>
              <w:rPr>
                <w:rFonts w:hint="eastAsia"/>
                <w:sz w:val="21"/>
                <w:szCs w:val="21"/>
                <w:vertAlign w:val="baseline"/>
                <w:lang w:eastAsia="zh-CN"/>
              </w:rPr>
              <w:t>皖安评皖</w:t>
            </w:r>
            <w:r>
              <w:rPr>
                <w:rFonts w:hint="eastAsia"/>
                <w:sz w:val="21"/>
                <w:szCs w:val="21"/>
                <w:vertAlign w:val="baseline"/>
                <w:lang w:val="en-US" w:eastAsia="zh-CN"/>
              </w:rPr>
              <w:t>2021010045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27" w:hRule="atLeast"/>
        </w:trPr>
        <w:tc>
          <w:tcPr>
            <w:tcW w:w="1905" w:type="dxa"/>
            <w:tcBorders>
              <w:tl2br w:val="nil"/>
              <w:tr2bl w:val="nil"/>
            </w:tcBorders>
            <w:vAlign w:val="center"/>
          </w:tcPr>
          <w:p>
            <w:pPr>
              <w:spacing w:line="240" w:lineRule="auto"/>
              <w:jc w:val="center"/>
              <w:rPr>
                <w:rFonts w:hint="eastAsia"/>
                <w:sz w:val="21"/>
                <w:szCs w:val="21"/>
                <w:vertAlign w:val="baseline"/>
                <w:lang w:eastAsia="zh-CN"/>
              </w:rPr>
            </w:pPr>
            <w:r>
              <w:rPr>
                <w:rFonts w:hint="eastAsia"/>
                <w:b/>
                <w:bCs/>
                <w:sz w:val="21"/>
                <w:szCs w:val="21"/>
                <w:vertAlign w:val="baseline"/>
                <w:lang w:eastAsia="zh-CN"/>
              </w:rPr>
              <w:t>技术负责人</w:t>
            </w:r>
          </w:p>
        </w:tc>
        <w:tc>
          <w:tcPr>
            <w:tcW w:w="3015" w:type="dxa"/>
            <w:gridSpan w:val="3"/>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董书满</w:t>
            </w:r>
          </w:p>
        </w:tc>
        <w:tc>
          <w:tcPr>
            <w:tcW w:w="1875" w:type="dxa"/>
            <w:gridSpan w:val="3"/>
            <w:tcBorders>
              <w:tl2br w:val="nil"/>
              <w:tr2bl w:val="nil"/>
            </w:tcBorders>
            <w:vAlign w:val="center"/>
          </w:tcPr>
          <w:p>
            <w:pPr>
              <w:spacing w:line="240" w:lineRule="auto"/>
              <w:jc w:val="center"/>
              <w:rPr>
                <w:rFonts w:hint="eastAsia" w:eastAsiaTheme="minorEastAsia"/>
                <w:b/>
                <w:bCs/>
                <w:sz w:val="21"/>
                <w:szCs w:val="21"/>
                <w:vertAlign w:val="baseline"/>
                <w:lang w:eastAsia="zh-CN"/>
              </w:rPr>
            </w:pPr>
            <w:r>
              <w:rPr>
                <w:rFonts w:hint="eastAsia"/>
                <w:b/>
                <w:bCs/>
                <w:sz w:val="21"/>
                <w:szCs w:val="21"/>
                <w:vertAlign w:val="baseline"/>
                <w:lang w:eastAsia="zh-CN"/>
              </w:rPr>
              <w:t>过程控制负责人</w:t>
            </w:r>
          </w:p>
        </w:tc>
        <w:tc>
          <w:tcPr>
            <w:tcW w:w="1800" w:type="dxa"/>
            <w:tcBorders>
              <w:tl2br w:val="nil"/>
              <w:tr2bl w:val="nil"/>
            </w:tcBorders>
            <w:vAlign w:val="center"/>
          </w:tcPr>
          <w:p>
            <w:pPr>
              <w:spacing w:line="240" w:lineRule="auto"/>
              <w:ind w:firstLine="420" w:firstLineChars="200"/>
              <w:jc w:val="both"/>
              <w:rPr>
                <w:rFonts w:hint="eastAsia" w:eastAsiaTheme="minorEastAsia"/>
                <w:sz w:val="21"/>
                <w:szCs w:val="21"/>
                <w:vertAlign w:val="baseline"/>
                <w:lang w:val="en-US" w:eastAsia="zh-CN"/>
              </w:rPr>
            </w:pPr>
            <w:r>
              <w:rPr>
                <w:rFonts w:hint="eastAsia"/>
                <w:sz w:val="21"/>
                <w:szCs w:val="21"/>
                <w:vertAlign w:val="baseline"/>
                <w:lang w:val="en-US" w:eastAsia="zh-CN"/>
              </w:rPr>
              <w:t>王陈红</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0" w:hRule="atLeast"/>
        </w:trPr>
        <w:tc>
          <w:tcPr>
            <w:tcW w:w="1905" w:type="dxa"/>
            <w:tcBorders>
              <w:tl2br w:val="nil"/>
              <w:tr2bl w:val="nil"/>
            </w:tcBorders>
            <w:vAlign w:val="center"/>
          </w:tcPr>
          <w:p>
            <w:pPr>
              <w:spacing w:line="240" w:lineRule="auto"/>
              <w:jc w:val="center"/>
              <w:rPr>
                <w:rFonts w:hint="eastAsia"/>
                <w:sz w:val="21"/>
                <w:szCs w:val="21"/>
                <w:vertAlign w:val="baseline"/>
                <w:lang w:eastAsia="zh-CN"/>
              </w:rPr>
            </w:pPr>
            <w:r>
              <w:rPr>
                <w:rFonts w:hint="eastAsia"/>
                <w:b/>
                <w:bCs/>
                <w:sz w:val="21"/>
                <w:szCs w:val="21"/>
                <w:vertAlign w:val="baseline"/>
                <w:lang w:eastAsia="zh-CN"/>
              </w:rPr>
              <w:t>评价报告编制人</w:t>
            </w:r>
          </w:p>
        </w:tc>
        <w:tc>
          <w:tcPr>
            <w:tcW w:w="3015" w:type="dxa"/>
            <w:gridSpan w:val="3"/>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方敏、王陈红</w:t>
            </w:r>
          </w:p>
        </w:tc>
        <w:tc>
          <w:tcPr>
            <w:tcW w:w="1875" w:type="dxa"/>
            <w:gridSpan w:val="3"/>
            <w:tcBorders>
              <w:tl2br w:val="nil"/>
              <w:tr2bl w:val="nil"/>
            </w:tcBorders>
            <w:vAlign w:val="center"/>
          </w:tcPr>
          <w:p>
            <w:pPr>
              <w:spacing w:line="240" w:lineRule="auto"/>
              <w:jc w:val="center"/>
              <w:rPr>
                <w:rFonts w:hint="eastAsia" w:eastAsiaTheme="minorEastAsia"/>
                <w:b/>
                <w:bCs/>
                <w:sz w:val="21"/>
                <w:szCs w:val="21"/>
                <w:vertAlign w:val="baseline"/>
                <w:lang w:eastAsia="zh-CN"/>
              </w:rPr>
            </w:pPr>
            <w:r>
              <w:rPr>
                <w:rFonts w:hint="eastAsia"/>
                <w:b/>
                <w:bCs/>
                <w:sz w:val="21"/>
                <w:szCs w:val="21"/>
                <w:vertAlign w:val="baseline"/>
                <w:lang w:eastAsia="zh-CN"/>
              </w:rPr>
              <w:t>报告审核人</w:t>
            </w:r>
          </w:p>
        </w:tc>
        <w:tc>
          <w:tcPr>
            <w:tcW w:w="1800" w:type="dxa"/>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ascii="宋体" w:hAnsi="宋体"/>
                <w:color w:val="auto"/>
                <w:sz w:val="21"/>
                <w:szCs w:val="21"/>
                <w:lang w:eastAsia="zh-CN"/>
              </w:rPr>
              <w:t>王安民</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89" w:hRule="atLeast"/>
        </w:trPr>
        <w:tc>
          <w:tcPr>
            <w:tcW w:w="1905" w:type="dxa"/>
            <w:tcBorders>
              <w:tl2br w:val="nil"/>
              <w:tr2bl w:val="nil"/>
            </w:tcBorders>
            <w:vAlign w:val="center"/>
          </w:tcPr>
          <w:p>
            <w:pPr>
              <w:spacing w:line="240" w:lineRule="auto"/>
              <w:jc w:val="center"/>
              <w:rPr>
                <w:rFonts w:hint="eastAsia"/>
                <w:b/>
                <w:bCs/>
                <w:sz w:val="21"/>
                <w:szCs w:val="21"/>
                <w:vertAlign w:val="baseline"/>
                <w:lang w:eastAsia="zh-CN"/>
              </w:rPr>
            </w:pPr>
            <w:r>
              <w:rPr>
                <w:rFonts w:hint="eastAsia"/>
                <w:b/>
                <w:bCs/>
                <w:sz w:val="21"/>
                <w:szCs w:val="21"/>
                <w:vertAlign w:val="baseline"/>
                <w:lang w:eastAsia="zh-CN"/>
              </w:rPr>
              <w:t>参与评价的安全评价师</w:t>
            </w:r>
          </w:p>
        </w:tc>
        <w:tc>
          <w:tcPr>
            <w:tcW w:w="6690" w:type="dxa"/>
            <w:gridSpan w:val="7"/>
            <w:tcBorders>
              <w:tl2br w:val="nil"/>
              <w:tr2bl w:val="nil"/>
            </w:tcBorders>
            <w:vAlign w:val="center"/>
          </w:tcPr>
          <w:p>
            <w:pPr>
              <w:spacing w:line="240" w:lineRule="auto"/>
              <w:jc w:val="center"/>
              <w:rPr>
                <w:rFonts w:hint="eastAsia" w:eastAsiaTheme="minorEastAsia"/>
                <w:sz w:val="21"/>
                <w:szCs w:val="21"/>
                <w:vertAlign w:val="baseline"/>
                <w:lang w:eastAsia="zh-CN"/>
              </w:rPr>
            </w:pPr>
            <w:r>
              <w:rPr>
                <w:rFonts w:hint="eastAsia"/>
                <w:sz w:val="21"/>
                <w:szCs w:val="21"/>
                <w:vertAlign w:val="baseline"/>
                <w:lang w:eastAsia="zh-CN"/>
              </w:rPr>
              <w:t>方敏、王陈红、袁成龙、吴光辉、郭世文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35" w:hRule="atLeast"/>
        </w:trPr>
        <w:tc>
          <w:tcPr>
            <w:tcW w:w="1905" w:type="dxa"/>
            <w:tcBorders>
              <w:tl2br w:val="nil"/>
              <w:tr2bl w:val="nil"/>
            </w:tcBorders>
            <w:vAlign w:val="center"/>
          </w:tcPr>
          <w:p>
            <w:pPr>
              <w:spacing w:line="240" w:lineRule="auto"/>
              <w:jc w:val="center"/>
              <w:rPr>
                <w:rFonts w:hint="eastAsia"/>
                <w:b/>
                <w:bCs/>
                <w:sz w:val="21"/>
                <w:szCs w:val="21"/>
                <w:vertAlign w:val="baseline"/>
                <w:lang w:eastAsia="zh-CN"/>
              </w:rPr>
            </w:pPr>
            <w:r>
              <w:rPr>
                <w:rFonts w:hint="eastAsia"/>
                <w:b/>
                <w:bCs/>
                <w:sz w:val="21"/>
                <w:szCs w:val="21"/>
                <w:vertAlign w:val="baseline"/>
                <w:lang w:eastAsia="zh-CN"/>
              </w:rPr>
              <w:t>参与评价的注册安全工程师</w:t>
            </w:r>
          </w:p>
        </w:tc>
        <w:tc>
          <w:tcPr>
            <w:tcW w:w="6690" w:type="dxa"/>
            <w:gridSpan w:val="7"/>
            <w:tcBorders>
              <w:tl2br w:val="nil"/>
              <w:tr2bl w:val="nil"/>
            </w:tcBorders>
            <w:vAlign w:val="center"/>
          </w:tcPr>
          <w:p>
            <w:pPr>
              <w:spacing w:line="240" w:lineRule="auto"/>
              <w:jc w:val="center"/>
              <w:rPr>
                <w:sz w:val="21"/>
                <w:szCs w:val="21"/>
                <w:vertAlign w:val="baseline"/>
              </w:rPr>
            </w:pPr>
            <w:r>
              <w:rPr>
                <w:rFonts w:hint="eastAsia"/>
                <w:sz w:val="21"/>
                <w:szCs w:val="21"/>
                <w:vertAlign w:val="baseline"/>
                <w:lang w:eastAsia="zh-CN"/>
              </w:rPr>
              <w:t>吴光辉、王陈红</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rPr>
        <w:tc>
          <w:tcPr>
            <w:tcW w:w="1905" w:type="dxa"/>
            <w:tcBorders>
              <w:tl2br w:val="nil"/>
              <w:tr2bl w:val="nil"/>
            </w:tcBorders>
            <w:vAlign w:val="center"/>
          </w:tcPr>
          <w:p>
            <w:pPr>
              <w:spacing w:line="240" w:lineRule="auto"/>
              <w:jc w:val="center"/>
              <w:rPr>
                <w:rFonts w:hint="eastAsia"/>
                <w:b/>
                <w:bCs/>
                <w:sz w:val="21"/>
                <w:szCs w:val="21"/>
                <w:vertAlign w:val="baseline"/>
                <w:lang w:eastAsia="zh-CN"/>
              </w:rPr>
            </w:pPr>
            <w:r>
              <w:rPr>
                <w:rFonts w:hint="eastAsia"/>
                <w:b/>
                <w:bCs/>
                <w:sz w:val="21"/>
                <w:szCs w:val="21"/>
                <w:vertAlign w:val="baseline"/>
                <w:lang w:eastAsia="zh-CN"/>
              </w:rPr>
              <w:t>现场安全评价工作人员</w:t>
            </w:r>
          </w:p>
        </w:tc>
        <w:tc>
          <w:tcPr>
            <w:tcW w:w="6690" w:type="dxa"/>
            <w:gridSpan w:val="7"/>
            <w:tcBorders>
              <w:tl2br w:val="nil"/>
              <w:tr2bl w:val="nil"/>
            </w:tcBorders>
            <w:vAlign w:val="center"/>
          </w:tcPr>
          <w:p>
            <w:pPr>
              <w:spacing w:line="240" w:lineRule="auto"/>
              <w:jc w:val="center"/>
              <w:rPr>
                <w:rFonts w:hint="eastAsia"/>
                <w:sz w:val="21"/>
                <w:szCs w:val="21"/>
                <w:vertAlign w:val="baseline"/>
                <w:lang w:eastAsia="zh-CN"/>
              </w:rPr>
            </w:pPr>
            <w:r>
              <w:rPr>
                <w:rFonts w:hint="eastAsia"/>
                <w:sz w:val="21"/>
                <w:szCs w:val="21"/>
                <w:vertAlign w:val="baseline"/>
                <w:lang w:eastAsia="zh-CN"/>
              </w:rPr>
              <w:t>方敏、王陈红、袁成龙、吴光辉、郭世文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53" w:hRule="atLeast"/>
        </w:trPr>
        <w:tc>
          <w:tcPr>
            <w:tcW w:w="1905" w:type="dxa"/>
            <w:tcBorders>
              <w:tl2br w:val="nil"/>
              <w:tr2bl w:val="nil"/>
            </w:tcBorders>
            <w:textDirection w:val="tbLrV"/>
            <w:vAlign w:val="center"/>
          </w:tcPr>
          <w:p>
            <w:pPr>
              <w:spacing w:line="240" w:lineRule="auto"/>
              <w:jc w:val="center"/>
              <w:rPr>
                <w:rFonts w:hint="eastAsia"/>
                <w:sz w:val="21"/>
                <w:szCs w:val="21"/>
                <w:vertAlign w:val="baseline"/>
                <w:lang w:val="en-US" w:eastAsia="zh-CN"/>
              </w:rPr>
            </w:pPr>
            <w:r>
              <w:rPr>
                <w:rFonts w:hint="eastAsia"/>
                <w:b/>
                <w:bCs/>
                <w:sz w:val="21"/>
                <w:szCs w:val="21"/>
                <w:vertAlign w:val="baseline"/>
                <w:lang w:eastAsia="zh-CN"/>
              </w:rPr>
              <w:t>现</w:t>
            </w:r>
            <w:r>
              <w:rPr>
                <w:rFonts w:hint="eastAsia"/>
                <w:b/>
                <w:bCs/>
                <w:sz w:val="21"/>
                <w:szCs w:val="21"/>
                <w:vertAlign w:val="baseline"/>
                <w:lang w:val="en-US" w:eastAsia="zh-CN"/>
              </w:rPr>
              <w:t xml:space="preserve"> </w:t>
            </w:r>
            <w:r>
              <w:rPr>
                <w:rFonts w:hint="eastAsia"/>
                <w:b/>
                <w:bCs/>
                <w:sz w:val="21"/>
                <w:szCs w:val="21"/>
                <w:vertAlign w:val="baseline"/>
                <w:lang w:eastAsia="zh-CN"/>
              </w:rPr>
              <w:t>场</w:t>
            </w:r>
            <w:r>
              <w:rPr>
                <w:rFonts w:hint="eastAsia"/>
                <w:b/>
                <w:bCs/>
                <w:sz w:val="21"/>
                <w:szCs w:val="21"/>
                <w:vertAlign w:val="baseline"/>
                <w:lang w:val="en-US" w:eastAsia="zh-CN"/>
              </w:rPr>
              <w:t xml:space="preserve"> </w:t>
            </w:r>
            <w:r>
              <w:rPr>
                <w:rFonts w:hint="eastAsia"/>
                <w:b/>
                <w:bCs/>
                <w:sz w:val="21"/>
                <w:szCs w:val="21"/>
                <w:vertAlign w:val="baseline"/>
                <w:lang w:eastAsia="zh-CN"/>
              </w:rPr>
              <w:t>评</w:t>
            </w:r>
            <w:r>
              <w:rPr>
                <w:rFonts w:hint="eastAsia"/>
                <w:b/>
                <w:bCs/>
                <w:sz w:val="21"/>
                <w:szCs w:val="21"/>
                <w:vertAlign w:val="baseline"/>
                <w:lang w:val="en-US" w:eastAsia="zh-CN"/>
              </w:rPr>
              <w:t xml:space="preserve"> </w:t>
            </w:r>
            <w:r>
              <w:rPr>
                <w:rFonts w:hint="eastAsia"/>
                <w:b/>
                <w:bCs/>
                <w:sz w:val="21"/>
                <w:szCs w:val="21"/>
                <w:vertAlign w:val="baseline"/>
                <w:lang w:eastAsia="zh-CN"/>
              </w:rPr>
              <w:t>价</w:t>
            </w:r>
            <w:r>
              <w:rPr>
                <w:rFonts w:hint="eastAsia"/>
                <w:b/>
                <w:bCs/>
                <w:sz w:val="21"/>
                <w:szCs w:val="21"/>
                <w:vertAlign w:val="baseline"/>
                <w:lang w:val="en-US" w:eastAsia="zh-CN"/>
              </w:rPr>
              <w:t xml:space="preserve"> </w:t>
            </w:r>
            <w:r>
              <w:rPr>
                <w:rFonts w:hint="eastAsia"/>
                <w:b/>
                <w:bCs/>
                <w:sz w:val="21"/>
                <w:szCs w:val="21"/>
                <w:vertAlign w:val="baseline"/>
                <w:lang w:eastAsia="zh-CN"/>
              </w:rPr>
              <w:t>主</w:t>
            </w:r>
            <w:r>
              <w:rPr>
                <w:rFonts w:hint="eastAsia"/>
                <w:b/>
                <w:bCs/>
                <w:sz w:val="21"/>
                <w:szCs w:val="21"/>
                <w:vertAlign w:val="baseline"/>
                <w:lang w:val="en-US" w:eastAsia="zh-CN"/>
              </w:rPr>
              <w:t xml:space="preserve"> </w:t>
            </w:r>
            <w:r>
              <w:rPr>
                <w:rFonts w:hint="eastAsia"/>
                <w:b/>
                <w:bCs/>
                <w:sz w:val="21"/>
                <w:szCs w:val="21"/>
                <w:vertAlign w:val="baseline"/>
                <w:lang w:eastAsia="zh-CN"/>
              </w:rPr>
              <w:t>要</w:t>
            </w:r>
            <w:r>
              <w:rPr>
                <w:rFonts w:hint="eastAsia"/>
                <w:b/>
                <w:bCs/>
                <w:sz w:val="21"/>
                <w:szCs w:val="21"/>
                <w:vertAlign w:val="baseline"/>
                <w:lang w:val="en-US" w:eastAsia="zh-CN"/>
              </w:rPr>
              <w:t xml:space="preserve"> </w:t>
            </w:r>
            <w:r>
              <w:rPr>
                <w:rFonts w:hint="eastAsia"/>
                <w:b/>
                <w:bCs/>
                <w:sz w:val="21"/>
                <w:szCs w:val="21"/>
                <w:vertAlign w:val="baseline"/>
                <w:lang w:eastAsia="zh-CN"/>
              </w:rPr>
              <w:t>任</w:t>
            </w:r>
            <w:r>
              <w:rPr>
                <w:rFonts w:hint="eastAsia"/>
                <w:b/>
                <w:bCs/>
                <w:sz w:val="21"/>
                <w:szCs w:val="21"/>
                <w:vertAlign w:val="baseline"/>
                <w:lang w:val="en-US" w:eastAsia="zh-CN"/>
              </w:rPr>
              <w:t xml:space="preserve">  </w:t>
            </w:r>
            <w:r>
              <w:rPr>
                <w:rFonts w:hint="eastAsia"/>
                <w:b/>
                <w:bCs/>
                <w:sz w:val="21"/>
                <w:szCs w:val="21"/>
                <w:vertAlign w:val="baseline"/>
                <w:lang w:eastAsia="zh-CN"/>
              </w:rPr>
              <w:t>务</w:t>
            </w:r>
          </w:p>
        </w:tc>
        <w:tc>
          <w:tcPr>
            <w:tcW w:w="6690" w:type="dxa"/>
            <w:gridSpan w:val="7"/>
            <w:tcBorders>
              <w:tl2br w:val="nil"/>
              <w:tr2bl w:val="nil"/>
            </w:tcBorders>
            <w:vAlign w:val="center"/>
          </w:tcPr>
          <w:p>
            <w:pPr>
              <w:spacing w:line="240" w:lineRule="auto"/>
              <w:ind w:firstLine="420" w:firstLineChars="200"/>
              <w:jc w:val="left"/>
              <w:rPr>
                <w:rFonts w:hint="eastAsia"/>
                <w:color w:val="000000" w:themeColor="text1"/>
                <w:sz w:val="21"/>
                <w:szCs w:val="21"/>
                <w:vertAlign w:val="baseline"/>
                <w:lang w:eastAsia="zh-CN"/>
                <w14:textFill>
                  <w14:solidFill>
                    <w14:schemeClr w14:val="tx1"/>
                  </w14:solidFill>
                </w14:textFill>
              </w:rPr>
            </w:pPr>
            <w:r>
              <w:rPr>
                <w:rFonts w:hint="eastAsia"/>
                <w:sz w:val="21"/>
                <w:szCs w:val="21"/>
                <w:vertAlign w:val="baseline"/>
                <w:lang w:eastAsia="zh-CN"/>
              </w:rPr>
              <w:t>受</w:t>
            </w:r>
            <w:r>
              <w:rPr>
                <w:rFonts w:hint="eastAsia" w:ascii="宋体" w:hAnsi="宋体" w:eastAsia="宋体" w:cs="宋体"/>
                <w:sz w:val="21"/>
                <w:szCs w:val="21"/>
                <w:lang w:val="en-US" w:eastAsia="zh-CN"/>
              </w:rPr>
              <w:t>安徽磐石矿业有限公司</w:t>
            </w:r>
            <w:r>
              <w:rPr>
                <w:rFonts w:hint="eastAsia"/>
                <w:color w:val="000000" w:themeColor="text1"/>
                <w:sz w:val="21"/>
                <w:szCs w:val="21"/>
                <w:vertAlign w:val="baseline"/>
                <w:lang w:eastAsia="zh-CN"/>
                <w14:textFill>
                  <w14:solidFill>
                    <w14:schemeClr w14:val="tx1"/>
                  </w14:solidFill>
                </w14:textFill>
              </w:rPr>
              <w:t>的委托，我公司接受对其所属矿山</w:t>
            </w:r>
            <w:r>
              <w:rPr>
                <w:rFonts w:hint="eastAsia"/>
                <w:sz w:val="21"/>
                <w:szCs w:val="21"/>
                <w:vertAlign w:val="baseline"/>
                <w:lang w:eastAsia="zh-CN"/>
              </w:rPr>
              <w:t>进行安全预评价工作，并成立了该矿安全预评价组。评价组收</w:t>
            </w:r>
            <w:r>
              <w:rPr>
                <w:rFonts w:hint="eastAsia"/>
                <w:color w:val="000000" w:themeColor="text1"/>
                <w:sz w:val="21"/>
                <w:szCs w:val="21"/>
                <w:vertAlign w:val="baseline"/>
                <w:lang w:eastAsia="zh-CN"/>
                <w14:textFill>
                  <w14:solidFill>
                    <w14:schemeClr w14:val="tx1"/>
                  </w14:solidFill>
                </w14:textFill>
              </w:rPr>
              <w:t>集了国家有关法律、法规、技术标准和规范，编制了安全预评价现场调查表，确定评价程序和方法，本评价组于20</w:t>
            </w:r>
            <w:r>
              <w:rPr>
                <w:rFonts w:hint="eastAsia"/>
                <w:color w:val="000000" w:themeColor="text1"/>
                <w:sz w:val="21"/>
                <w:szCs w:val="21"/>
                <w:vertAlign w:val="baseline"/>
                <w:lang w:val="en-US" w:eastAsia="zh-CN"/>
                <w14:textFill>
                  <w14:solidFill>
                    <w14:schemeClr w14:val="tx1"/>
                  </w14:solidFill>
                </w14:textFill>
              </w:rPr>
              <w:t>21</w:t>
            </w:r>
            <w:r>
              <w:rPr>
                <w:rFonts w:hint="eastAsia"/>
                <w:color w:val="000000" w:themeColor="text1"/>
                <w:sz w:val="21"/>
                <w:szCs w:val="21"/>
                <w:vertAlign w:val="baseline"/>
                <w:lang w:eastAsia="zh-CN"/>
                <w14:textFill>
                  <w14:solidFill>
                    <w14:schemeClr w14:val="tx1"/>
                  </w14:solidFill>
                </w14:textFill>
              </w:rPr>
              <w:t>年</w:t>
            </w:r>
            <w:r>
              <w:rPr>
                <w:rFonts w:hint="eastAsia"/>
                <w:color w:val="000000" w:themeColor="text1"/>
                <w:sz w:val="21"/>
                <w:szCs w:val="21"/>
                <w:vertAlign w:val="baseline"/>
                <w:lang w:val="en-US" w:eastAsia="zh-CN"/>
                <w14:textFill>
                  <w14:solidFill>
                    <w14:schemeClr w14:val="tx1"/>
                  </w14:solidFill>
                </w14:textFill>
              </w:rPr>
              <w:t>1</w:t>
            </w:r>
            <w:r>
              <w:rPr>
                <w:rFonts w:hint="eastAsia"/>
                <w:color w:val="000000" w:themeColor="text1"/>
                <w:sz w:val="21"/>
                <w:szCs w:val="21"/>
                <w:vertAlign w:val="baseline"/>
                <w:lang w:eastAsia="zh-CN"/>
                <w14:textFill>
                  <w14:solidFill>
                    <w14:schemeClr w14:val="tx1"/>
                  </w14:solidFill>
                </w14:textFill>
              </w:rPr>
              <w:t>月先后多次进入该公司矿山现场，进行了现场调查和收集资料，对调查中发现的主要问题书面反馈到矿山，并对其整改情况进行复核。</w:t>
            </w:r>
          </w:p>
          <w:p>
            <w:pPr>
              <w:spacing w:line="240" w:lineRule="auto"/>
              <w:ind w:firstLine="420" w:firstLineChars="200"/>
              <w:jc w:val="both"/>
              <w:rPr>
                <w:rFonts w:hint="eastAsia"/>
                <w:sz w:val="21"/>
                <w:szCs w:val="21"/>
                <w:vertAlign w:val="baseline"/>
                <w:lang w:eastAsia="zh-CN"/>
              </w:rPr>
            </w:pPr>
            <w:r>
              <w:rPr>
                <w:rFonts w:hint="eastAsia"/>
                <w:color w:val="000000" w:themeColor="text1"/>
                <w:sz w:val="21"/>
                <w:szCs w:val="21"/>
                <w:vertAlign w:val="baseline"/>
                <w:lang w:eastAsia="zh-CN"/>
                <w14:textFill>
                  <w14:solidFill>
                    <w14:schemeClr w14:val="tx1"/>
                  </w14:solidFill>
                </w14:textFill>
              </w:rPr>
              <w:t>评价组在调查、收集资料的基础上，对该公司所属矿山的总平面布置、开拓运输、采剥、供配电、防排水、排土场、安全管理和重大危险辩识等系统的进行评价，并提出安全对策措施及建议，形成该公司矿山安全预评价结论。</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75" w:hRule="atLeast"/>
        </w:trPr>
        <w:tc>
          <w:tcPr>
            <w:tcW w:w="1905" w:type="dxa"/>
            <w:tcBorders>
              <w:tl2br w:val="nil"/>
              <w:tr2bl w:val="nil"/>
            </w:tcBorders>
            <w:vAlign w:val="center"/>
          </w:tcPr>
          <w:p>
            <w:pPr>
              <w:spacing w:line="240" w:lineRule="auto"/>
              <w:jc w:val="center"/>
              <w:rPr>
                <w:rFonts w:hint="eastAsia"/>
                <w:sz w:val="21"/>
                <w:szCs w:val="21"/>
                <w:vertAlign w:val="baseline"/>
                <w:lang w:eastAsia="zh-CN"/>
              </w:rPr>
            </w:pPr>
            <w:r>
              <w:rPr>
                <w:rFonts w:hint="eastAsia"/>
                <w:sz w:val="21"/>
                <w:szCs w:val="21"/>
                <w:vertAlign w:val="baseline"/>
                <w:lang w:eastAsia="zh-CN"/>
              </w:rPr>
              <w:t>现场调查时间</w:t>
            </w:r>
          </w:p>
        </w:tc>
        <w:tc>
          <w:tcPr>
            <w:tcW w:w="3015" w:type="dxa"/>
            <w:gridSpan w:val="3"/>
            <w:tcBorders>
              <w:tl2br w:val="nil"/>
              <w:tr2bl w:val="nil"/>
            </w:tcBorders>
            <w:vAlign w:val="center"/>
          </w:tcPr>
          <w:p>
            <w:pPr>
              <w:spacing w:line="240" w:lineRule="auto"/>
              <w:jc w:val="center"/>
              <w:rPr>
                <w:rFonts w:hint="eastAsia"/>
                <w:sz w:val="21"/>
                <w:szCs w:val="21"/>
                <w:vertAlign w:val="baseline"/>
                <w:lang w:eastAsia="zh-CN"/>
              </w:rPr>
            </w:pPr>
            <w:r>
              <w:rPr>
                <w:rFonts w:hint="eastAsia"/>
                <w:sz w:val="21"/>
                <w:szCs w:val="21"/>
                <w:vertAlign w:val="baseline"/>
                <w:lang w:eastAsia="zh-CN"/>
              </w:rPr>
              <w:t>20</w:t>
            </w:r>
            <w:r>
              <w:rPr>
                <w:rFonts w:hint="eastAsia"/>
                <w:sz w:val="21"/>
                <w:szCs w:val="21"/>
                <w:vertAlign w:val="baseline"/>
                <w:lang w:val="en-US" w:eastAsia="zh-CN"/>
              </w:rPr>
              <w:t>21年1</w:t>
            </w:r>
            <w:r>
              <w:rPr>
                <w:rFonts w:hint="eastAsia"/>
                <w:sz w:val="21"/>
                <w:szCs w:val="21"/>
                <w:vertAlign w:val="baseline"/>
                <w:lang w:eastAsia="zh-CN"/>
              </w:rPr>
              <w:t>月</w:t>
            </w:r>
            <w:r>
              <w:rPr>
                <w:rFonts w:hint="eastAsia"/>
                <w:sz w:val="21"/>
                <w:szCs w:val="21"/>
                <w:vertAlign w:val="baseline"/>
                <w:lang w:val="en-US" w:eastAsia="zh-CN"/>
              </w:rPr>
              <w:t>10日</w:t>
            </w:r>
          </w:p>
        </w:tc>
        <w:tc>
          <w:tcPr>
            <w:tcW w:w="1875" w:type="dxa"/>
            <w:gridSpan w:val="3"/>
            <w:tcBorders>
              <w:tl2br w:val="nil"/>
              <w:tr2bl w:val="nil"/>
            </w:tcBorders>
            <w:vAlign w:val="center"/>
          </w:tcPr>
          <w:p>
            <w:pPr>
              <w:spacing w:line="240" w:lineRule="auto"/>
              <w:jc w:val="center"/>
              <w:rPr>
                <w:rFonts w:hint="eastAsia"/>
                <w:sz w:val="21"/>
                <w:szCs w:val="21"/>
                <w:vertAlign w:val="baseline"/>
                <w:lang w:eastAsia="zh-CN"/>
              </w:rPr>
            </w:pPr>
            <w:r>
              <w:rPr>
                <w:rFonts w:hint="eastAsia"/>
                <w:sz w:val="21"/>
                <w:szCs w:val="21"/>
                <w:vertAlign w:val="baseline"/>
                <w:lang w:eastAsia="zh-CN"/>
              </w:rPr>
              <w:t>提交报告时间</w:t>
            </w:r>
          </w:p>
        </w:tc>
        <w:tc>
          <w:tcPr>
            <w:tcW w:w="1800" w:type="dxa"/>
            <w:tcBorders>
              <w:tl2br w:val="nil"/>
              <w:tr2bl w:val="nil"/>
            </w:tcBorders>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2021年2月4日</w:t>
            </w:r>
          </w:p>
        </w:tc>
      </w:tr>
    </w:tbl>
    <w:p>
      <w:pPr>
        <w:rPr>
          <w:rFonts w:hint="eastAsia" w:eastAsiaTheme="minorEastAsia"/>
          <w:b/>
          <w:bCs/>
          <w:spacing w:val="0"/>
          <w:sz w:val="28"/>
          <w:szCs w:val="28"/>
          <w:lang w:val="en-US" w:eastAsia="zh-CN"/>
        </w:rPr>
      </w:pPr>
      <w:r>
        <w:rPr>
          <w:rFonts w:hint="eastAsia" w:eastAsiaTheme="minorEastAsia"/>
          <w:b/>
          <w:bCs/>
          <w:spacing w:val="0"/>
          <w:sz w:val="28"/>
          <w:szCs w:val="28"/>
          <w:lang w:val="en-US" w:eastAsia="zh-CN"/>
        </w:rPr>
        <w:br w:type="page"/>
      </w:r>
    </w:p>
    <w:p>
      <w:pPr>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-215265</wp:posOffset>
            </wp:positionH>
            <wp:positionV relativeFrom="paragraph">
              <wp:posOffset>4354195</wp:posOffset>
            </wp:positionV>
            <wp:extent cx="5688330" cy="4262120"/>
            <wp:effectExtent l="0" t="0" r="7620" b="5080"/>
            <wp:wrapTopAndBottom/>
            <wp:docPr id="3" name="图片 3" descr="a2878f087c9d5b4081553adb26e52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2878f087c9d5b4081553adb26e52ec"/>
                    <pic:cNvPicPr>
                      <a:picLocks noChangeAspect="1"/>
                    </pic:cNvPicPr>
                  </pic:nvPicPr>
                  <pic:blipFill>
                    <a:blip r:embed="rId4"/>
                    <a:stretch>
                      <a:fillRect/>
                    </a:stretch>
                  </pic:blipFill>
                  <pic:spPr>
                    <a:xfrm>
                      <a:off x="0" y="0"/>
                      <a:ext cx="5688330" cy="4262120"/>
                    </a:xfrm>
                    <a:prstGeom prst="rect">
                      <a:avLst/>
                    </a:prstGeom>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-191135</wp:posOffset>
            </wp:positionH>
            <wp:positionV relativeFrom="paragraph">
              <wp:posOffset>83185</wp:posOffset>
            </wp:positionV>
            <wp:extent cx="5668010" cy="4161155"/>
            <wp:effectExtent l="0" t="0" r="8890" b="10795"/>
            <wp:wrapTopAndBottom/>
            <wp:docPr id="4" name="图片 4" descr="32db9c3e8168148ab872d48dab6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2db9c3e8168148ab872d48dab65183"/>
                    <pic:cNvPicPr>
                      <a:picLocks noChangeAspect="1"/>
                    </pic:cNvPicPr>
                  </pic:nvPicPr>
                  <pic:blipFill>
                    <a:blip r:embed="rId5"/>
                    <a:stretch>
                      <a:fillRect/>
                    </a:stretch>
                  </pic:blipFill>
                  <pic:spPr>
                    <a:xfrm>
                      <a:off x="0" y="0"/>
                      <a:ext cx="5668010" cy="4161155"/>
                    </a:xfrm>
                    <a:prstGeom prst="rect">
                      <a:avLst/>
                    </a:prstGeom>
                  </pic:spPr>
                </pic:pic>
              </a:graphicData>
            </a:graphic>
          </wp:anchor>
        </w:drawing>
      </w:r>
      <w:r>
        <w:rPr>
          <w:rFonts w:hint="eastAsia"/>
          <w:lang w:val="en-US" w:eastAsia="zh-CN"/>
        </w:rPr>
        <w:br w:type="page"/>
      </w:r>
      <w:bookmarkStart w:id="0" w:name="_GoBack"/>
      <w:bookmarkEnd w:id="0"/>
    </w:p>
    <w:p>
      <w:pPr>
        <w:pStyle w:val="2"/>
        <w:rPr>
          <w:rFonts w:hint="eastAsia"/>
          <w:lang w:val="en-US"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-229235</wp:posOffset>
            </wp:positionH>
            <wp:positionV relativeFrom="paragraph">
              <wp:posOffset>4554855</wp:posOffset>
            </wp:positionV>
            <wp:extent cx="5742305" cy="3829050"/>
            <wp:effectExtent l="0" t="0" r="10795" b="0"/>
            <wp:wrapTopAndBottom/>
            <wp:docPr id="1" name="图片 1" descr="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3"/>
                    <pic:cNvPicPr>
                      <a:picLocks noChangeAspect="1"/>
                    </pic:cNvPicPr>
                  </pic:nvPicPr>
                  <pic:blipFill>
                    <a:blip r:embed="rId6"/>
                    <a:stretch>
                      <a:fillRect/>
                    </a:stretch>
                  </pic:blipFill>
                  <pic:spPr>
                    <a:xfrm>
                      <a:off x="0" y="0"/>
                      <a:ext cx="5742305" cy="3829050"/>
                    </a:xfrm>
                    <a:prstGeom prst="rect">
                      <a:avLst/>
                    </a:prstGeom>
                  </pic:spPr>
                </pic:pic>
              </a:graphicData>
            </a:graphic>
          </wp:anchor>
        </w:drawing>
      </w:r>
      <w:r>
        <w:rPr>
          <w:rFonts w:hint="eastAsia"/>
          <w:lang w:val="en-US" w:eastAsia="zh-CN"/>
        </w:rPr>
        <w:drawing>
          <wp:anchor distT="0" distB="0" distL="114300" distR="114300" simplePos="0" relativeHeight="251663360" behindDoc="0" locked="0" layoutInCell="1" allowOverlap="1">
            <wp:simplePos x="0" y="0"/>
            <wp:positionH relativeFrom="column">
              <wp:posOffset>-229235</wp:posOffset>
            </wp:positionH>
            <wp:positionV relativeFrom="paragraph">
              <wp:posOffset>76835</wp:posOffset>
            </wp:positionV>
            <wp:extent cx="5751830" cy="4305935"/>
            <wp:effectExtent l="0" t="0" r="1270" b="18415"/>
            <wp:wrapTopAndBottom/>
            <wp:docPr id="2" name="图片 2" descr="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1"/>
                    <pic:cNvPicPr>
                      <a:picLocks noChangeAspect="1"/>
                    </pic:cNvPicPr>
                  </pic:nvPicPr>
                  <pic:blipFill>
                    <a:blip r:embed="rId7"/>
                    <a:stretch>
                      <a:fillRect/>
                    </a:stretch>
                  </pic:blipFill>
                  <pic:spPr>
                    <a:xfrm>
                      <a:off x="0" y="0"/>
                      <a:ext cx="5751830" cy="4305935"/>
                    </a:xfrm>
                    <a:prstGeom prst="rect">
                      <a:avLst/>
                    </a:prstGeom>
                  </pic:spPr>
                </pic:pic>
              </a:graphicData>
            </a:graphic>
          </wp:anchor>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A02AEE"/>
    <w:rsid w:val="03046DCD"/>
    <w:rsid w:val="04CE1D8A"/>
    <w:rsid w:val="0559244F"/>
    <w:rsid w:val="075E01EE"/>
    <w:rsid w:val="07CD4538"/>
    <w:rsid w:val="0B476034"/>
    <w:rsid w:val="0D307C9B"/>
    <w:rsid w:val="0E3A1443"/>
    <w:rsid w:val="145A0295"/>
    <w:rsid w:val="156E2A24"/>
    <w:rsid w:val="16041BF2"/>
    <w:rsid w:val="168426A6"/>
    <w:rsid w:val="18C83E12"/>
    <w:rsid w:val="1B596200"/>
    <w:rsid w:val="23E966B1"/>
    <w:rsid w:val="2415179A"/>
    <w:rsid w:val="2DA02AEE"/>
    <w:rsid w:val="2EF5444F"/>
    <w:rsid w:val="2FCC66E7"/>
    <w:rsid w:val="33EC312A"/>
    <w:rsid w:val="34487C85"/>
    <w:rsid w:val="361110B2"/>
    <w:rsid w:val="365F1E40"/>
    <w:rsid w:val="3C4B3590"/>
    <w:rsid w:val="3EEE3F1B"/>
    <w:rsid w:val="41395972"/>
    <w:rsid w:val="44E163E6"/>
    <w:rsid w:val="46965977"/>
    <w:rsid w:val="571F6BC4"/>
    <w:rsid w:val="589F7D0A"/>
    <w:rsid w:val="5A542876"/>
    <w:rsid w:val="5BF251CA"/>
    <w:rsid w:val="61902FA1"/>
    <w:rsid w:val="6AF27013"/>
    <w:rsid w:val="6C8A1827"/>
    <w:rsid w:val="6CAB378E"/>
    <w:rsid w:val="6D535020"/>
    <w:rsid w:val="6E5C6961"/>
    <w:rsid w:val="75AD4065"/>
    <w:rsid w:val="774B432A"/>
    <w:rsid w:val="78713F2A"/>
    <w:rsid w:val="799F0A85"/>
    <w:rsid w:val="7A6B5AA0"/>
    <w:rsid w:val="7B5821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uiPriority w:val="0"/>
    <w:pPr>
      <w:spacing w:after="120" w:afterLines="0"/>
    </w:pPr>
  </w:style>
  <w:style w:type="paragraph" w:styleId="4">
    <w:name w:val="Normal Indent"/>
    <w:basedOn w:val="1"/>
    <w:uiPriority w:val="0"/>
    <w:pPr>
      <w:ind w:firstLine="420" w:firstLineChars="200"/>
    </w:pPr>
    <w:rPr>
      <w:szCs w:val="24"/>
    </w:rPr>
  </w:style>
  <w:style w:type="paragraph" w:styleId="5">
    <w:name w:val="Block Text"/>
    <w:basedOn w:val="1"/>
    <w:qFormat/>
    <w:uiPriority w:val="0"/>
    <w:pPr>
      <w:spacing w:line="560" w:lineRule="exact"/>
      <w:ind w:left="540" w:leftChars="257" w:right="206" w:rightChars="98" w:firstLine="580" w:firstLineChars="207"/>
    </w:pPr>
    <w:rPr>
      <w:sz w:val="28"/>
      <w:szCs w:val="28"/>
    </w:rPr>
  </w:style>
  <w:style w:type="paragraph" w:styleId="6">
    <w:name w:val="Plain Text"/>
    <w:basedOn w:val="1"/>
    <w:qFormat/>
    <w:uiPriority w:val="0"/>
    <w:rPr>
      <w:rFonts w:ascii="宋体" w:hAnsi="Courier New"/>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项目标题"/>
    <w:basedOn w:val="1"/>
    <w:next w:val="1"/>
    <w:qFormat/>
    <w:uiPriority w:val="0"/>
    <w:pPr>
      <w:autoSpaceDE w:val="0"/>
      <w:autoSpaceDN w:val="0"/>
      <w:adjustRightInd w:val="0"/>
      <w:spacing w:before="100" w:beforeAutospacing="1" w:after="100" w:afterAutospacing="1"/>
      <w:jc w:val="center"/>
      <w:textAlignment w:val="top"/>
    </w:pPr>
    <w:rPr>
      <w:rFonts w:ascii="宋体" w:hAnsi="宋体"/>
      <w:b/>
      <w:bCs/>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2018-06-11T08:23:00Z</dcterms:created>
  <dc:creator>Administrator</dc:creator>
  <cp:lastModifiedBy>旧时光丶旧感情</cp:lastModifiedBy>
  <dcterms:modified xsi:type="dcterms:W3CDTF">2021-10-27T14:43:45Z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024B543C70E8425C8C15CF3649407EAC</vt:lpwstr>
  </property>
</Properties>
</file>