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eastAsia="宋体" w:cs="宋体"/>
          <w:b/>
          <w:bCs/>
          <w:spacing w:val="0"/>
          <w:sz w:val="28"/>
          <w:szCs w:val="28"/>
          <w:lang w:val="en-US" w:eastAsia="zh-CN"/>
        </w:rPr>
      </w:pPr>
      <w:r>
        <w:rPr>
          <w:rFonts w:hint="eastAsia" w:ascii="宋体" w:hAnsi="宋体" w:eastAsia="宋体" w:cs="宋体"/>
          <w:b/>
          <w:bCs/>
          <w:spacing w:val="0"/>
          <w:sz w:val="28"/>
          <w:szCs w:val="28"/>
          <w:lang w:val="en-US" w:eastAsia="zh-CN"/>
        </w:rPr>
        <w:t>池州市桃坡鑫隆矿业开发有限公司池州市贵池区婆猪形铁铜矿20万t/a地下采矿技改扩建工程项目安全预评价</w:t>
      </w:r>
    </w:p>
    <w:p>
      <w:pPr>
        <w:spacing w:line="240" w:lineRule="auto"/>
        <w:jc w:val="center"/>
        <w:rPr>
          <w:rFonts w:hint="eastAsia" w:eastAsiaTheme="minorEastAsia"/>
          <w:b/>
          <w:bCs/>
          <w:spacing w:val="0"/>
          <w:sz w:val="28"/>
          <w:szCs w:val="28"/>
          <w:lang w:val="en-US" w:eastAsia="zh-CN"/>
        </w:rPr>
      </w:pPr>
    </w:p>
    <w:tbl>
      <w:tblPr>
        <w:tblStyle w:val="6"/>
        <w:tblpPr w:leftFromText="180" w:rightFromText="180" w:vertAnchor="page" w:horzAnchor="page" w:tblpX="1735" w:tblpY="2898"/>
        <w:tblOverlap w:val="never"/>
        <w:tblW w:w="8595"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905"/>
        <w:gridCol w:w="2617"/>
        <w:gridCol w:w="158"/>
        <w:gridCol w:w="240"/>
        <w:gridCol w:w="1387"/>
        <w:gridCol w:w="202"/>
        <w:gridCol w:w="286"/>
        <w:gridCol w:w="180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8" w:hRule="atLeast"/>
        </w:trPr>
        <w:tc>
          <w:tcPr>
            <w:tcW w:w="1905" w:type="dxa"/>
            <w:tcBorders>
              <w:tl2br w:val="nil"/>
              <w:tr2bl w:val="nil"/>
            </w:tcBorders>
            <w:vAlign w:val="center"/>
          </w:tcPr>
          <w:p>
            <w:pPr>
              <w:spacing w:line="240" w:lineRule="auto"/>
              <w:ind w:firstLine="632" w:firstLineChars="300"/>
              <w:jc w:val="both"/>
              <w:rPr>
                <w:rFonts w:hint="eastAsia" w:ascii="宋体" w:hAnsi="宋体" w:eastAsia="宋体" w:cs="宋体"/>
                <w:sz w:val="21"/>
                <w:szCs w:val="21"/>
                <w:vertAlign w:val="baseline"/>
                <w:lang w:eastAsia="zh-CN"/>
              </w:rPr>
            </w:pPr>
            <w:r>
              <w:rPr>
                <w:rFonts w:hint="eastAsia" w:ascii="宋体" w:hAnsi="宋体" w:eastAsia="宋体" w:cs="宋体"/>
                <w:b/>
                <w:bCs/>
                <w:sz w:val="21"/>
                <w:szCs w:val="21"/>
                <w:vertAlign w:val="baseline"/>
                <w:lang w:eastAsia="zh-CN"/>
              </w:rPr>
              <w:t>项目规模</w:t>
            </w:r>
          </w:p>
        </w:tc>
        <w:tc>
          <w:tcPr>
            <w:tcW w:w="2775" w:type="dxa"/>
            <w:gridSpan w:val="2"/>
            <w:tcBorders>
              <w:tl2br w:val="nil"/>
              <w:tr2bl w:val="nil"/>
            </w:tcBorders>
            <w:vAlign w:val="center"/>
          </w:tcPr>
          <w:p>
            <w:pPr>
              <w:spacing w:line="240" w:lineRule="auto"/>
              <w:ind w:firstLine="840" w:firstLineChars="40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20万t/a</w:t>
            </w:r>
          </w:p>
        </w:tc>
        <w:tc>
          <w:tcPr>
            <w:tcW w:w="1829" w:type="dxa"/>
            <w:gridSpan w:val="3"/>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b/>
                <w:bCs/>
                <w:sz w:val="21"/>
                <w:szCs w:val="21"/>
                <w:vertAlign w:val="baseline"/>
                <w:lang w:eastAsia="zh-CN"/>
              </w:rPr>
              <w:t>企业性质</w:t>
            </w:r>
          </w:p>
        </w:tc>
        <w:tc>
          <w:tcPr>
            <w:tcW w:w="2086" w:type="dxa"/>
            <w:gridSpan w:val="2"/>
            <w:tcBorders>
              <w:tl2br w:val="nil"/>
              <w:tr2bl w:val="nil"/>
            </w:tcBorders>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lang w:eastAsia="zh-CN"/>
              </w:rPr>
              <w:t>其他有限责任</w:t>
            </w:r>
            <w:r>
              <w:rPr>
                <w:rFonts w:hint="eastAsia" w:ascii="宋体" w:hAnsi="宋体" w:eastAsia="宋体" w:cs="宋体"/>
                <w:sz w:val="21"/>
                <w:szCs w:val="21"/>
              </w:rPr>
              <w:t>公司</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3" w:hRule="atLeast"/>
        </w:trPr>
        <w:tc>
          <w:tcPr>
            <w:tcW w:w="1905" w:type="dxa"/>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评价类别</w:t>
            </w:r>
          </w:p>
        </w:tc>
        <w:tc>
          <w:tcPr>
            <w:tcW w:w="2775" w:type="dxa"/>
            <w:gridSpan w:val="2"/>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安全预评价</w:t>
            </w:r>
          </w:p>
        </w:tc>
        <w:tc>
          <w:tcPr>
            <w:tcW w:w="1829" w:type="dxa"/>
            <w:gridSpan w:val="3"/>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b/>
                <w:bCs/>
                <w:sz w:val="21"/>
                <w:szCs w:val="21"/>
                <w:vertAlign w:val="baseline"/>
                <w:lang w:eastAsia="zh-CN"/>
              </w:rPr>
              <w:t>所属业务类别</w:t>
            </w:r>
          </w:p>
        </w:tc>
        <w:tc>
          <w:tcPr>
            <w:tcW w:w="2086" w:type="dxa"/>
            <w:gridSpan w:val="2"/>
            <w:tcBorders>
              <w:tl2br w:val="nil"/>
              <w:tr2bl w:val="nil"/>
            </w:tcBorders>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2.a金属矿采选业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0" w:hRule="atLeast"/>
        </w:trPr>
        <w:tc>
          <w:tcPr>
            <w:tcW w:w="1905" w:type="dxa"/>
            <w:tcBorders>
              <w:tl2br w:val="nil"/>
              <w:tr2bl w:val="nil"/>
            </w:tcBorders>
            <w:textDirection w:val="tbLrV"/>
            <w:vAlign w:val="center"/>
          </w:tcPr>
          <w:p>
            <w:pPr>
              <w:spacing w:line="24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项</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目</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简</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介</w:t>
            </w:r>
          </w:p>
        </w:tc>
        <w:tc>
          <w:tcPr>
            <w:tcW w:w="6690"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池州市桃坡鑫隆矿业开发有限公司婆猪形铁矿因经多年开采，界内资源面临枯竭，为延长矿山服务年限，解决当地部分就业，池州市桃坡鑫隆矿业开发有限公司于2015年提出申请，对现有矿权平面范围内进行深部勘探。2015年11月23日，安徽省国土资源厅以《安徽省国土资源厅关于池州市贵池区婆猪形铁矿申请采矿权范围内深部探矿的复函》（皖国土资函〔2015〕1574号），同意池州市桃坡鑫隆矿业开发有限公司在其持有的婆猪形铁矿采矿权-120m以下开展深部勘查工作，并要求矿山在2年内提交满足开采设计要求的地质勘查报告。</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池州市桃坡鑫隆矿业开发有限公司于2015年11月25日，委托安徽省煤田地质局第二勘探队在婆猪形铁矿采矿权范围内18线以东开展铁、铜矿深部普查～勘探工作，同时对矿山资源储量进行核实，查明区内铁、铜矿产资源，提交符合规范要求的地质勘查报告，为矿山开发整体规划及延长矿山服务年限等提供地质资料依据。</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2017年10月，安徽省煤田地质局第二勘探队提交了《核实及深部勘探报告》，该报告经安徽省矿产资源储量评审中心组织专家审查通过，安徽省国土资源厅以（皖矿储备[2017]072号）文予以备案。由于省厅要求2年内提交勘查报告，当时进行深部勘探施工的部分钻孔（24个孔）因来不及开展资料综合整理，导致这部分钻孔资料未被上述《核实及深部勘探报告》利用。</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2020年1月22日，安徽省自然资源厅以皖国土资矿划字[2020]002号文《关于安徽省池州市贵池区婆猪形铁矿划定矿区范围批复》，划定的矿区范围面积 0.699km2，开采范围标高+95m～-400m，具体见表1-1。</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了充分利用过去施工的探矿钻孔资料，进一步查明探矿权矿区范围内的矿产资源储量，作为下一步探转采的地质资料依据，池州市桃坡鑫隆矿业公司于2020年4月，委托安徽开成地矿勘查有限公司在婆猪形铁矿探矿权矿区范围内（拟定采矿权范围）开展资源储量核实工作。在2017年《核实及深部勘探报告》的基础上，对上述未利用的24个钻孔开展资料综合整理工作，利用新增加的钻孔资料对区内矿体进行重新圈定，同时对2017年10月1日以来矿区内消耗的资源储量进行核实，估算探矿权矿区范围内的查明、消耗及保有资源储量。安徽开成地矿勘查有限公司于2020 年7月份提交了《资源储量核实报告》，该报告经安徽省矿产资源储量评审中心组织专家审查通过，安徽省自然资源厅以（皖矿储备字[2021]3号）文予以备案。</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为合理开发矿产资源，池州市桃坡鑫隆矿业开发有限公司于2021年2月编制了《安徽省池州市贵池区婆猪形铁铜矿矿产资源开发利用方案》，通过了专家评审，并于2021年2月进行了公告。</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vertAlign w:val="baseline"/>
              </w:rPr>
            </w:pPr>
            <w:r>
              <w:rPr>
                <w:rFonts w:hint="eastAsia" w:ascii="宋体" w:hAnsi="宋体" w:eastAsia="宋体" w:cs="宋体"/>
                <w:sz w:val="21"/>
                <w:szCs w:val="21"/>
                <w:lang w:val="en-US" w:eastAsia="zh-CN"/>
              </w:rPr>
              <w:t>2021年2月，池州市桃坡鑫隆矿业开发有限公司组织相关人员开展了项目可行性研究工作，并编制了《可行性研究报告》。依据建设项目安全“三同时”相关规定，池州市桃坡鑫隆矿业开发有限公司于2021年3月委托安徽正信科技有限公司根据《可行性研究报告》对其安徽省池州市贵池区婆猪形铁铜矿20万t/a地下采矿技改扩建工程项目进行安全预评价工作。</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5" w:hRule="atLeast"/>
        </w:trPr>
        <w:tc>
          <w:tcPr>
            <w:tcW w:w="1905" w:type="dxa"/>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b/>
                <w:bCs/>
                <w:sz w:val="21"/>
                <w:szCs w:val="21"/>
                <w:vertAlign w:val="baseline"/>
                <w:lang w:eastAsia="zh-CN"/>
              </w:rPr>
              <w:t>项目负责人</w:t>
            </w:r>
          </w:p>
        </w:tc>
        <w:tc>
          <w:tcPr>
            <w:tcW w:w="2617" w:type="dxa"/>
            <w:tcBorders>
              <w:right w:val="single" w:color="auto" w:sz="4" w:space="0"/>
              <w:tl2br w:val="nil"/>
              <w:tr2bl w:val="nil"/>
            </w:tcBorders>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吴光辉</w:t>
            </w:r>
          </w:p>
        </w:tc>
        <w:tc>
          <w:tcPr>
            <w:tcW w:w="1785" w:type="dxa"/>
            <w:gridSpan w:val="3"/>
            <w:tcBorders>
              <w:left w:val="single" w:color="auto" w:sz="4" w:space="0"/>
              <w:right w:val="single" w:color="auto" w:sz="4" w:space="0"/>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项目编号</w:t>
            </w:r>
          </w:p>
        </w:tc>
        <w:tc>
          <w:tcPr>
            <w:tcW w:w="2288" w:type="dxa"/>
            <w:gridSpan w:val="3"/>
            <w:tcBorders>
              <w:left w:val="single" w:color="auto" w:sz="4" w:space="0"/>
              <w:tl2br w:val="nil"/>
              <w:tr2bl w:val="nil"/>
            </w:tcBorders>
            <w:vAlign w:val="center"/>
          </w:tcPr>
          <w:p>
            <w:pPr>
              <w:spacing w:line="240" w:lineRule="auto"/>
              <w:jc w:val="center"/>
              <w:rPr>
                <w:rFonts w:hint="eastAsia" w:ascii="宋体" w:hAnsi="宋体" w:eastAsia="宋体" w:cs="宋体"/>
                <w:i w:val="0"/>
                <w:caps w:val="0"/>
                <w:color w:val="000000"/>
                <w:spacing w:val="0"/>
                <w:sz w:val="19"/>
                <w:szCs w:val="19"/>
                <w:shd w:val="clear" w:fill="FFFFFF"/>
                <w:lang w:val="en-US" w:eastAsia="zh-CN"/>
              </w:rPr>
            </w:pPr>
            <w:r>
              <w:rPr>
                <w:rFonts w:hint="eastAsia" w:ascii="宋体" w:hAnsi="宋体" w:eastAsia="宋体" w:cs="宋体"/>
                <w:sz w:val="21"/>
                <w:szCs w:val="21"/>
                <w:vertAlign w:val="baseline"/>
                <w:lang w:eastAsia="zh-CN"/>
              </w:rPr>
              <w:t>皖安评皖202</w:t>
            </w:r>
            <w:r>
              <w:rPr>
                <w:rFonts w:hint="eastAsia" w:ascii="宋体" w:hAnsi="宋体" w:eastAsia="宋体" w:cs="宋体"/>
                <w:sz w:val="21"/>
                <w:szCs w:val="21"/>
                <w:vertAlign w:val="baseline"/>
                <w:lang w:val="en-US" w:eastAsia="zh-CN"/>
              </w:rPr>
              <w:t>1040114</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27" w:hRule="atLeast"/>
        </w:trPr>
        <w:tc>
          <w:tcPr>
            <w:tcW w:w="1905" w:type="dxa"/>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b/>
                <w:bCs/>
                <w:sz w:val="21"/>
                <w:szCs w:val="21"/>
                <w:vertAlign w:val="baseline"/>
                <w:lang w:eastAsia="zh-CN"/>
              </w:rPr>
              <w:t>技术负责人</w:t>
            </w:r>
          </w:p>
        </w:tc>
        <w:tc>
          <w:tcPr>
            <w:tcW w:w="3015" w:type="dxa"/>
            <w:gridSpan w:val="3"/>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董书满</w:t>
            </w:r>
          </w:p>
        </w:tc>
        <w:tc>
          <w:tcPr>
            <w:tcW w:w="1875" w:type="dxa"/>
            <w:gridSpan w:val="3"/>
            <w:tcBorders>
              <w:tl2br w:val="nil"/>
              <w:tr2bl w:val="nil"/>
            </w:tcBorders>
            <w:vAlign w:val="center"/>
          </w:tcPr>
          <w:p>
            <w:pPr>
              <w:spacing w:line="24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过程控制负责人</w:t>
            </w:r>
          </w:p>
        </w:tc>
        <w:tc>
          <w:tcPr>
            <w:tcW w:w="1800" w:type="dxa"/>
            <w:tcBorders>
              <w:tl2br w:val="nil"/>
              <w:tr2bl w:val="nil"/>
            </w:tcBorders>
            <w:vAlign w:val="center"/>
          </w:tcPr>
          <w:p>
            <w:pPr>
              <w:spacing w:line="240" w:lineRule="auto"/>
              <w:ind w:firstLine="420" w:firstLineChars="20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王陈红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0" w:hRule="atLeast"/>
        </w:trPr>
        <w:tc>
          <w:tcPr>
            <w:tcW w:w="1905" w:type="dxa"/>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b/>
                <w:bCs/>
                <w:sz w:val="21"/>
                <w:szCs w:val="21"/>
                <w:vertAlign w:val="baseline"/>
                <w:lang w:eastAsia="zh-CN"/>
              </w:rPr>
              <w:t>评价报告编制人</w:t>
            </w:r>
          </w:p>
        </w:tc>
        <w:tc>
          <w:tcPr>
            <w:tcW w:w="3015" w:type="dxa"/>
            <w:gridSpan w:val="3"/>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吴光辉、王陈红</w:t>
            </w:r>
          </w:p>
        </w:tc>
        <w:tc>
          <w:tcPr>
            <w:tcW w:w="1875" w:type="dxa"/>
            <w:gridSpan w:val="3"/>
            <w:tcBorders>
              <w:tl2br w:val="nil"/>
              <w:tr2bl w:val="nil"/>
            </w:tcBorders>
            <w:vAlign w:val="center"/>
          </w:tcPr>
          <w:p>
            <w:pPr>
              <w:spacing w:line="24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报告审核人</w:t>
            </w:r>
          </w:p>
        </w:tc>
        <w:tc>
          <w:tcPr>
            <w:tcW w:w="1800" w:type="dxa"/>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color w:val="auto"/>
                <w:sz w:val="21"/>
                <w:szCs w:val="21"/>
                <w:lang w:eastAsia="zh-CN"/>
              </w:rPr>
              <w:t>王安民、方晓东、束津舟</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9" w:hRule="atLeast"/>
        </w:trPr>
        <w:tc>
          <w:tcPr>
            <w:tcW w:w="1905" w:type="dxa"/>
            <w:tcBorders>
              <w:tl2br w:val="nil"/>
              <w:tr2bl w:val="nil"/>
            </w:tcBorders>
            <w:vAlign w:val="center"/>
          </w:tcPr>
          <w:p>
            <w:pPr>
              <w:spacing w:line="24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参与评价的安全评价师</w:t>
            </w:r>
          </w:p>
        </w:tc>
        <w:tc>
          <w:tcPr>
            <w:tcW w:w="6690" w:type="dxa"/>
            <w:gridSpan w:val="7"/>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吴光辉、崔红霞、方敏、方武松、王陈红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35" w:hRule="atLeast"/>
        </w:trPr>
        <w:tc>
          <w:tcPr>
            <w:tcW w:w="1905" w:type="dxa"/>
            <w:tcBorders>
              <w:tl2br w:val="nil"/>
              <w:tr2bl w:val="nil"/>
            </w:tcBorders>
            <w:vAlign w:val="center"/>
          </w:tcPr>
          <w:p>
            <w:pPr>
              <w:spacing w:line="24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参与评价的注册安全工程师</w:t>
            </w:r>
          </w:p>
        </w:tc>
        <w:tc>
          <w:tcPr>
            <w:tcW w:w="6690" w:type="dxa"/>
            <w:gridSpan w:val="7"/>
            <w:tcBorders>
              <w:tl2br w:val="nil"/>
              <w:tr2bl w:val="nil"/>
            </w:tcBorders>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吴光辉、王陈红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rPr>
        <w:tc>
          <w:tcPr>
            <w:tcW w:w="1905" w:type="dxa"/>
            <w:tcBorders>
              <w:tl2br w:val="nil"/>
              <w:tr2bl w:val="nil"/>
            </w:tcBorders>
            <w:vAlign w:val="center"/>
          </w:tcPr>
          <w:p>
            <w:pPr>
              <w:spacing w:line="24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现场安全评价工作人员</w:t>
            </w:r>
          </w:p>
        </w:tc>
        <w:tc>
          <w:tcPr>
            <w:tcW w:w="6690" w:type="dxa"/>
            <w:gridSpan w:val="7"/>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吴光辉、崔红霞、方敏、方武松、王陈红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53" w:hRule="atLeast"/>
        </w:trPr>
        <w:tc>
          <w:tcPr>
            <w:tcW w:w="1905" w:type="dxa"/>
            <w:tcBorders>
              <w:tl2br w:val="nil"/>
              <w:tr2bl w:val="nil"/>
            </w:tcBorders>
            <w:textDirection w:val="tbLrV"/>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eastAsia="zh-CN"/>
              </w:rPr>
              <w:t>现</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场</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评</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价</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主</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要</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任</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务</w:t>
            </w:r>
          </w:p>
        </w:tc>
        <w:tc>
          <w:tcPr>
            <w:tcW w:w="6690" w:type="dxa"/>
            <w:gridSpan w:val="7"/>
            <w:tcBorders>
              <w:tl2br w:val="nil"/>
              <w:tr2bl w:val="nil"/>
            </w:tcBorders>
            <w:vAlign w:val="center"/>
          </w:tcPr>
          <w:p>
            <w:pPr>
              <w:spacing w:line="240" w:lineRule="auto"/>
              <w:ind w:firstLine="420" w:firstLineChars="200"/>
              <w:jc w:val="left"/>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sz w:val="21"/>
                <w:szCs w:val="21"/>
                <w:vertAlign w:val="baseline"/>
                <w:lang w:eastAsia="zh-CN"/>
              </w:rPr>
              <w:t>受</w:t>
            </w:r>
            <w:r>
              <w:rPr>
                <w:rFonts w:hint="eastAsia" w:ascii="宋体" w:hAnsi="宋体" w:eastAsia="宋体" w:cs="宋体"/>
                <w:sz w:val="21"/>
                <w:szCs w:val="21"/>
                <w:lang w:val="en-US" w:eastAsia="zh-CN"/>
              </w:rPr>
              <w:t>池州市桃坡鑫隆矿业开发有限公司</w:t>
            </w:r>
            <w:r>
              <w:rPr>
                <w:rFonts w:hint="eastAsia" w:ascii="宋体" w:hAnsi="宋体" w:eastAsia="宋体" w:cs="宋体"/>
                <w:color w:val="000000" w:themeColor="text1"/>
                <w:sz w:val="21"/>
                <w:szCs w:val="21"/>
                <w:vertAlign w:val="baseline"/>
                <w:lang w:eastAsia="zh-CN"/>
                <w14:textFill>
                  <w14:solidFill>
                    <w14:schemeClr w14:val="tx1"/>
                  </w14:solidFill>
                </w14:textFill>
              </w:rPr>
              <w:t>的委托，我公司接受对其所属矿山</w:t>
            </w:r>
            <w:r>
              <w:rPr>
                <w:rFonts w:hint="eastAsia" w:ascii="宋体" w:hAnsi="宋体" w:eastAsia="宋体" w:cs="宋体"/>
                <w:sz w:val="21"/>
                <w:szCs w:val="21"/>
                <w:vertAlign w:val="baseline"/>
                <w:lang w:eastAsia="zh-CN"/>
              </w:rPr>
              <w:t>进行安全预评价工作，并成立了该矿安全预评价组。评价组收</w:t>
            </w:r>
            <w:r>
              <w:rPr>
                <w:rFonts w:hint="eastAsia" w:ascii="宋体" w:hAnsi="宋体" w:eastAsia="宋体" w:cs="宋体"/>
                <w:color w:val="000000" w:themeColor="text1"/>
                <w:sz w:val="21"/>
                <w:szCs w:val="21"/>
                <w:vertAlign w:val="baseline"/>
                <w:lang w:eastAsia="zh-CN"/>
                <w14:textFill>
                  <w14:solidFill>
                    <w14:schemeClr w14:val="tx1"/>
                  </w14:solidFill>
                </w14:textFill>
              </w:rPr>
              <w:t>集了国家有关法律、法规、技术标准和规范，编制了安全预评价现场调查表，确定评价程序和方法，本评价组于20</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21</w:t>
            </w:r>
            <w:r>
              <w:rPr>
                <w:rFonts w:hint="eastAsia" w:ascii="宋体" w:hAnsi="宋体" w:eastAsia="宋体" w:cs="宋体"/>
                <w:color w:val="000000" w:themeColor="text1"/>
                <w:sz w:val="21"/>
                <w:szCs w:val="21"/>
                <w:vertAlign w:val="baseline"/>
                <w:lang w:eastAsia="zh-CN"/>
                <w14:textFill>
                  <w14:solidFill>
                    <w14:schemeClr w14:val="tx1"/>
                  </w14:solidFill>
                </w14:textFill>
              </w:rPr>
              <w:t>年</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4</w:t>
            </w:r>
            <w:r>
              <w:rPr>
                <w:rFonts w:hint="eastAsia" w:ascii="宋体" w:hAnsi="宋体" w:eastAsia="宋体" w:cs="宋体"/>
                <w:color w:val="000000" w:themeColor="text1"/>
                <w:sz w:val="21"/>
                <w:szCs w:val="21"/>
                <w:vertAlign w:val="baseline"/>
                <w:lang w:eastAsia="zh-CN"/>
                <w14:textFill>
                  <w14:solidFill>
                    <w14:schemeClr w14:val="tx1"/>
                  </w14:solidFill>
                </w14:textFill>
              </w:rPr>
              <w:t>月先后多次进入该公司矿山现场，进行了现场调查和收集资料，对调查中发现的主要问题书面反馈到矿山，并对其整改情况进行复核。</w:t>
            </w:r>
          </w:p>
          <w:p>
            <w:pPr>
              <w:spacing w:line="240" w:lineRule="auto"/>
              <w:ind w:firstLine="420" w:firstLineChars="200"/>
              <w:jc w:val="both"/>
              <w:rPr>
                <w:rFonts w:hint="eastAsia" w:ascii="宋体" w:hAnsi="宋体" w:eastAsia="宋体" w:cs="宋体"/>
                <w:sz w:val="21"/>
                <w:szCs w:val="21"/>
                <w:vertAlign w:val="baseline"/>
                <w:lang w:eastAsia="zh-CN"/>
              </w:rPr>
            </w:pPr>
            <w:r>
              <w:rPr>
                <w:rFonts w:hint="eastAsia" w:ascii="宋体" w:hAnsi="宋体" w:eastAsia="宋体" w:cs="宋体"/>
                <w:color w:val="000000" w:themeColor="text1"/>
                <w:sz w:val="21"/>
                <w:szCs w:val="21"/>
                <w:vertAlign w:val="baseline"/>
                <w:lang w:eastAsia="zh-CN"/>
                <w14:textFill>
                  <w14:solidFill>
                    <w14:schemeClr w14:val="tx1"/>
                  </w14:solidFill>
                </w14:textFill>
              </w:rPr>
              <w:t>评价组在调查、收集资料的基础上，对该公司所属矿山的开采、提升运输、井下防治水与排水、通风、供配电、井下供水与消防、安全避险“六大系统”和总平面布置等系统的进行评价，并提出安全对策措施及建议，形成该公司矿山安全预评价结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5" w:hRule="atLeast"/>
        </w:trPr>
        <w:tc>
          <w:tcPr>
            <w:tcW w:w="1905" w:type="dxa"/>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现场调查时间</w:t>
            </w:r>
          </w:p>
        </w:tc>
        <w:tc>
          <w:tcPr>
            <w:tcW w:w="3015" w:type="dxa"/>
            <w:gridSpan w:val="3"/>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20</w:t>
            </w:r>
            <w:r>
              <w:rPr>
                <w:rFonts w:hint="eastAsia" w:ascii="宋体" w:hAnsi="宋体" w:eastAsia="宋体" w:cs="宋体"/>
                <w:sz w:val="21"/>
                <w:szCs w:val="21"/>
                <w:vertAlign w:val="baseline"/>
                <w:lang w:val="en-US" w:eastAsia="zh-CN"/>
              </w:rPr>
              <w:t>21年4</w:t>
            </w:r>
            <w:r>
              <w:rPr>
                <w:rFonts w:hint="eastAsia" w:ascii="宋体" w:hAnsi="宋体" w:eastAsia="宋体" w:cs="宋体"/>
                <w:sz w:val="21"/>
                <w:szCs w:val="21"/>
                <w:vertAlign w:val="baseline"/>
                <w:lang w:eastAsia="zh-CN"/>
              </w:rPr>
              <w:t>月</w:t>
            </w:r>
            <w:r>
              <w:rPr>
                <w:rFonts w:hint="eastAsia" w:ascii="宋体" w:hAnsi="宋体" w:eastAsia="宋体" w:cs="宋体"/>
                <w:sz w:val="21"/>
                <w:szCs w:val="21"/>
                <w:vertAlign w:val="baseline"/>
                <w:lang w:val="en-US" w:eastAsia="zh-CN"/>
              </w:rPr>
              <w:t>12日</w:t>
            </w:r>
          </w:p>
        </w:tc>
        <w:tc>
          <w:tcPr>
            <w:tcW w:w="1875" w:type="dxa"/>
            <w:gridSpan w:val="3"/>
            <w:tcBorders>
              <w:tl2br w:val="nil"/>
              <w:tr2bl w:val="nil"/>
            </w:tcBorders>
            <w:vAlign w:val="center"/>
          </w:tcPr>
          <w:p>
            <w:pPr>
              <w:spacing w:line="240" w:lineRule="auto"/>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提交报告时间</w:t>
            </w:r>
          </w:p>
        </w:tc>
        <w:tc>
          <w:tcPr>
            <w:tcW w:w="1800" w:type="dxa"/>
            <w:tcBorders>
              <w:tl2br w:val="nil"/>
              <w:tr2bl w:val="nil"/>
            </w:tcBorders>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2021年5月8日</w:t>
            </w:r>
          </w:p>
        </w:tc>
      </w:tr>
    </w:tbl>
    <w:p>
      <w:pPr>
        <w:rPr>
          <w:rFonts w:hint="eastAsia" w:eastAsiaTheme="minorEastAsia"/>
          <w:b/>
          <w:bCs/>
          <w:spacing w:val="0"/>
          <w:sz w:val="28"/>
          <w:szCs w:val="28"/>
          <w:lang w:val="en-US" w:eastAsia="zh-CN"/>
        </w:rPr>
      </w:pPr>
      <w:r>
        <w:rPr>
          <w:rFonts w:hint="eastAsia" w:eastAsiaTheme="minorEastAsia"/>
          <w:b/>
          <w:bCs/>
          <w:spacing w:val="0"/>
          <w:sz w:val="28"/>
          <w:szCs w:val="28"/>
          <w:lang w:val="en-US" w:eastAsia="zh-CN"/>
        </w:rPr>
        <w:br w:type="page"/>
      </w:r>
    </w:p>
    <w:p>
      <w:pP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-210185</wp:posOffset>
            </wp:positionH>
            <wp:positionV relativeFrom="paragraph">
              <wp:posOffset>4414520</wp:posOffset>
            </wp:positionV>
            <wp:extent cx="5687060" cy="3950335"/>
            <wp:effectExtent l="0" t="0" r="8890" b="12065"/>
            <wp:wrapTopAndBottom/>
            <wp:docPr id="4" name="图片 4" descr="d2580090e8946f6580cc475acd8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580090e8946f6580cc475acd89118"/>
                    <pic:cNvPicPr>
                      <a:picLocks noChangeAspect="1"/>
                    </pic:cNvPicPr>
                  </pic:nvPicPr>
                  <pic:blipFill>
                    <a:blip r:embed="rId4"/>
                    <a:stretch>
                      <a:fillRect/>
                    </a:stretch>
                  </pic:blipFill>
                  <pic:spPr>
                    <a:xfrm>
                      <a:off x="0" y="0"/>
                      <a:ext cx="5687060" cy="3950335"/>
                    </a:xfrm>
                    <a:prstGeom prst="rect">
                      <a:avLst/>
                    </a:prstGeom>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-191770</wp:posOffset>
            </wp:positionH>
            <wp:positionV relativeFrom="paragraph">
              <wp:posOffset>100330</wp:posOffset>
            </wp:positionV>
            <wp:extent cx="5650865" cy="4115435"/>
            <wp:effectExtent l="0" t="0" r="6985" b="18415"/>
            <wp:wrapTopAndBottom/>
            <wp:docPr id="3" name="图片 3" descr="e05e1d2aaec5e042933130f590df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5e1d2aaec5e042933130f590df840"/>
                    <pic:cNvPicPr>
                      <a:picLocks noChangeAspect="1"/>
                    </pic:cNvPicPr>
                  </pic:nvPicPr>
                  <pic:blipFill>
                    <a:blip r:embed="rId5"/>
                    <a:stretch>
                      <a:fillRect/>
                    </a:stretch>
                  </pic:blipFill>
                  <pic:spPr>
                    <a:xfrm>
                      <a:off x="0" y="0"/>
                      <a:ext cx="5650865" cy="4115435"/>
                    </a:xfrm>
                    <a:prstGeom prst="rect">
                      <a:avLst/>
                    </a:prstGeom>
                  </pic:spPr>
                </pic:pic>
              </a:graphicData>
            </a:graphic>
          </wp:anchor>
        </w:drawing>
      </w:r>
      <w:r>
        <w:rPr>
          <w:rFonts w:hint="eastAsia"/>
          <w:lang w:val="en-US" w:eastAsia="zh-CN"/>
        </w:rPr>
        <w:br w:type="page"/>
      </w:r>
      <w:bookmarkStart w:id="0" w:name="_GoBack"/>
      <w:bookmarkEnd w:id="0"/>
    </w:p>
    <w:p>
      <w:pPr>
        <w:pStyle w:val="2"/>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-210820</wp:posOffset>
            </wp:positionH>
            <wp:positionV relativeFrom="paragraph">
              <wp:posOffset>4307205</wp:posOffset>
            </wp:positionV>
            <wp:extent cx="5715635" cy="4257040"/>
            <wp:effectExtent l="0" t="0" r="18415" b="10160"/>
            <wp:wrapTopAndBottom/>
            <wp:docPr id="2" name="图片 2" descr="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3"/>
                    <pic:cNvPicPr>
                      <a:picLocks noChangeAspect="1"/>
                    </pic:cNvPicPr>
                  </pic:nvPicPr>
                  <pic:blipFill>
                    <a:blip r:embed="rId6"/>
                    <a:stretch>
                      <a:fillRect/>
                    </a:stretch>
                  </pic:blipFill>
                  <pic:spPr>
                    <a:xfrm>
                      <a:off x="0" y="0"/>
                      <a:ext cx="5715635" cy="4257040"/>
                    </a:xfrm>
                    <a:prstGeom prst="rect">
                      <a:avLst/>
                    </a:prstGeom>
                  </pic:spPr>
                </pic:pic>
              </a:graphicData>
            </a:graphic>
          </wp:anchor>
        </w:drawing>
      </w:r>
      <w:r>
        <w:rPr>
          <w:rFonts w:hint="eastAsia"/>
          <w:lang w:val="en-US" w:eastAsia="zh-CN"/>
        </w:rPr>
        <w:drawing>
          <wp:anchor distT="0" distB="0" distL="114300" distR="114300" simplePos="0" relativeHeight="251662336" behindDoc="0" locked="0" layoutInCell="1" allowOverlap="1">
            <wp:simplePos x="0" y="0"/>
            <wp:positionH relativeFrom="column">
              <wp:posOffset>-210185</wp:posOffset>
            </wp:positionH>
            <wp:positionV relativeFrom="paragraph">
              <wp:posOffset>85090</wp:posOffset>
            </wp:positionV>
            <wp:extent cx="5705475" cy="4109085"/>
            <wp:effectExtent l="0" t="0" r="9525" b="5715"/>
            <wp:wrapTopAndBottom/>
            <wp:docPr id="1" name="图片 1" descr="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6"/>
                    <pic:cNvPicPr>
                      <a:picLocks noChangeAspect="1"/>
                    </pic:cNvPicPr>
                  </pic:nvPicPr>
                  <pic:blipFill>
                    <a:blip r:embed="rId7"/>
                    <a:stretch>
                      <a:fillRect/>
                    </a:stretch>
                  </pic:blipFill>
                  <pic:spPr>
                    <a:xfrm>
                      <a:off x="0" y="0"/>
                      <a:ext cx="5705475" cy="4109085"/>
                    </a:xfrm>
                    <a:prstGeom prst="rect">
                      <a:avLst/>
                    </a:prstGeom>
                  </pic:spPr>
                </pic:pic>
              </a:graphicData>
            </a:graphic>
          </wp:anchor>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A02AEE"/>
    <w:rsid w:val="011F46F7"/>
    <w:rsid w:val="03046DCD"/>
    <w:rsid w:val="0559244F"/>
    <w:rsid w:val="075E01EE"/>
    <w:rsid w:val="07CD4538"/>
    <w:rsid w:val="0B476034"/>
    <w:rsid w:val="0D307C9B"/>
    <w:rsid w:val="0E3A1443"/>
    <w:rsid w:val="145A0295"/>
    <w:rsid w:val="156E2A24"/>
    <w:rsid w:val="157B7C96"/>
    <w:rsid w:val="16041BF2"/>
    <w:rsid w:val="168426A6"/>
    <w:rsid w:val="18C83E12"/>
    <w:rsid w:val="1B596200"/>
    <w:rsid w:val="2415179A"/>
    <w:rsid w:val="2D396269"/>
    <w:rsid w:val="2DA02AEE"/>
    <w:rsid w:val="2EF5444F"/>
    <w:rsid w:val="2FCC66E7"/>
    <w:rsid w:val="33EC312A"/>
    <w:rsid w:val="34487C85"/>
    <w:rsid w:val="361110B2"/>
    <w:rsid w:val="365F1E40"/>
    <w:rsid w:val="3EEE3F1B"/>
    <w:rsid w:val="41395972"/>
    <w:rsid w:val="44E163E6"/>
    <w:rsid w:val="46965977"/>
    <w:rsid w:val="571F6BC4"/>
    <w:rsid w:val="5A542876"/>
    <w:rsid w:val="5BF251CA"/>
    <w:rsid w:val="61902FA1"/>
    <w:rsid w:val="6AF27013"/>
    <w:rsid w:val="6C8A1827"/>
    <w:rsid w:val="6CAB378E"/>
    <w:rsid w:val="6D535020"/>
    <w:rsid w:val="6E5C6961"/>
    <w:rsid w:val="75AD4065"/>
    <w:rsid w:val="774B432A"/>
    <w:rsid w:val="78713F2A"/>
    <w:rsid w:val="799F0A85"/>
    <w:rsid w:val="7A6B5AA0"/>
    <w:rsid w:val="7B582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pPr>
  </w:style>
  <w:style w:type="paragraph" w:styleId="3">
    <w:name w:val="Block Text"/>
    <w:basedOn w:val="1"/>
    <w:qFormat/>
    <w:uiPriority w:val="0"/>
    <w:pPr>
      <w:spacing w:line="560" w:lineRule="exact"/>
      <w:ind w:left="540" w:leftChars="257" w:right="206" w:rightChars="98" w:firstLine="580" w:firstLineChars="207"/>
    </w:pPr>
    <w:rPr>
      <w:sz w:val="28"/>
      <w:szCs w:val="28"/>
    </w:rPr>
  </w:style>
  <w:style w:type="paragraph" w:styleId="4">
    <w:name w:val="Plain Text"/>
    <w:basedOn w:val="1"/>
    <w:qFormat/>
    <w:uiPriority w:val="0"/>
    <w:rPr>
      <w:rFonts w:ascii="宋体" w:hAnsi="Courier New"/>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项目标题"/>
    <w:basedOn w:val="1"/>
    <w:next w:val="1"/>
    <w:qFormat/>
    <w:uiPriority w:val="0"/>
    <w:pPr>
      <w:autoSpaceDE w:val="0"/>
      <w:autoSpaceDN w:val="0"/>
      <w:adjustRightInd w:val="0"/>
      <w:spacing w:before="100" w:beforeAutospacing="1" w:after="100" w:afterAutospacing="1"/>
      <w:jc w:val="center"/>
      <w:textAlignment w:val="top"/>
    </w:pPr>
    <w:rPr>
      <w:rFonts w:ascii="宋体" w:hAnsi="宋体"/>
      <w:b/>
      <w:bCs/>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2018-06-11T08:23:00Z</dcterms:created>
  <dc:creator>Administrator</dc:creator>
  <cp:lastModifiedBy>旧时光丶旧感情</cp:lastModifiedBy>
  <dcterms:modified xsi:type="dcterms:W3CDTF">2021-10-27T15:14:20Z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BED9EB8056C546A8B0BE3BF1DB2B9E6B</vt:lpwstr>
  </property>
</Properties>
</file>