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9" w:afterLines="8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2022年马尾区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春季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开学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学校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疫情防控工作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检查表</w:t>
      </w: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  <w:lang w:bidi="ar"/>
        </w:rPr>
        <w:t>学校（盖章）：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  <w:lang w:bidi="ar"/>
        </w:rPr>
        <w:t xml:space="preserve">                     </w:t>
      </w:r>
      <w:r>
        <w:rPr>
          <w:rStyle w:val="8"/>
          <w:rFonts w:hint="eastAsia"/>
          <w:lang w:val="en-US" w:eastAsia="zh-CN" w:bidi="ar"/>
        </w:rPr>
        <w:t xml:space="preserve">       </w:t>
      </w:r>
      <w:r>
        <w:rPr>
          <w:rStyle w:val="8"/>
          <w:rFonts w:hint="default"/>
          <w:lang w:bidi="ar"/>
        </w:rPr>
        <w:t>负责人（签字）：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  <w:lang w:bidi="ar"/>
        </w:rPr>
        <w:t xml:space="preserve">                   </w:t>
      </w:r>
      <w:r>
        <w:rPr>
          <w:rStyle w:val="8"/>
          <w:rFonts w:hint="default"/>
          <w:lang w:bidi="ar"/>
        </w:rPr>
        <w:t xml:space="preserve">  </w:t>
      </w:r>
      <w:r>
        <w:rPr>
          <w:rStyle w:val="8"/>
          <w:rFonts w:hint="eastAsia"/>
          <w:lang w:val="en-US" w:eastAsia="zh-CN" w:bidi="ar"/>
        </w:rPr>
        <w:t xml:space="preserve">    </w:t>
      </w:r>
      <w:r>
        <w:rPr>
          <w:rStyle w:val="8"/>
          <w:rFonts w:hint="default"/>
          <w:lang w:bidi="ar"/>
        </w:rPr>
        <w:t>联系电话：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  <w:lang w:bidi="ar"/>
        </w:rPr>
        <w:t xml:space="preserve">                        </w:t>
      </w:r>
    </w:p>
    <w:tbl>
      <w:tblPr>
        <w:tblStyle w:val="6"/>
        <w:tblW w:w="1585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1"/>
        <w:gridCol w:w="1952"/>
        <w:gridCol w:w="7767"/>
        <w:gridCol w:w="966"/>
        <w:gridCol w:w="2544"/>
        <w:gridCol w:w="87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  <w:lang w:bidi="ar"/>
              </w:rPr>
              <w:t>项目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  <w:lang w:bidi="ar"/>
              </w:rPr>
              <w:t>内容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  <w:lang w:bidi="ar"/>
              </w:rPr>
              <w:t>要点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/>
                <w:b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8"/>
                <w:szCs w:val="28"/>
                <w:lang w:eastAsia="zh-CN" w:bidi="ar"/>
              </w:rPr>
              <w:t>是否符合要求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b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8"/>
                <w:szCs w:val="28"/>
                <w:lang w:eastAsia="zh-CN" w:bidi="ar"/>
              </w:rPr>
              <w:t>存在问题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4" w:hRule="atLeast"/>
          <w:jc w:val="center"/>
        </w:trPr>
        <w:tc>
          <w:tcPr>
            <w:tcW w:w="1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w w:val="99"/>
                <w:sz w:val="24"/>
              </w:rPr>
              <w:t>(一)防控体系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1.疫情防控工作领导小组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成立由学校（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包括学院、幼儿园，下同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）领导班子主要负责人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（法人代表）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担任组长的疫情防控工作领导小组，明确职责分工，专题研究疫情防控，部署落实防控措施。</w:t>
            </w:r>
          </w:p>
        </w:tc>
        <w:tc>
          <w:tcPr>
            <w:tcW w:w="9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2.专项工作组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设立专项工作组，任务明确、分工清晰、职责分明，责任到岗、任务到人，开展督导检查。</w:t>
            </w:r>
          </w:p>
        </w:tc>
        <w:tc>
          <w:tcPr>
            <w:tcW w:w="9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  <w:jc w:val="center"/>
        </w:trPr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3.主体责任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落实学校主体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责任，校长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（院长、园长）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是本单位疫情防控第一责任人。做好人员、物资、场地、监测等防控条件准备，细化各项防控措施，制度明确，责任到人，确保每个细节、每个关键步骤落实到位，并进行培训、演练操作。</w:t>
            </w:r>
          </w:p>
        </w:tc>
        <w:tc>
          <w:tcPr>
            <w:tcW w:w="9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5" w:hRule="atLeast"/>
          <w:jc w:val="center"/>
        </w:trPr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4.校地联防联控机制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强化与属地卫生健康、市场监管、公安、交通运输、工信等部门及所在街道（乡镇）、社区（村）联防联控工作机制，统筹调度开学复课疫情防控工作。密切沟通，加强协作，建立监测督查机制、应急快速反应机制、任务包干包片机制。建立学校与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医疗机构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、疾控机构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、妇幼保健机构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“点对点”协作机制。确保开学前学校疫情防控业务指导、巡查和培训全覆盖。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各高校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eastAsia="zh-CN" w:bidi="ar"/>
              </w:rPr>
              <w:t>要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坚决服从“属地原则”的疫情防控工作要求，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eastAsia="zh-CN" w:bidi="ar"/>
              </w:rPr>
              <w:t>春季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开学返校工作方案要经当地应对新冠肺炎疫情工作领导小组同意，并向主管部门备案后方可实施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持续将高校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eastAsia="zh-CN" w:bidi="ar"/>
              </w:rPr>
              <w:t>春季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开学纳入当地联防联控体系。</w:t>
            </w:r>
          </w:p>
        </w:tc>
        <w:tc>
          <w:tcPr>
            <w:tcW w:w="9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6" w:hRule="atLeast"/>
          <w:jc w:val="center"/>
        </w:trPr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5.防控工作方案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制定完善疫情防控工作方案，工作方案包括：学校组织管理体系、学生开学返校前工作准备、学生返校途中及报到日当天工作要求、学生开学返校后工作安排和校园突发疫情应急预案等。</w:t>
            </w:r>
          </w:p>
        </w:tc>
        <w:tc>
          <w:tcPr>
            <w:tcW w:w="9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5" w:hRule="atLeast"/>
          <w:jc w:val="center"/>
        </w:trPr>
        <w:tc>
          <w:tcPr>
            <w:tcW w:w="17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w w:val="99"/>
                <w:sz w:val="24"/>
              </w:rPr>
            </w:pPr>
            <w:r>
              <w:rPr>
                <w:rFonts w:ascii="Times New Roman" w:hAnsi="Times New Roman" w:eastAsia="黑体"/>
                <w:w w:val="99"/>
                <w:sz w:val="24"/>
              </w:rPr>
              <w:t>(二)防控制度</w:t>
            </w:r>
          </w:p>
          <w:p>
            <w:pPr>
              <w:pStyle w:val="2"/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6.防控信息报告制度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畅通学校、校区、院系、班级、教师、学生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（适用于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eastAsia="zh-CN" w:bidi="ar"/>
              </w:rPr>
              <w:t>高校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）或学校、年级、班级、家长（适用于中小学校和幼儿园）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沟通渠道，及时收集反馈师生信息。建立全体师生员工（含食堂、安保、物业、校内工程等后勤聘用人员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eastAsia="zh-CN" w:bidi="ar"/>
              </w:rPr>
              <w:t>，下同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）健康“日报告”“零报告”制度，明确报送途径、流程，责任具体到人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eastAsia="zh-CN" w:bidi="ar"/>
              </w:rPr>
              <w:t>。</w:t>
            </w:r>
          </w:p>
        </w:tc>
        <w:tc>
          <w:tcPr>
            <w:tcW w:w="9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1" w:hRule="atLeast"/>
          <w:jc w:val="center"/>
        </w:trPr>
        <w:tc>
          <w:tcPr>
            <w:tcW w:w="1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7.师生健康管理制度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落实落细师生员工健康管理措施，做好晨、午检（寄宿生加晚检）工作，健全完善“网格化”“单元化”“人盯人”跟踪管理台账，辅导员/班主任加强对学生管理，除正常的课堂教学等工作外，全体师生员工不参加校内外各种不必要的聚集性活动。对因病缺勤的师生员工要及时追访上报。</w:t>
            </w:r>
          </w:p>
        </w:tc>
        <w:tc>
          <w:tcPr>
            <w:tcW w:w="9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3" w:hRule="atLeast"/>
          <w:jc w:val="center"/>
        </w:trPr>
        <w:tc>
          <w:tcPr>
            <w:tcW w:w="1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8.校园环境治理制度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创造良好的校园环境，彻底清理卫生死角，做好教室、食堂、宿舍、图书馆、活动中心、洗手间等公共场所的保洁和消毒，科学布局洗手池等清洁设施，确保水龙头数量充足，配备肥皂、洗手液等。明确各环节负责人，做好清洁、消毒记录。</w:t>
            </w:r>
          </w:p>
        </w:tc>
        <w:tc>
          <w:tcPr>
            <w:tcW w:w="9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8" w:hRule="atLeast"/>
          <w:jc w:val="center"/>
        </w:trPr>
        <w:tc>
          <w:tcPr>
            <w:tcW w:w="1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9.垃圾分类处理制度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规范执行垃圾分类处理制度，垃圾分类设施位置、数量等按要求规范设置，加强管理，校园垃圾日产日清，垃圾点每日消毒。</w:t>
            </w:r>
          </w:p>
        </w:tc>
        <w:tc>
          <w:tcPr>
            <w:tcW w:w="9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7" w:hRule="atLeast"/>
          <w:jc w:val="center"/>
        </w:trPr>
        <w:tc>
          <w:tcPr>
            <w:tcW w:w="17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10.全员培训制度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对全体师生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bidi="ar"/>
              </w:rPr>
              <w:t>员工</w:t>
            </w: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bidi="ar"/>
              </w:rPr>
              <w:t>开展疫情防控能力培训，掌握必要的防控和消毒知识。</w:t>
            </w:r>
          </w:p>
        </w:tc>
        <w:tc>
          <w:tcPr>
            <w:tcW w:w="9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1" w:hRule="atLeast"/>
          <w:jc w:val="center"/>
        </w:trPr>
        <w:tc>
          <w:tcPr>
            <w:tcW w:w="175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w w:val="99"/>
                <w:sz w:val="24"/>
              </w:rPr>
              <w:t>(三)返校方案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11.返校安排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  <w:lang w:eastAsia="zh-CN" w:bidi="ar"/>
              </w:rPr>
              <w:t>制定详细师生返校方案，</w:t>
            </w: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  <w:lang w:bidi="ar"/>
              </w:rPr>
              <w:t>精准安排学生分批次、分生源、分时段错时错峰返校。及时组织教职工分批次返校，提前到岗到位。提醒返校师生员工做好途中防护。</w:t>
            </w:r>
          </w:p>
        </w:tc>
        <w:tc>
          <w:tcPr>
            <w:tcW w:w="9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17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12.境外师生返校要求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明确要求目前尚在境外的师生，未接到学校通知一律不返校，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eastAsia="zh-CN" w:bidi="ar"/>
              </w:rPr>
              <w:t>返校时按照有关要求向学校出示核酸检测证明材料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。制定境外师生返校专门方案。境外师生入境后严格执行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eastAsia="zh-CN" w:bidi="ar"/>
              </w:rPr>
              <w:t>属地防控要求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，进行隔离医学观察，每日健康监测解除隔离后且身体健康方可返校学习和工作。</w:t>
            </w:r>
          </w:p>
        </w:tc>
        <w:tc>
          <w:tcPr>
            <w:tcW w:w="9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0" w:hRule="atLeast"/>
          <w:jc w:val="center"/>
        </w:trPr>
        <w:tc>
          <w:tcPr>
            <w:tcW w:w="17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13.提前做好返校人员健康排查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利用“八闽健康码”等智控手段，准确掌握全体师生员工返校前14天的健康状况和旅居史、接触史、疾病史，以及与境外回国人员接触情况，一人一档建立健康档案，确保健康台账信息全覆盖、无遗漏、真实准确。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收齐师生员工八闽健康绿码或所在省份健康绿码、健康信息登记表和承诺书，杜绝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eastAsia="zh-CN" w:bidi="ar"/>
              </w:rPr>
              <w:t>师生员工带病带隐患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返岗返校。</w:t>
            </w:r>
          </w:p>
        </w:tc>
        <w:tc>
          <w:tcPr>
            <w:tcW w:w="9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  <w:jc w:val="center"/>
        </w:trPr>
        <w:tc>
          <w:tcPr>
            <w:tcW w:w="17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14.开学前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环境卫生整治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组织开展开学前全方位、拉网式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eastAsia="zh-CN" w:bidi="ar"/>
              </w:rPr>
              <w:t>环境卫生大整治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，建立校园疫情防控安全责任制，重点对食堂、宿舍、教室、办公室、实验室等区域以及食品卫生、饮用水卫生、垃圾处理、传染病防控等工作进行检查，对空调系统进行彻底清洁，对问题隐患逐一登记造册并及时解决。</w:t>
            </w:r>
          </w:p>
        </w:tc>
        <w:tc>
          <w:tcPr>
            <w:tcW w:w="9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17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15.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进出校园管理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实行校园相对封闭式管理，全面梳理所有进校通道，校外无关人员一律不准进校，师生进校门一律核验身份和检测体温。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eastAsia="zh-CN" w:bidi="ar"/>
              </w:rPr>
              <w:t>幼儿园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家长接送幼儿不入园。走读生上学前应在家里检测体温，出现发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热不得到校，及时就诊并报告班主任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eastAsia="zh-CN" w:bidi="ar"/>
              </w:rPr>
              <w:t>。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寄宿制学校在疫情常态化防控期间定期合理安排学生出入校，正常教学期间原则上不得出校。如必须出校，须严格履行请销假程序，并告知家长，规划出行路线和出行方式。外出时，按照相关规定做好个人防护和手卫生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eastAsia="zh-CN" w:bidi="ar"/>
              </w:rPr>
              <w:t>。</w:t>
            </w:r>
          </w:p>
        </w:tc>
        <w:tc>
          <w:tcPr>
            <w:tcW w:w="9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17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16.应急处置预案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预防突发疫情，制定应急预案。有确诊或疑似单发、聚集性疫情的，学校应立即与属地县级疾控中心、医院启动联防联控应急响应。</w:t>
            </w:r>
          </w:p>
        </w:tc>
        <w:tc>
          <w:tcPr>
            <w:tcW w:w="9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17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17.应急演练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师生学生开学返校前，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把做好应急演练作为开学、开园的必要条件。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组织教职员工开展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全员、全过程、全要素演练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疫情应急处置模拟演练，明确处置流程和各环节负责人，将应急处置流程图张贴在校园醒目位置或通知每位师生。</w:t>
            </w:r>
          </w:p>
        </w:tc>
        <w:tc>
          <w:tcPr>
            <w:tcW w:w="9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5" w:hRule="atLeast"/>
          <w:jc w:val="center"/>
        </w:trPr>
        <w:tc>
          <w:tcPr>
            <w:tcW w:w="175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w w:val="99"/>
                <w:sz w:val="24"/>
              </w:rPr>
              <w:t>(四)安全防护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18.重点人群管理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教职员工核酸检测开学前做到“应检尽检”，对春季学期未检测和新入职教职员工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在上岗前免费进行核酸检测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eastAsia="zh-CN" w:bidi="ar"/>
              </w:rPr>
              <w:t>。对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重点学生人群严格做到“应检尽检”，对复学学生进行“适时抽检”，其他学生实施“愿检尽检”，进一步织密核酸检测网。</w:t>
            </w:r>
          </w:p>
        </w:tc>
        <w:tc>
          <w:tcPr>
            <w:tcW w:w="9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1" w:hRule="atLeast"/>
          <w:jc w:val="center"/>
        </w:trPr>
        <w:tc>
          <w:tcPr>
            <w:tcW w:w="17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19.重点场所管理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每日开展对校门口、食堂、厕所、教室、宿舍等重点区域、重点岗位、重点环节的巡查，发现潜在风险并及时通报和督促整改。加强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eastAsia="zh-CN" w:bidi="ar"/>
              </w:rPr>
              <w:t>室内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通风换气，每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日通风不少于3次，每次不少于30分钟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课间尽量开窗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通风。根据校园情况合理设置人员密集度，尽可能实施最小单元群体管理，以校区、专业、楼栋、年级、班级等为单位进行学习、生活、体育等活动。</w:t>
            </w:r>
          </w:p>
        </w:tc>
        <w:tc>
          <w:tcPr>
            <w:tcW w:w="9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jc w:val="center"/>
        </w:trPr>
        <w:tc>
          <w:tcPr>
            <w:tcW w:w="17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20.个人承诺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全体师生员工签署个人承诺书，承诺及时如实上报健康状况信息（包括共同居住家庭成员及临时居住外来人员的健康情况），明确瞒报、谎报等行为责任追究。学习遵守各项防控制度，掌握个人防护与消毒等知识和技能，做好个人防护。</w:t>
            </w:r>
          </w:p>
        </w:tc>
        <w:tc>
          <w:tcPr>
            <w:tcW w:w="9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17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21.物体表面清洁消毒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保持教室、宿舍、图书馆、学生实验室、体育活动场所、餐厅等场所环境卫生整洁，每日定期消毒并记录。对门把手、课桌椅、讲台、电脑键盘、鼠标、水龙头、楼梯扶手、宿舍床围栏、室内健身器材、电梯间按钮等高频接触表面，可用有效氯250-500mg/L的含氯消毒剂进行喷洒或擦拭，也可采用消毒湿巾进行擦拭。加强学校食堂、浴室及宿舍地面的清洁，定期消毒并记录。</w:t>
            </w:r>
          </w:p>
        </w:tc>
        <w:tc>
          <w:tcPr>
            <w:tcW w:w="9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7" w:hRule="atLeast"/>
          <w:jc w:val="center"/>
        </w:trPr>
        <w:tc>
          <w:tcPr>
            <w:tcW w:w="17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22.防疫物资储备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多渠道、多方式做好消毒剂、口罩、手套、测温枪等防疫物资的储备。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按规定程序自行采购防疫物资时，须确保物资符合标准要求，索证索票齐全。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制定疫情防控物质管理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eastAsia="zh-CN" w:bidi="ar"/>
              </w:rPr>
              <w:t>使用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制度，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及时准确统计防控物资需求、领取及使用情况，确保领用手续完备、账实相符，在防控物资保障工作中遇到的问题，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eastAsia="zh-CN" w:bidi="ar"/>
              </w:rPr>
              <w:t>要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及时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eastAsia="zh-CN" w:bidi="ar"/>
              </w:rPr>
              <w:t>与区教育局联系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  <w:tc>
          <w:tcPr>
            <w:tcW w:w="9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4" w:hRule="atLeast"/>
          <w:jc w:val="center"/>
        </w:trPr>
        <w:tc>
          <w:tcPr>
            <w:tcW w:w="17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23.集中隔离空间设置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在校门口就近设置临时等候区，为入校时出现可疑症状人员提供临时处置场所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eastAsia="zh-CN" w:bidi="ar"/>
              </w:rPr>
              <w:t>。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学校内设立（临时）隔离室，位置相对独立，以备人员出现发热等症状时立即进行暂时隔离。应急隔离区域的区域划定、卫生条件、设施配备等符合规定，有明确负责人。建立校医院、属地卫生（疾控）及医院等联动应急机制。如无隔离空间的，应与属地联防联控机制确定社会隔离点。</w:t>
            </w:r>
          </w:p>
        </w:tc>
        <w:tc>
          <w:tcPr>
            <w:tcW w:w="9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6" w:hRule="atLeast"/>
          <w:jc w:val="center"/>
        </w:trPr>
        <w:tc>
          <w:tcPr>
            <w:tcW w:w="17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24.严控聚集性活动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加强各类聚集性活动管理，大型室内聚集性活动非必要不组织。在校期间引导学生不串座、不串班、不打闹，保持安全社交距离。</w:t>
            </w:r>
          </w:p>
        </w:tc>
        <w:tc>
          <w:tcPr>
            <w:tcW w:w="9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175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w w:val="99"/>
                <w:sz w:val="24"/>
              </w:rPr>
              <w:t>(五)出行管理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25.家校“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两点一线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”出行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eastAsia="zh-CN" w:bidi="ar"/>
              </w:rPr>
              <w:t>学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生在上、下学途中尽量做到家庭、学校“两点一线”，避免不必要外出活动。最好采取步行、自行车、私家车方式上下学，乘坐公共交通或校车时应当注意个人防护，不与他人交谈，与他人保持合理间距，途中尽量避免用手触摸公共交通工具上的物品。上学到校或放学到家应当及时洗手。</w:t>
            </w:r>
          </w:p>
        </w:tc>
        <w:tc>
          <w:tcPr>
            <w:tcW w:w="9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17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26.错时分批上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 w:bidi="ar"/>
              </w:rPr>
              <w:t>放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学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结合学校实际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eastAsia="zh-CN" w:bidi="ar"/>
              </w:rPr>
              <w:t>和学生规模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，对不同年级上学、放学时间适当交错，避免人流过度集中。</w:t>
            </w:r>
          </w:p>
        </w:tc>
        <w:tc>
          <w:tcPr>
            <w:tcW w:w="9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75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w w:val="99"/>
                <w:sz w:val="24"/>
              </w:rPr>
              <w:t>(六)餐饮管理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27.食品经营许可</w:t>
            </w:r>
          </w:p>
        </w:tc>
        <w:tc>
          <w:tcPr>
            <w:tcW w:w="77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学校食堂有《食品经营许可证》且在有效期内，未超范围经营。</w:t>
            </w:r>
          </w:p>
        </w:tc>
        <w:tc>
          <w:tcPr>
            <w:tcW w:w="9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17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28.食品安全管理</w:t>
            </w:r>
          </w:p>
        </w:tc>
        <w:tc>
          <w:tcPr>
            <w:tcW w:w="77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落实以校长为第一责任人的食品安全责任制和食品安全管理制度，有专职食品安全管理人员并落实食品安全责任，确保食品安全。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加强食材采购、存储、加工和销售等环节卫生安全管理，严格执行食品进货查验记录制度。</w:t>
            </w:r>
          </w:p>
        </w:tc>
        <w:tc>
          <w:tcPr>
            <w:tcW w:w="9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1" w:hRule="atLeast"/>
          <w:jc w:val="center"/>
        </w:trPr>
        <w:tc>
          <w:tcPr>
            <w:tcW w:w="17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29.餐饮具卫生消毒</w:t>
            </w:r>
          </w:p>
        </w:tc>
        <w:tc>
          <w:tcPr>
            <w:tcW w:w="77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加强餐（饮）具的清洁消毒，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eastAsia="zh-CN" w:bidi="ar"/>
              </w:rPr>
              <w:t>重复使用的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餐（饮）具应当一人一具一用一消毒。餐（饮）具去残渣、清洗后，煮沸或流通蒸汽消毒，消毒后应当将残留消毒剂冲净。</w:t>
            </w:r>
          </w:p>
        </w:tc>
        <w:tc>
          <w:tcPr>
            <w:tcW w:w="9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4" w:hRule="atLeast"/>
          <w:jc w:val="center"/>
        </w:trPr>
        <w:tc>
          <w:tcPr>
            <w:tcW w:w="17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30.就餐管理</w:t>
            </w:r>
          </w:p>
        </w:tc>
        <w:tc>
          <w:tcPr>
            <w:tcW w:w="77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食堂根据就餐人数和合理规划用餐区域，安排错时错峰用餐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就餐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排队时与他人保持安全距离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。</w:t>
            </w:r>
          </w:p>
        </w:tc>
        <w:tc>
          <w:tcPr>
            <w:tcW w:w="9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5" w:hRule="atLeast"/>
          <w:jc w:val="center"/>
        </w:trPr>
        <w:tc>
          <w:tcPr>
            <w:tcW w:w="17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31.食品留样</w:t>
            </w:r>
          </w:p>
        </w:tc>
        <w:tc>
          <w:tcPr>
            <w:tcW w:w="77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配备专用留样的设备并正常运转，专人管理，能够严格按规定进行留样并做好记录。</w:t>
            </w:r>
          </w:p>
        </w:tc>
        <w:tc>
          <w:tcPr>
            <w:tcW w:w="9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3" w:hRule="atLeast"/>
          <w:jc w:val="center"/>
        </w:trPr>
        <w:tc>
          <w:tcPr>
            <w:tcW w:w="175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w w:val="99"/>
                <w:sz w:val="24"/>
              </w:rPr>
              <w:t>(七)住宿管理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32.宿舍管理</w:t>
            </w:r>
          </w:p>
        </w:tc>
        <w:tc>
          <w:tcPr>
            <w:tcW w:w="77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加强学生宿舍出入管理，实行凭证出入和体温排查。加强对教职员工和学生宿舍的清洁通风换气。每天对宿舍地面、墙壁、门把手、床具、课桌椅等物体表面进行预防性消毒，消毒后要保持宿舍内外的环境卫生整洁，每天专人巡查清扫并进行登记。</w:t>
            </w:r>
          </w:p>
        </w:tc>
        <w:tc>
          <w:tcPr>
            <w:tcW w:w="9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  <w:jc w:val="center"/>
        </w:trPr>
        <w:tc>
          <w:tcPr>
            <w:tcW w:w="17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33.管理机制</w:t>
            </w:r>
          </w:p>
        </w:tc>
        <w:tc>
          <w:tcPr>
            <w:tcW w:w="77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每栋宿舍楼有专人24小时值班，建立突发情况快速反应机制。</w:t>
            </w:r>
          </w:p>
        </w:tc>
        <w:tc>
          <w:tcPr>
            <w:tcW w:w="9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8" w:hRule="atLeast"/>
          <w:jc w:val="center"/>
        </w:trPr>
        <w:tc>
          <w:tcPr>
            <w:tcW w:w="175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w w:val="99"/>
                <w:sz w:val="24"/>
              </w:rPr>
              <w:t>(八)宣传教育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34.信息发布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通过微信、校园网、校讯通等多种途径将相关知识技能信息推送给师生和家长，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提供疫情防控信息咨询与支持服务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提高师生、家长对传染病的预防控制意识和应对能力。</w:t>
            </w:r>
          </w:p>
        </w:tc>
        <w:tc>
          <w:tcPr>
            <w:tcW w:w="9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  <w:jc w:val="center"/>
        </w:trPr>
        <w:tc>
          <w:tcPr>
            <w:tcW w:w="17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35.防控知识教育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eastAsia="zh-CN" w:bidi="ar"/>
              </w:rPr>
              <w:t>把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新冠肺炎及传染病防控知识与技能等纳入开学第一课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eastAsia="zh-CN" w:bidi="ar"/>
              </w:rPr>
              <w:t>和健康教育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内容，让学生和教职工掌握相应知识和技能，养成良好卫生习惯，做好自我防护。</w:t>
            </w:r>
          </w:p>
        </w:tc>
        <w:tc>
          <w:tcPr>
            <w:tcW w:w="9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-weight : 700">
    <w:altName w:val="方正公文小标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font-weight : 400">
    <w:altName w:val="方正公文小标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页 共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页 共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NUMPAGES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163"/>
    <w:rsid w:val="000A1163"/>
    <w:rsid w:val="12665EFD"/>
    <w:rsid w:val="20A81753"/>
    <w:rsid w:val="28B24203"/>
    <w:rsid w:val="2E033CB9"/>
    <w:rsid w:val="4F3019B4"/>
    <w:rsid w:val="75BC5553"/>
    <w:rsid w:val="78684C8B"/>
    <w:rsid w:val="7A9421DE"/>
    <w:rsid w:val="7F0A60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12"/>
    <w:basedOn w:val="7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9">
    <w:name w:val="font21"/>
    <w:qFormat/>
    <w:uiPriority w:val="0"/>
    <w:rPr>
      <w:rFonts w:hint="default" w:ascii="font-weight : 700" w:hAnsi="font-weight : 700" w:eastAsia="font-weight : 700" w:cs="font-weight : 700"/>
      <w:color w:val="000000"/>
      <w:sz w:val="24"/>
      <w:szCs w:val="24"/>
      <w:u w:val="none"/>
    </w:rPr>
  </w:style>
  <w:style w:type="character" w:customStyle="1" w:styleId="10">
    <w:name w:val="font31"/>
    <w:qFormat/>
    <w:uiPriority w:val="0"/>
    <w:rPr>
      <w:rFonts w:ascii="font-weight : 400" w:hAnsi="font-weight : 400" w:eastAsia="font-weight : 400" w:cs="font-weight : 400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2020-09-03T00:37:00Z</dcterms:created>
  <dc:creator>琅岛匠人</dc:creator>
  <cp:lastModifiedBy>琅岛匠人</cp:lastModifiedBy>
  <dcterms:modified xsi:type="dcterms:W3CDTF">2022-01-25T09:25:45Z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5D011EDC31644F6886AD2E47AFE930DF</vt:lpwstr>
  </property>
</Properties>
</file>